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956704" w:rsidRPr="00654F58" w14:paraId="6ADC145D" w14:textId="77777777" w:rsidTr="00956704">
        <w:tc>
          <w:tcPr>
            <w:tcW w:w="8363" w:type="dxa"/>
          </w:tcPr>
          <w:p w14:paraId="476EA22E" w14:textId="77777777" w:rsidR="00956704" w:rsidRDefault="00956704" w:rsidP="003616ED">
            <w:pPr>
              <w:widowControl w:val="0"/>
            </w:pPr>
            <w:r>
              <w:t xml:space="preserve">Bei diesem Dokument handelt es sich um die genehmigte Produktinformation für </w:t>
            </w:r>
            <w:r w:rsidRPr="00956704">
              <w:t>Amsparity</w:t>
            </w:r>
            <w:r>
              <w:t>, wobei die Änderungen seit dem vorherigen Verfahren, die sich auf die Produktinformation (</w:t>
            </w:r>
            <w:r w:rsidRPr="00956704">
              <w:t>EMEA</w:t>
            </w:r>
            <w:r w:rsidRPr="001E1075">
              <w:t>/</w:t>
            </w:r>
            <w:r w:rsidRPr="00956704">
              <w:t>H</w:t>
            </w:r>
            <w:r w:rsidRPr="001E1075">
              <w:t>/</w:t>
            </w:r>
            <w:r w:rsidRPr="00956704">
              <w:t>C</w:t>
            </w:r>
            <w:r w:rsidRPr="001E1075">
              <w:t>/004879/</w:t>
            </w:r>
            <w:r w:rsidRPr="00956704">
              <w:t>IB</w:t>
            </w:r>
            <w:r w:rsidRPr="001E1075">
              <w:t>/0009/</w:t>
            </w:r>
            <w:r w:rsidRPr="00956704">
              <w:t>G</w:t>
            </w:r>
            <w:r w:rsidRPr="001E1075">
              <w:t>)</w:t>
            </w:r>
            <w:r>
              <w:t xml:space="preserve"> auswirken, </w:t>
            </w:r>
            <w:r w:rsidRPr="003F1AD9">
              <w:t>un</w:t>
            </w:r>
            <w:r>
              <w:t>terstrichen sind.</w:t>
            </w:r>
          </w:p>
          <w:p w14:paraId="7A5094F3" w14:textId="77777777" w:rsidR="00956704" w:rsidRDefault="00956704" w:rsidP="003616ED">
            <w:pPr>
              <w:widowControl w:val="0"/>
            </w:pPr>
          </w:p>
          <w:p w14:paraId="006F311B" w14:textId="77777777" w:rsidR="00956704" w:rsidRPr="00654F58" w:rsidRDefault="00956704" w:rsidP="003616ED">
            <w:pPr>
              <w:pStyle w:val="Style1"/>
              <w:pBdr>
                <w:top w:val="none" w:sz="0" w:space="0" w:color="auto"/>
                <w:left w:val="none" w:sz="0" w:space="0" w:color="auto"/>
                <w:bottom w:val="none" w:sz="0" w:space="0" w:color="auto"/>
                <w:right w:val="none" w:sz="0" w:space="0" w:color="auto"/>
              </w:pBdr>
              <w:rPr>
                <w:lang w:val="da-DK"/>
              </w:rPr>
            </w:pPr>
            <w:r>
              <w:t xml:space="preserve">Weitere Informationen finden Sie auf der Website der Europäischen Arzneimittel-Agentur: </w:t>
            </w:r>
            <w:r>
              <w:fldChar w:fldCharType="begin"/>
            </w:r>
            <w:r>
              <w:instrText>HYPERLINK "https://www.ema.europa.eu/en/medicines/human/epar/amsparity"</w:instrText>
            </w:r>
            <w:r>
              <w:fldChar w:fldCharType="separate"/>
            </w:r>
            <w:r w:rsidRPr="00AD62E0">
              <w:rPr>
                <w:rStyle w:val="Hyperlink"/>
                <w:lang w:val="da-DK"/>
              </w:rPr>
              <w:t>https</w:t>
            </w:r>
            <w:r w:rsidRPr="00EF54A5">
              <w:rPr>
                <w:rStyle w:val="Hyperlink"/>
              </w:rPr>
              <w:t>://</w:t>
            </w:r>
            <w:r w:rsidRPr="00AD62E0">
              <w:rPr>
                <w:rStyle w:val="Hyperlink"/>
                <w:lang w:val="da-DK"/>
              </w:rPr>
              <w:t>www</w:t>
            </w:r>
            <w:r w:rsidRPr="00EF54A5">
              <w:rPr>
                <w:rStyle w:val="Hyperlink"/>
              </w:rPr>
              <w:t>.</w:t>
            </w:r>
            <w:r w:rsidRPr="00AD62E0">
              <w:rPr>
                <w:rStyle w:val="Hyperlink"/>
                <w:lang w:val="da-DK"/>
              </w:rPr>
              <w:t>ema</w:t>
            </w:r>
            <w:r w:rsidRPr="00EF54A5">
              <w:rPr>
                <w:rStyle w:val="Hyperlink"/>
              </w:rPr>
              <w:t>.</w:t>
            </w:r>
            <w:r w:rsidRPr="00AD62E0">
              <w:rPr>
                <w:rStyle w:val="Hyperlink"/>
                <w:lang w:val="da-DK"/>
              </w:rPr>
              <w:t>europa</w:t>
            </w:r>
            <w:r w:rsidRPr="00EF54A5">
              <w:rPr>
                <w:rStyle w:val="Hyperlink"/>
              </w:rPr>
              <w:t>.</w:t>
            </w:r>
            <w:r w:rsidRPr="00AD62E0">
              <w:rPr>
                <w:rStyle w:val="Hyperlink"/>
                <w:lang w:val="da-DK"/>
              </w:rPr>
              <w:t>eu</w:t>
            </w:r>
            <w:r w:rsidRPr="00EF54A5">
              <w:rPr>
                <w:rStyle w:val="Hyperlink"/>
              </w:rPr>
              <w:t>/</w:t>
            </w:r>
            <w:r w:rsidRPr="00AD62E0">
              <w:rPr>
                <w:rStyle w:val="Hyperlink"/>
                <w:lang w:val="da-DK"/>
              </w:rPr>
              <w:t>en</w:t>
            </w:r>
            <w:r w:rsidRPr="00EF54A5">
              <w:rPr>
                <w:rStyle w:val="Hyperlink"/>
              </w:rPr>
              <w:t>/</w:t>
            </w:r>
            <w:r w:rsidRPr="00AD62E0">
              <w:rPr>
                <w:rStyle w:val="Hyperlink"/>
                <w:lang w:val="da-DK"/>
              </w:rPr>
              <w:t>medicines</w:t>
            </w:r>
            <w:r w:rsidRPr="00EF54A5">
              <w:rPr>
                <w:rStyle w:val="Hyperlink"/>
              </w:rPr>
              <w:t>/</w:t>
            </w:r>
            <w:r w:rsidRPr="00AD62E0">
              <w:rPr>
                <w:rStyle w:val="Hyperlink"/>
                <w:lang w:val="da-DK"/>
              </w:rPr>
              <w:t>human</w:t>
            </w:r>
            <w:r w:rsidRPr="00EF54A5">
              <w:rPr>
                <w:rStyle w:val="Hyperlink"/>
              </w:rPr>
              <w:t>/</w:t>
            </w:r>
            <w:r w:rsidRPr="00AD62E0">
              <w:rPr>
                <w:rStyle w:val="Hyperlink"/>
                <w:lang w:val="da-DK"/>
              </w:rPr>
              <w:t>epar</w:t>
            </w:r>
            <w:r w:rsidRPr="00EF54A5">
              <w:rPr>
                <w:rStyle w:val="Hyperlink"/>
              </w:rPr>
              <w:t>/</w:t>
            </w:r>
            <w:r w:rsidRPr="00AD62E0">
              <w:rPr>
                <w:rStyle w:val="Hyperlink"/>
                <w:lang w:val="da-DK"/>
              </w:rPr>
              <w:t>amsparity</w:t>
            </w:r>
            <w:r>
              <w:fldChar w:fldCharType="end"/>
            </w:r>
          </w:p>
          <w:p w14:paraId="44BB91FB" w14:textId="77777777" w:rsidR="00956704" w:rsidRPr="00654F58" w:rsidRDefault="00956704" w:rsidP="003616ED">
            <w:pPr>
              <w:pStyle w:val="Style1"/>
              <w:pBdr>
                <w:top w:val="none" w:sz="0" w:space="0" w:color="auto"/>
                <w:left w:val="none" w:sz="0" w:space="0" w:color="auto"/>
                <w:bottom w:val="none" w:sz="0" w:space="0" w:color="auto"/>
                <w:right w:val="none" w:sz="0" w:space="0" w:color="auto"/>
              </w:pBdr>
              <w:rPr>
                <w:lang w:val="da-DK"/>
              </w:rPr>
            </w:pPr>
          </w:p>
        </w:tc>
      </w:tr>
    </w:tbl>
    <w:p w14:paraId="03457528" w14:textId="77777777" w:rsidR="00C46587" w:rsidRPr="00956704" w:rsidRDefault="00C46587" w:rsidP="00054A92">
      <w:pPr>
        <w:jc w:val="center"/>
        <w:rPr>
          <w:color w:val="000000"/>
          <w:lang w:val="da-DK"/>
        </w:rPr>
      </w:pPr>
    </w:p>
    <w:p w14:paraId="1AAC2F7D" w14:textId="77777777" w:rsidR="00C46587" w:rsidRPr="00956704" w:rsidRDefault="00C46587" w:rsidP="00982118">
      <w:pPr>
        <w:jc w:val="center"/>
        <w:rPr>
          <w:color w:val="000000"/>
          <w:lang w:val="da-DK"/>
        </w:rPr>
      </w:pPr>
    </w:p>
    <w:p w14:paraId="5AA68B7A" w14:textId="77777777" w:rsidR="00C46587" w:rsidRPr="00956704" w:rsidRDefault="00C46587" w:rsidP="00982118">
      <w:pPr>
        <w:jc w:val="center"/>
        <w:rPr>
          <w:color w:val="000000"/>
          <w:lang w:val="da-DK"/>
        </w:rPr>
      </w:pPr>
    </w:p>
    <w:p w14:paraId="4241B996" w14:textId="77777777" w:rsidR="00C46587" w:rsidRPr="00956704" w:rsidRDefault="00C46587" w:rsidP="00982118">
      <w:pPr>
        <w:jc w:val="center"/>
        <w:rPr>
          <w:color w:val="000000"/>
          <w:lang w:val="da-DK"/>
        </w:rPr>
      </w:pPr>
    </w:p>
    <w:p w14:paraId="6E798967" w14:textId="77777777" w:rsidR="00C46587" w:rsidRPr="00956704" w:rsidRDefault="00C46587" w:rsidP="00982118">
      <w:pPr>
        <w:jc w:val="center"/>
        <w:rPr>
          <w:color w:val="000000"/>
          <w:lang w:val="da-DK"/>
        </w:rPr>
      </w:pPr>
    </w:p>
    <w:p w14:paraId="4799336C" w14:textId="77777777" w:rsidR="00C46587" w:rsidRPr="00956704" w:rsidRDefault="00C46587" w:rsidP="00982118">
      <w:pPr>
        <w:jc w:val="center"/>
        <w:rPr>
          <w:color w:val="000000"/>
          <w:lang w:val="da-DK"/>
        </w:rPr>
      </w:pPr>
    </w:p>
    <w:p w14:paraId="5B568B94" w14:textId="77777777" w:rsidR="00C46587" w:rsidRPr="00956704" w:rsidRDefault="00C46587" w:rsidP="00982118">
      <w:pPr>
        <w:jc w:val="center"/>
        <w:rPr>
          <w:color w:val="000000"/>
          <w:lang w:val="da-DK"/>
        </w:rPr>
      </w:pPr>
    </w:p>
    <w:p w14:paraId="22358256" w14:textId="77777777" w:rsidR="00C46587" w:rsidRPr="00956704" w:rsidRDefault="00C46587" w:rsidP="00982118">
      <w:pPr>
        <w:jc w:val="center"/>
        <w:rPr>
          <w:color w:val="000000"/>
          <w:lang w:val="da-DK"/>
        </w:rPr>
      </w:pPr>
    </w:p>
    <w:p w14:paraId="79D5E159" w14:textId="77777777" w:rsidR="00C46587" w:rsidRPr="00956704" w:rsidRDefault="00C46587" w:rsidP="00982118">
      <w:pPr>
        <w:jc w:val="center"/>
        <w:rPr>
          <w:color w:val="000000"/>
          <w:lang w:val="da-DK"/>
        </w:rPr>
      </w:pPr>
    </w:p>
    <w:p w14:paraId="1D3317CF" w14:textId="77777777" w:rsidR="00C46587" w:rsidRPr="00956704" w:rsidRDefault="00C46587" w:rsidP="00982118">
      <w:pPr>
        <w:jc w:val="center"/>
        <w:rPr>
          <w:color w:val="000000"/>
          <w:lang w:val="da-DK"/>
        </w:rPr>
      </w:pPr>
    </w:p>
    <w:p w14:paraId="16E08C82" w14:textId="77777777" w:rsidR="00C46587" w:rsidRPr="00956704" w:rsidRDefault="00C46587" w:rsidP="00982118">
      <w:pPr>
        <w:jc w:val="center"/>
        <w:rPr>
          <w:color w:val="000000"/>
          <w:lang w:val="da-DK"/>
        </w:rPr>
      </w:pPr>
    </w:p>
    <w:p w14:paraId="3F7B096E" w14:textId="77777777" w:rsidR="00C46587" w:rsidRPr="00956704" w:rsidRDefault="00C46587" w:rsidP="00982118">
      <w:pPr>
        <w:jc w:val="center"/>
        <w:rPr>
          <w:color w:val="000000"/>
          <w:lang w:val="da-DK"/>
        </w:rPr>
      </w:pPr>
    </w:p>
    <w:p w14:paraId="6E258F42" w14:textId="77777777" w:rsidR="00C46587" w:rsidRPr="00956704" w:rsidRDefault="00C46587" w:rsidP="00982118">
      <w:pPr>
        <w:jc w:val="center"/>
        <w:rPr>
          <w:color w:val="000000"/>
          <w:lang w:val="da-DK"/>
        </w:rPr>
      </w:pPr>
    </w:p>
    <w:p w14:paraId="14E82A62" w14:textId="77777777" w:rsidR="00C46587" w:rsidRPr="00956704" w:rsidRDefault="00C46587" w:rsidP="00982118">
      <w:pPr>
        <w:jc w:val="center"/>
        <w:rPr>
          <w:color w:val="000000"/>
          <w:lang w:val="da-DK"/>
        </w:rPr>
      </w:pPr>
    </w:p>
    <w:p w14:paraId="2AAC9133" w14:textId="77777777" w:rsidR="00C46587" w:rsidRPr="00956704" w:rsidRDefault="00C46587" w:rsidP="00982118">
      <w:pPr>
        <w:jc w:val="center"/>
        <w:rPr>
          <w:color w:val="000000"/>
          <w:lang w:val="da-DK"/>
        </w:rPr>
      </w:pPr>
    </w:p>
    <w:p w14:paraId="394B1E7B" w14:textId="77777777" w:rsidR="00C46587" w:rsidRPr="00956704" w:rsidRDefault="00C46587" w:rsidP="00982118">
      <w:pPr>
        <w:jc w:val="center"/>
        <w:rPr>
          <w:color w:val="000000"/>
          <w:lang w:val="da-DK"/>
        </w:rPr>
      </w:pPr>
    </w:p>
    <w:p w14:paraId="11DD1D11" w14:textId="77777777" w:rsidR="00C46587" w:rsidRPr="004F5FB4" w:rsidRDefault="00C46587" w:rsidP="00982118">
      <w:pPr>
        <w:jc w:val="center"/>
        <w:rPr>
          <w:b/>
          <w:color w:val="000000"/>
        </w:rPr>
      </w:pPr>
      <w:r w:rsidRPr="004F5FB4">
        <w:rPr>
          <w:b/>
          <w:color w:val="000000"/>
        </w:rPr>
        <w:t>ANHANG I</w:t>
      </w:r>
    </w:p>
    <w:p w14:paraId="6AB0DA7B" w14:textId="77777777" w:rsidR="00C46587" w:rsidRPr="004F5FB4" w:rsidRDefault="00C46587" w:rsidP="00982118">
      <w:pPr>
        <w:jc w:val="center"/>
        <w:rPr>
          <w:b/>
          <w:color w:val="000000"/>
        </w:rPr>
      </w:pPr>
    </w:p>
    <w:p w14:paraId="1DBAA190" w14:textId="77777777" w:rsidR="00996001" w:rsidRPr="004F5FB4" w:rsidRDefault="00C46587" w:rsidP="00F60620">
      <w:pPr>
        <w:pStyle w:val="Heading1"/>
        <w:jc w:val="center"/>
      </w:pPr>
      <w:r w:rsidRPr="004F5FB4">
        <w:t>ZUSAMMENFASSUNG DER MERKMALE DES ARZNEIMITTELS</w:t>
      </w:r>
    </w:p>
    <w:p w14:paraId="0DF48F59" w14:textId="201F9F45" w:rsidR="008D74DD" w:rsidRPr="00D847B6" w:rsidRDefault="00C46587" w:rsidP="008A56D9">
      <w:pPr>
        <w:pStyle w:val="BodyText"/>
        <w:keepNext/>
        <w:widowControl/>
        <w:numPr>
          <w:ilvl w:val="0"/>
          <w:numId w:val="21"/>
        </w:numPr>
        <w:kinsoku w:val="0"/>
        <w:overflowPunct w:val="0"/>
        <w:autoSpaceDE w:val="0"/>
        <w:autoSpaceDN w:val="0"/>
        <w:adjustRightInd w:val="0"/>
        <w:ind w:left="0" w:firstLine="0"/>
        <w:rPr>
          <w:b/>
          <w:bCs/>
          <w:color w:val="000000"/>
        </w:rPr>
      </w:pPr>
      <w:r w:rsidRPr="008A56D9">
        <w:rPr>
          <w:color w:val="000000"/>
        </w:rPr>
        <w:br w:type="page"/>
      </w:r>
      <w:r w:rsidR="008D74DD" w:rsidRPr="00D847B6">
        <w:rPr>
          <w:b/>
          <w:bCs/>
          <w:color w:val="000000"/>
        </w:rPr>
        <w:lastRenderedPageBreak/>
        <w:t>BEZEICHNUNG DES ARZNEIMITTELS</w:t>
      </w:r>
    </w:p>
    <w:p w14:paraId="7A2BF550" w14:textId="47AF923E" w:rsidR="008D74DD" w:rsidRPr="00D847B6" w:rsidRDefault="008D74DD" w:rsidP="001439EF">
      <w:pPr>
        <w:pStyle w:val="BodyText"/>
        <w:keepNext/>
        <w:widowControl/>
        <w:kinsoku w:val="0"/>
        <w:overflowPunct w:val="0"/>
        <w:ind w:left="0"/>
        <w:rPr>
          <w:bCs/>
          <w:color w:val="000000"/>
          <w:szCs w:val="21"/>
          <w:lang w:val="en-GB"/>
        </w:rPr>
      </w:pPr>
    </w:p>
    <w:p w14:paraId="036EEFCF" w14:textId="77777777" w:rsidR="008D74DD" w:rsidRPr="004F5FB4" w:rsidRDefault="006A1144" w:rsidP="001439EF">
      <w:pPr>
        <w:pStyle w:val="BodyText"/>
        <w:widowControl/>
        <w:kinsoku w:val="0"/>
        <w:overflowPunct w:val="0"/>
        <w:ind w:left="0"/>
        <w:rPr>
          <w:color w:val="000000"/>
        </w:rPr>
      </w:pPr>
      <w:r w:rsidRPr="004F5FB4">
        <w:rPr>
          <w:color w:val="000000"/>
        </w:rPr>
        <w:t>Amsparity 20 mg Injektionslösung in einer Fertigspritze</w:t>
      </w:r>
    </w:p>
    <w:p w14:paraId="51F2817C" w14:textId="77777777" w:rsidR="008D74DD" w:rsidRPr="004F5FB4" w:rsidRDefault="008D74DD" w:rsidP="001439EF">
      <w:pPr>
        <w:pStyle w:val="BodyText"/>
        <w:widowControl/>
        <w:kinsoku w:val="0"/>
        <w:overflowPunct w:val="0"/>
        <w:ind w:left="0"/>
        <w:rPr>
          <w:color w:val="000000"/>
        </w:rPr>
      </w:pPr>
    </w:p>
    <w:p w14:paraId="5F5E4F1B" w14:textId="77777777" w:rsidR="008D74DD" w:rsidRPr="004F5FB4" w:rsidRDefault="008D74DD" w:rsidP="001439EF">
      <w:pPr>
        <w:pStyle w:val="BodyText"/>
        <w:widowControl/>
        <w:kinsoku w:val="0"/>
        <w:overflowPunct w:val="0"/>
        <w:ind w:left="0"/>
        <w:rPr>
          <w:color w:val="000000"/>
        </w:rPr>
      </w:pPr>
    </w:p>
    <w:p w14:paraId="400DAF93" w14:textId="77777777" w:rsidR="008D74DD" w:rsidRPr="004F5FB4" w:rsidRDefault="008D74DD" w:rsidP="00CA7719">
      <w:pPr>
        <w:pStyle w:val="BodyText"/>
        <w:keepNext/>
        <w:widowControl/>
        <w:numPr>
          <w:ilvl w:val="0"/>
          <w:numId w:val="21"/>
        </w:numPr>
        <w:kinsoku w:val="0"/>
        <w:overflowPunct w:val="0"/>
        <w:autoSpaceDE w:val="0"/>
        <w:autoSpaceDN w:val="0"/>
        <w:adjustRightInd w:val="0"/>
        <w:ind w:left="0" w:firstLine="0"/>
        <w:rPr>
          <w:b/>
          <w:bCs/>
          <w:color w:val="000000"/>
        </w:rPr>
      </w:pPr>
      <w:r w:rsidRPr="00CA7719">
        <w:rPr>
          <w:b/>
          <w:bCs/>
          <w:color w:val="000000"/>
        </w:rPr>
        <w:t>QUALITATIVE UND QUANTITATIVE ZUSAMMENSETZUNG</w:t>
      </w:r>
    </w:p>
    <w:p w14:paraId="68158267" w14:textId="77777777" w:rsidR="008D74DD" w:rsidRPr="004F5FB4" w:rsidRDefault="008D74DD" w:rsidP="001439EF">
      <w:pPr>
        <w:pStyle w:val="BodyText"/>
        <w:keepNext/>
        <w:widowControl/>
        <w:kinsoku w:val="0"/>
        <w:overflowPunct w:val="0"/>
        <w:ind w:left="0"/>
        <w:rPr>
          <w:b/>
          <w:bCs/>
          <w:color w:val="000000"/>
          <w:szCs w:val="21"/>
          <w:lang w:val="en-GB"/>
        </w:rPr>
      </w:pPr>
    </w:p>
    <w:p w14:paraId="1C3887C1" w14:textId="77777777" w:rsidR="008D74DD" w:rsidRPr="004F5FB4" w:rsidRDefault="008D74DD" w:rsidP="001439EF">
      <w:pPr>
        <w:pStyle w:val="BodyText"/>
        <w:widowControl/>
        <w:kinsoku w:val="0"/>
        <w:overflowPunct w:val="0"/>
        <w:ind w:left="0"/>
        <w:rPr>
          <w:color w:val="000000"/>
        </w:rPr>
      </w:pPr>
      <w:r w:rsidRPr="004F5FB4">
        <w:rPr>
          <w:color w:val="000000"/>
        </w:rPr>
        <w:t>Jede Einzeldosis-Fertigspritze mit 0,4</w:t>
      </w:r>
      <w:r w:rsidR="00222A1F" w:rsidRPr="004F5FB4">
        <w:rPr>
          <w:color w:val="000000"/>
        </w:rPr>
        <w:t> </w:t>
      </w:r>
      <w:r w:rsidRPr="004F5FB4">
        <w:rPr>
          <w:color w:val="000000"/>
        </w:rPr>
        <w:t>ml enthält 20</w:t>
      </w:r>
      <w:r w:rsidR="004A73BE" w:rsidRPr="004F5FB4">
        <w:rPr>
          <w:color w:val="000000"/>
        </w:rPr>
        <w:t> </w:t>
      </w:r>
      <w:r w:rsidRPr="004F5FB4">
        <w:rPr>
          <w:color w:val="000000"/>
        </w:rPr>
        <w:t>mg Adalimumab.</w:t>
      </w:r>
    </w:p>
    <w:p w14:paraId="3FBCC4E4" w14:textId="77777777" w:rsidR="008D74DD" w:rsidRPr="004F5FB4" w:rsidRDefault="008D74DD" w:rsidP="001439EF">
      <w:pPr>
        <w:pStyle w:val="BodyText"/>
        <w:widowControl/>
        <w:kinsoku w:val="0"/>
        <w:overflowPunct w:val="0"/>
        <w:ind w:left="0"/>
        <w:rPr>
          <w:color w:val="000000"/>
        </w:rPr>
      </w:pPr>
    </w:p>
    <w:p w14:paraId="47DA2722" w14:textId="77777777" w:rsidR="008D74DD" w:rsidRPr="004F5FB4" w:rsidRDefault="008D74DD" w:rsidP="001439EF">
      <w:pPr>
        <w:pStyle w:val="BodyText"/>
        <w:widowControl/>
        <w:kinsoku w:val="0"/>
        <w:overflowPunct w:val="0"/>
        <w:ind w:left="0"/>
        <w:rPr>
          <w:color w:val="000000"/>
        </w:rPr>
      </w:pPr>
      <w:r w:rsidRPr="004F5FB4">
        <w:rPr>
          <w:color w:val="000000"/>
        </w:rPr>
        <w:t xml:space="preserve">Adalimumab ist ein rekombinanter humaner monoklonaler Antikörper, der in Ovarialzellen des Chinesischen Hamsters produziert wird. </w:t>
      </w:r>
    </w:p>
    <w:p w14:paraId="171C280F" w14:textId="77777777" w:rsidR="008D74DD" w:rsidRPr="004F5FB4" w:rsidRDefault="008D74DD" w:rsidP="001439EF">
      <w:pPr>
        <w:pStyle w:val="BodyText"/>
        <w:widowControl/>
        <w:kinsoku w:val="0"/>
        <w:overflowPunct w:val="0"/>
        <w:ind w:left="0"/>
        <w:rPr>
          <w:color w:val="000000"/>
        </w:rPr>
      </w:pPr>
    </w:p>
    <w:p w14:paraId="6F35605D" w14:textId="77777777" w:rsidR="005573B1" w:rsidRPr="006F6F1E" w:rsidRDefault="005573B1" w:rsidP="005573B1">
      <w:pPr>
        <w:pStyle w:val="BodyText"/>
        <w:widowControl/>
        <w:kinsoku w:val="0"/>
        <w:overflowPunct w:val="0"/>
        <w:ind w:left="0"/>
        <w:rPr>
          <w:u w:val="single"/>
        </w:rPr>
      </w:pPr>
      <w:r>
        <w:rPr>
          <w:u w:val="single"/>
        </w:rPr>
        <w:t>Sonstige Bestandteile mit bekannter Wirkung</w:t>
      </w:r>
      <w:r>
        <w:rPr>
          <w:u w:val="single"/>
        </w:rPr>
        <w:br/>
      </w:r>
    </w:p>
    <w:p w14:paraId="6DBEB250" w14:textId="77777777" w:rsidR="005573B1" w:rsidRDefault="005573B1" w:rsidP="005573B1">
      <w:pPr>
        <w:pStyle w:val="BodyText"/>
        <w:widowControl/>
        <w:kinsoku w:val="0"/>
        <w:overflowPunct w:val="0"/>
        <w:ind w:left="0"/>
      </w:pPr>
      <w:r>
        <w:t xml:space="preserve">Amsparity 20 mg Injektionslösung enthält 0,08 mg Polysorbat 80 pro Einzeldosis-Fertigspritze mit 0,4 ml, entsprechend 0,2 mg/ml Polysorbat 80. </w:t>
      </w:r>
    </w:p>
    <w:p w14:paraId="47CBA1DF" w14:textId="77777777" w:rsidR="005573B1" w:rsidRPr="00272A84" w:rsidRDefault="005573B1" w:rsidP="005573B1">
      <w:pPr>
        <w:pStyle w:val="BodyText"/>
        <w:widowControl/>
        <w:kinsoku w:val="0"/>
        <w:overflowPunct w:val="0"/>
        <w:ind w:left="0"/>
      </w:pPr>
    </w:p>
    <w:p w14:paraId="2E397FB9" w14:textId="77777777" w:rsidR="008D74DD" w:rsidRPr="004F5FB4" w:rsidRDefault="008D74DD" w:rsidP="001439EF">
      <w:pPr>
        <w:pStyle w:val="BodyText"/>
        <w:widowControl/>
        <w:kinsoku w:val="0"/>
        <w:overflowPunct w:val="0"/>
        <w:ind w:left="0"/>
        <w:rPr>
          <w:color w:val="000000"/>
        </w:rPr>
      </w:pPr>
      <w:r w:rsidRPr="004F5FB4">
        <w:rPr>
          <w:color w:val="000000"/>
        </w:rPr>
        <w:t>Vollständige Auflistung der sonstigen Bestandteile, siehe Abschnitt</w:t>
      </w:r>
      <w:r w:rsidR="009319CB" w:rsidRPr="004F5FB4">
        <w:rPr>
          <w:color w:val="000000"/>
        </w:rPr>
        <w:t> </w:t>
      </w:r>
      <w:r w:rsidRPr="004F5FB4">
        <w:rPr>
          <w:color w:val="000000"/>
        </w:rPr>
        <w:t>6.1.</w:t>
      </w:r>
    </w:p>
    <w:p w14:paraId="6EE59F7D" w14:textId="77777777" w:rsidR="008D74DD" w:rsidRPr="004F5FB4" w:rsidRDefault="008D74DD" w:rsidP="001439EF">
      <w:pPr>
        <w:pStyle w:val="BodyText"/>
        <w:widowControl/>
        <w:kinsoku w:val="0"/>
        <w:overflowPunct w:val="0"/>
        <w:ind w:left="0"/>
        <w:rPr>
          <w:color w:val="000000"/>
        </w:rPr>
      </w:pPr>
    </w:p>
    <w:p w14:paraId="7A2482F5" w14:textId="77777777" w:rsidR="008D74DD" w:rsidRPr="004F5FB4" w:rsidRDefault="008D74DD" w:rsidP="001439EF">
      <w:pPr>
        <w:pStyle w:val="BodyText"/>
        <w:widowControl/>
        <w:kinsoku w:val="0"/>
        <w:overflowPunct w:val="0"/>
        <w:ind w:left="0"/>
        <w:rPr>
          <w:color w:val="000000"/>
          <w:szCs w:val="23"/>
        </w:rPr>
      </w:pPr>
    </w:p>
    <w:p w14:paraId="65C0D747" w14:textId="77777777" w:rsidR="008D74DD" w:rsidRPr="004F5FB4" w:rsidRDefault="008D74DD" w:rsidP="001439EF">
      <w:pPr>
        <w:pStyle w:val="BodyText"/>
        <w:keepNext/>
        <w:widowControl/>
        <w:numPr>
          <w:ilvl w:val="0"/>
          <w:numId w:val="21"/>
        </w:numPr>
        <w:kinsoku w:val="0"/>
        <w:overflowPunct w:val="0"/>
        <w:spacing w:before="8"/>
        <w:ind w:left="0" w:firstLine="0"/>
        <w:rPr>
          <w:color w:val="000000"/>
        </w:rPr>
      </w:pPr>
      <w:r w:rsidRPr="004F5FB4">
        <w:rPr>
          <w:b/>
          <w:bCs/>
          <w:color w:val="000000"/>
        </w:rPr>
        <w:t xml:space="preserve">DARREICHUNGSFORM </w:t>
      </w:r>
    </w:p>
    <w:p w14:paraId="320FBCC0" w14:textId="77777777" w:rsidR="008D74DD" w:rsidRPr="004F5FB4" w:rsidRDefault="008D74DD" w:rsidP="001439EF">
      <w:pPr>
        <w:pStyle w:val="BodyText"/>
        <w:keepNext/>
        <w:widowControl/>
        <w:tabs>
          <w:tab w:val="left" w:pos="673"/>
        </w:tabs>
        <w:kinsoku w:val="0"/>
        <w:overflowPunct w:val="0"/>
        <w:spacing w:before="8"/>
        <w:ind w:left="0"/>
        <w:rPr>
          <w:bCs/>
          <w:color w:val="000000"/>
          <w:lang w:val="en-GB"/>
        </w:rPr>
      </w:pPr>
    </w:p>
    <w:p w14:paraId="20C8D231" w14:textId="77777777" w:rsidR="008D74DD" w:rsidRPr="004F5FB4" w:rsidRDefault="008D74DD" w:rsidP="001439EF">
      <w:pPr>
        <w:pStyle w:val="BodyText"/>
        <w:widowControl/>
        <w:tabs>
          <w:tab w:val="left" w:pos="673"/>
        </w:tabs>
        <w:kinsoku w:val="0"/>
        <w:overflowPunct w:val="0"/>
        <w:autoSpaceDE w:val="0"/>
        <w:autoSpaceDN w:val="0"/>
        <w:adjustRightInd w:val="0"/>
        <w:ind w:left="0"/>
        <w:rPr>
          <w:color w:val="000000"/>
        </w:rPr>
      </w:pPr>
      <w:r w:rsidRPr="004F5FB4">
        <w:rPr>
          <w:color w:val="000000"/>
        </w:rPr>
        <w:t xml:space="preserve">Injektionslösung (Injektion) </w:t>
      </w:r>
    </w:p>
    <w:p w14:paraId="53345D5E" w14:textId="77777777" w:rsidR="008D74DD" w:rsidRPr="004F5FB4" w:rsidRDefault="008D74DD" w:rsidP="001439EF">
      <w:pPr>
        <w:pStyle w:val="BodyText"/>
        <w:widowControl/>
        <w:tabs>
          <w:tab w:val="left" w:pos="673"/>
        </w:tabs>
        <w:kinsoku w:val="0"/>
        <w:overflowPunct w:val="0"/>
        <w:autoSpaceDE w:val="0"/>
        <w:autoSpaceDN w:val="0"/>
        <w:adjustRightInd w:val="0"/>
        <w:ind w:left="0"/>
        <w:rPr>
          <w:color w:val="000000"/>
          <w:lang w:val="en-GB"/>
        </w:rPr>
      </w:pPr>
    </w:p>
    <w:p w14:paraId="1AEEC880" w14:textId="77777777" w:rsidR="008D74DD" w:rsidRPr="004F5FB4" w:rsidRDefault="008D74DD" w:rsidP="001439EF">
      <w:pPr>
        <w:pStyle w:val="BodyText"/>
        <w:widowControl/>
        <w:tabs>
          <w:tab w:val="left" w:pos="673"/>
        </w:tabs>
        <w:kinsoku w:val="0"/>
        <w:overflowPunct w:val="0"/>
        <w:autoSpaceDE w:val="0"/>
        <w:autoSpaceDN w:val="0"/>
        <w:adjustRightInd w:val="0"/>
        <w:ind w:left="0"/>
        <w:rPr>
          <w:color w:val="000000"/>
        </w:rPr>
      </w:pPr>
      <w:r w:rsidRPr="004F5FB4">
        <w:rPr>
          <w:color w:val="000000"/>
        </w:rPr>
        <w:t>Klare, farblose bis sehr hellbraune Lösung</w:t>
      </w:r>
    </w:p>
    <w:p w14:paraId="558E98D0" w14:textId="77777777" w:rsidR="008D74DD" w:rsidRPr="004F5FB4" w:rsidRDefault="008D74DD" w:rsidP="001439EF">
      <w:pPr>
        <w:pStyle w:val="BodyText"/>
        <w:widowControl/>
        <w:tabs>
          <w:tab w:val="left" w:pos="673"/>
        </w:tabs>
        <w:kinsoku w:val="0"/>
        <w:overflowPunct w:val="0"/>
        <w:autoSpaceDE w:val="0"/>
        <w:autoSpaceDN w:val="0"/>
        <w:adjustRightInd w:val="0"/>
        <w:ind w:left="0"/>
        <w:rPr>
          <w:color w:val="000000"/>
        </w:rPr>
      </w:pPr>
    </w:p>
    <w:p w14:paraId="5A8933E2" w14:textId="77777777" w:rsidR="008D74DD" w:rsidRPr="004F5FB4" w:rsidRDefault="008D74DD" w:rsidP="001439EF">
      <w:pPr>
        <w:pStyle w:val="BodyText"/>
        <w:widowControl/>
        <w:kinsoku w:val="0"/>
        <w:overflowPunct w:val="0"/>
        <w:ind w:left="0"/>
        <w:rPr>
          <w:color w:val="000000"/>
        </w:rPr>
      </w:pPr>
    </w:p>
    <w:p w14:paraId="5C985A83" w14:textId="77777777" w:rsidR="008D74DD" w:rsidRPr="004F5FB4" w:rsidRDefault="008D74DD" w:rsidP="00CA7719">
      <w:pPr>
        <w:pStyle w:val="BodyText"/>
        <w:keepNext/>
        <w:widowControl/>
        <w:numPr>
          <w:ilvl w:val="0"/>
          <w:numId w:val="21"/>
        </w:numPr>
        <w:kinsoku w:val="0"/>
        <w:overflowPunct w:val="0"/>
        <w:autoSpaceDE w:val="0"/>
        <w:autoSpaceDN w:val="0"/>
        <w:adjustRightInd w:val="0"/>
        <w:ind w:left="0" w:firstLine="0"/>
        <w:rPr>
          <w:b/>
          <w:bCs/>
          <w:color w:val="000000"/>
        </w:rPr>
      </w:pPr>
      <w:r w:rsidRPr="00CA7719">
        <w:rPr>
          <w:b/>
          <w:bCs/>
          <w:color w:val="000000"/>
        </w:rPr>
        <w:t>KLINISCHE ANGABEN</w:t>
      </w:r>
    </w:p>
    <w:p w14:paraId="5BD545A1" w14:textId="77777777" w:rsidR="008D74DD" w:rsidRPr="004F5FB4" w:rsidRDefault="008D74DD" w:rsidP="001439EF">
      <w:pPr>
        <w:pStyle w:val="BodyText"/>
        <w:keepNext/>
        <w:widowControl/>
        <w:kinsoku w:val="0"/>
        <w:overflowPunct w:val="0"/>
        <w:spacing w:before="8"/>
        <w:ind w:left="0"/>
        <w:rPr>
          <w:bCs/>
          <w:color w:val="000000"/>
          <w:lang w:val="en-GB"/>
        </w:rPr>
      </w:pPr>
    </w:p>
    <w:p w14:paraId="1FDD1CDD" w14:textId="77777777" w:rsidR="008D74DD" w:rsidRPr="004F5FB4" w:rsidRDefault="008D74DD" w:rsidP="001439EF">
      <w:pPr>
        <w:pStyle w:val="BodyText"/>
        <w:keepNext/>
        <w:widowControl/>
        <w:numPr>
          <w:ilvl w:val="1"/>
          <w:numId w:val="21"/>
        </w:numPr>
        <w:kinsoku w:val="0"/>
        <w:overflowPunct w:val="0"/>
        <w:spacing w:before="8"/>
        <w:ind w:left="0" w:firstLine="0"/>
        <w:rPr>
          <w:color w:val="000000"/>
        </w:rPr>
      </w:pPr>
      <w:r w:rsidRPr="004F5FB4">
        <w:rPr>
          <w:b/>
          <w:bCs/>
          <w:color w:val="000000"/>
        </w:rPr>
        <w:t>Anwendungsgebiete</w:t>
      </w:r>
    </w:p>
    <w:p w14:paraId="00A908EE" w14:textId="77777777" w:rsidR="008D74DD" w:rsidRPr="004F5FB4" w:rsidRDefault="008D74DD" w:rsidP="001439EF">
      <w:pPr>
        <w:pStyle w:val="BodyText"/>
        <w:keepNext/>
        <w:widowControl/>
        <w:kinsoku w:val="0"/>
        <w:overflowPunct w:val="0"/>
        <w:spacing w:before="8"/>
        <w:ind w:left="0"/>
        <w:rPr>
          <w:bCs/>
          <w:color w:val="000000"/>
          <w:szCs w:val="21"/>
          <w:lang w:val="en-GB"/>
        </w:rPr>
      </w:pPr>
    </w:p>
    <w:p w14:paraId="6FC8403D" w14:textId="77777777" w:rsidR="008D74DD" w:rsidRPr="004F5FB4" w:rsidRDefault="008D74DD" w:rsidP="001439EF">
      <w:pPr>
        <w:pStyle w:val="BodyText"/>
        <w:keepNext/>
        <w:widowControl/>
        <w:kinsoku w:val="0"/>
        <w:overflowPunct w:val="0"/>
        <w:spacing w:before="8"/>
        <w:ind w:left="0"/>
        <w:rPr>
          <w:color w:val="000000"/>
        </w:rPr>
      </w:pPr>
      <w:r w:rsidRPr="004F5FB4">
        <w:rPr>
          <w:color w:val="000000"/>
          <w:u w:val="single"/>
        </w:rPr>
        <w:t>Juvenile idiopathische Arthritis</w:t>
      </w:r>
    </w:p>
    <w:p w14:paraId="705563B0" w14:textId="77777777" w:rsidR="008D74DD" w:rsidRPr="004F5FB4" w:rsidRDefault="008D74DD" w:rsidP="001439EF">
      <w:pPr>
        <w:pStyle w:val="BodyText"/>
        <w:keepNext/>
        <w:widowControl/>
        <w:kinsoku w:val="0"/>
        <w:overflowPunct w:val="0"/>
        <w:spacing w:before="8"/>
        <w:ind w:left="0"/>
        <w:rPr>
          <w:color w:val="000000"/>
          <w:szCs w:val="15"/>
          <w:lang w:val="en-GB"/>
        </w:rPr>
      </w:pPr>
    </w:p>
    <w:p w14:paraId="16DE422A" w14:textId="77777777" w:rsidR="008D74DD" w:rsidRPr="004F5FB4" w:rsidRDefault="008D74DD" w:rsidP="001439EF">
      <w:pPr>
        <w:pStyle w:val="BodyText"/>
        <w:keepNext/>
        <w:widowControl/>
        <w:kinsoku w:val="0"/>
        <w:overflowPunct w:val="0"/>
        <w:spacing w:before="8"/>
        <w:ind w:left="0"/>
        <w:rPr>
          <w:color w:val="000000"/>
        </w:rPr>
      </w:pPr>
      <w:r w:rsidRPr="004F5FB4">
        <w:rPr>
          <w:i/>
          <w:iCs/>
          <w:color w:val="000000"/>
        </w:rPr>
        <w:t>Polyartikuläre juvenile idiopathische Arthritis</w:t>
      </w:r>
    </w:p>
    <w:p w14:paraId="679CF609" w14:textId="77777777" w:rsidR="008D74DD" w:rsidRPr="004F5FB4" w:rsidRDefault="008D74DD" w:rsidP="001439EF">
      <w:pPr>
        <w:pStyle w:val="BodyText"/>
        <w:keepNext/>
        <w:widowControl/>
        <w:kinsoku w:val="0"/>
        <w:overflowPunct w:val="0"/>
        <w:spacing w:before="8"/>
        <w:ind w:left="0"/>
        <w:rPr>
          <w:i/>
          <w:iCs/>
          <w:color w:val="000000"/>
          <w:szCs w:val="21"/>
          <w:lang w:val="en-GB"/>
        </w:rPr>
      </w:pPr>
    </w:p>
    <w:p w14:paraId="0B979AA1" w14:textId="77777777" w:rsidR="008D74DD" w:rsidRPr="004F5FB4" w:rsidRDefault="006A1144" w:rsidP="001439EF">
      <w:pPr>
        <w:pStyle w:val="BodyText"/>
        <w:widowControl/>
        <w:kinsoku w:val="0"/>
        <w:overflowPunct w:val="0"/>
        <w:ind w:left="0"/>
        <w:rPr>
          <w:color w:val="000000"/>
        </w:rPr>
      </w:pPr>
      <w:r w:rsidRPr="004F5FB4">
        <w:rPr>
          <w:color w:val="000000"/>
        </w:rPr>
        <w:t xml:space="preserve">Amsparity </w:t>
      </w:r>
      <w:r w:rsidR="00934A72" w:rsidRPr="004F5FB4">
        <w:rPr>
          <w:color w:val="000000"/>
        </w:rPr>
        <w:t xml:space="preserve">wird </w:t>
      </w:r>
      <w:r w:rsidRPr="004F5FB4">
        <w:rPr>
          <w:color w:val="000000"/>
        </w:rPr>
        <w:t xml:space="preserve">in Kombination mit Methotrexat </w:t>
      </w:r>
      <w:r w:rsidR="00934A72" w:rsidRPr="004F5FB4">
        <w:rPr>
          <w:color w:val="000000"/>
        </w:rPr>
        <w:t>angewendet</w:t>
      </w:r>
      <w:r w:rsidRPr="004F5FB4">
        <w:rPr>
          <w:color w:val="000000"/>
        </w:rPr>
        <w:t xml:space="preserve"> zur Behandlung der aktiven polyartikulären juvenilen idiopathischen Arthritis bei Patienten ab dem Alter von 2</w:t>
      </w:r>
      <w:r w:rsidR="009319CB" w:rsidRPr="004F5FB4">
        <w:rPr>
          <w:color w:val="000000"/>
        </w:rPr>
        <w:t> </w:t>
      </w:r>
      <w:r w:rsidRPr="004F5FB4">
        <w:rPr>
          <w:color w:val="000000"/>
        </w:rPr>
        <w:t>Jahren, die nur unzureichend auf ein oder mehrere krankheitsmodifizierende Antirheumatika (DMARDs) angesprochen haben. Amsparity kann im Falle einer Unverträglichkeit gegenüber Methotrexat oder, wenn die weitere Behandlung mit Methotrexat nicht sinnvoll ist, als Monotherapie angewendet werden (zur Wirksamkeit bei der Monotherapie siehe Abschnitt</w:t>
      </w:r>
      <w:r w:rsidR="009319CB" w:rsidRPr="004F5FB4">
        <w:rPr>
          <w:color w:val="000000"/>
        </w:rPr>
        <w:t> </w:t>
      </w:r>
      <w:r w:rsidRPr="004F5FB4">
        <w:rPr>
          <w:color w:val="000000"/>
        </w:rPr>
        <w:t>5.1). Bei Patienten, die jünger als 2</w:t>
      </w:r>
      <w:r w:rsidR="009319CB" w:rsidRPr="004F5FB4">
        <w:rPr>
          <w:color w:val="000000"/>
        </w:rPr>
        <w:t> </w:t>
      </w:r>
      <w:r w:rsidRPr="004F5FB4">
        <w:rPr>
          <w:color w:val="000000"/>
        </w:rPr>
        <w:t>Jahre sind, wurde Adalimumab nicht untersucht.</w:t>
      </w:r>
    </w:p>
    <w:p w14:paraId="5213C06B" w14:textId="77777777" w:rsidR="008D74DD" w:rsidRPr="004F5FB4" w:rsidRDefault="008D74DD" w:rsidP="001439EF">
      <w:pPr>
        <w:pStyle w:val="BodyText"/>
        <w:widowControl/>
        <w:kinsoku w:val="0"/>
        <w:overflowPunct w:val="0"/>
        <w:ind w:left="0"/>
        <w:rPr>
          <w:color w:val="000000"/>
        </w:rPr>
      </w:pPr>
    </w:p>
    <w:p w14:paraId="5AC9AFF9" w14:textId="77777777" w:rsidR="008D74DD" w:rsidRPr="004F5FB4" w:rsidRDefault="008D74DD" w:rsidP="001439EF">
      <w:pPr>
        <w:pStyle w:val="BodyText"/>
        <w:keepNext/>
        <w:widowControl/>
        <w:kinsoku w:val="0"/>
        <w:overflowPunct w:val="0"/>
        <w:spacing w:before="8"/>
        <w:ind w:left="0"/>
        <w:rPr>
          <w:color w:val="000000"/>
        </w:rPr>
      </w:pPr>
      <w:r w:rsidRPr="004F5FB4">
        <w:rPr>
          <w:i/>
          <w:iCs/>
          <w:color w:val="000000"/>
        </w:rPr>
        <w:t>Enthesitis-assoziierte Arthritis</w:t>
      </w:r>
    </w:p>
    <w:p w14:paraId="0670BAE7" w14:textId="77777777" w:rsidR="008D74DD" w:rsidRPr="004F5FB4" w:rsidRDefault="008D74DD" w:rsidP="001439EF">
      <w:pPr>
        <w:pStyle w:val="BodyText"/>
        <w:keepNext/>
        <w:widowControl/>
        <w:kinsoku w:val="0"/>
        <w:overflowPunct w:val="0"/>
        <w:spacing w:before="8"/>
        <w:ind w:left="0"/>
        <w:rPr>
          <w:i/>
          <w:iCs/>
          <w:color w:val="000000"/>
          <w:szCs w:val="21"/>
        </w:rPr>
      </w:pPr>
    </w:p>
    <w:p w14:paraId="2DBEE26C" w14:textId="77777777" w:rsidR="008D74DD" w:rsidRPr="004F5FB4" w:rsidRDefault="006A1144" w:rsidP="001439EF">
      <w:pPr>
        <w:pStyle w:val="BodyText"/>
        <w:widowControl/>
        <w:kinsoku w:val="0"/>
        <w:overflowPunct w:val="0"/>
        <w:ind w:left="0"/>
        <w:rPr>
          <w:color w:val="000000"/>
        </w:rPr>
      </w:pPr>
      <w:r w:rsidRPr="004F5FB4">
        <w:rPr>
          <w:color w:val="000000"/>
        </w:rPr>
        <w:t xml:space="preserve">Amsparity </w:t>
      </w:r>
      <w:r w:rsidR="00934A72" w:rsidRPr="004F5FB4">
        <w:rPr>
          <w:color w:val="000000"/>
        </w:rPr>
        <w:t xml:space="preserve">wird angewendet </w:t>
      </w:r>
      <w:r w:rsidRPr="004F5FB4">
        <w:rPr>
          <w:color w:val="000000"/>
        </w:rPr>
        <w:t>zur Behandlung der aktiven Enthesitis-assoziierten Arthritis bei Patienten, die 6</w:t>
      </w:r>
      <w:r w:rsidR="00314AEA" w:rsidRPr="004F5FB4">
        <w:rPr>
          <w:color w:val="000000"/>
        </w:rPr>
        <w:t> </w:t>
      </w:r>
      <w:r w:rsidRPr="004F5FB4">
        <w:rPr>
          <w:color w:val="000000"/>
        </w:rPr>
        <w:t>Jahre und älter sind und die nur unzureichend auf eine konventionelle Therapie angesprochen haben oder die eine Unverträglichkeit gegenüber einer solchen Therapie haben (siehe Abschnitt</w:t>
      </w:r>
      <w:r w:rsidR="009319CB" w:rsidRPr="004F5FB4">
        <w:rPr>
          <w:color w:val="000000"/>
        </w:rPr>
        <w:t> </w:t>
      </w:r>
      <w:r w:rsidRPr="004F5FB4">
        <w:rPr>
          <w:color w:val="000000"/>
        </w:rPr>
        <w:t>5.1).</w:t>
      </w:r>
    </w:p>
    <w:p w14:paraId="0F010D0C" w14:textId="77777777" w:rsidR="008D74DD" w:rsidRPr="004F5FB4" w:rsidRDefault="008D74DD" w:rsidP="001439EF">
      <w:pPr>
        <w:pStyle w:val="BodyText"/>
        <w:widowControl/>
        <w:kinsoku w:val="0"/>
        <w:overflowPunct w:val="0"/>
        <w:ind w:left="0"/>
        <w:rPr>
          <w:color w:val="000000"/>
        </w:rPr>
      </w:pPr>
    </w:p>
    <w:p w14:paraId="365E4799" w14:textId="77777777" w:rsidR="008D74DD" w:rsidRPr="004F5FB4" w:rsidRDefault="008D74DD" w:rsidP="001439EF">
      <w:pPr>
        <w:pStyle w:val="BodyText"/>
        <w:keepNext/>
        <w:widowControl/>
        <w:kinsoku w:val="0"/>
        <w:overflowPunct w:val="0"/>
        <w:spacing w:before="8"/>
        <w:ind w:left="0"/>
        <w:rPr>
          <w:color w:val="000000"/>
        </w:rPr>
      </w:pPr>
      <w:r w:rsidRPr="004F5FB4">
        <w:rPr>
          <w:color w:val="000000"/>
          <w:u w:val="single"/>
        </w:rPr>
        <w:t>Plaque-Psoriasis bei Kindern und Jugendlichen</w:t>
      </w:r>
    </w:p>
    <w:p w14:paraId="59ED81F0" w14:textId="77777777" w:rsidR="008D74DD" w:rsidRPr="004F5FB4" w:rsidRDefault="008D74DD" w:rsidP="001439EF">
      <w:pPr>
        <w:pStyle w:val="BodyText"/>
        <w:keepNext/>
        <w:widowControl/>
        <w:kinsoku w:val="0"/>
        <w:overflowPunct w:val="0"/>
        <w:spacing w:before="8"/>
        <w:ind w:left="0"/>
        <w:rPr>
          <w:color w:val="000000"/>
          <w:szCs w:val="15"/>
        </w:rPr>
      </w:pPr>
    </w:p>
    <w:p w14:paraId="079EA75D" w14:textId="77777777" w:rsidR="008D74DD" w:rsidRPr="004F5FB4" w:rsidRDefault="006A1144" w:rsidP="00F22DAF">
      <w:pPr>
        <w:pStyle w:val="BodyText"/>
        <w:widowControl/>
        <w:kinsoku w:val="0"/>
        <w:overflowPunct w:val="0"/>
        <w:ind w:left="0"/>
        <w:rPr>
          <w:color w:val="000000"/>
        </w:rPr>
      </w:pPr>
      <w:r w:rsidRPr="004F5FB4">
        <w:rPr>
          <w:color w:val="000000"/>
        </w:rPr>
        <w:t xml:space="preserve">Amsparity </w:t>
      </w:r>
      <w:r w:rsidR="00934A72" w:rsidRPr="004F5FB4">
        <w:rPr>
          <w:color w:val="000000"/>
        </w:rPr>
        <w:t>wird angewendet</w:t>
      </w:r>
      <w:r w:rsidRPr="004F5FB4">
        <w:rPr>
          <w:color w:val="000000"/>
        </w:rPr>
        <w:t xml:space="preserve"> zur Behandlung der schweren chronischen Plaque-Psoriasis bei Kindern und Jugendlichen ab dem Alter von 4</w:t>
      </w:r>
      <w:r w:rsidR="009319CB" w:rsidRPr="004F5FB4">
        <w:rPr>
          <w:color w:val="000000"/>
        </w:rPr>
        <w:t> </w:t>
      </w:r>
      <w:r w:rsidRPr="004F5FB4">
        <w:rPr>
          <w:color w:val="000000"/>
        </w:rPr>
        <w:t>Jahren, die nur unzureichend auf eine topische Therapie und Phototherapien angesprochen haben oder für die diese Therapien nicht geeignet sind.</w:t>
      </w:r>
    </w:p>
    <w:p w14:paraId="6C873FB9" w14:textId="77777777" w:rsidR="003E1B8A" w:rsidRPr="004F5FB4" w:rsidRDefault="003E1B8A" w:rsidP="001439EF">
      <w:pPr>
        <w:pStyle w:val="BodyText"/>
        <w:widowControl/>
        <w:kinsoku w:val="0"/>
        <w:overflowPunct w:val="0"/>
        <w:ind w:left="0"/>
        <w:rPr>
          <w:color w:val="000000"/>
        </w:rPr>
      </w:pPr>
    </w:p>
    <w:p w14:paraId="1BA48B1A" w14:textId="77777777" w:rsidR="008D74DD" w:rsidRPr="004F5FB4" w:rsidRDefault="008D74DD" w:rsidP="00771BD7">
      <w:pPr>
        <w:pStyle w:val="BodyText"/>
        <w:keepNext/>
        <w:widowControl/>
        <w:kinsoku w:val="0"/>
        <w:overflowPunct w:val="0"/>
        <w:ind w:left="0"/>
        <w:rPr>
          <w:color w:val="000000"/>
        </w:rPr>
      </w:pPr>
      <w:r w:rsidRPr="004F5FB4">
        <w:rPr>
          <w:color w:val="000000"/>
          <w:u w:val="single"/>
        </w:rPr>
        <w:lastRenderedPageBreak/>
        <w:t>Morbus Crohn bei Kindern und Jugendlichen</w:t>
      </w:r>
    </w:p>
    <w:p w14:paraId="127937B2" w14:textId="77777777" w:rsidR="008D74DD" w:rsidRPr="004F5FB4" w:rsidRDefault="008D74DD" w:rsidP="00687087">
      <w:pPr>
        <w:pStyle w:val="BodyText"/>
        <w:keepNext/>
        <w:widowControl/>
        <w:kinsoku w:val="0"/>
        <w:overflowPunct w:val="0"/>
        <w:ind w:left="0"/>
        <w:rPr>
          <w:color w:val="000000"/>
        </w:rPr>
      </w:pPr>
    </w:p>
    <w:p w14:paraId="4F5A5392" w14:textId="77777777" w:rsidR="008D74DD" w:rsidRPr="004F5FB4" w:rsidRDefault="006A1144" w:rsidP="00687087">
      <w:pPr>
        <w:pStyle w:val="BodyText"/>
        <w:widowControl/>
        <w:kinsoku w:val="0"/>
        <w:overflowPunct w:val="0"/>
        <w:ind w:left="0"/>
        <w:rPr>
          <w:color w:val="000000"/>
        </w:rPr>
      </w:pPr>
      <w:r w:rsidRPr="004F5FB4">
        <w:rPr>
          <w:color w:val="000000"/>
        </w:rPr>
        <w:t xml:space="preserve">Amsparity </w:t>
      </w:r>
      <w:r w:rsidR="00934A72" w:rsidRPr="004F5FB4">
        <w:rPr>
          <w:color w:val="000000"/>
        </w:rPr>
        <w:t>wird angewendet</w:t>
      </w:r>
      <w:r w:rsidRPr="004F5FB4">
        <w:rPr>
          <w:color w:val="000000"/>
        </w:rPr>
        <w:t xml:space="preserve"> zur Behandlung des mittelschweren bis schweren, aktiven Morbus Crohn bei Kindern und Jugendlichen (ab dem Alter von 6</w:t>
      </w:r>
      <w:r w:rsidR="009319CB" w:rsidRPr="004F5FB4">
        <w:rPr>
          <w:color w:val="000000"/>
        </w:rPr>
        <w:t> </w:t>
      </w:r>
      <w:r w:rsidRPr="004F5FB4">
        <w:rPr>
          <w:color w:val="000000"/>
        </w:rPr>
        <w:t xml:space="preserve">Jahren), die nur unzureichend auf eine konventionelle Therapie, einschließlich primärer Ernährungstherapie und eines </w:t>
      </w:r>
      <w:r w:rsidR="00080E9F" w:rsidRPr="004F5FB4">
        <w:rPr>
          <w:color w:val="000000"/>
        </w:rPr>
        <w:t>Glukok</w:t>
      </w:r>
      <w:r w:rsidRPr="004F5FB4">
        <w:rPr>
          <w:color w:val="000000"/>
        </w:rPr>
        <w:t>ortikoids und/</w:t>
      </w:r>
      <w:r w:rsidR="005E3437" w:rsidRPr="004F5FB4">
        <w:rPr>
          <w:color w:val="000000"/>
        </w:rPr>
        <w:t xml:space="preserve"> </w:t>
      </w:r>
      <w:r w:rsidRPr="004F5FB4">
        <w:rPr>
          <w:color w:val="000000"/>
        </w:rPr>
        <w:t>oder eines Immun</w:t>
      </w:r>
      <w:r w:rsidR="005E3437" w:rsidRPr="004F5FB4">
        <w:rPr>
          <w:color w:val="000000"/>
        </w:rPr>
        <w:t>suppressivum</w:t>
      </w:r>
      <w:r w:rsidRPr="004F5FB4">
        <w:rPr>
          <w:color w:val="000000"/>
        </w:rPr>
        <w:t>, angesprochen haben oder die eine Unverträglichkeit gegenüber einer solchen Therapie haben oder bei denen eine solche Therapie kontraindiziert ist.</w:t>
      </w:r>
    </w:p>
    <w:p w14:paraId="5744F2D0" w14:textId="77777777" w:rsidR="008D74DD" w:rsidRPr="004F5FB4" w:rsidRDefault="008D74DD" w:rsidP="001439EF">
      <w:pPr>
        <w:pStyle w:val="BodyText"/>
        <w:widowControl/>
        <w:kinsoku w:val="0"/>
        <w:overflowPunct w:val="0"/>
        <w:ind w:left="0"/>
        <w:rPr>
          <w:color w:val="000000"/>
        </w:rPr>
      </w:pPr>
    </w:p>
    <w:p w14:paraId="0B23E930" w14:textId="77777777" w:rsidR="008D74DD" w:rsidRPr="004F5FB4" w:rsidRDefault="008D74DD" w:rsidP="0075475A">
      <w:pPr>
        <w:pStyle w:val="BodyText"/>
        <w:keepNext/>
        <w:widowControl/>
        <w:kinsoku w:val="0"/>
        <w:overflowPunct w:val="0"/>
        <w:ind w:left="0"/>
        <w:rPr>
          <w:color w:val="000000"/>
        </w:rPr>
      </w:pPr>
      <w:r w:rsidRPr="004F5FB4">
        <w:rPr>
          <w:color w:val="000000"/>
          <w:u w:val="single"/>
        </w:rPr>
        <w:t>Uveitis bei Kindern und Jugendlichen</w:t>
      </w:r>
    </w:p>
    <w:p w14:paraId="7BB57ED2" w14:textId="77777777" w:rsidR="008D74DD" w:rsidRPr="004F5FB4" w:rsidRDefault="008D74DD" w:rsidP="0075475A">
      <w:pPr>
        <w:pStyle w:val="BodyText"/>
        <w:keepNext/>
        <w:widowControl/>
        <w:kinsoku w:val="0"/>
        <w:overflowPunct w:val="0"/>
        <w:ind w:left="0"/>
        <w:rPr>
          <w:color w:val="000000"/>
        </w:rPr>
      </w:pPr>
    </w:p>
    <w:p w14:paraId="7CCF3AD1" w14:textId="77777777" w:rsidR="008D74DD" w:rsidRPr="004F5FB4" w:rsidRDefault="006A1144" w:rsidP="001439EF">
      <w:pPr>
        <w:pStyle w:val="BodyText"/>
        <w:widowControl/>
        <w:kinsoku w:val="0"/>
        <w:overflowPunct w:val="0"/>
        <w:ind w:left="0"/>
        <w:rPr>
          <w:color w:val="000000"/>
        </w:rPr>
      </w:pPr>
      <w:r w:rsidRPr="004F5FB4">
        <w:rPr>
          <w:color w:val="000000"/>
        </w:rPr>
        <w:t xml:space="preserve">Amsparity </w:t>
      </w:r>
      <w:r w:rsidR="00934A72" w:rsidRPr="004F5FB4">
        <w:rPr>
          <w:color w:val="000000"/>
        </w:rPr>
        <w:t>wird angewendet</w:t>
      </w:r>
      <w:r w:rsidRPr="004F5FB4">
        <w:rPr>
          <w:color w:val="000000"/>
        </w:rPr>
        <w:t xml:space="preserve"> zur Behandlung der chronischen nicht infektiösen Uveitis anterior bei Kindern und Jugendlichen ab dem Alter von 2</w:t>
      </w:r>
      <w:r w:rsidR="0029754E" w:rsidRPr="004F5FB4">
        <w:rPr>
          <w:color w:val="000000"/>
        </w:rPr>
        <w:t> </w:t>
      </w:r>
      <w:r w:rsidRPr="004F5FB4">
        <w:rPr>
          <w:color w:val="000000"/>
        </w:rPr>
        <w:t>Jahren, die unzureichend auf eine konventionelle Therapie angesprochen haben oder die eine Unverträglichkeit gegenüber einer solchen Therapie haben oder für die eine konventionelle Therapie nicht geeignet ist.</w:t>
      </w:r>
    </w:p>
    <w:p w14:paraId="35105FEF" w14:textId="77777777" w:rsidR="008D74DD" w:rsidRPr="004F5FB4" w:rsidRDefault="008D74DD" w:rsidP="001439EF">
      <w:pPr>
        <w:rPr>
          <w:color w:val="000000"/>
        </w:rPr>
      </w:pPr>
    </w:p>
    <w:p w14:paraId="503D1EFA" w14:textId="77777777" w:rsidR="008D74DD" w:rsidRPr="004F5FB4" w:rsidRDefault="008D74DD" w:rsidP="00CA7719">
      <w:pPr>
        <w:pStyle w:val="BodyText"/>
        <w:keepNext/>
        <w:widowControl/>
        <w:numPr>
          <w:ilvl w:val="1"/>
          <w:numId w:val="21"/>
        </w:numPr>
        <w:kinsoku w:val="0"/>
        <w:overflowPunct w:val="0"/>
        <w:spacing w:before="8"/>
        <w:ind w:left="0" w:firstLine="0"/>
        <w:rPr>
          <w:b/>
          <w:bCs/>
          <w:color w:val="000000"/>
        </w:rPr>
      </w:pPr>
      <w:r w:rsidRPr="00CA7719">
        <w:rPr>
          <w:b/>
          <w:bCs/>
          <w:color w:val="000000"/>
        </w:rPr>
        <w:t>Dosierung und Art der Anwendung</w:t>
      </w:r>
    </w:p>
    <w:p w14:paraId="53DA3DC7" w14:textId="77777777" w:rsidR="008D74DD" w:rsidRPr="004F5FB4" w:rsidRDefault="008D74DD" w:rsidP="0075475A">
      <w:pPr>
        <w:pStyle w:val="BodyText"/>
        <w:keepNext/>
        <w:widowControl/>
        <w:kinsoku w:val="0"/>
        <w:overflowPunct w:val="0"/>
        <w:ind w:left="0"/>
        <w:rPr>
          <w:bCs/>
          <w:color w:val="000000"/>
          <w:lang w:val="en-GB"/>
        </w:rPr>
      </w:pPr>
    </w:p>
    <w:p w14:paraId="7680D6C7" w14:textId="77777777" w:rsidR="008D74DD" w:rsidRPr="004F5FB4" w:rsidRDefault="006A1144" w:rsidP="001439EF">
      <w:pPr>
        <w:pStyle w:val="BodyText"/>
        <w:widowControl/>
        <w:kinsoku w:val="0"/>
        <w:overflowPunct w:val="0"/>
        <w:ind w:left="0"/>
        <w:rPr>
          <w:color w:val="000000"/>
        </w:rPr>
      </w:pPr>
      <w:r w:rsidRPr="004F5FB4">
        <w:rPr>
          <w:color w:val="000000"/>
        </w:rPr>
        <w:t>Die Behandlung mit Amsparity sollte von einem Facharzt mit Erfahrung in der Diagnose und Behandlung von Krankheitszuständen, für die Amsparity indiziert ist, eingeleitet und überwacht werden. Augenärzten wird angeraten, vor der Einleitung einer Amsparity-Therapie einen entsprechenden Spezialisten zurate zu ziehen (siehe Abschnitt</w:t>
      </w:r>
      <w:r w:rsidR="0029754E" w:rsidRPr="004F5FB4">
        <w:rPr>
          <w:color w:val="000000"/>
        </w:rPr>
        <w:t> </w:t>
      </w:r>
      <w:r w:rsidRPr="004F5FB4">
        <w:rPr>
          <w:color w:val="000000"/>
        </w:rPr>
        <w:t>4.4). Patienten, die mit Amsparity behandelt werden, sollte der spezielle Patientenpass ausgehändigt werden.</w:t>
      </w:r>
    </w:p>
    <w:p w14:paraId="47BC882E" w14:textId="77777777" w:rsidR="00850B4B" w:rsidRPr="004F5FB4" w:rsidRDefault="00850B4B" w:rsidP="001439EF">
      <w:pPr>
        <w:pStyle w:val="BodyText"/>
        <w:widowControl/>
        <w:kinsoku w:val="0"/>
        <w:overflowPunct w:val="0"/>
        <w:ind w:left="0"/>
        <w:rPr>
          <w:color w:val="000000"/>
        </w:rPr>
      </w:pPr>
    </w:p>
    <w:p w14:paraId="26C1182A" w14:textId="77777777" w:rsidR="008D74DD" w:rsidRPr="004F5FB4" w:rsidRDefault="0029754E" w:rsidP="001439EF">
      <w:pPr>
        <w:pStyle w:val="BodyText"/>
        <w:widowControl/>
        <w:kinsoku w:val="0"/>
        <w:overflowPunct w:val="0"/>
        <w:ind w:left="0"/>
        <w:rPr>
          <w:color w:val="000000"/>
        </w:rPr>
      </w:pPr>
      <w:r w:rsidRPr="004F5FB4">
        <w:rPr>
          <w:color w:val="000000"/>
        </w:rPr>
        <w:t>Nach einer entsprechenden Einweisung in die Injektionstechnik können Patienten Amsparity selbst injizieren,</w:t>
      </w:r>
      <w:r w:rsidR="00F25353" w:rsidRPr="004F5FB4">
        <w:rPr>
          <w:color w:val="000000"/>
        </w:rPr>
        <w:t xml:space="preserve"> falls ihr Arzt dies für angemessen hält und medizinische Nachuntersuchungen nach Bedarf erfolgen.</w:t>
      </w:r>
    </w:p>
    <w:p w14:paraId="58C8D9B9" w14:textId="77777777" w:rsidR="008D74DD" w:rsidRPr="004F5FB4" w:rsidRDefault="008D74DD" w:rsidP="001439EF">
      <w:pPr>
        <w:pStyle w:val="BodyText"/>
        <w:widowControl/>
        <w:kinsoku w:val="0"/>
        <w:overflowPunct w:val="0"/>
        <w:ind w:left="0"/>
        <w:rPr>
          <w:color w:val="000000"/>
          <w:szCs w:val="21"/>
        </w:rPr>
      </w:pPr>
    </w:p>
    <w:p w14:paraId="2C557F93" w14:textId="77777777" w:rsidR="008D74DD" w:rsidRPr="004F5FB4" w:rsidRDefault="008D74DD" w:rsidP="001439EF">
      <w:pPr>
        <w:pStyle w:val="BodyText"/>
        <w:widowControl/>
        <w:kinsoku w:val="0"/>
        <w:overflowPunct w:val="0"/>
        <w:ind w:left="0"/>
        <w:rPr>
          <w:color w:val="000000"/>
        </w:rPr>
      </w:pPr>
      <w:r w:rsidRPr="004F5FB4">
        <w:rPr>
          <w:color w:val="000000"/>
        </w:rPr>
        <w:t>Während der Behandlung mit Amsparity sollten andere Begleittherapien (z. B. Kortikosteroide und/</w:t>
      </w:r>
      <w:r w:rsidR="00695463" w:rsidRPr="004F5FB4">
        <w:rPr>
          <w:color w:val="000000"/>
        </w:rPr>
        <w:t xml:space="preserve"> </w:t>
      </w:r>
      <w:r w:rsidRPr="004F5FB4">
        <w:rPr>
          <w:color w:val="000000"/>
        </w:rPr>
        <w:t>oder Immunsuppressiva) optimiert werden.</w:t>
      </w:r>
    </w:p>
    <w:p w14:paraId="670BFD6C" w14:textId="77777777" w:rsidR="008D74DD" w:rsidRPr="004F5FB4" w:rsidRDefault="008D74DD" w:rsidP="001439EF">
      <w:pPr>
        <w:pStyle w:val="BodyText"/>
        <w:widowControl/>
        <w:kinsoku w:val="0"/>
        <w:overflowPunct w:val="0"/>
        <w:ind w:left="0"/>
        <w:rPr>
          <w:color w:val="000000"/>
        </w:rPr>
      </w:pPr>
    </w:p>
    <w:p w14:paraId="5205FBF7" w14:textId="77777777" w:rsidR="008D74DD" w:rsidRPr="004F5FB4" w:rsidRDefault="008D74DD" w:rsidP="001439EF">
      <w:pPr>
        <w:pStyle w:val="BodyText"/>
        <w:widowControl/>
        <w:kinsoku w:val="0"/>
        <w:overflowPunct w:val="0"/>
        <w:ind w:left="0"/>
        <w:rPr>
          <w:color w:val="000000"/>
        </w:rPr>
      </w:pPr>
      <w:r w:rsidRPr="004F5FB4">
        <w:rPr>
          <w:color w:val="000000"/>
          <w:u w:val="single"/>
        </w:rPr>
        <w:t>Dosierung</w:t>
      </w:r>
    </w:p>
    <w:p w14:paraId="4AA00381" w14:textId="77777777" w:rsidR="008D74DD" w:rsidRPr="004F5FB4" w:rsidRDefault="008D74DD" w:rsidP="001439EF">
      <w:pPr>
        <w:pStyle w:val="BodyText"/>
        <w:widowControl/>
        <w:kinsoku w:val="0"/>
        <w:overflowPunct w:val="0"/>
        <w:ind w:left="0"/>
        <w:rPr>
          <w:color w:val="000000"/>
          <w:szCs w:val="15"/>
        </w:rPr>
      </w:pPr>
    </w:p>
    <w:p w14:paraId="77B33E5B" w14:textId="77777777" w:rsidR="008D74DD" w:rsidRPr="004F5FB4" w:rsidRDefault="008D74DD" w:rsidP="001439EF">
      <w:pPr>
        <w:pStyle w:val="BodyText"/>
        <w:widowControl/>
        <w:kinsoku w:val="0"/>
        <w:overflowPunct w:val="0"/>
        <w:ind w:left="0"/>
        <w:rPr>
          <w:color w:val="000000"/>
        </w:rPr>
      </w:pPr>
      <w:r w:rsidRPr="004F5FB4">
        <w:rPr>
          <w:color w:val="000000"/>
          <w:u w:val="single"/>
        </w:rPr>
        <w:t>Kinder und Jugendliche</w:t>
      </w:r>
    </w:p>
    <w:p w14:paraId="326C28BD" w14:textId="77777777" w:rsidR="008D74DD" w:rsidRPr="004F5FB4" w:rsidRDefault="008D74DD" w:rsidP="001439EF">
      <w:pPr>
        <w:pStyle w:val="BodyText"/>
        <w:widowControl/>
        <w:kinsoku w:val="0"/>
        <w:overflowPunct w:val="0"/>
        <w:ind w:left="0"/>
        <w:rPr>
          <w:color w:val="000000"/>
          <w:szCs w:val="15"/>
        </w:rPr>
      </w:pPr>
    </w:p>
    <w:p w14:paraId="7A63A1EA" w14:textId="77777777" w:rsidR="008D74DD" w:rsidRPr="004F5FB4" w:rsidRDefault="008D74DD" w:rsidP="001439EF">
      <w:pPr>
        <w:pStyle w:val="BodyText"/>
        <w:widowControl/>
        <w:kinsoku w:val="0"/>
        <w:overflowPunct w:val="0"/>
        <w:ind w:left="0"/>
        <w:rPr>
          <w:color w:val="000000"/>
        </w:rPr>
      </w:pPr>
      <w:r w:rsidRPr="004F5FB4">
        <w:rPr>
          <w:i/>
          <w:iCs/>
          <w:color w:val="000000"/>
        </w:rPr>
        <w:t>Juvenile idiopathische Arthritis</w:t>
      </w:r>
    </w:p>
    <w:p w14:paraId="5B47843E" w14:textId="77777777" w:rsidR="008D74DD" w:rsidRPr="004F5FB4" w:rsidRDefault="008D74DD" w:rsidP="001439EF">
      <w:pPr>
        <w:pStyle w:val="BodyText"/>
        <w:widowControl/>
        <w:kinsoku w:val="0"/>
        <w:overflowPunct w:val="0"/>
        <w:ind w:left="0"/>
        <w:rPr>
          <w:i/>
          <w:iCs/>
          <w:color w:val="000000"/>
        </w:rPr>
      </w:pPr>
    </w:p>
    <w:p w14:paraId="61A930A3" w14:textId="77777777" w:rsidR="008D74DD" w:rsidRPr="004F5FB4" w:rsidRDefault="008D74DD" w:rsidP="001439EF">
      <w:pPr>
        <w:pStyle w:val="BodyText"/>
        <w:widowControl/>
        <w:kinsoku w:val="0"/>
        <w:overflowPunct w:val="0"/>
        <w:ind w:left="0"/>
        <w:rPr>
          <w:color w:val="000000"/>
        </w:rPr>
      </w:pPr>
      <w:r w:rsidRPr="004F5FB4">
        <w:rPr>
          <w:i/>
          <w:iCs/>
          <w:color w:val="000000"/>
          <w:u w:val="single"/>
        </w:rPr>
        <w:t>Polyartikuläre juvenile idiopathische Arthritis ab einem Alter von 2</w:t>
      </w:r>
      <w:r w:rsidR="0029754E" w:rsidRPr="004F5FB4">
        <w:rPr>
          <w:i/>
          <w:iCs/>
          <w:color w:val="000000"/>
          <w:u w:val="single"/>
        </w:rPr>
        <w:t> </w:t>
      </w:r>
      <w:r w:rsidRPr="004F5FB4">
        <w:rPr>
          <w:i/>
          <w:iCs/>
          <w:color w:val="000000"/>
          <w:u w:val="single"/>
        </w:rPr>
        <w:t>Jahren</w:t>
      </w:r>
    </w:p>
    <w:p w14:paraId="32BBCF8E" w14:textId="77777777" w:rsidR="008D74DD" w:rsidRPr="004F5FB4" w:rsidRDefault="008D74DD" w:rsidP="001439EF">
      <w:pPr>
        <w:pStyle w:val="BodyText"/>
        <w:widowControl/>
        <w:kinsoku w:val="0"/>
        <w:overflowPunct w:val="0"/>
        <w:ind w:left="0"/>
        <w:rPr>
          <w:i/>
          <w:iCs/>
          <w:color w:val="000000"/>
          <w:szCs w:val="15"/>
        </w:rPr>
      </w:pPr>
    </w:p>
    <w:p w14:paraId="6A165B77" w14:textId="77777777" w:rsidR="00337D78" w:rsidRPr="004F5FB4" w:rsidRDefault="008D74DD" w:rsidP="001439EF">
      <w:pPr>
        <w:pStyle w:val="BodyText"/>
        <w:widowControl/>
        <w:kinsoku w:val="0"/>
        <w:overflowPunct w:val="0"/>
        <w:ind w:left="0"/>
        <w:rPr>
          <w:color w:val="000000"/>
        </w:rPr>
      </w:pPr>
      <w:r w:rsidRPr="004F5FB4">
        <w:rPr>
          <w:color w:val="000000"/>
        </w:rPr>
        <w:t>Die empfohlene Dosis von Amsparity wird für Patienten mit polyartikulärer juveniler idiopathischer Arthritis ab einem Alter von 2 Jahren anhand des Körpergewichtes bestimmt (Tabelle</w:t>
      </w:r>
      <w:r w:rsidR="00B639C0" w:rsidRPr="004F5FB4">
        <w:rPr>
          <w:color w:val="000000"/>
        </w:rPr>
        <w:t> </w:t>
      </w:r>
      <w:r w:rsidRPr="004F5FB4">
        <w:rPr>
          <w:color w:val="000000"/>
        </w:rPr>
        <w:t>1). Amsparity wird jede zweite Woche subkutan injiziert.</w:t>
      </w:r>
    </w:p>
    <w:p w14:paraId="76BFDF1C" w14:textId="77777777" w:rsidR="00337D78" w:rsidRPr="004F5FB4" w:rsidRDefault="00337D78" w:rsidP="001439EF">
      <w:pPr>
        <w:pStyle w:val="BodyText"/>
        <w:widowControl/>
        <w:kinsoku w:val="0"/>
        <w:overflowPunct w:val="0"/>
        <w:ind w:left="0"/>
        <w:rPr>
          <w:color w:val="000000"/>
        </w:rPr>
      </w:pPr>
    </w:p>
    <w:p w14:paraId="39DF312E" w14:textId="77777777" w:rsidR="007E0DEB" w:rsidRPr="004F5FB4" w:rsidRDefault="00095A76" w:rsidP="00687087">
      <w:pPr>
        <w:pStyle w:val="BodyText"/>
        <w:widowControl/>
        <w:kinsoku w:val="0"/>
        <w:overflowPunct w:val="0"/>
        <w:ind w:left="0"/>
        <w:rPr>
          <w:b/>
          <w:bCs/>
          <w:color w:val="000000"/>
        </w:rPr>
      </w:pPr>
      <w:r w:rsidRPr="004F5FB4">
        <w:rPr>
          <w:b/>
          <w:bCs/>
          <w:color w:val="000000"/>
        </w:rPr>
        <w:t>Tabelle 1</w:t>
      </w:r>
    </w:p>
    <w:p w14:paraId="426E7CDD" w14:textId="77777777" w:rsidR="00095A76" w:rsidRPr="004F5FB4" w:rsidRDefault="006A1144" w:rsidP="00687087">
      <w:pPr>
        <w:pStyle w:val="BodyText"/>
        <w:widowControl/>
        <w:kinsoku w:val="0"/>
        <w:overflowPunct w:val="0"/>
        <w:ind w:left="0"/>
        <w:rPr>
          <w:b/>
          <w:bCs/>
          <w:color w:val="000000"/>
        </w:rPr>
      </w:pPr>
      <w:r w:rsidRPr="004F5FB4">
        <w:rPr>
          <w:b/>
          <w:color w:val="000000"/>
        </w:rPr>
        <w:t>Amsparity-Dosis für Patienten mit polyartikulärer juveniler idiopathischer Arthritis</w:t>
      </w:r>
    </w:p>
    <w:p w14:paraId="23B90B3F" w14:textId="77777777" w:rsidR="00095A76" w:rsidRPr="004F5FB4" w:rsidRDefault="00095A76" w:rsidP="001439EF">
      <w:pPr>
        <w:pStyle w:val="BodyText"/>
        <w:widowControl/>
        <w:kinsoku w:val="0"/>
        <w:overflowPunct w:val="0"/>
        <w:ind w:left="0"/>
        <w:rPr>
          <w:color w:val="000000"/>
        </w:rPr>
      </w:pP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479"/>
        <w:gridCol w:w="4596"/>
      </w:tblGrid>
      <w:tr w:rsidR="00095A76" w:rsidRPr="004F5FB4" w14:paraId="33B5137D" w14:textId="77777777" w:rsidTr="00054A92">
        <w:trPr>
          <w:jc w:val="center"/>
        </w:trPr>
        <w:tc>
          <w:tcPr>
            <w:tcW w:w="5009" w:type="dxa"/>
            <w:tcBorders>
              <w:right w:val="nil"/>
            </w:tcBorders>
            <w:shd w:val="clear" w:color="auto" w:fill="auto"/>
          </w:tcPr>
          <w:p w14:paraId="0CF12504" w14:textId="77777777" w:rsidR="00095A76" w:rsidRPr="004F5FB4" w:rsidRDefault="00095A76" w:rsidP="001439EF">
            <w:pPr>
              <w:jc w:val="center"/>
              <w:rPr>
                <w:b/>
                <w:color w:val="000000"/>
              </w:rPr>
            </w:pPr>
            <w:r w:rsidRPr="004F5FB4">
              <w:rPr>
                <w:b/>
                <w:color w:val="000000"/>
              </w:rPr>
              <w:t>Gewicht des Patienten</w:t>
            </w:r>
          </w:p>
        </w:tc>
        <w:tc>
          <w:tcPr>
            <w:tcW w:w="5009" w:type="dxa"/>
            <w:tcBorders>
              <w:left w:val="nil"/>
            </w:tcBorders>
            <w:shd w:val="clear" w:color="auto" w:fill="auto"/>
          </w:tcPr>
          <w:p w14:paraId="1A25B59D" w14:textId="77777777" w:rsidR="00095A76" w:rsidRPr="004F5FB4" w:rsidRDefault="00095A76" w:rsidP="001439EF">
            <w:pPr>
              <w:jc w:val="center"/>
              <w:rPr>
                <w:b/>
                <w:color w:val="000000"/>
              </w:rPr>
            </w:pPr>
            <w:r w:rsidRPr="004F5FB4">
              <w:rPr>
                <w:b/>
                <w:color w:val="000000"/>
              </w:rPr>
              <w:t>Dosierungsschema</w:t>
            </w:r>
          </w:p>
        </w:tc>
      </w:tr>
      <w:tr w:rsidR="00095A76" w:rsidRPr="004F5FB4" w14:paraId="4D91BE0B" w14:textId="77777777" w:rsidTr="00054A92">
        <w:trPr>
          <w:jc w:val="center"/>
        </w:trPr>
        <w:tc>
          <w:tcPr>
            <w:tcW w:w="5009" w:type="dxa"/>
            <w:tcBorders>
              <w:right w:val="nil"/>
            </w:tcBorders>
            <w:shd w:val="clear" w:color="auto" w:fill="auto"/>
          </w:tcPr>
          <w:p w14:paraId="44B978E1" w14:textId="77777777" w:rsidR="00095A76" w:rsidRPr="004F5FB4" w:rsidRDefault="00095A76" w:rsidP="001439EF">
            <w:pPr>
              <w:jc w:val="center"/>
              <w:rPr>
                <w:color w:val="000000"/>
              </w:rPr>
            </w:pPr>
            <w:r w:rsidRPr="004F5FB4">
              <w:rPr>
                <w:color w:val="000000"/>
              </w:rPr>
              <w:t>10 kg bis &lt; 30 kg</w:t>
            </w:r>
          </w:p>
        </w:tc>
        <w:tc>
          <w:tcPr>
            <w:tcW w:w="5009" w:type="dxa"/>
            <w:tcBorders>
              <w:left w:val="nil"/>
            </w:tcBorders>
            <w:shd w:val="clear" w:color="auto" w:fill="auto"/>
          </w:tcPr>
          <w:p w14:paraId="1A5F1ABE" w14:textId="77777777" w:rsidR="00095A76" w:rsidRPr="004F5FB4" w:rsidRDefault="00095A76" w:rsidP="001439EF">
            <w:pPr>
              <w:jc w:val="center"/>
              <w:rPr>
                <w:color w:val="000000"/>
              </w:rPr>
            </w:pPr>
            <w:r w:rsidRPr="004F5FB4">
              <w:rPr>
                <w:color w:val="000000"/>
              </w:rPr>
              <w:t>20 mg jede zweite Woche</w:t>
            </w:r>
          </w:p>
        </w:tc>
      </w:tr>
      <w:tr w:rsidR="00095A76" w:rsidRPr="004F5FB4" w14:paraId="2DD9399E" w14:textId="77777777" w:rsidTr="00054A92">
        <w:trPr>
          <w:jc w:val="center"/>
        </w:trPr>
        <w:tc>
          <w:tcPr>
            <w:tcW w:w="5009" w:type="dxa"/>
            <w:tcBorders>
              <w:right w:val="nil"/>
            </w:tcBorders>
            <w:shd w:val="clear" w:color="auto" w:fill="auto"/>
          </w:tcPr>
          <w:p w14:paraId="6B348FB9" w14:textId="77777777" w:rsidR="00095A76" w:rsidRPr="004F5FB4" w:rsidRDefault="00095A76" w:rsidP="001439EF">
            <w:pPr>
              <w:jc w:val="center"/>
              <w:rPr>
                <w:color w:val="000000"/>
              </w:rPr>
            </w:pPr>
            <w:r w:rsidRPr="004F5FB4">
              <w:rPr>
                <w:color w:val="000000"/>
              </w:rPr>
              <w:t>≥ 30 kg</w:t>
            </w:r>
          </w:p>
        </w:tc>
        <w:tc>
          <w:tcPr>
            <w:tcW w:w="5009" w:type="dxa"/>
            <w:tcBorders>
              <w:left w:val="nil"/>
            </w:tcBorders>
            <w:shd w:val="clear" w:color="auto" w:fill="auto"/>
          </w:tcPr>
          <w:p w14:paraId="5A7AA357" w14:textId="77777777" w:rsidR="00095A76" w:rsidRPr="004F5FB4" w:rsidRDefault="00095A76" w:rsidP="001439EF">
            <w:pPr>
              <w:jc w:val="center"/>
              <w:rPr>
                <w:color w:val="000000"/>
              </w:rPr>
            </w:pPr>
            <w:r w:rsidRPr="004F5FB4">
              <w:rPr>
                <w:color w:val="000000"/>
              </w:rPr>
              <w:t>40 mg jede zweite Woche</w:t>
            </w:r>
          </w:p>
        </w:tc>
      </w:tr>
    </w:tbl>
    <w:p w14:paraId="0184234A" w14:textId="77777777" w:rsidR="00095A76" w:rsidRPr="004F5FB4" w:rsidRDefault="00095A76" w:rsidP="001439EF">
      <w:pPr>
        <w:pStyle w:val="BodyText"/>
        <w:widowControl/>
        <w:kinsoku w:val="0"/>
        <w:overflowPunct w:val="0"/>
        <w:ind w:left="0"/>
        <w:rPr>
          <w:color w:val="000000"/>
          <w:lang w:val="en-GB"/>
        </w:rPr>
      </w:pPr>
    </w:p>
    <w:p w14:paraId="454A8CE6" w14:textId="77777777" w:rsidR="008D74DD" w:rsidRPr="004F5FB4" w:rsidRDefault="008D74DD" w:rsidP="001439EF">
      <w:pPr>
        <w:pStyle w:val="BodyText"/>
        <w:widowControl/>
        <w:kinsoku w:val="0"/>
        <w:overflowPunct w:val="0"/>
        <w:ind w:left="0"/>
        <w:rPr>
          <w:color w:val="000000"/>
        </w:rPr>
      </w:pPr>
      <w:r w:rsidRPr="004F5FB4">
        <w:rPr>
          <w:color w:val="000000"/>
        </w:rPr>
        <w:t>Die verfügbaren Daten weisen darauf hin, dass ein klinisches Ansprechen üblicherweise innerhalb von 12</w:t>
      </w:r>
      <w:r w:rsidR="005329F2" w:rsidRPr="004F5FB4">
        <w:rPr>
          <w:color w:val="000000"/>
        </w:rPr>
        <w:t> </w:t>
      </w:r>
      <w:r w:rsidRPr="004F5FB4">
        <w:rPr>
          <w:color w:val="000000"/>
        </w:rPr>
        <w:t>Behandlungswochen erreicht wird. Die Fortsetzung der Therapie sollte bei einem Patienten, der innerhalb dieser Zeitspanne nicht anspricht, nochmals sorgfältig überdacht werden.</w:t>
      </w:r>
    </w:p>
    <w:p w14:paraId="580C242D" w14:textId="77777777" w:rsidR="008D74DD" w:rsidRPr="004F5FB4" w:rsidRDefault="008D74DD" w:rsidP="001439EF">
      <w:pPr>
        <w:pStyle w:val="BodyText"/>
        <w:widowControl/>
        <w:kinsoku w:val="0"/>
        <w:overflowPunct w:val="0"/>
        <w:ind w:left="0"/>
        <w:rPr>
          <w:color w:val="000000"/>
          <w:szCs w:val="21"/>
        </w:rPr>
      </w:pPr>
    </w:p>
    <w:p w14:paraId="64D4C8BC" w14:textId="77777777" w:rsidR="008D74DD" w:rsidRPr="004F5FB4" w:rsidRDefault="00934A72" w:rsidP="0075475A">
      <w:pPr>
        <w:pStyle w:val="BodyText"/>
        <w:widowControl/>
        <w:kinsoku w:val="0"/>
        <w:overflowPunct w:val="0"/>
        <w:ind w:left="0"/>
        <w:rPr>
          <w:color w:val="000000"/>
        </w:rPr>
      </w:pPr>
      <w:r w:rsidRPr="004F5FB4">
        <w:rPr>
          <w:color w:val="000000"/>
        </w:rPr>
        <w:t>Es gibt in dieser Indikation keinen relevanten Nutzen von Adalimumab</w:t>
      </w:r>
      <w:r w:rsidR="006A4773">
        <w:rPr>
          <w:color w:val="000000"/>
        </w:rPr>
        <w:t xml:space="preserve"> </w:t>
      </w:r>
      <w:r w:rsidR="008D74DD" w:rsidRPr="004F5FB4">
        <w:rPr>
          <w:color w:val="000000"/>
        </w:rPr>
        <w:t xml:space="preserve">bei </w:t>
      </w:r>
      <w:r w:rsidRPr="004F5FB4">
        <w:rPr>
          <w:color w:val="000000"/>
        </w:rPr>
        <w:t>Kindern</w:t>
      </w:r>
      <w:r w:rsidR="008D74DD" w:rsidRPr="004F5FB4">
        <w:rPr>
          <w:color w:val="000000"/>
        </w:rPr>
        <w:t>, die jünger als 2 Jahre sind.</w:t>
      </w:r>
    </w:p>
    <w:p w14:paraId="5225ADD6" w14:textId="77777777" w:rsidR="003D30E4" w:rsidRPr="004F5FB4" w:rsidRDefault="003D30E4" w:rsidP="0075475A">
      <w:pPr>
        <w:pStyle w:val="BodyText"/>
        <w:widowControl/>
        <w:kinsoku w:val="0"/>
        <w:overflowPunct w:val="0"/>
        <w:ind w:left="0"/>
        <w:rPr>
          <w:color w:val="000000"/>
        </w:rPr>
      </w:pPr>
    </w:p>
    <w:p w14:paraId="0A8AC6E8" w14:textId="77777777" w:rsidR="003D30E4" w:rsidRPr="004F5FB4" w:rsidRDefault="006A1144" w:rsidP="0075475A">
      <w:pPr>
        <w:pStyle w:val="BodyText"/>
        <w:widowControl/>
        <w:kinsoku w:val="0"/>
        <w:overflowPunct w:val="0"/>
        <w:ind w:left="0"/>
        <w:rPr>
          <w:color w:val="000000"/>
        </w:rPr>
      </w:pPr>
      <w:r w:rsidRPr="004F5FB4">
        <w:rPr>
          <w:color w:val="000000"/>
        </w:rPr>
        <w:lastRenderedPageBreak/>
        <w:t>Abhängig von den individuellen Behandlungsbedürfnissen kann Amsparity auch in anderen Stärken und/</w:t>
      </w:r>
      <w:r w:rsidR="00695463" w:rsidRPr="004F5FB4">
        <w:rPr>
          <w:color w:val="000000"/>
        </w:rPr>
        <w:t xml:space="preserve"> </w:t>
      </w:r>
      <w:r w:rsidRPr="004F5FB4">
        <w:rPr>
          <w:color w:val="000000"/>
        </w:rPr>
        <w:t>oder Darreichungsformen erhältlich sein.</w:t>
      </w:r>
    </w:p>
    <w:p w14:paraId="08FD75CC" w14:textId="77777777" w:rsidR="008D74DD" w:rsidRPr="004F5FB4" w:rsidRDefault="008D74DD" w:rsidP="0075475A">
      <w:pPr>
        <w:pStyle w:val="BodyText"/>
        <w:widowControl/>
        <w:kinsoku w:val="0"/>
        <w:overflowPunct w:val="0"/>
        <w:ind w:left="0"/>
        <w:rPr>
          <w:color w:val="000000"/>
        </w:rPr>
      </w:pPr>
    </w:p>
    <w:p w14:paraId="7E9CB978" w14:textId="77777777" w:rsidR="008D74DD" w:rsidRPr="004F5FB4" w:rsidRDefault="008D74DD" w:rsidP="0075475A">
      <w:pPr>
        <w:pStyle w:val="BodyText"/>
        <w:keepNext/>
        <w:widowControl/>
        <w:kinsoku w:val="0"/>
        <w:overflowPunct w:val="0"/>
        <w:ind w:left="0"/>
        <w:rPr>
          <w:color w:val="000000"/>
        </w:rPr>
      </w:pPr>
      <w:r w:rsidRPr="004F5FB4">
        <w:rPr>
          <w:i/>
          <w:iCs/>
          <w:color w:val="000000"/>
          <w:u w:val="single"/>
        </w:rPr>
        <w:t>Enthesitis-assoziierte Arthritis</w:t>
      </w:r>
    </w:p>
    <w:p w14:paraId="5D8430CB" w14:textId="77777777" w:rsidR="008D74DD" w:rsidRPr="004F5FB4" w:rsidRDefault="008D74DD" w:rsidP="0075475A">
      <w:pPr>
        <w:pStyle w:val="BodyText"/>
        <w:keepNext/>
        <w:widowControl/>
        <w:kinsoku w:val="0"/>
        <w:overflowPunct w:val="0"/>
        <w:ind w:left="0"/>
        <w:rPr>
          <w:i/>
          <w:iCs/>
          <w:color w:val="000000"/>
        </w:rPr>
      </w:pPr>
    </w:p>
    <w:p w14:paraId="3350D3DB" w14:textId="77777777" w:rsidR="008D74DD" w:rsidRPr="004F5FB4" w:rsidRDefault="008D74DD" w:rsidP="0075475A">
      <w:pPr>
        <w:pStyle w:val="BodyText"/>
        <w:keepNext/>
        <w:widowControl/>
        <w:kinsoku w:val="0"/>
        <w:overflowPunct w:val="0"/>
        <w:ind w:left="0"/>
        <w:rPr>
          <w:color w:val="000000"/>
        </w:rPr>
      </w:pPr>
      <w:r w:rsidRPr="004F5FB4">
        <w:rPr>
          <w:color w:val="000000"/>
        </w:rPr>
        <w:t>Die empfohlene Dosis von Amsparity für Patienten mit Enthesitis-assoziierter Arthritis ab einem Alter von 6 Jahren wird anhand des Körpergewichtes bestimmt (Tabelle</w:t>
      </w:r>
      <w:r w:rsidR="0029754E" w:rsidRPr="004F5FB4">
        <w:rPr>
          <w:color w:val="000000"/>
        </w:rPr>
        <w:t> </w:t>
      </w:r>
      <w:r w:rsidRPr="004F5FB4">
        <w:rPr>
          <w:color w:val="000000"/>
        </w:rPr>
        <w:t>2). Amsparity wird jede zweite Woche subkutan injiziert.</w:t>
      </w:r>
    </w:p>
    <w:p w14:paraId="3EDC58EB" w14:textId="77777777" w:rsidR="00337D78" w:rsidRPr="004F5FB4" w:rsidRDefault="00337D78" w:rsidP="0075475A">
      <w:pPr>
        <w:pStyle w:val="BodyText"/>
        <w:widowControl/>
        <w:kinsoku w:val="0"/>
        <w:overflowPunct w:val="0"/>
        <w:ind w:left="0"/>
        <w:rPr>
          <w:color w:val="000000"/>
        </w:rPr>
      </w:pPr>
    </w:p>
    <w:p w14:paraId="264BF97A" w14:textId="77777777" w:rsidR="009F2EB6" w:rsidRPr="004F5FB4" w:rsidRDefault="00337D78" w:rsidP="00687087">
      <w:pPr>
        <w:pStyle w:val="BodyText"/>
        <w:keepNext/>
        <w:widowControl/>
        <w:kinsoku w:val="0"/>
        <w:overflowPunct w:val="0"/>
        <w:ind w:left="0"/>
        <w:rPr>
          <w:b/>
          <w:bCs/>
          <w:color w:val="000000"/>
        </w:rPr>
      </w:pPr>
      <w:r w:rsidRPr="004F5FB4">
        <w:rPr>
          <w:b/>
          <w:bCs/>
          <w:color w:val="000000"/>
        </w:rPr>
        <w:t>Tabelle 2</w:t>
      </w:r>
    </w:p>
    <w:p w14:paraId="4BAE8972" w14:textId="77777777" w:rsidR="00337D78" w:rsidRPr="004F5FB4" w:rsidRDefault="006A1144" w:rsidP="00687087">
      <w:pPr>
        <w:pStyle w:val="BodyText"/>
        <w:keepNext/>
        <w:widowControl/>
        <w:kinsoku w:val="0"/>
        <w:overflowPunct w:val="0"/>
        <w:ind w:left="0"/>
        <w:rPr>
          <w:b/>
          <w:bCs/>
          <w:color w:val="000000"/>
        </w:rPr>
      </w:pPr>
      <w:r w:rsidRPr="004F5FB4">
        <w:rPr>
          <w:b/>
          <w:color w:val="000000"/>
        </w:rPr>
        <w:t>Amsparity-Dosis für Patienten mit Enthesitis-assoziierter Arthritis</w:t>
      </w:r>
    </w:p>
    <w:p w14:paraId="01DBC93D" w14:textId="77777777" w:rsidR="00337D78" w:rsidRPr="004F5FB4" w:rsidRDefault="00337D78" w:rsidP="0075475A">
      <w:pPr>
        <w:pStyle w:val="BodyText"/>
        <w:keepNext/>
        <w:widowControl/>
        <w:kinsoku w:val="0"/>
        <w:overflowPunct w:val="0"/>
        <w:ind w:left="0"/>
        <w:rPr>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9"/>
        <w:gridCol w:w="4596"/>
      </w:tblGrid>
      <w:tr w:rsidR="00337D78" w:rsidRPr="004F5FB4" w14:paraId="3D5558A6" w14:textId="77777777" w:rsidTr="00054A92">
        <w:trPr>
          <w:jc w:val="center"/>
        </w:trPr>
        <w:tc>
          <w:tcPr>
            <w:tcW w:w="5009" w:type="dxa"/>
            <w:tcBorders>
              <w:left w:val="nil"/>
              <w:right w:val="nil"/>
            </w:tcBorders>
            <w:shd w:val="clear" w:color="auto" w:fill="auto"/>
          </w:tcPr>
          <w:p w14:paraId="67C3CF12" w14:textId="77777777" w:rsidR="00337D78" w:rsidRPr="004F5FB4" w:rsidRDefault="00337D78" w:rsidP="0075475A">
            <w:pPr>
              <w:jc w:val="center"/>
              <w:rPr>
                <w:b/>
                <w:color w:val="000000"/>
              </w:rPr>
            </w:pPr>
            <w:r w:rsidRPr="004F5FB4">
              <w:rPr>
                <w:b/>
                <w:color w:val="000000"/>
              </w:rPr>
              <w:t>Gewicht des Patienten</w:t>
            </w:r>
          </w:p>
        </w:tc>
        <w:tc>
          <w:tcPr>
            <w:tcW w:w="5009" w:type="dxa"/>
            <w:tcBorders>
              <w:left w:val="nil"/>
              <w:right w:val="nil"/>
            </w:tcBorders>
            <w:shd w:val="clear" w:color="auto" w:fill="auto"/>
          </w:tcPr>
          <w:p w14:paraId="5DEBE24C" w14:textId="77777777" w:rsidR="00337D78" w:rsidRPr="004F5FB4" w:rsidRDefault="00337D78" w:rsidP="0075475A">
            <w:pPr>
              <w:jc w:val="center"/>
              <w:rPr>
                <w:b/>
                <w:color w:val="000000"/>
              </w:rPr>
            </w:pPr>
            <w:r w:rsidRPr="004F5FB4">
              <w:rPr>
                <w:b/>
                <w:color w:val="000000"/>
              </w:rPr>
              <w:t>Dosierungsschema</w:t>
            </w:r>
          </w:p>
        </w:tc>
      </w:tr>
      <w:tr w:rsidR="00337D78" w:rsidRPr="004F5FB4" w14:paraId="61B7CC17" w14:textId="77777777" w:rsidTr="00054A92">
        <w:trPr>
          <w:jc w:val="center"/>
        </w:trPr>
        <w:tc>
          <w:tcPr>
            <w:tcW w:w="5009" w:type="dxa"/>
            <w:tcBorders>
              <w:left w:val="nil"/>
              <w:right w:val="nil"/>
            </w:tcBorders>
            <w:shd w:val="clear" w:color="auto" w:fill="auto"/>
          </w:tcPr>
          <w:p w14:paraId="0E36A662" w14:textId="77777777" w:rsidR="00337D78" w:rsidRPr="004F5FB4" w:rsidRDefault="00337D78" w:rsidP="0075475A">
            <w:pPr>
              <w:jc w:val="center"/>
              <w:rPr>
                <w:color w:val="000000"/>
              </w:rPr>
            </w:pPr>
            <w:r w:rsidRPr="004F5FB4">
              <w:rPr>
                <w:color w:val="000000"/>
              </w:rPr>
              <w:t>15 kg bis &lt; 30 kg</w:t>
            </w:r>
          </w:p>
        </w:tc>
        <w:tc>
          <w:tcPr>
            <w:tcW w:w="5009" w:type="dxa"/>
            <w:tcBorders>
              <w:left w:val="nil"/>
              <w:right w:val="nil"/>
            </w:tcBorders>
            <w:shd w:val="clear" w:color="auto" w:fill="auto"/>
          </w:tcPr>
          <w:p w14:paraId="6199BB6A" w14:textId="77777777" w:rsidR="00337D78" w:rsidRPr="004F5FB4" w:rsidRDefault="00337D78" w:rsidP="0075475A">
            <w:pPr>
              <w:jc w:val="center"/>
              <w:rPr>
                <w:color w:val="000000"/>
              </w:rPr>
            </w:pPr>
            <w:r w:rsidRPr="004F5FB4">
              <w:rPr>
                <w:color w:val="000000"/>
              </w:rPr>
              <w:t>20 mg jede zweite Woche</w:t>
            </w:r>
          </w:p>
        </w:tc>
      </w:tr>
      <w:tr w:rsidR="00337D78" w:rsidRPr="004F5FB4" w14:paraId="444104F3" w14:textId="77777777" w:rsidTr="00054A92">
        <w:trPr>
          <w:jc w:val="center"/>
        </w:trPr>
        <w:tc>
          <w:tcPr>
            <w:tcW w:w="5009" w:type="dxa"/>
            <w:tcBorders>
              <w:left w:val="nil"/>
              <w:right w:val="nil"/>
            </w:tcBorders>
            <w:shd w:val="clear" w:color="auto" w:fill="auto"/>
          </w:tcPr>
          <w:p w14:paraId="631D6E7D" w14:textId="77777777" w:rsidR="00337D78" w:rsidRPr="004F5FB4" w:rsidRDefault="00337D78" w:rsidP="0075475A">
            <w:pPr>
              <w:jc w:val="center"/>
              <w:rPr>
                <w:color w:val="000000"/>
              </w:rPr>
            </w:pPr>
            <w:r w:rsidRPr="004F5FB4">
              <w:rPr>
                <w:color w:val="000000"/>
              </w:rPr>
              <w:t>≥</w:t>
            </w:r>
            <w:r w:rsidR="0029754E" w:rsidRPr="004F5FB4">
              <w:rPr>
                <w:color w:val="000000"/>
              </w:rPr>
              <w:t> </w:t>
            </w:r>
            <w:r w:rsidRPr="004F5FB4">
              <w:rPr>
                <w:color w:val="000000"/>
              </w:rPr>
              <w:t>30 kg</w:t>
            </w:r>
          </w:p>
        </w:tc>
        <w:tc>
          <w:tcPr>
            <w:tcW w:w="5009" w:type="dxa"/>
            <w:tcBorders>
              <w:left w:val="nil"/>
              <w:right w:val="nil"/>
            </w:tcBorders>
            <w:shd w:val="clear" w:color="auto" w:fill="auto"/>
          </w:tcPr>
          <w:p w14:paraId="7B248CF8" w14:textId="77777777" w:rsidR="00337D78" w:rsidRPr="004F5FB4" w:rsidRDefault="00337D78" w:rsidP="0075475A">
            <w:pPr>
              <w:jc w:val="center"/>
              <w:rPr>
                <w:color w:val="000000"/>
              </w:rPr>
            </w:pPr>
            <w:r w:rsidRPr="004F5FB4">
              <w:rPr>
                <w:color w:val="000000"/>
              </w:rPr>
              <w:t>40 mg jede zweite Woche</w:t>
            </w:r>
          </w:p>
        </w:tc>
      </w:tr>
    </w:tbl>
    <w:p w14:paraId="0D67A5B0" w14:textId="77777777" w:rsidR="008D74DD" w:rsidRPr="004F5FB4" w:rsidRDefault="008D74DD" w:rsidP="00687087">
      <w:pPr>
        <w:pStyle w:val="BodyText"/>
        <w:widowControl/>
        <w:kinsoku w:val="0"/>
        <w:overflowPunct w:val="0"/>
        <w:ind w:left="0"/>
        <w:rPr>
          <w:color w:val="000000"/>
          <w:lang w:val="en-GB"/>
        </w:rPr>
      </w:pPr>
    </w:p>
    <w:p w14:paraId="5C4C0862" w14:textId="77777777" w:rsidR="008D74DD" w:rsidRPr="004F5FB4" w:rsidRDefault="00775887" w:rsidP="00771BD7">
      <w:pPr>
        <w:pStyle w:val="BodyText"/>
        <w:widowControl/>
        <w:kinsoku w:val="0"/>
        <w:overflowPunct w:val="0"/>
        <w:ind w:left="0"/>
        <w:rPr>
          <w:color w:val="000000"/>
        </w:rPr>
      </w:pPr>
      <w:r w:rsidRPr="004F5FB4">
        <w:rPr>
          <w:color w:val="000000"/>
        </w:rPr>
        <w:t>Adalimumab wurde bei Patienten mit Enthesitis-assoziierter Arthritis, die jünger als 6</w:t>
      </w:r>
      <w:r w:rsidR="004854F9" w:rsidRPr="004F5FB4">
        <w:rPr>
          <w:color w:val="000000"/>
        </w:rPr>
        <w:t> </w:t>
      </w:r>
      <w:r w:rsidRPr="004F5FB4">
        <w:rPr>
          <w:color w:val="000000"/>
        </w:rPr>
        <w:t>Jahre sind, nicht untersucht.</w:t>
      </w:r>
    </w:p>
    <w:p w14:paraId="6BEA8153" w14:textId="77777777" w:rsidR="003D30E4" w:rsidRPr="004F5FB4" w:rsidRDefault="003D30E4" w:rsidP="00687087">
      <w:pPr>
        <w:pStyle w:val="BodyText"/>
        <w:widowControl/>
        <w:kinsoku w:val="0"/>
        <w:overflowPunct w:val="0"/>
        <w:ind w:left="0"/>
        <w:rPr>
          <w:color w:val="000000"/>
          <w:highlight w:val="yellow"/>
        </w:rPr>
      </w:pPr>
    </w:p>
    <w:p w14:paraId="1E70324F" w14:textId="77777777" w:rsidR="003D30E4" w:rsidRPr="004F5FB4" w:rsidRDefault="006A1144" w:rsidP="00687087">
      <w:pPr>
        <w:pStyle w:val="BodyText"/>
        <w:widowControl/>
        <w:kinsoku w:val="0"/>
        <w:overflowPunct w:val="0"/>
        <w:ind w:left="0"/>
        <w:rPr>
          <w:color w:val="000000"/>
        </w:rPr>
      </w:pPr>
      <w:r w:rsidRPr="004F5FB4">
        <w:rPr>
          <w:color w:val="000000"/>
        </w:rPr>
        <w:t>Abhängig von den individuellen Behandlungsbedürfnissen kann Amsparity auch in anderen Stärken und/</w:t>
      </w:r>
      <w:r w:rsidR="00695463" w:rsidRPr="004F5FB4">
        <w:rPr>
          <w:color w:val="000000"/>
        </w:rPr>
        <w:t xml:space="preserve"> </w:t>
      </w:r>
      <w:r w:rsidRPr="004F5FB4">
        <w:rPr>
          <w:color w:val="000000"/>
        </w:rPr>
        <w:t>oder Darreichungsformen erhältlich sein.</w:t>
      </w:r>
    </w:p>
    <w:p w14:paraId="5146BC91" w14:textId="77777777" w:rsidR="008D74DD" w:rsidRPr="004F5FB4" w:rsidRDefault="008D74DD" w:rsidP="00687087">
      <w:pPr>
        <w:pStyle w:val="BodyText"/>
        <w:widowControl/>
        <w:kinsoku w:val="0"/>
        <w:overflowPunct w:val="0"/>
        <w:ind w:left="0"/>
        <w:rPr>
          <w:color w:val="000000"/>
        </w:rPr>
      </w:pPr>
    </w:p>
    <w:p w14:paraId="21BCE58A" w14:textId="77777777" w:rsidR="008D74DD" w:rsidRDefault="008D74DD" w:rsidP="00771BD7">
      <w:pPr>
        <w:pStyle w:val="BodyText"/>
        <w:widowControl/>
        <w:kinsoku w:val="0"/>
        <w:overflowPunct w:val="0"/>
        <w:ind w:left="0"/>
        <w:rPr>
          <w:i/>
          <w:iCs/>
          <w:color w:val="000000"/>
        </w:rPr>
      </w:pPr>
      <w:r w:rsidRPr="004F5FB4">
        <w:rPr>
          <w:i/>
          <w:iCs/>
          <w:color w:val="000000"/>
        </w:rPr>
        <w:t>Plaque-Psoriasis bei Kindern und Jugendlichen</w:t>
      </w:r>
    </w:p>
    <w:p w14:paraId="66BE90F5" w14:textId="77777777" w:rsidR="007004B8" w:rsidRPr="004F5FB4" w:rsidRDefault="007004B8" w:rsidP="00771BD7">
      <w:pPr>
        <w:pStyle w:val="BodyText"/>
        <w:widowControl/>
        <w:kinsoku w:val="0"/>
        <w:overflowPunct w:val="0"/>
        <w:ind w:left="0"/>
        <w:rPr>
          <w:color w:val="000000"/>
        </w:rPr>
      </w:pPr>
    </w:p>
    <w:p w14:paraId="37CBFF31" w14:textId="77777777" w:rsidR="0029754E" w:rsidRPr="004F5FB4" w:rsidRDefault="008D74DD" w:rsidP="00771BD7">
      <w:pPr>
        <w:pStyle w:val="BodyText"/>
        <w:widowControl/>
        <w:kinsoku w:val="0"/>
        <w:overflowPunct w:val="0"/>
        <w:ind w:left="0"/>
        <w:rPr>
          <w:color w:val="000000"/>
        </w:rPr>
      </w:pPr>
      <w:r w:rsidRPr="004F5FB4">
        <w:rPr>
          <w:color w:val="000000"/>
        </w:rPr>
        <w:t>Die empfohlene Amsparity-Dosis wird für Patienten mit Plaque-Psoriasis im Alter von 4</w:t>
      </w:r>
      <w:r w:rsidR="0029754E" w:rsidRPr="004F5FB4">
        <w:rPr>
          <w:color w:val="000000"/>
        </w:rPr>
        <w:t xml:space="preserve"> </w:t>
      </w:r>
      <w:r w:rsidRPr="004F5FB4">
        <w:rPr>
          <w:color w:val="000000"/>
        </w:rPr>
        <w:t>bis 17</w:t>
      </w:r>
      <w:r w:rsidR="0029754E" w:rsidRPr="004F5FB4">
        <w:rPr>
          <w:color w:val="000000"/>
        </w:rPr>
        <w:t> </w:t>
      </w:r>
      <w:r w:rsidRPr="004F5FB4">
        <w:rPr>
          <w:color w:val="000000"/>
        </w:rPr>
        <w:t>Jahren anhand des Körpergewichtes bestimmt (Tabelle</w:t>
      </w:r>
      <w:r w:rsidR="0029754E" w:rsidRPr="004F5FB4">
        <w:rPr>
          <w:color w:val="000000"/>
        </w:rPr>
        <w:t> </w:t>
      </w:r>
      <w:r w:rsidRPr="004F5FB4">
        <w:rPr>
          <w:color w:val="000000"/>
        </w:rPr>
        <w:t>3). Amsparity wird subkutan injiziert.</w:t>
      </w:r>
    </w:p>
    <w:p w14:paraId="2809BBC4" w14:textId="77777777" w:rsidR="008D74DD" w:rsidRPr="004F5FB4" w:rsidRDefault="008D74DD" w:rsidP="00771BD7">
      <w:pPr>
        <w:pStyle w:val="BodyText"/>
        <w:widowControl/>
        <w:kinsoku w:val="0"/>
        <w:overflowPunct w:val="0"/>
        <w:ind w:left="0"/>
        <w:rPr>
          <w:color w:val="000000"/>
        </w:rPr>
      </w:pPr>
    </w:p>
    <w:p w14:paraId="18751430" w14:textId="77777777" w:rsidR="009F2EB6" w:rsidRPr="004F5FB4" w:rsidRDefault="008D74DD" w:rsidP="00687087">
      <w:pPr>
        <w:pStyle w:val="BodyText"/>
        <w:widowControl/>
        <w:kinsoku w:val="0"/>
        <w:overflowPunct w:val="0"/>
        <w:ind w:left="0"/>
        <w:rPr>
          <w:b/>
          <w:bCs/>
          <w:color w:val="000000"/>
        </w:rPr>
      </w:pPr>
      <w:r w:rsidRPr="004F5FB4">
        <w:rPr>
          <w:b/>
          <w:bCs/>
          <w:color w:val="000000"/>
        </w:rPr>
        <w:t>Tabelle</w:t>
      </w:r>
      <w:r w:rsidR="0029754E" w:rsidRPr="004F5FB4">
        <w:rPr>
          <w:b/>
          <w:bCs/>
          <w:color w:val="000000"/>
        </w:rPr>
        <w:t> </w:t>
      </w:r>
      <w:r w:rsidRPr="004F5FB4">
        <w:rPr>
          <w:b/>
          <w:bCs/>
          <w:color w:val="000000"/>
        </w:rPr>
        <w:t>3</w:t>
      </w:r>
    </w:p>
    <w:p w14:paraId="5E9441F0" w14:textId="77777777" w:rsidR="008D74DD" w:rsidRPr="004F5FB4" w:rsidRDefault="006A1144" w:rsidP="00687087">
      <w:pPr>
        <w:pStyle w:val="BodyText"/>
        <w:widowControl/>
        <w:kinsoku w:val="0"/>
        <w:overflowPunct w:val="0"/>
        <w:ind w:left="0"/>
        <w:rPr>
          <w:b/>
          <w:bCs/>
          <w:color w:val="000000"/>
        </w:rPr>
      </w:pPr>
      <w:r w:rsidRPr="004F5FB4">
        <w:rPr>
          <w:b/>
          <w:color w:val="000000"/>
        </w:rPr>
        <w:t>Amsparity-Dosis für Kinder und Jugendliche mit Plaque-Psoriasis</w:t>
      </w:r>
    </w:p>
    <w:p w14:paraId="78B27F7B" w14:textId="77777777" w:rsidR="008D74DD" w:rsidRPr="004F5FB4" w:rsidRDefault="008D74DD" w:rsidP="00771BD7">
      <w:pPr>
        <w:pStyle w:val="BodyText"/>
        <w:widowControl/>
        <w:kinsoku w:val="0"/>
        <w:overflowPunct w:val="0"/>
        <w:ind w:left="0"/>
        <w:rPr>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4864"/>
      </w:tblGrid>
      <w:tr w:rsidR="008D74DD" w:rsidRPr="004F5FB4" w14:paraId="1BDBB8EE" w14:textId="77777777" w:rsidTr="00B56A49">
        <w:trPr>
          <w:jc w:val="center"/>
        </w:trPr>
        <w:tc>
          <w:tcPr>
            <w:tcW w:w="4698" w:type="dxa"/>
            <w:tcBorders>
              <w:left w:val="nil"/>
              <w:right w:val="nil"/>
            </w:tcBorders>
            <w:shd w:val="clear" w:color="auto" w:fill="auto"/>
          </w:tcPr>
          <w:p w14:paraId="72D19614" w14:textId="77777777" w:rsidR="008D74DD" w:rsidRPr="004F5FB4" w:rsidRDefault="008D74DD" w:rsidP="0075475A">
            <w:pPr>
              <w:pStyle w:val="BodyText"/>
              <w:widowControl/>
              <w:kinsoku w:val="0"/>
              <w:overflowPunct w:val="0"/>
              <w:ind w:left="0"/>
              <w:jc w:val="center"/>
              <w:rPr>
                <w:color w:val="000000"/>
              </w:rPr>
            </w:pPr>
            <w:r w:rsidRPr="004F5FB4">
              <w:rPr>
                <w:b/>
                <w:bCs/>
                <w:color w:val="000000"/>
              </w:rPr>
              <w:t>Gewicht des Patienten</w:t>
            </w:r>
          </w:p>
        </w:tc>
        <w:tc>
          <w:tcPr>
            <w:tcW w:w="5320" w:type="dxa"/>
            <w:tcBorders>
              <w:left w:val="nil"/>
              <w:right w:val="nil"/>
            </w:tcBorders>
            <w:shd w:val="clear" w:color="auto" w:fill="auto"/>
          </w:tcPr>
          <w:p w14:paraId="6D777BF8" w14:textId="77777777" w:rsidR="008D74DD" w:rsidRPr="004F5FB4" w:rsidRDefault="008D74DD" w:rsidP="0075475A">
            <w:pPr>
              <w:pStyle w:val="BodyText"/>
              <w:widowControl/>
              <w:kinsoku w:val="0"/>
              <w:overflowPunct w:val="0"/>
              <w:ind w:left="0"/>
              <w:jc w:val="center"/>
              <w:rPr>
                <w:color w:val="000000"/>
              </w:rPr>
            </w:pPr>
            <w:r w:rsidRPr="004F5FB4">
              <w:rPr>
                <w:b/>
                <w:bCs/>
                <w:color w:val="000000"/>
              </w:rPr>
              <w:t>Dosierungsschema</w:t>
            </w:r>
          </w:p>
        </w:tc>
      </w:tr>
      <w:tr w:rsidR="008D74DD" w:rsidRPr="004F5FB4" w14:paraId="2A5EEC62" w14:textId="77777777" w:rsidTr="00B56A49">
        <w:trPr>
          <w:jc w:val="center"/>
        </w:trPr>
        <w:tc>
          <w:tcPr>
            <w:tcW w:w="4698" w:type="dxa"/>
            <w:tcBorders>
              <w:left w:val="nil"/>
              <w:right w:val="nil"/>
            </w:tcBorders>
            <w:shd w:val="clear" w:color="auto" w:fill="auto"/>
          </w:tcPr>
          <w:p w14:paraId="57524239" w14:textId="77777777" w:rsidR="008D74DD" w:rsidRPr="004F5FB4" w:rsidRDefault="008D74DD" w:rsidP="0075475A">
            <w:pPr>
              <w:pStyle w:val="BodyText"/>
              <w:widowControl/>
              <w:kinsoku w:val="0"/>
              <w:overflowPunct w:val="0"/>
              <w:ind w:left="0"/>
              <w:jc w:val="center"/>
              <w:rPr>
                <w:color w:val="000000"/>
              </w:rPr>
            </w:pPr>
            <w:r w:rsidRPr="004F5FB4">
              <w:rPr>
                <w:color w:val="000000"/>
              </w:rPr>
              <w:t>15 kg bis &lt; 30 kg</w:t>
            </w:r>
          </w:p>
        </w:tc>
        <w:tc>
          <w:tcPr>
            <w:tcW w:w="5320" w:type="dxa"/>
            <w:tcBorders>
              <w:left w:val="nil"/>
              <w:right w:val="nil"/>
            </w:tcBorders>
            <w:shd w:val="clear" w:color="auto" w:fill="auto"/>
          </w:tcPr>
          <w:p w14:paraId="09C374A7" w14:textId="77777777" w:rsidR="008D74DD" w:rsidRPr="004F5FB4" w:rsidRDefault="008D74DD" w:rsidP="00B56A49">
            <w:pPr>
              <w:autoSpaceDE w:val="0"/>
              <w:autoSpaceDN w:val="0"/>
              <w:adjustRightInd w:val="0"/>
              <w:rPr>
                <w:color w:val="000000"/>
              </w:rPr>
            </w:pPr>
            <w:r w:rsidRPr="004F5FB4">
              <w:rPr>
                <w:color w:val="000000"/>
              </w:rPr>
              <w:t>Anfangsdosis von 20 mg, gefolgt von einer Dosis von 20 mg jede zweite Woche, beginnend eine Woche nach der Anfangsdosis</w:t>
            </w:r>
          </w:p>
        </w:tc>
      </w:tr>
      <w:tr w:rsidR="008D74DD" w:rsidRPr="004F5FB4" w14:paraId="0EB700DA" w14:textId="77777777" w:rsidTr="00B56A49">
        <w:trPr>
          <w:jc w:val="center"/>
        </w:trPr>
        <w:tc>
          <w:tcPr>
            <w:tcW w:w="4698" w:type="dxa"/>
            <w:tcBorders>
              <w:left w:val="nil"/>
              <w:right w:val="nil"/>
            </w:tcBorders>
            <w:shd w:val="clear" w:color="auto" w:fill="auto"/>
          </w:tcPr>
          <w:p w14:paraId="169F2A8B" w14:textId="77777777" w:rsidR="008D74DD" w:rsidRPr="004F5FB4" w:rsidRDefault="008D74DD" w:rsidP="0075475A">
            <w:pPr>
              <w:pStyle w:val="BodyText"/>
              <w:widowControl/>
              <w:kinsoku w:val="0"/>
              <w:overflowPunct w:val="0"/>
              <w:ind w:left="0"/>
              <w:jc w:val="center"/>
              <w:rPr>
                <w:color w:val="000000"/>
              </w:rPr>
            </w:pPr>
            <w:r w:rsidRPr="004F5FB4">
              <w:rPr>
                <w:color w:val="000000"/>
              </w:rPr>
              <w:t>≥</w:t>
            </w:r>
            <w:r w:rsidR="0029754E" w:rsidRPr="004F5FB4">
              <w:rPr>
                <w:color w:val="000000"/>
              </w:rPr>
              <w:t> </w:t>
            </w:r>
            <w:r w:rsidRPr="004F5FB4">
              <w:rPr>
                <w:color w:val="000000"/>
              </w:rPr>
              <w:t>30</w:t>
            </w:r>
            <w:r w:rsidR="0029754E" w:rsidRPr="004F5FB4">
              <w:rPr>
                <w:color w:val="000000"/>
              </w:rPr>
              <w:t> </w:t>
            </w:r>
            <w:r w:rsidRPr="004F5FB4">
              <w:rPr>
                <w:color w:val="000000"/>
              </w:rPr>
              <w:t>kg</w:t>
            </w:r>
          </w:p>
        </w:tc>
        <w:tc>
          <w:tcPr>
            <w:tcW w:w="5320" w:type="dxa"/>
            <w:tcBorders>
              <w:left w:val="nil"/>
              <w:right w:val="nil"/>
            </w:tcBorders>
            <w:shd w:val="clear" w:color="auto" w:fill="auto"/>
          </w:tcPr>
          <w:p w14:paraId="732FE026" w14:textId="77777777" w:rsidR="008D74DD" w:rsidRPr="004F5FB4" w:rsidRDefault="008D74DD" w:rsidP="00B56A49">
            <w:pPr>
              <w:autoSpaceDE w:val="0"/>
              <w:autoSpaceDN w:val="0"/>
              <w:adjustRightInd w:val="0"/>
              <w:rPr>
                <w:color w:val="000000"/>
              </w:rPr>
            </w:pPr>
            <w:r w:rsidRPr="004F5FB4">
              <w:rPr>
                <w:color w:val="000000"/>
              </w:rPr>
              <w:t>Anfangsdosis von 40 mg, gefolgt von einer Dosis von 40</w:t>
            </w:r>
            <w:r w:rsidR="0029754E" w:rsidRPr="004F5FB4">
              <w:rPr>
                <w:color w:val="000000"/>
              </w:rPr>
              <w:t> </w:t>
            </w:r>
            <w:r w:rsidRPr="004F5FB4">
              <w:rPr>
                <w:color w:val="000000"/>
              </w:rPr>
              <w:t>mg jede zweite Woche, beginnend eine Woche nach der Anfangsdosis</w:t>
            </w:r>
          </w:p>
        </w:tc>
      </w:tr>
    </w:tbl>
    <w:p w14:paraId="1DA8662B" w14:textId="77777777" w:rsidR="008D74DD" w:rsidRPr="004F5FB4" w:rsidRDefault="008D74DD" w:rsidP="00771BD7">
      <w:pPr>
        <w:pStyle w:val="BodyText"/>
        <w:widowControl/>
        <w:kinsoku w:val="0"/>
        <w:overflowPunct w:val="0"/>
        <w:ind w:left="0"/>
        <w:rPr>
          <w:color w:val="000000"/>
        </w:rPr>
      </w:pPr>
    </w:p>
    <w:p w14:paraId="60643139" w14:textId="77777777" w:rsidR="008D74DD" w:rsidRPr="004F5FB4" w:rsidRDefault="008D74DD" w:rsidP="00771BD7">
      <w:pPr>
        <w:pStyle w:val="BodyText"/>
        <w:widowControl/>
        <w:kinsoku w:val="0"/>
        <w:overflowPunct w:val="0"/>
        <w:ind w:left="0"/>
        <w:rPr>
          <w:color w:val="000000"/>
        </w:rPr>
      </w:pPr>
      <w:r w:rsidRPr="004F5FB4">
        <w:rPr>
          <w:color w:val="000000"/>
        </w:rPr>
        <w:t>Die Fortsetzung der Therapie länger als 16</w:t>
      </w:r>
      <w:r w:rsidR="0029754E" w:rsidRPr="004F5FB4">
        <w:rPr>
          <w:color w:val="000000"/>
        </w:rPr>
        <w:t> </w:t>
      </w:r>
      <w:r w:rsidRPr="004F5FB4">
        <w:rPr>
          <w:color w:val="000000"/>
        </w:rPr>
        <w:t>Wochen sollte bei Patienten, die innerhalb dieser Zeitspanne nicht ansprechen, sorgfältig abgewogen werden.</w:t>
      </w:r>
    </w:p>
    <w:p w14:paraId="7EC13AFC" w14:textId="77777777" w:rsidR="008D74DD" w:rsidRPr="004F5FB4" w:rsidRDefault="008D74DD" w:rsidP="00687087">
      <w:pPr>
        <w:pStyle w:val="BodyText"/>
        <w:widowControl/>
        <w:kinsoku w:val="0"/>
        <w:overflowPunct w:val="0"/>
        <w:ind w:left="0"/>
        <w:rPr>
          <w:color w:val="000000"/>
        </w:rPr>
      </w:pPr>
    </w:p>
    <w:p w14:paraId="5600C93C" w14:textId="77777777" w:rsidR="008D74DD" w:rsidRPr="004F5FB4" w:rsidRDefault="008D74DD" w:rsidP="0075475A">
      <w:pPr>
        <w:pStyle w:val="BodyText"/>
        <w:widowControl/>
        <w:kinsoku w:val="0"/>
        <w:overflowPunct w:val="0"/>
        <w:ind w:left="0"/>
        <w:rPr>
          <w:color w:val="000000"/>
        </w:rPr>
      </w:pPr>
      <w:r w:rsidRPr="004F5FB4">
        <w:rPr>
          <w:color w:val="000000"/>
        </w:rPr>
        <w:t>Wenn die Wiederaufnahme der Therapie mit Amsparity angezeigt ist, sollte bezüglich Dosis und Behandlungsdauer die oben beschriebene Anleitung befolgt werden.</w:t>
      </w:r>
    </w:p>
    <w:p w14:paraId="7734EE04" w14:textId="77777777" w:rsidR="008D74DD" w:rsidRPr="004F5FB4" w:rsidRDefault="008D74DD" w:rsidP="0075475A">
      <w:pPr>
        <w:pStyle w:val="BodyText"/>
        <w:widowControl/>
        <w:kinsoku w:val="0"/>
        <w:overflowPunct w:val="0"/>
        <w:ind w:left="0"/>
        <w:rPr>
          <w:color w:val="000000"/>
          <w:szCs w:val="21"/>
        </w:rPr>
      </w:pPr>
    </w:p>
    <w:p w14:paraId="449C0CE2" w14:textId="77777777" w:rsidR="008D74DD" w:rsidRPr="004F5FB4" w:rsidRDefault="008D74DD" w:rsidP="0075475A">
      <w:pPr>
        <w:pStyle w:val="BodyText"/>
        <w:widowControl/>
        <w:kinsoku w:val="0"/>
        <w:overflowPunct w:val="0"/>
        <w:ind w:left="0"/>
        <w:rPr>
          <w:color w:val="000000"/>
        </w:rPr>
      </w:pPr>
      <w:r w:rsidRPr="004F5FB4">
        <w:rPr>
          <w:color w:val="000000"/>
        </w:rPr>
        <w:t>Die Sicherheit von Adalimumab bei Kindern und Jugendlichen mit Plaque-Psoriasis wurde für durchschnittlich 13 Monate beurteilt.</w:t>
      </w:r>
    </w:p>
    <w:p w14:paraId="31A716A4" w14:textId="77777777" w:rsidR="008D74DD" w:rsidRPr="004F5FB4" w:rsidRDefault="008D74DD" w:rsidP="0075475A">
      <w:pPr>
        <w:pStyle w:val="BodyText"/>
        <w:widowControl/>
        <w:kinsoku w:val="0"/>
        <w:overflowPunct w:val="0"/>
        <w:ind w:left="0"/>
        <w:rPr>
          <w:color w:val="000000"/>
        </w:rPr>
      </w:pPr>
    </w:p>
    <w:p w14:paraId="721C5190" w14:textId="77777777" w:rsidR="008D74DD" w:rsidRPr="004F5FB4" w:rsidRDefault="008D74DD" w:rsidP="0075475A">
      <w:pPr>
        <w:pStyle w:val="BodyText"/>
        <w:widowControl/>
        <w:kinsoku w:val="0"/>
        <w:overflowPunct w:val="0"/>
        <w:ind w:left="0"/>
        <w:rPr>
          <w:color w:val="000000"/>
        </w:rPr>
      </w:pPr>
      <w:r w:rsidRPr="004F5FB4">
        <w:rPr>
          <w:color w:val="000000"/>
        </w:rPr>
        <w:t>Für diese Indikation gibt es bei Kindern, die jünger als 4</w:t>
      </w:r>
      <w:r w:rsidR="0029754E" w:rsidRPr="004F5FB4">
        <w:rPr>
          <w:color w:val="000000"/>
        </w:rPr>
        <w:t> </w:t>
      </w:r>
      <w:r w:rsidRPr="004F5FB4">
        <w:rPr>
          <w:color w:val="000000"/>
        </w:rPr>
        <w:t>Jahre sind, keine relevante Anwendung von Adalimumab.</w:t>
      </w:r>
    </w:p>
    <w:p w14:paraId="43720629" w14:textId="77777777" w:rsidR="003D30E4" w:rsidRPr="004F5FB4" w:rsidRDefault="003D30E4" w:rsidP="0075475A">
      <w:pPr>
        <w:pStyle w:val="BodyText"/>
        <w:widowControl/>
        <w:kinsoku w:val="0"/>
        <w:overflowPunct w:val="0"/>
        <w:ind w:left="0"/>
        <w:rPr>
          <w:color w:val="000000"/>
        </w:rPr>
      </w:pPr>
    </w:p>
    <w:p w14:paraId="08632EAF" w14:textId="77777777" w:rsidR="003D30E4" w:rsidRPr="004F5FB4" w:rsidRDefault="006A1144" w:rsidP="0075475A">
      <w:pPr>
        <w:pStyle w:val="BodyText"/>
        <w:widowControl/>
        <w:kinsoku w:val="0"/>
        <w:overflowPunct w:val="0"/>
        <w:ind w:left="0"/>
        <w:rPr>
          <w:color w:val="000000"/>
        </w:rPr>
      </w:pPr>
      <w:r w:rsidRPr="004F5FB4">
        <w:rPr>
          <w:color w:val="000000"/>
        </w:rPr>
        <w:t>Abhängig von den individuellen Behandlungsbedürfnissen kann Amsparity auch in anderen Stärken und/</w:t>
      </w:r>
      <w:r w:rsidR="00D50393" w:rsidRPr="004F5FB4">
        <w:rPr>
          <w:color w:val="000000"/>
        </w:rPr>
        <w:t xml:space="preserve"> </w:t>
      </w:r>
      <w:r w:rsidRPr="004F5FB4">
        <w:rPr>
          <w:color w:val="000000"/>
        </w:rPr>
        <w:t>oder Darreichungsformen erhältlich sein.</w:t>
      </w:r>
    </w:p>
    <w:p w14:paraId="6002B69B" w14:textId="77777777" w:rsidR="008D74DD" w:rsidRPr="004F5FB4" w:rsidRDefault="008D74DD" w:rsidP="0075475A">
      <w:pPr>
        <w:pStyle w:val="BodyText"/>
        <w:widowControl/>
        <w:kinsoku w:val="0"/>
        <w:overflowPunct w:val="0"/>
        <w:ind w:left="0"/>
        <w:rPr>
          <w:color w:val="000000"/>
        </w:rPr>
      </w:pPr>
    </w:p>
    <w:p w14:paraId="632439A3" w14:textId="77777777" w:rsidR="008D74DD" w:rsidRPr="004F5FB4" w:rsidRDefault="008D74DD" w:rsidP="0075475A">
      <w:pPr>
        <w:pStyle w:val="BodyText"/>
        <w:keepNext/>
        <w:widowControl/>
        <w:kinsoku w:val="0"/>
        <w:overflowPunct w:val="0"/>
        <w:ind w:left="0"/>
        <w:rPr>
          <w:color w:val="000000"/>
        </w:rPr>
      </w:pPr>
      <w:r w:rsidRPr="004F5FB4">
        <w:rPr>
          <w:i/>
          <w:iCs/>
          <w:color w:val="000000"/>
        </w:rPr>
        <w:t>Morbus Crohn bei Kindern und Jugendlichen</w:t>
      </w:r>
    </w:p>
    <w:p w14:paraId="7FC4208A" w14:textId="77777777" w:rsidR="008D74DD" w:rsidRPr="004F5FB4" w:rsidRDefault="008D74DD" w:rsidP="00687087">
      <w:pPr>
        <w:pStyle w:val="BodyText"/>
        <w:keepNext/>
        <w:widowControl/>
        <w:kinsoku w:val="0"/>
        <w:overflowPunct w:val="0"/>
        <w:ind w:left="0"/>
        <w:rPr>
          <w:i/>
          <w:iCs/>
          <w:color w:val="000000"/>
          <w:szCs w:val="21"/>
        </w:rPr>
      </w:pPr>
    </w:p>
    <w:p w14:paraId="222157C7" w14:textId="77777777" w:rsidR="008D74DD" w:rsidRPr="004F5FB4" w:rsidRDefault="008D74DD" w:rsidP="0075475A">
      <w:pPr>
        <w:pStyle w:val="BodyText"/>
        <w:widowControl/>
        <w:kinsoku w:val="0"/>
        <w:overflowPunct w:val="0"/>
        <w:ind w:left="0"/>
        <w:rPr>
          <w:color w:val="000000"/>
        </w:rPr>
      </w:pPr>
      <w:r w:rsidRPr="004F5FB4">
        <w:rPr>
          <w:color w:val="000000"/>
        </w:rPr>
        <w:t>Die empfohlene Dosis von Amsparity für Patienten mit Morbus Crohn im Alter von 6 bis 17 Jahren wird anhand des Körpergewichts bestimmt (Tabelle</w:t>
      </w:r>
      <w:r w:rsidR="0029754E" w:rsidRPr="004F5FB4">
        <w:rPr>
          <w:color w:val="000000"/>
        </w:rPr>
        <w:t> </w:t>
      </w:r>
      <w:r w:rsidRPr="004F5FB4">
        <w:rPr>
          <w:color w:val="000000"/>
        </w:rPr>
        <w:t>4). Amsparity wird subkutan injiziert.</w:t>
      </w:r>
    </w:p>
    <w:p w14:paraId="74313AB1" w14:textId="77777777" w:rsidR="00775887" w:rsidRPr="004F5FB4" w:rsidRDefault="00775887" w:rsidP="00982118">
      <w:pPr>
        <w:rPr>
          <w:color w:val="000000"/>
        </w:rPr>
      </w:pPr>
    </w:p>
    <w:p w14:paraId="1FA58A7E" w14:textId="77777777" w:rsidR="009F2EB6" w:rsidRPr="004F5FB4" w:rsidRDefault="00337D78" w:rsidP="00687087">
      <w:pPr>
        <w:keepNext/>
        <w:rPr>
          <w:b/>
          <w:color w:val="000000"/>
        </w:rPr>
      </w:pPr>
      <w:r w:rsidRPr="004F5FB4">
        <w:rPr>
          <w:b/>
          <w:color w:val="000000"/>
        </w:rPr>
        <w:t>Tabelle</w:t>
      </w:r>
      <w:r w:rsidR="0029754E" w:rsidRPr="004F5FB4">
        <w:rPr>
          <w:b/>
          <w:color w:val="000000"/>
        </w:rPr>
        <w:t> </w:t>
      </w:r>
      <w:r w:rsidRPr="004F5FB4">
        <w:rPr>
          <w:b/>
          <w:color w:val="000000"/>
        </w:rPr>
        <w:t>4</w:t>
      </w:r>
    </w:p>
    <w:p w14:paraId="2CBED6B8" w14:textId="77777777" w:rsidR="00337D78" w:rsidRPr="004F5FB4" w:rsidRDefault="006A1144" w:rsidP="00687087">
      <w:pPr>
        <w:keepNext/>
        <w:rPr>
          <w:color w:val="000000"/>
        </w:rPr>
      </w:pPr>
      <w:r w:rsidRPr="004F5FB4">
        <w:rPr>
          <w:b/>
          <w:color w:val="000000"/>
        </w:rPr>
        <w:t>Amsparity-Dosis für Kinder und Jugendliche mit Morbus Crohn</w:t>
      </w:r>
    </w:p>
    <w:p w14:paraId="30402D9B" w14:textId="77777777" w:rsidR="00337D78" w:rsidRPr="004F5FB4" w:rsidRDefault="00337D78" w:rsidP="0075475A">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69"/>
        <w:gridCol w:w="2027"/>
      </w:tblGrid>
      <w:tr w:rsidR="00337D78" w:rsidRPr="004F5FB4" w14:paraId="6DC45FF5" w14:textId="77777777" w:rsidTr="007E0DEB">
        <w:trPr>
          <w:cantSplit/>
        </w:trPr>
        <w:tc>
          <w:tcPr>
            <w:tcW w:w="1182" w:type="dxa"/>
            <w:shd w:val="clear" w:color="auto" w:fill="auto"/>
          </w:tcPr>
          <w:p w14:paraId="29226834" w14:textId="77777777" w:rsidR="00337D78" w:rsidRPr="004F5FB4" w:rsidRDefault="00337D78" w:rsidP="0075475A">
            <w:pPr>
              <w:keepNext/>
              <w:jc w:val="center"/>
              <w:rPr>
                <w:b/>
                <w:color w:val="000000"/>
              </w:rPr>
            </w:pPr>
            <w:r w:rsidRPr="004F5FB4">
              <w:rPr>
                <w:b/>
                <w:color w:val="000000"/>
              </w:rPr>
              <w:t>Gewicht des Patienten</w:t>
            </w:r>
          </w:p>
        </w:tc>
        <w:tc>
          <w:tcPr>
            <w:tcW w:w="6756" w:type="dxa"/>
            <w:shd w:val="clear" w:color="auto" w:fill="auto"/>
          </w:tcPr>
          <w:p w14:paraId="28046504" w14:textId="77777777" w:rsidR="00337D78" w:rsidRPr="004F5FB4" w:rsidRDefault="00337D78" w:rsidP="0075475A">
            <w:pPr>
              <w:keepNext/>
              <w:jc w:val="center"/>
              <w:rPr>
                <w:b/>
                <w:color w:val="000000"/>
              </w:rPr>
            </w:pPr>
            <w:r w:rsidRPr="004F5FB4">
              <w:rPr>
                <w:b/>
                <w:color w:val="000000"/>
              </w:rPr>
              <w:t>Induktionsdosis</w:t>
            </w:r>
          </w:p>
        </w:tc>
        <w:tc>
          <w:tcPr>
            <w:tcW w:w="2080" w:type="dxa"/>
            <w:shd w:val="clear" w:color="auto" w:fill="auto"/>
          </w:tcPr>
          <w:p w14:paraId="4BA400ED" w14:textId="77777777" w:rsidR="00337D78" w:rsidRPr="004F5FB4" w:rsidRDefault="00337D78" w:rsidP="0075475A">
            <w:pPr>
              <w:keepNext/>
              <w:jc w:val="center"/>
              <w:rPr>
                <w:b/>
                <w:color w:val="000000"/>
              </w:rPr>
            </w:pPr>
            <w:r w:rsidRPr="004F5FB4">
              <w:rPr>
                <w:b/>
                <w:color w:val="000000"/>
              </w:rPr>
              <w:t>Erhaltungsdosis, beginnend in Woche</w:t>
            </w:r>
            <w:r w:rsidR="0029754E" w:rsidRPr="004F5FB4">
              <w:rPr>
                <w:b/>
                <w:color w:val="000000"/>
              </w:rPr>
              <w:t> </w:t>
            </w:r>
            <w:r w:rsidRPr="004F5FB4">
              <w:rPr>
                <w:b/>
                <w:color w:val="000000"/>
              </w:rPr>
              <w:t>4</w:t>
            </w:r>
          </w:p>
        </w:tc>
      </w:tr>
      <w:tr w:rsidR="00337D78" w:rsidRPr="004F5FB4" w14:paraId="0F1671ED" w14:textId="77777777" w:rsidTr="007E0DEB">
        <w:trPr>
          <w:cantSplit/>
        </w:trPr>
        <w:tc>
          <w:tcPr>
            <w:tcW w:w="1182" w:type="dxa"/>
            <w:shd w:val="clear" w:color="auto" w:fill="auto"/>
          </w:tcPr>
          <w:p w14:paraId="21A22E5F" w14:textId="77777777" w:rsidR="00337D78" w:rsidRPr="004F5FB4" w:rsidRDefault="00337D78" w:rsidP="0075475A">
            <w:pPr>
              <w:jc w:val="center"/>
              <w:rPr>
                <w:color w:val="000000"/>
              </w:rPr>
            </w:pPr>
            <w:r w:rsidRPr="004F5FB4">
              <w:rPr>
                <w:color w:val="000000"/>
              </w:rPr>
              <w:t>&lt;</w:t>
            </w:r>
            <w:r w:rsidR="0029754E" w:rsidRPr="004F5FB4">
              <w:rPr>
                <w:color w:val="000000"/>
              </w:rPr>
              <w:t> </w:t>
            </w:r>
            <w:r w:rsidRPr="004F5FB4">
              <w:rPr>
                <w:color w:val="000000"/>
              </w:rPr>
              <w:t>40</w:t>
            </w:r>
            <w:r w:rsidR="0029754E" w:rsidRPr="004F5FB4">
              <w:rPr>
                <w:color w:val="000000"/>
              </w:rPr>
              <w:t> </w:t>
            </w:r>
            <w:r w:rsidRPr="004F5FB4">
              <w:rPr>
                <w:color w:val="000000"/>
              </w:rPr>
              <w:t>kg</w:t>
            </w:r>
          </w:p>
        </w:tc>
        <w:tc>
          <w:tcPr>
            <w:tcW w:w="6756" w:type="dxa"/>
            <w:shd w:val="clear" w:color="auto" w:fill="auto"/>
          </w:tcPr>
          <w:p w14:paraId="65D9A96F" w14:textId="77777777" w:rsidR="00921D8E" w:rsidRPr="004F5FB4" w:rsidRDefault="00921D8E" w:rsidP="00054A92">
            <w:pPr>
              <w:numPr>
                <w:ilvl w:val="0"/>
                <w:numId w:val="28"/>
              </w:numPr>
              <w:autoSpaceDE w:val="0"/>
              <w:autoSpaceDN w:val="0"/>
              <w:adjustRightInd w:val="0"/>
              <w:ind w:left="0" w:firstLine="0"/>
              <w:rPr>
                <w:color w:val="000000"/>
              </w:rPr>
            </w:pPr>
            <w:r w:rsidRPr="004F5FB4">
              <w:rPr>
                <w:color w:val="000000"/>
              </w:rPr>
              <w:t>40</w:t>
            </w:r>
            <w:r w:rsidR="0029754E" w:rsidRPr="004F5FB4">
              <w:rPr>
                <w:color w:val="000000"/>
              </w:rPr>
              <w:t> </w:t>
            </w:r>
            <w:r w:rsidRPr="004F5FB4">
              <w:rPr>
                <w:color w:val="000000"/>
              </w:rPr>
              <w:t>mg in Woche</w:t>
            </w:r>
            <w:r w:rsidR="005A70EA" w:rsidRPr="004F5FB4">
              <w:rPr>
                <w:color w:val="000000"/>
              </w:rPr>
              <w:t> </w:t>
            </w:r>
            <w:r w:rsidRPr="004F5FB4">
              <w:rPr>
                <w:color w:val="000000"/>
              </w:rPr>
              <w:t>0 und 20</w:t>
            </w:r>
            <w:r w:rsidR="0029754E" w:rsidRPr="004F5FB4">
              <w:rPr>
                <w:color w:val="000000"/>
              </w:rPr>
              <w:t> </w:t>
            </w:r>
            <w:r w:rsidRPr="004F5FB4">
              <w:rPr>
                <w:color w:val="000000"/>
              </w:rPr>
              <w:t>mg in Woche</w:t>
            </w:r>
            <w:r w:rsidR="0029754E" w:rsidRPr="004F5FB4">
              <w:rPr>
                <w:color w:val="000000"/>
              </w:rPr>
              <w:t> </w:t>
            </w:r>
            <w:r w:rsidRPr="004F5FB4">
              <w:rPr>
                <w:color w:val="000000"/>
              </w:rPr>
              <w:t>2</w:t>
            </w:r>
          </w:p>
          <w:p w14:paraId="6A45E6A1" w14:textId="77777777" w:rsidR="00921D8E" w:rsidRPr="004F5FB4" w:rsidRDefault="00921D8E" w:rsidP="00054A92">
            <w:pPr>
              <w:autoSpaceDE w:val="0"/>
              <w:autoSpaceDN w:val="0"/>
              <w:adjustRightInd w:val="0"/>
              <w:rPr>
                <w:color w:val="000000"/>
              </w:rPr>
            </w:pPr>
          </w:p>
          <w:p w14:paraId="16ADB07E" w14:textId="77777777" w:rsidR="00921D8E" w:rsidRPr="004F5FB4" w:rsidRDefault="00921D8E" w:rsidP="00054A92">
            <w:pPr>
              <w:autoSpaceDE w:val="0"/>
              <w:autoSpaceDN w:val="0"/>
              <w:adjustRightInd w:val="0"/>
              <w:rPr>
                <w:color w:val="000000"/>
              </w:rPr>
            </w:pPr>
            <w:r w:rsidRPr="004F5FB4">
              <w:rPr>
                <w:color w:val="000000"/>
              </w:rPr>
              <w:t>In Fällen, in denen ein schnelleres Ansprechen auf die Therapie erforderlich ist, kann – unter Berücksichtigung, dass bei einer höheren Induktionsdosis auch das Risiko für Nebenwirkungen höher sein kann – folgende Dosis angewandt werden:</w:t>
            </w:r>
          </w:p>
          <w:p w14:paraId="20588ADF" w14:textId="77777777" w:rsidR="00337D78" w:rsidRPr="004F5FB4" w:rsidRDefault="00D15DFF" w:rsidP="00054A92">
            <w:pPr>
              <w:numPr>
                <w:ilvl w:val="0"/>
                <w:numId w:val="28"/>
              </w:numPr>
              <w:ind w:left="0" w:firstLine="0"/>
              <w:rPr>
                <w:color w:val="000000"/>
              </w:rPr>
            </w:pPr>
            <w:r w:rsidRPr="004F5FB4">
              <w:rPr>
                <w:color w:val="000000"/>
              </w:rPr>
              <w:t>80</w:t>
            </w:r>
            <w:r w:rsidR="0029754E" w:rsidRPr="004F5FB4">
              <w:rPr>
                <w:color w:val="000000"/>
              </w:rPr>
              <w:t> </w:t>
            </w:r>
            <w:r w:rsidRPr="004F5FB4">
              <w:rPr>
                <w:color w:val="000000"/>
              </w:rPr>
              <w:t>mg in Woche</w:t>
            </w:r>
            <w:r w:rsidR="0029754E" w:rsidRPr="004F5FB4">
              <w:rPr>
                <w:color w:val="000000"/>
              </w:rPr>
              <w:t> </w:t>
            </w:r>
            <w:r w:rsidRPr="004F5FB4">
              <w:rPr>
                <w:color w:val="000000"/>
              </w:rPr>
              <w:t>0 und 40</w:t>
            </w:r>
            <w:r w:rsidR="0029754E" w:rsidRPr="004F5FB4">
              <w:rPr>
                <w:color w:val="000000"/>
              </w:rPr>
              <w:t> </w:t>
            </w:r>
            <w:r w:rsidRPr="004F5FB4">
              <w:rPr>
                <w:color w:val="000000"/>
              </w:rPr>
              <w:t>mg in Woche</w:t>
            </w:r>
            <w:r w:rsidR="0029754E" w:rsidRPr="004F5FB4">
              <w:rPr>
                <w:color w:val="000000"/>
              </w:rPr>
              <w:t> </w:t>
            </w:r>
            <w:r w:rsidRPr="004F5FB4">
              <w:rPr>
                <w:color w:val="000000"/>
              </w:rPr>
              <w:t>2</w:t>
            </w:r>
          </w:p>
        </w:tc>
        <w:tc>
          <w:tcPr>
            <w:tcW w:w="2080" w:type="dxa"/>
            <w:shd w:val="clear" w:color="auto" w:fill="auto"/>
          </w:tcPr>
          <w:p w14:paraId="7FD45038" w14:textId="77777777" w:rsidR="00337D78" w:rsidRPr="004F5FB4" w:rsidRDefault="00337D78" w:rsidP="0075475A">
            <w:pPr>
              <w:jc w:val="center"/>
              <w:rPr>
                <w:color w:val="000000"/>
              </w:rPr>
            </w:pPr>
            <w:r w:rsidRPr="004F5FB4">
              <w:rPr>
                <w:color w:val="000000"/>
              </w:rPr>
              <w:t>20 mg jede zweite Woche</w:t>
            </w:r>
          </w:p>
        </w:tc>
      </w:tr>
      <w:tr w:rsidR="00337D78" w:rsidRPr="004F5FB4" w14:paraId="00DBFB53" w14:textId="77777777" w:rsidTr="007E0DEB">
        <w:trPr>
          <w:cantSplit/>
        </w:trPr>
        <w:tc>
          <w:tcPr>
            <w:tcW w:w="1182" w:type="dxa"/>
            <w:shd w:val="clear" w:color="auto" w:fill="auto"/>
          </w:tcPr>
          <w:p w14:paraId="6B1D550E" w14:textId="77777777" w:rsidR="00337D78" w:rsidRPr="004F5FB4" w:rsidRDefault="00337D78" w:rsidP="0075475A">
            <w:pPr>
              <w:jc w:val="center"/>
              <w:rPr>
                <w:color w:val="000000"/>
              </w:rPr>
            </w:pPr>
            <w:r w:rsidRPr="004F5FB4">
              <w:rPr>
                <w:color w:val="000000"/>
              </w:rPr>
              <w:t>≥</w:t>
            </w:r>
            <w:r w:rsidR="0029754E" w:rsidRPr="004F5FB4">
              <w:rPr>
                <w:color w:val="000000"/>
              </w:rPr>
              <w:t> </w:t>
            </w:r>
            <w:r w:rsidRPr="004F5FB4">
              <w:rPr>
                <w:color w:val="000000"/>
              </w:rPr>
              <w:t>40 kg</w:t>
            </w:r>
          </w:p>
        </w:tc>
        <w:tc>
          <w:tcPr>
            <w:tcW w:w="6756" w:type="dxa"/>
            <w:shd w:val="clear" w:color="auto" w:fill="auto"/>
          </w:tcPr>
          <w:p w14:paraId="5F54F09F" w14:textId="77777777" w:rsidR="00921D8E" w:rsidRPr="004F5FB4" w:rsidRDefault="00921D8E" w:rsidP="00054A92">
            <w:pPr>
              <w:numPr>
                <w:ilvl w:val="0"/>
                <w:numId w:val="28"/>
              </w:numPr>
              <w:autoSpaceDE w:val="0"/>
              <w:autoSpaceDN w:val="0"/>
              <w:adjustRightInd w:val="0"/>
              <w:ind w:left="0" w:firstLine="0"/>
              <w:rPr>
                <w:rFonts w:eastAsia="SymbolMT"/>
                <w:color w:val="000000"/>
              </w:rPr>
            </w:pPr>
            <w:r w:rsidRPr="004F5FB4">
              <w:rPr>
                <w:color w:val="000000"/>
              </w:rPr>
              <w:t>80</w:t>
            </w:r>
            <w:r w:rsidR="0029754E" w:rsidRPr="004F5FB4">
              <w:rPr>
                <w:color w:val="000000"/>
              </w:rPr>
              <w:t> </w:t>
            </w:r>
            <w:r w:rsidRPr="004F5FB4">
              <w:rPr>
                <w:color w:val="000000"/>
              </w:rPr>
              <w:t>mg in Woche</w:t>
            </w:r>
            <w:r w:rsidR="0029754E" w:rsidRPr="004F5FB4">
              <w:rPr>
                <w:color w:val="000000"/>
              </w:rPr>
              <w:t> </w:t>
            </w:r>
            <w:r w:rsidRPr="004F5FB4">
              <w:rPr>
                <w:color w:val="000000"/>
              </w:rPr>
              <w:t>0 und 40</w:t>
            </w:r>
            <w:r w:rsidR="0029754E" w:rsidRPr="004F5FB4">
              <w:rPr>
                <w:color w:val="000000"/>
              </w:rPr>
              <w:t> </w:t>
            </w:r>
            <w:r w:rsidRPr="004F5FB4">
              <w:rPr>
                <w:color w:val="000000"/>
              </w:rPr>
              <w:t>mg in Woche</w:t>
            </w:r>
            <w:r w:rsidR="0029754E" w:rsidRPr="004F5FB4">
              <w:rPr>
                <w:color w:val="000000"/>
              </w:rPr>
              <w:t> </w:t>
            </w:r>
            <w:r w:rsidRPr="004F5FB4">
              <w:rPr>
                <w:color w:val="000000"/>
              </w:rPr>
              <w:t>2</w:t>
            </w:r>
          </w:p>
          <w:p w14:paraId="589FEB63" w14:textId="77777777" w:rsidR="00921D8E" w:rsidRPr="004F5FB4" w:rsidRDefault="00921D8E" w:rsidP="00054A92">
            <w:pPr>
              <w:autoSpaceDE w:val="0"/>
              <w:autoSpaceDN w:val="0"/>
              <w:adjustRightInd w:val="0"/>
              <w:rPr>
                <w:rFonts w:eastAsia="SymbolMT"/>
                <w:color w:val="000000"/>
              </w:rPr>
            </w:pPr>
          </w:p>
          <w:p w14:paraId="0A1616D3" w14:textId="77777777" w:rsidR="00921D8E" w:rsidRPr="004F5FB4" w:rsidRDefault="00921D8E" w:rsidP="00054A92">
            <w:pPr>
              <w:autoSpaceDE w:val="0"/>
              <w:autoSpaceDN w:val="0"/>
              <w:adjustRightInd w:val="0"/>
              <w:rPr>
                <w:rFonts w:eastAsia="SymbolMT"/>
                <w:color w:val="000000"/>
              </w:rPr>
            </w:pPr>
            <w:r w:rsidRPr="004F5FB4">
              <w:rPr>
                <w:color w:val="000000"/>
              </w:rPr>
              <w:t>In Fällen, in denen ein schnelleres Ansprechen auf die Therapie erforderlich ist, kann – unter Berücksichtigung, dass bei einer höheren Induktionsdosis auch das Risiko für Nebenwirkungen höher sein kann – folgende Dosis angewandt werden:</w:t>
            </w:r>
          </w:p>
          <w:p w14:paraId="0C7658AC" w14:textId="77777777" w:rsidR="00337D78" w:rsidRPr="004F5FB4" w:rsidRDefault="00921D8E" w:rsidP="00054A92">
            <w:pPr>
              <w:numPr>
                <w:ilvl w:val="0"/>
                <w:numId w:val="28"/>
              </w:numPr>
              <w:ind w:left="0" w:firstLine="0"/>
              <w:rPr>
                <w:color w:val="000000"/>
              </w:rPr>
            </w:pPr>
            <w:r w:rsidRPr="004F5FB4">
              <w:rPr>
                <w:color w:val="000000"/>
              </w:rPr>
              <w:t>160</w:t>
            </w:r>
            <w:r w:rsidR="0029754E" w:rsidRPr="004F5FB4">
              <w:rPr>
                <w:color w:val="000000"/>
              </w:rPr>
              <w:t> </w:t>
            </w:r>
            <w:r w:rsidRPr="004F5FB4">
              <w:rPr>
                <w:color w:val="000000"/>
              </w:rPr>
              <w:t>mg in Woche</w:t>
            </w:r>
            <w:r w:rsidR="0029754E" w:rsidRPr="004F5FB4">
              <w:rPr>
                <w:color w:val="000000"/>
              </w:rPr>
              <w:t> </w:t>
            </w:r>
            <w:r w:rsidRPr="004F5FB4">
              <w:rPr>
                <w:color w:val="000000"/>
              </w:rPr>
              <w:t>0 und 80</w:t>
            </w:r>
            <w:r w:rsidR="0029754E" w:rsidRPr="004F5FB4">
              <w:rPr>
                <w:color w:val="000000"/>
              </w:rPr>
              <w:t> </w:t>
            </w:r>
            <w:r w:rsidRPr="004F5FB4">
              <w:rPr>
                <w:color w:val="000000"/>
              </w:rPr>
              <w:t>mg in Woche</w:t>
            </w:r>
            <w:r w:rsidR="0029754E" w:rsidRPr="004F5FB4">
              <w:rPr>
                <w:color w:val="000000"/>
              </w:rPr>
              <w:t> </w:t>
            </w:r>
            <w:r w:rsidRPr="004F5FB4">
              <w:rPr>
                <w:color w:val="000000"/>
              </w:rPr>
              <w:t>2</w:t>
            </w:r>
          </w:p>
        </w:tc>
        <w:tc>
          <w:tcPr>
            <w:tcW w:w="2080" w:type="dxa"/>
            <w:shd w:val="clear" w:color="auto" w:fill="auto"/>
          </w:tcPr>
          <w:p w14:paraId="333484EB" w14:textId="77777777" w:rsidR="00337D78" w:rsidRPr="004F5FB4" w:rsidRDefault="00337D78" w:rsidP="0075475A">
            <w:pPr>
              <w:jc w:val="center"/>
              <w:rPr>
                <w:color w:val="000000"/>
              </w:rPr>
            </w:pPr>
            <w:r w:rsidRPr="004F5FB4">
              <w:rPr>
                <w:color w:val="000000"/>
              </w:rPr>
              <w:t>40 mg jede zweite Woche</w:t>
            </w:r>
          </w:p>
        </w:tc>
      </w:tr>
    </w:tbl>
    <w:p w14:paraId="12454B5D" w14:textId="77777777" w:rsidR="00921D8E" w:rsidRPr="004F5FB4" w:rsidRDefault="00921D8E" w:rsidP="0075475A">
      <w:pPr>
        <w:pStyle w:val="BodyText"/>
        <w:widowControl/>
        <w:kinsoku w:val="0"/>
        <w:overflowPunct w:val="0"/>
        <w:ind w:left="0"/>
        <w:rPr>
          <w:color w:val="000000"/>
          <w:lang w:val="en-GB"/>
        </w:rPr>
      </w:pPr>
    </w:p>
    <w:p w14:paraId="0768E8B6" w14:textId="77777777" w:rsidR="008D74DD" w:rsidRPr="004F5FB4" w:rsidRDefault="008D74DD" w:rsidP="0075475A">
      <w:pPr>
        <w:pStyle w:val="BodyText"/>
        <w:widowControl/>
        <w:kinsoku w:val="0"/>
        <w:overflowPunct w:val="0"/>
        <w:ind w:left="0"/>
        <w:rPr>
          <w:color w:val="000000"/>
        </w:rPr>
      </w:pPr>
      <w:r w:rsidRPr="004F5FB4">
        <w:rPr>
          <w:color w:val="000000"/>
        </w:rPr>
        <w:t>Patienten, die unzureichend ansprechen, können unter Umständen von einer Erhöhung der Dosierung profitieren:</w:t>
      </w:r>
    </w:p>
    <w:p w14:paraId="5EB43664" w14:textId="77777777" w:rsidR="008D74DD" w:rsidRPr="004F5FB4" w:rsidRDefault="008D74DD" w:rsidP="007E0DEB">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&lt;</w:t>
      </w:r>
      <w:r w:rsidR="0029754E" w:rsidRPr="004F5FB4">
        <w:rPr>
          <w:color w:val="000000"/>
        </w:rPr>
        <w:t> </w:t>
      </w:r>
      <w:r w:rsidRPr="004F5FB4">
        <w:rPr>
          <w:color w:val="000000"/>
        </w:rPr>
        <w:t>40</w:t>
      </w:r>
      <w:r w:rsidR="0029754E" w:rsidRPr="004F5FB4">
        <w:rPr>
          <w:color w:val="000000"/>
        </w:rPr>
        <w:t> </w:t>
      </w:r>
      <w:r w:rsidRPr="004F5FB4">
        <w:rPr>
          <w:color w:val="000000"/>
        </w:rPr>
        <w:t>kg: 20</w:t>
      </w:r>
      <w:r w:rsidR="0029754E" w:rsidRPr="004F5FB4">
        <w:rPr>
          <w:color w:val="000000"/>
        </w:rPr>
        <w:t> </w:t>
      </w:r>
      <w:r w:rsidRPr="004F5FB4">
        <w:rPr>
          <w:color w:val="000000"/>
        </w:rPr>
        <w:t>mg jede Woche</w:t>
      </w:r>
    </w:p>
    <w:p w14:paraId="4297793A" w14:textId="77777777" w:rsidR="008D74DD" w:rsidRPr="004F5FB4" w:rsidRDefault="008D74DD" w:rsidP="007E0DEB">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w:t>
      </w:r>
      <w:r w:rsidR="0029754E" w:rsidRPr="004F5FB4">
        <w:rPr>
          <w:color w:val="000000"/>
        </w:rPr>
        <w:t> </w:t>
      </w:r>
      <w:r w:rsidRPr="004F5FB4">
        <w:rPr>
          <w:color w:val="000000"/>
        </w:rPr>
        <w:t>40</w:t>
      </w:r>
      <w:r w:rsidR="0029754E" w:rsidRPr="004F5FB4">
        <w:rPr>
          <w:color w:val="000000"/>
        </w:rPr>
        <w:t> </w:t>
      </w:r>
      <w:r w:rsidRPr="004F5FB4">
        <w:rPr>
          <w:color w:val="000000"/>
        </w:rPr>
        <w:t>kg: 40</w:t>
      </w:r>
      <w:r w:rsidR="0029754E" w:rsidRPr="004F5FB4">
        <w:rPr>
          <w:color w:val="000000"/>
        </w:rPr>
        <w:t> </w:t>
      </w:r>
      <w:r w:rsidRPr="004F5FB4">
        <w:rPr>
          <w:color w:val="000000"/>
        </w:rPr>
        <w:t>mg jede Woche oder 80</w:t>
      </w:r>
      <w:r w:rsidR="0029754E" w:rsidRPr="004F5FB4">
        <w:rPr>
          <w:color w:val="000000"/>
        </w:rPr>
        <w:t> </w:t>
      </w:r>
      <w:r w:rsidRPr="004F5FB4">
        <w:rPr>
          <w:color w:val="000000"/>
        </w:rPr>
        <w:t>mg jede zweite Woche</w:t>
      </w:r>
    </w:p>
    <w:p w14:paraId="48126E9A" w14:textId="77777777" w:rsidR="008D74DD" w:rsidRPr="004F5FB4" w:rsidRDefault="008D74DD" w:rsidP="0075475A">
      <w:pPr>
        <w:pStyle w:val="BodyText"/>
        <w:widowControl/>
        <w:kinsoku w:val="0"/>
        <w:overflowPunct w:val="0"/>
        <w:ind w:left="0"/>
        <w:rPr>
          <w:color w:val="000000"/>
          <w:szCs w:val="21"/>
        </w:rPr>
      </w:pPr>
    </w:p>
    <w:p w14:paraId="0629DD32" w14:textId="77777777" w:rsidR="00030BF1" w:rsidRPr="004F5FB4" w:rsidRDefault="008D74DD" w:rsidP="0075475A">
      <w:pPr>
        <w:pStyle w:val="BodyText"/>
        <w:widowControl/>
        <w:tabs>
          <w:tab w:val="left" w:pos="9000"/>
        </w:tabs>
        <w:kinsoku w:val="0"/>
        <w:overflowPunct w:val="0"/>
        <w:ind w:left="0"/>
        <w:rPr>
          <w:color w:val="000000"/>
        </w:rPr>
      </w:pPr>
      <w:r w:rsidRPr="004F5FB4">
        <w:rPr>
          <w:color w:val="000000"/>
        </w:rPr>
        <w:t>Die Fortsetzung der Therapie sollte bei einem Patienten, der bis Woche</w:t>
      </w:r>
      <w:r w:rsidR="0029754E" w:rsidRPr="004F5FB4">
        <w:rPr>
          <w:color w:val="000000"/>
        </w:rPr>
        <w:t> </w:t>
      </w:r>
      <w:r w:rsidRPr="004F5FB4">
        <w:rPr>
          <w:color w:val="000000"/>
        </w:rPr>
        <w:t xml:space="preserve">12 nicht angesprochen hat, nochmals sorgfältig überdacht werden. </w:t>
      </w:r>
    </w:p>
    <w:p w14:paraId="0F177313" w14:textId="77777777" w:rsidR="00030BF1" w:rsidRPr="004F5FB4" w:rsidRDefault="00030BF1" w:rsidP="0075475A">
      <w:pPr>
        <w:pStyle w:val="BodyText"/>
        <w:widowControl/>
        <w:tabs>
          <w:tab w:val="left" w:pos="9000"/>
        </w:tabs>
        <w:kinsoku w:val="0"/>
        <w:overflowPunct w:val="0"/>
        <w:ind w:left="0"/>
        <w:rPr>
          <w:color w:val="000000"/>
        </w:rPr>
      </w:pPr>
    </w:p>
    <w:p w14:paraId="11A66451" w14:textId="77777777" w:rsidR="008D74DD" w:rsidRPr="004F5FB4" w:rsidRDefault="00934A72" w:rsidP="0075475A">
      <w:pPr>
        <w:pStyle w:val="BodyText"/>
        <w:widowControl/>
        <w:tabs>
          <w:tab w:val="left" w:pos="9000"/>
        </w:tabs>
        <w:kinsoku w:val="0"/>
        <w:overflowPunct w:val="0"/>
        <w:ind w:left="0"/>
        <w:rPr>
          <w:color w:val="000000"/>
        </w:rPr>
      </w:pPr>
      <w:r w:rsidRPr="004F5FB4">
        <w:rPr>
          <w:color w:val="000000"/>
        </w:rPr>
        <w:t>Es gibt in dieser Indikation keinen relevanten Nutzen von Adalimumab bei Kindern</w:t>
      </w:r>
      <w:r w:rsidR="008D74DD" w:rsidRPr="004F5FB4">
        <w:rPr>
          <w:color w:val="000000"/>
        </w:rPr>
        <w:t>, die jünger als 6</w:t>
      </w:r>
      <w:r w:rsidR="0029754E" w:rsidRPr="004F5FB4">
        <w:rPr>
          <w:color w:val="000000"/>
        </w:rPr>
        <w:t> </w:t>
      </w:r>
      <w:r w:rsidR="008D74DD" w:rsidRPr="004F5FB4">
        <w:rPr>
          <w:color w:val="000000"/>
        </w:rPr>
        <w:t>Jahre sind.</w:t>
      </w:r>
    </w:p>
    <w:p w14:paraId="376324AF" w14:textId="77777777" w:rsidR="00092E33" w:rsidRPr="004F5FB4" w:rsidRDefault="00092E33" w:rsidP="0075475A">
      <w:pPr>
        <w:pStyle w:val="BodyText"/>
        <w:widowControl/>
        <w:tabs>
          <w:tab w:val="left" w:pos="9000"/>
        </w:tabs>
        <w:kinsoku w:val="0"/>
        <w:overflowPunct w:val="0"/>
        <w:ind w:left="0"/>
        <w:rPr>
          <w:color w:val="000000"/>
        </w:rPr>
      </w:pPr>
    </w:p>
    <w:p w14:paraId="71831C52" w14:textId="77777777" w:rsidR="00092E33" w:rsidRPr="004F5FB4" w:rsidRDefault="006A1144" w:rsidP="0075475A">
      <w:pPr>
        <w:pStyle w:val="BodyText"/>
        <w:widowControl/>
        <w:tabs>
          <w:tab w:val="left" w:pos="9000"/>
        </w:tabs>
        <w:kinsoku w:val="0"/>
        <w:overflowPunct w:val="0"/>
        <w:ind w:left="0"/>
        <w:rPr>
          <w:color w:val="000000"/>
        </w:rPr>
      </w:pPr>
      <w:r w:rsidRPr="004F5FB4">
        <w:rPr>
          <w:color w:val="000000"/>
        </w:rPr>
        <w:t>Abhängig von den individuellen Behandlungsbedürfnissen kann Amsparity auch in anderen Stärken und/</w:t>
      </w:r>
      <w:r w:rsidR="00D50393" w:rsidRPr="004F5FB4">
        <w:rPr>
          <w:color w:val="000000"/>
        </w:rPr>
        <w:t xml:space="preserve"> </w:t>
      </w:r>
      <w:r w:rsidRPr="004F5FB4">
        <w:rPr>
          <w:color w:val="000000"/>
        </w:rPr>
        <w:t>oder Darreichungsformen erhältlich sein.</w:t>
      </w:r>
    </w:p>
    <w:p w14:paraId="4DE27252" w14:textId="77777777" w:rsidR="00030BF1" w:rsidRPr="004F5FB4" w:rsidRDefault="00030BF1" w:rsidP="0075475A">
      <w:pPr>
        <w:pStyle w:val="BodyText"/>
        <w:widowControl/>
        <w:tabs>
          <w:tab w:val="left" w:pos="9000"/>
        </w:tabs>
        <w:kinsoku w:val="0"/>
        <w:overflowPunct w:val="0"/>
        <w:ind w:left="0"/>
        <w:rPr>
          <w:color w:val="000000"/>
        </w:rPr>
      </w:pPr>
    </w:p>
    <w:p w14:paraId="03488970" w14:textId="77777777" w:rsidR="008D74DD" w:rsidRPr="004F5FB4" w:rsidRDefault="008D74DD" w:rsidP="0075475A">
      <w:pPr>
        <w:pStyle w:val="BodyText"/>
        <w:widowControl/>
        <w:kinsoku w:val="0"/>
        <w:overflowPunct w:val="0"/>
        <w:ind w:left="0"/>
        <w:rPr>
          <w:color w:val="000000"/>
        </w:rPr>
      </w:pPr>
      <w:r w:rsidRPr="004F5FB4">
        <w:rPr>
          <w:i/>
          <w:iCs/>
          <w:color w:val="000000"/>
        </w:rPr>
        <w:t>Uveitis bei Kindern und Jugendlichen</w:t>
      </w:r>
    </w:p>
    <w:p w14:paraId="10CD3268" w14:textId="77777777" w:rsidR="008D74DD" w:rsidRPr="004F5FB4" w:rsidRDefault="008D74DD" w:rsidP="0075475A">
      <w:pPr>
        <w:pStyle w:val="BodyText"/>
        <w:widowControl/>
        <w:kinsoku w:val="0"/>
        <w:overflowPunct w:val="0"/>
        <w:ind w:left="0"/>
        <w:rPr>
          <w:i/>
          <w:iCs/>
          <w:color w:val="000000"/>
          <w:szCs w:val="21"/>
        </w:rPr>
      </w:pPr>
    </w:p>
    <w:p w14:paraId="2B137369" w14:textId="77777777" w:rsidR="008D74DD" w:rsidRPr="004F5FB4" w:rsidRDefault="008D74DD" w:rsidP="0075475A">
      <w:pPr>
        <w:pStyle w:val="BodyText"/>
        <w:widowControl/>
        <w:kinsoku w:val="0"/>
        <w:overflowPunct w:val="0"/>
        <w:ind w:left="0"/>
        <w:rPr>
          <w:color w:val="000000"/>
        </w:rPr>
      </w:pPr>
      <w:r w:rsidRPr="004F5FB4">
        <w:rPr>
          <w:color w:val="000000"/>
        </w:rPr>
        <w:t>Die empfohlene Dosis von Amsparity bei Kindern und Jugendlichen mit Uveitis ab einem Alter von 2 Jahren wird anhand des Körpergewichts bestimmt (Tabelle</w:t>
      </w:r>
      <w:r w:rsidR="0029754E" w:rsidRPr="004F5FB4">
        <w:rPr>
          <w:color w:val="000000"/>
        </w:rPr>
        <w:t> </w:t>
      </w:r>
      <w:r w:rsidRPr="004F5FB4">
        <w:rPr>
          <w:color w:val="000000"/>
        </w:rPr>
        <w:t xml:space="preserve">5). Amsparity wird subkutan injiziert. </w:t>
      </w:r>
    </w:p>
    <w:p w14:paraId="243F5365" w14:textId="77777777" w:rsidR="008D74DD" w:rsidRPr="004F5FB4" w:rsidRDefault="008D74DD" w:rsidP="0075475A">
      <w:pPr>
        <w:pStyle w:val="BodyText"/>
        <w:widowControl/>
        <w:kinsoku w:val="0"/>
        <w:overflowPunct w:val="0"/>
        <w:ind w:left="0"/>
        <w:rPr>
          <w:color w:val="000000"/>
        </w:rPr>
      </w:pPr>
    </w:p>
    <w:p w14:paraId="2C6F11C6" w14:textId="77777777" w:rsidR="008D74DD" w:rsidRPr="004F5FB4" w:rsidRDefault="008D74DD" w:rsidP="0075475A">
      <w:pPr>
        <w:pStyle w:val="BodyText"/>
        <w:widowControl/>
        <w:kinsoku w:val="0"/>
        <w:overflowPunct w:val="0"/>
        <w:ind w:left="0"/>
        <w:rPr>
          <w:color w:val="000000"/>
        </w:rPr>
      </w:pPr>
      <w:r w:rsidRPr="004F5FB4">
        <w:rPr>
          <w:color w:val="000000"/>
        </w:rPr>
        <w:t>Es gibt keine Erfahrungen für die Behandlung der Uveitis bei Kindern und Jugendlichen mit Adalimumab ohne die gleichzeitige Behandlung mit Methotrexat.</w:t>
      </w:r>
    </w:p>
    <w:p w14:paraId="3C09A8BB" w14:textId="77777777" w:rsidR="00C355EC" w:rsidRPr="004F5FB4" w:rsidRDefault="00C355EC" w:rsidP="0075475A">
      <w:pPr>
        <w:pStyle w:val="BodyText"/>
        <w:widowControl/>
        <w:kinsoku w:val="0"/>
        <w:overflowPunct w:val="0"/>
        <w:ind w:left="0"/>
        <w:rPr>
          <w:color w:val="000000"/>
        </w:rPr>
      </w:pPr>
    </w:p>
    <w:p w14:paraId="599AD291" w14:textId="77777777" w:rsidR="009F2EB6" w:rsidRPr="004F5FB4" w:rsidRDefault="00C355EC" w:rsidP="00687087">
      <w:pPr>
        <w:pStyle w:val="BodyText"/>
        <w:widowControl/>
        <w:kinsoku w:val="0"/>
        <w:overflowPunct w:val="0"/>
        <w:ind w:left="0"/>
        <w:rPr>
          <w:b/>
          <w:bCs/>
          <w:color w:val="000000"/>
        </w:rPr>
      </w:pPr>
      <w:r w:rsidRPr="004F5FB4">
        <w:rPr>
          <w:b/>
          <w:bCs/>
          <w:color w:val="000000"/>
        </w:rPr>
        <w:t>Tabelle</w:t>
      </w:r>
      <w:r w:rsidR="0029754E" w:rsidRPr="004F5FB4">
        <w:rPr>
          <w:b/>
          <w:bCs/>
          <w:color w:val="000000"/>
        </w:rPr>
        <w:t> </w:t>
      </w:r>
      <w:r w:rsidRPr="004F5FB4">
        <w:rPr>
          <w:b/>
          <w:bCs/>
          <w:color w:val="000000"/>
        </w:rPr>
        <w:t>5</w:t>
      </w:r>
    </w:p>
    <w:p w14:paraId="238CED34" w14:textId="77777777" w:rsidR="00C355EC" w:rsidRPr="004F5FB4" w:rsidRDefault="006A1144" w:rsidP="00687087">
      <w:pPr>
        <w:pStyle w:val="BodyText"/>
        <w:widowControl/>
        <w:kinsoku w:val="0"/>
        <w:overflowPunct w:val="0"/>
        <w:ind w:left="0"/>
        <w:rPr>
          <w:b/>
          <w:bCs/>
          <w:color w:val="000000"/>
        </w:rPr>
      </w:pPr>
      <w:r w:rsidRPr="004F5FB4">
        <w:rPr>
          <w:b/>
          <w:color w:val="000000"/>
        </w:rPr>
        <w:t>Amsparity-Dosis für Kinder und Jugendliche mit Uveitis</w:t>
      </w:r>
    </w:p>
    <w:p w14:paraId="7074A646" w14:textId="77777777" w:rsidR="00C355EC" w:rsidRPr="004F5FB4" w:rsidRDefault="00C355EC" w:rsidP="0075475A">
      <w:pPr>
        <w:pStyle w:val="BodyText"/>
        <w:widowControl/>
        <w:kinsoku w:val="0"/>
        <w:overflowPunct w:val="0"/>
        <w:ind w:left="0"/>
        <w:rPr>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4706"/>
      </w:tblGrid>
      <w:tr w:rsidR="00C355EC" w:rsidRPr="004F5FB4" w14:paraId="5984D8A8" w14:textId="77777777" w:rsidTr="00054A92">
        <w:trPr>
          <w:jc w:val="center"/>
        </w:trPr>
        <w:tc>
          <w:tcPr>
            <w:tcW w:w="3510" w:type="dxa"/>
            <w:tcBorders>
              <w:left w:val="nil"/>
              <w:right w:val="nil"/>
            </w:tcBorders>
            <w:shd w:val="clear" w:color="auto" w:fill="auto"/>
          </w:tcPr>
          <w:p w14:paraId="461BC916" w14:textId="77777777" w:rsidR="00C355EC" w:rsidRPr="004F5FB4" w:rsidRDefault="00C355EC" w:rsidP="0075475A">
            <w:pPr>
              <w:pStyle w:val="BodyText"/>
              <w:widowControl/>
              <w:kinsoku w:val="0"/>
              <w:overflowPunct w:val="0"/>
              <w:ind w:left="0"/>
              <w:jc w:val="center"/>
              <w:rPr>
                <w:b/>
                <w:color w:val="000000"/>
              </w:rPr>
            </w:pPr>
            <w:r w:rsidRPr="004F5FB4">
              <w:rPr>
                <w:b/>
                <w:color w:val="000000"/>
              </w:rPr>
              <w:t>Gewicht des Patienten</w:t>
            </w:r>
          </w:p>
        </w:tc>
        <w:tc>
          <w:tcPr>
            <w:tcW w:w="3780" w:type="dxa"/>
            <w:tcBorders>
              <w:left w:val="nil"/>
              <w:right w:val="nil"/>
            </w:tcBorders>
            <w:shd w:val="clear" w:color="auto" w:fill="auto"/>
          </w:tcPr>
          <w:p w14:paraId="32FE1BFF" w14:textId="77777777" w:rsidR="00C355EC" w:rsidRPr="004F5FB4" w:rsidRDefault="00C355EC" w:rsidP="0075475A">
            <w:pPr>
              <w:pStyle w:val="BodyText"/>
              <w:widowControl/>
              <w:kinsoku w:val="0"/>
              <w:overflowPunct w:val="0"/>
              <w:ind w:left="0"/>
              <w:jc w:val="center"/>
              <w:rPr>
                <w:b/>
                <w:color w:val="000000"/>
              </w:rPr>
            </w:pPr>
            <w:r w:rsidRPr="004F5FB4">
              <w:rPr>
                <w:b/>
                <w:color w:val="000000"/>
              </w:rPr>
              <w:t>Dosierungsschema</w:t>
            </w:r>
          </w:p>
        </w:tc>
      </w:tr>
      <w:tr w:rsidR="00C355EC" w:rsidRPr="004F5FB4" w14:paraId="21CA6689" w14:textId="77777777" w:rsidTr="00054A92">
        <w:trPr>
          <w:jc w:val="center"/>
        </w:trPr>
        <w:tc>
          <w:tcPr>
            <w:tcW w:w="3510" w:type="dxa"/>
            <w:tcBorders>
              <w:left w:val="nil"/>
              <w:right w:val="nil"/>
            </w:tcBorders>
            <w:shd w:val="clear" w:color="auto" w:fill="auto"/>
          </w:tcPr>
          <w:p w14:paraId="587888C2" w14:textId="77777777" w:rsidR="00C355EC" w:rsidRPr="004F5FB4" w:rsidRDefault="00C355EC" w:rsidP="0075475A">
            <w:pPr>
              <w:pStyle w:val="BodyText"/>
              <w:widowControl/>
              <w:kinsoku w:val="0"/>
              <w:overflowPunct w:val="0"/>
              <w:ind w:left="0"/>
              <w:jc w:val="center"/>
              <w:rPr>
                <w:color w:val="000000"/>
              </w:rPr>
            </w:pPr>
            <w:r w:rsidRPr="004F5FB4">
              <w:rPr>
                <w:color w:val="000000"/>
              </w:rPr>
              <w:t>&lt;</w:t>
            </w:r>
            <w:r w:rsidR="0029754E" w:rsidRPr="004F5FB4">
              <w:rPr>
                <w:color w:val="000000"/>
              </w:rPr>
              <w:t> </w:t>
            </w:r>
            <w:r w:rsidRPr="004F5FB4">
              <w:rPr>
                <w:color w:val="000000"/>
              </w:rPr>
              <w:t>30</w:t>
            </w:r>
            <w:r w:rsidR="0029754E" w:rsidRPr="004F5FB4">
              <w:rPr>
                <w:color w:val="000000"/>
              </w:rPr>
              <w:t> </w:t>
            </w:r>
            <w:r w:rsidRPr="004F5FB4">
              <w:rPr>
                <w:color w:val="000000"/>
              </w:rPr>
              <w:t>kg</w:t>
            </w:r>
          </w:p>
        </w:tc>
        <w:tc>
          <w:tcPr>
            <w:tcW w:w="3780" w:type="dxa"/>
            <w:tcBorders>
              <w:left w:val="nil"/>
              <w:right w:val="nil"/>
            </w:tcBorders>
            <w:shd w:val="clear" w:color="auto" w:fill="auto"/>
          </w:tcPr>
          <w:p w14:paraId="2323719D" w14:textId="77777777" w:rsidR="00C355EC" w:rsidRPr="004F5FB4" w:rsidRDefault="00C355EC" w:rsidP="00B56A49">
            <w:pPr>
              <w:autoSpaceDE w:val="0"/>
              <w:autoSpaceDN w:val="0"/>
              <w:adjustRightInd w:val="0"/>
              <w:rPr>
                <w:color w:val="000000"/>
              </w:rPr>
            </w:pPr>
            <w:r w:rsidRPr="004F5FB4">
              <w:rPr>
                <w:color w:val="000000"/>
              </w:rPr>
              <w:t>20</w:t>
            </w:r>
            <w:r w:rsidR="0029754E" w:rsidRPr="004F5FB4">
              <w:rPr>
                <w:color w:val="000000"/>
              </w:rPr>
              <w:t> </w:t>
            </w:r>
            <w:r w:rsidRPr="004F5FB4">
              <w:rPr>
                <w:color w:val="000000"/>
              </w:rPr>
              <w:t>mg jede zweite Woche in Kombination mit Methotrexat</w:t>
            </w:r>
          </w:p>
        </w:tc>
      </w:tr>
      <w:tr w:rsidR="00C355EC" w:rsidRPr="004F5FB4" w14:paraId="7161AD2D" w14:textId="77777777" w:rsidTr="00054A92">
        <w:trPr>
          <w:jc w:val="center"/>
        </w:trPr>
        <w:tc>
          <w:tcPr>
            <w:tcW w:w="3510" w:type="dxa"/>
            <w:tcBorders>
              <w:left w:val="nil"/>
              <w:right w:val="nil"/>
            </w:tcBorders>
            <w:shd w:val="clear" w:color="auto" w:fill="auto"/>
          </w:tcPr>
          <w:p w14:paraId="6CCC48B8" w14:textId="77777777" w:rsidR="00C355EC" w:rsidRPr="004F5FB4" w:rsidRDefault="00C355EC" w:rsidP="0075475A">
            <w:pPr>
              <w:pStyle w:val="BodyText"/>
              <w:widowControl/>
              <w:kinsoku w:val="0"/>
              <w:overflowPunct w:val="0"/>
              <w:ind w:left="0"/>
              <w:jc w:val="center"/>
              <w:rPr>
                <w:color w:val="000000"/>
              </w:rPr>
            </w:pPr>
            <w:r w:rsidRPr="004F5FB4">
              <w:rPr>
                <w:color w:val="000000"/>
              </w:rPr>
              <w:t>≥</w:t>
            </w:r>
            <w:r w:rsidR="0029754E" w:rsidRPr="004F5FB4">
              <w:rPr>
                <w:color w:val="000000"/>
              </w:rPr>
              <w:t> </w:t>
            </w:r>
            <w:r w:rsidRPr="004F5FB4">
              <w:rPr>
                <w:color w:val="000000"/>
              </w:rPr>
              <w:t>30</w:t>
            </w:r>
            <w:r w:rsidR="0029754E" w:rsidRPr="004F5FB4">
              <w:rPr>
                <w:color w:val="000000"/>
              </w:rPr>
              <w:t> </w:t>
            </w:r>
            <w:r w:rsidRPr="004F5FB4">
              <w:rPr>
                <w:color w:val="000000"/>
              </w:rPr>
              <w:t>kg</w:t>
            </w:r>
          </w:p>
        </w:tc>
        <w:tc>
          <w:tcPr>
            <w:tcW w:w="3780" w:type="dxa"/>
            <w:tcBorders>
              <w:left w:val="nil"/>
              <w:right w:val="nil"/>
            </w:tcBorders>
            <w:shd w:val="clear" w:color="auto" w:fill="auto"/>
          </w:tcPr>
          <w:p w14:paraId="740EA876" w14:textId="77777777" w:rsidR="00C355EC" w:rsidRPr="004F5FB4" w:rsidRDefault="00C355EC" w:rsidP="00B56A49">
            <w:pPr>
              <w:autoSpaceDE w:val="0"/>
              <w:autoSpaceDN w:val="0"/>
              <w:adjustRightInd w:val="0"/>
              <w:rPr>
                <w:color w:val="000000"/>
              </w:rPr>
            </w:pPr>
            <w:r w:rsidRPr="004F5FB4">
              <w:rPr>
                <w:color w:val="000000"/>
              </w:rPr>
              <w:t>40</w:t>
            </w:r>
            <w:r w:rsidR="0029754E" w:rsidRPr="004F5FB4">
              <w:rPr>
                <w:color w:val="000000"/>
              </w:rPr>
              <w:t> </w:t>
            </w:r>
            <w:r w:rsidRPr="004F5FB4">
              <w:rPr>
                <w:color w:val="000000"/>
              </w:rPr>
              <w:t>mg jede zweite Woche in Kombination mit Methotrexat</w:t>
            </w:r>
          </w:p>
        </w:tc>
      </w:tr>
    </w:tbl>
    <w:p w14:paraId="4B3D905B" w14:textId="77777777" w:rsidR="00C355EC" w:rsidRPr="004F5FB4" w:rsidRDefault="00C355EC" w:rsidP="0075475A">
      <w:pPr>
        <w:pStyle w:val="BodyText"/>
        <w:widowControl/>
        <w:kinsoku w:val="0"/>
        <w:overflowPunct w:val="0"/>
        <w:ind w:left="0"/>
        <w:rPr>
          <w:color w:val="000000"/>
        </w:rPr>
      </w:pPr>
    </w:p>
    <w:p w14:paraId="13D7DA63" w14:textId="77777777" w:rsidR="008D74DD" w:rsidRPr="004F5FB4" w:rsidRDefault="008D74DD" w:rsidP="0075475A">
      <w:pPr>
        <w:pStyle w:val="BodyText"/>
        <w:widowControl/>
        <w:kinsoku w:val="0"/>
        <w:overflowPunct w:val="0"/>
        <w:ind w:left="0"/>
        <w:rPr>
          <w:color w:val="000000"/>
        </w:rPr>
      </w:pPr>
      <w:r w:rsidRPr="004F5FB4">
        <w:rPr>
          <w:color w:val="000000"/>
        </w:rPr>
        <w:t>Wenn mit der Amsparity-Therapie begonnen wird, kann eine Woche vor Beginn der Erhaltungstherapie eine Induktionsdosis von 40</w:t>
      </w:r>
      <w:r w:rsidR="0029754E" w:rsidRPr="004F5FB4">
        <w:rPr>
          <w:color w:val="000000"/>
        </w:rPr>
        <w:t> </w:t>
      </w:r>
      <w:r w:rsidRPr="004F5FB4">
        <w:rPr>
          <w:color w:val="000000"/>
        </w:rPr>
        <w:t>mg bei Patienten &lt;</w:t>
      </w:r>
      <w:r w:rsidR="0029754E" w:rsidRPr="004F5FB4">
        <w:rPr>
          <w:color w:val="000000"/>
        </w:rPr>
        <w:t> </w:t>
      </w:r>
      <w:r w:rsidRPr="004F5FB4">
        <w:rPr>
          <w:color w:val="000000"/>
        </w:rPr>
        <w:t>30</w:t>
      </w:r>
      <w:r w:rsidR="0029754E" w:rsidRPr="004F5FB4">
        <w:rPr>
          <w:color w:val="000000"/>
        </w:rPr>
        <w:t> </w:t>
      </w:r>
      <w:r w:rsidRPr="004F5FB4">
        <w:rPr>
          <w:color w:val="000000"/>
        </w:rPr>
        <w:t>kg bzw. 80</w:t>
      </w:r>
      <w:r w:rsidR="0029754E" w:rsidRPr="004F5FB4">
        <w:rPr>
          <w:color w:val="000000"/>
        </w:rPr>
        <w:t> </w:t>
      </w:r>
      <w:r w:rsidRPr="004F5FB4">
        <w:rPr>
          <w:color w:val="000000"/>
        </w:rPr>
        <w:t xml:space="preserve">mg bei Patienten </w:t>
      </w:r>
      <w:r w:rsidRPr="004F5FB4">
        <w:rPr>
          <w:color w:val="000000"/>
        </w:rPr>
        <w:lastRenderedPageBreak/>
        <w:t>≥</w:t>
      </w:r>
      <w:r w:rsidR="00407FE6" w:rsidRPr="004F5FB4">
        <w:rPr>
          <w:color w:val="000000"/>
        </w:rPr>
        <w:t> </w:t>
      </w:r>
      <w:r w:rsidRPr="004F5FB4">
        <w:rPr>
          <w:color w:val="000000"/>
        </w:rPr>
        <w:t>30</w:t>
      </w:r>
      <w:r w:rsidR="00BE59FE" w:rsidRPr="004F5FB4">
        <w:rPr>
          <w:color w:val="000000"/>
        </w:rPr>
        <w:t> </w:t>
      </w:r>
      <w:r w:rsidRPr="004F5FB4">
        <w:rPr>
          <w:color w:val="000000"/>
        </w:rPr>
        <w:t>kg verabreicht werden. Zur Anwendung einer Amsparity-Induktionsdosis bei Kindern &lt;</w:t>
      </w:r>
      <w:r w:rsidR="0029754E" w:rsidRPr="004F5FB4">
        <w:rPr>
          <w:color w:val="000000"/>
        </w:rPr>
        <w:t> </w:t>
      </w:r>
      <w:r w:rsidRPr="004F5FB4">
        <w:rPr>
          <w:color w:val="000000"/>
        </w:rPr>
        <w:t>6</w:t>
      </w:r>
      <w:r w:rsidR="0029754E" w:rsidRPr="004F5FB4">
        <w:rPr>
          <w:color w:val="000000"/>
        </w:rPr>
        <w:t> </w:t>
      </w:r>
      <w:r w:rsidRPr="004F5FB4">
        <w:rPr>
          <w:color w:val="000000"/>
        </w:rPr>
        <w:t>Jahren sind keine klinischen Daten vorhanden (siehe Abschnitt</w:t>
      </w:r>
      <w:r w:rsidR="0029754E" w:rsidRPr="004F5FB4">
        <w:rPr>
          <w:color w:val="000000"/>
        </w:rPr>
        <w:t> </w:t>
      </w:r>
      <w:r w:rsidRPr="004F5FB4">
        <w:rPr>
          <w:color w:val="000000"/>
        </w:rPr>
        <w:t>5.2).</w:t>
      </w:r>
    </w:p>
    <w:p w14:paraId="5AE1CDF2" w14:textId="77777777" w:rsidR="008D74DD" w:rsidRPr="004F5FB4" w:rsidRDefault="008D74DD" w:rsidP="0075475A">
      <w:pPr>
        <w:pStyle w:val="BodyText"/>
        <w:widowControl/>
        <w:kinsoku w:val="0"/>
        <w:overflowPunct w:val="0"/>
        <w:ind w:left="0"/>
        <w:rPr>
          <w:color w:val="000000"/>
          <w:szCs w:val="21"/>
        </w:rPr>
      </w:pPr>
    </w:p>
    <w:p w14:paraId="23A6AFC8" w14:textId="77777777" w:rsidR="008D74DD" w:rsidRPr="004F5FB4" w:rsidRDefault="008D74DD" w:rsidP="0075475A">
      <w:pPr>
        <w:pStyle w:val="BodyText"/>
        <w:widowControl/>
        <w:kinsoku w:val="0"/>
        <w:overflowPunct w:val="0"/>
        <w:ind w:left="0"/>
        <w:rPr>
          <w:color w:val="000000"/>
        </w:rPr>
      </w:pPr>
      <w:r w:rsidRPr="004F5FB4">
        <w:rPr>
          <w:color w:val="000000"/>
        </w:rPr>
        <w:t>Für diese Indikation gibt es bei Kindern, die jünger als 2</w:t>
      </w:r>
      <w:r w:rsidR="0029754E" w:rsidRPr="004F5FB4">
        <w:rPr>
          <w:color w:val="000000"/>
        </w:rPr>
        <w:t> </w:t>
      </w:r>
      <w:r w:rsidRPr="004F5FB4">
        <w:rPr>
          <w:color w:val="000000"/>
        </w:rPr>
        <w:t>Jahre sind, keine relevante Anwendung von Adalimumab.</w:t>
      </w:r>
    </w:p>
    <w:p w14:paraId="4CB25097" w14:textId="77777777" w:rsidR="008D74DD" w:rsidRPr="004F5FB4" w:rsidRDefault="008D74DD" w:rsidP="0075475A">
      <w:pPr>
        <w:pStyle w:val="BodyText"/>
        <w:widowControl/>
        <w:kinsoku w:val="0"/>
        <w:overflowPunct w:val="0"/>
        <w:ind w:left="0"/>
        <w:rPr>
          <w:color w:val="000000"/>
        </w:rPr>
      </w:pPr>
    </w:p>
    <w:p w14:paraId="6FCA8EE3" w14:textId="77777777" w:rsidR="008D74DD" w:rsidRPr="004F5FB4" w:rsidRDefault="008D74DD" w:rsidP="0075475A">
      <w:pPr>
        <w:pStyle w:val="BodyText"/>
        <w:widowControl/>
        <w:kinsoku w:val="0"/>
        <w:overflowPunct w:val="0"/>
        <w:ind w:left="0"/>
        <w:rPr>
          <w:color w:val="000000"/>
        </w:rPr>
      </w:pPr>
      <w:r w:rsidRPr="004F5FB4">
        <w:rPr>
          <w:color w:val="000000"/>
        </w:rPr>
        <w:t>Es wird empfohlen, Nutzen und Risiko einer Langzeitbehandlung jährlich zu beurteilen (siehe Abschnitt</w:t>
      </w:r>
      <w:r w:rsidR="0029754E" w:rsidRPr="004F5FB4">
        <w:rPr>
          <w:color w:val="000000"/>
        </w:rPr>
        <w:t> </w:t>
      </w:r>
      <w:r w:rsidRPr="004F5FB4">
        <w:rPr>
          <w:color w:val="000000"/>
        </w:rPr>
        <w:t>5.1).</w:t>
      </w:r>
    </w:p>
    <w:p w14:paraId="48D89918" w14:textId="77777777" w:rsidR="006C0A01" w:rsidRPr="004F5FB4" w:rsidRDefault="006C0A01" w:rsidP="0075475A">
      <w:pPr>
        <w:pStyle w:val="BodyText"/>
        <w:widowControl/>
        <w:kinsoku w:val="0"/>
        <w:overflowPunct w:val="0"/>
        <w:ind w:left="0"/>
        <w:rPr>
          <w:color w:val="000000"/>
        </w:rPr>
      </w:pPr>
    </w:p>
    <w:p w14:paraId="387606A9" w14:textId="77777777" w:rsidR="006C0A01" w:rsidRPr="004F5FB4" w:rsidRDefault="006A1144" w:rsidP="0075475A">
      <w:pPr>
        <w:pStyle w:val="BodyText"/>
        <w:widowControl/>
        <w:kinsoku w:val="0"/>
        <w:overflowPunct w:val="0"/>
        <w:ind w:left="0"/>
        <w:rPr>
          <w:color w:val="000000"/>
        </w:rPr>
      </w:pPr>
      <w:r w:rsidRPr="004F5FB4">
        <w:rPr>
          <w:color w:val="000000"/>
        </w:rPr>
        <w:t xml:space="preserve">Abhängig von den individuellen Behandlungsbedürfnissen kann Amsparity auch in anderen Stärken </w:t>
      </w:r>
      <w:r w:rsidR="00F35054" w:rsidRPr="004F5FB4">
        <w:rPr>
          <w:color w:val="000000"/>
        </w:rPr>
        <w:t>und/</w:t>
      </w:r>
      <w:r w:rsidR="009F2EB6" w:rsidRPr="004F5FB4">
        <w:rPr>
          <w:color w:val="000000"/>
        </w:rPr>
        <w:t> </w:t>
      </w:r>
      <w:r w:rsidR="00F35054" w:rsidRPr="004F5FB4">
        <w:rPr>
          <w:color w:val="000000"/>
        </w:rPr>
        <w:t>oder</w:t>
      </w:r>
      <w:r w:rsidRPr="004F5FB4">
        <w:rPr>
          <w:color w:val="000000"/>
        </w:rPr>
        <w:t xml:space="preserve"> Darreichungsformen erhältlich sein.</w:t>
      </w:r>
    </w:p>
    <w:p w14:paraId="22EA4C2D" w14:textId="77777777" w:rsidR="008D74DD" w:rsidRPr="004F5FB4" w:rsidRDefault="008D74DD" w:rsidP="0075475A">
      <w:pPr>
        <w:pStyle w:val="BodyText"/>
        <w:widowControl/>
        <w:kinsoku w:val="0"/>
        <w:overflowPunct w:val="0"/>
        <w:ind w:left="0"/>
        <w:rPr>
          <w:color w:val="000000"/>
        </w:rPr>
      </w:pPr>
    </w:p>
    <w:p w14:paraId="11791877" w14:textId="77777777" w:rsidR="008D74DD" w:rsidRPr="004F5FB4" w:rsidRDefault="008D74DD" w:rsidP="0075475A">
      <w:pPr>
        <w:pStyle w:val="BodyText"/>
        <w:widowControl/>
        <w:kinsoku w:val="0"/>
        <w:overflowPunct w:val="0"/>
        <w:ind w:left="0"/>
        <w:rPr>
          <w:color w:val="000000"/>
        </w:rPr>
      </w:pPr>
      <w:r w:rsidRPr="004F5FB4">
        <w:rPr>
          <w:color w:val="000000"/>
          <w:u w:val="single"/>
        </w:rPr>
        <w:t>Nieren- und/</w:t>
      </w:r>
      <w:r w:rsidR="00662D3E" w:rsidRPr="004F5FB4">
        <w:rPr>
          <w:color w:val="000000"/>
          <w:u w:val="single"/>
        </w:rPr>
        <w:t xml:space="preserve"> </w:t>
      </w:r>
      <w:r w:rsidRPr="004F5FB4">
        <w:rPr>
          <w:color w:val="000000"/>
          <w:u w:val="single"/>
        </w:rPr>
        <w:t>oder Leberfunktionsstörungen</w:t>
      </w:r>
    </w:p>
    <w:p w14:paraId="6DAC56F5" w14:textId="77777777" w:rsidR="008D74DD" w:rsidRPr="004F5FB4" w:rsidRDefault="008D74DD" w:rsidP="0075475A">
      <w:pPr>
        <w:pStyle w:val="BodyText"/>
        <w:widowControl/>
        <w:kinsoku w:val="0"/>
        <w:overflowPunct w:val="0"/>
        <w:ind w:left="0"/>
        <w:rPr>
          <w:color w:val="000000"/>
        </w:rPr>
      </w:pPr>
    </w:p>
    <w:p w14:paraId="0790EB05" w14:textId="77777777" w:rsidR="00AB7DCB" w:rsidRPr="004F5FB4" w:rsidRDefault="0068197E" w:rsidP="0075475A">
      <w:pPr>
        <w:pStyle w:val="BodyText"/>
        <w:widowControl/>
        <w:kinsoku w:val="0"/>
        <w:overflowPunct w:val="0"/>
        <w:ind w:left="0"/>
        <w:rPr>
          <w:color w:val="000000"/>
        </w:rPr>
      </w:pPr>
      <w:r w:rsidRPr="004F5FB4">
        <w:rPr>
          <w:color w:val="000000"/>
        </w:rPr>
        <w:t xml:space="preserve">Adalimumab wurde in dieser Patientengruppe nicht untersucht. Eine Dosisempfehlung kann nicht gegeben werden. </w:t>
      </w:r>
    </w:p>
    <w:p w14:paraId="5D94D596" w14:textId="77777777" w:rsidR="00AB7DCB" w:rsidRPr="004F5FB4" w:rsidRDefault="00AB7DCB" w:rsidP="0075475A">
      <w:pPr>
        <w:pStyle w:val="BodyText"/>
        <w:widowControl/>
        <w:kinsoku w:val="0"/>
        <w:overflowPunct w:val="0"/>
        <w:ind w:left="0"/>
        <w:rPr>
          <w:color w:val="000000"/>
          <w:u w:val="single"/>
        </w:rPr>
      </w:pPr>
    </w:p>
    <w:p w14:paraId="31D2D33B" w14:textId="77777777" w:rsidR="008D74DD" w:rsidRPr="004F5FB4" w:rsidRDefault="008D74DD" w:rsidP="0075475A">
      <w:pPr>
        <w:pStyle w:val="BodyText"/>
        <w:widowControl/>
        <w:kinsoku w:val="0"/>
        <w:overflowPunct w:val="0"/>
        <w:ind w:left="0"/>
        <w:rPr>
          <w:color w:val="000000"/>
        </w:rPr>
      </w:pPr>
      <w:r w:rsidRPr="004F5FB4">
        <w:rPr>
          <w:color w:val="000000"/>
          <w:u w:val="single"/>
        </w:rPr>
        <w:t>Art der Anwendung</w:t>
      </w:r>
    </w:p>
    <w:p w14:paraId="7FFE3BF2" w14:textId="77777777" w:rsidR="00AB7DCB" w:rsidRPr="004F5FB4" w:rsidRDefault="00AB7DCB" w:rsidP="0075475A">
      <w:pPr>
        <w:pStyle w:val="BodyText"/>
        <w:widowControl/>
        <w:kinsoku w:val="0"/>
        <w:overflowPunct w:val="0"/>
        <w:ind w:left="0"/>
        <w:rPr>
          <w:color w:val="000000"/>
        </w:rPr>
      </w:pPr>
    </w:p>
    <w:p w14:paraId="574EB7FC" w14:textId="77777777" w:rsidR="008D74DD" w:rsidRPr="004F5FB4" w:rsidRDefault="006A1144" w:rsidP="0075475A">
      <w:pPr>
        <w:pStyle w:val="BodyText"/>
        <w:widowControl/>
        <w:kinsoku w:val="0"/>
        <w:overflowPunct w:val="0"/>
        <w:ind w:left="0"/>
        <w:rPr>
          <w:color w:val="000000"/>
        </w:rPr>
      </w:pPr>
      <w:r w:rsidRPr="004F5FB4">
        <w:rPr>
          <w:color w:val="000000"/>
        </w:rPr>
        <w:t>Amsparity wird mittels subkutaner Injektion verabreicht. Die vollständige Anweisung für die Anwendung findet sich in der Packungsbeilage.</w:t>
      </w:r>
    </w:p>
    <w:p w14:paraId="01F52F2B" w14:textId="77777777" w:rsidR="008D74DD" w:rsidRPr="004F5FB4" w:rsidRDefault="008D74DD" w:rsidP="0075475A">
      <w:pPr>
        <w:pStyle w:val="BodyText"/>
        <w:widowControl/>
        <w:kinsoku w:val="0"/>
        <w:overflowPunct w:val="0"/>
        <w:ind w:left="0"/>
        <w:rPr>
          <w:color w:val="000000"/>
        </w:rPr>
      </w:pPr>
    </w:p>
    <w:p w14:paraId="361F3853" w14:textId="77777777" w:rsidR="008D74DD" w:rsidRPr="004F5FB4" w:rsidRDefault="006A1144" w:rsidP="0075475A">
      <w:pPr>
        <w:pStyle w:val="BodyText"/>
        <w:widowControl/>
        <w:kinsoku w:val="0"/>
        <w:overflowPunct w:val="0"/>
        <w:ind w:left="0"/>
        <w:rPr>
          <w:color w:val="000000"/>
        </w:rPr>
      </w:pPr>
      <w:r w:rsidRPr="004F5FB4">
        <w:rPr>
          <w:color w:val="000000"/>
        </w:rPr>
        <w:t>Amsparity ist auch in anderen Stärken und Darreichungsformen verfügbar.</w:t>
      </w:r>
    </w:p>
    <w:p w14:paraId="66C0885E" w14:textId="77777777" w:rsidR="002327BB" w:rsidRPr="004F5FB4" w:rsidRDefault="002327BB" w:rsidP="0075475A">
      <w:pPr>
        <w:pStyle w:val="BodyText"/>
        <w:widowControl/>
        <w:kinsoku w:val="0"/>
        <w:overflowPunct w:val="0"/>
        <w:ind w:left="0"/>
        <w:rPr>
          <w:color w:val="000000"/>
        </w:rPr>
      </w:pPr>
    </w:p>
    <w:p w14:paraId="033C622F" w14:textId="77777777" w:rsidR="00C355EC" w:rsidRPr="004F5FB4" w:rsidRDefault="00C355EC" w:rsidP="00CA7719">
      <w:pPr>
        <w:pStyle w:val="BodyText"/>
        <w:keepNext/>
        <w:widowControl/>
        <w:numPr>
          <w:ilvl w:val="1"/>
          <w:numId w:val="21"/>
        </w:numPr>
        <w:kinsoku w:val="0"/>
        <w:overflowPunct w:val="0"/>
        <w:spacing w:before="8"/>
        <w:ind w:left="0" w:firstLine="0"/>
        <w:rPr>
          <w:b/>
          <w:bCs/>
          <w:color w:val="000000"/>
        </w:rPr>
      </w:pPr>
      <w:r w:rsidRPr="00CA7719">
        <w:rPr>
          <w:b/>
          <w:bCs/>
          <w:color w:val="000000"/>
        </w:rPr>
        <w:t>Gegenanzeigen</w:t>
      </w:r>
    </w:p>
    <w:p w14:paraId="3E8F44FE" w14:textId="77777777" w:rsidR="00C355EC" w:rsidRPr="004F5FB4" w:rsidRDefault="00C355EC" w:rsidP="0075475A">
      <w:pPr>
        <w:pStyle w:val="BodyText"/>
        <w:widowControl/>
        <w:kinsoku w:val="0"/>
        <w:overflowPunct w:val="0"/>
        <w:ind w:left="0"/>
        <w:rPr>
          <w:b/>
          <w:bCs/>
          <w:color w:val="000000"/>
          <w:szCs w:val="21"/>
          <w:lang w:val="en-GB"/>
        </w:rPr>
      </w:pPr>
    </w:p>
    <w:p w14:paraId="1956ACA7" w14:textId="77777777" w:rsidR="00C355EC" w:rsidRPr="004F5FB4" w:rsidRDefault="00C355EC" w:rsidP="0075475A">
      <w:pPr>
        <w:pStyle w:val="BodyText"/>
        <w:widowControl/>
        <w:kinsoku w:val="0"/>
        <w:overflowPunct w:val="0"/>
        <w:ind w:left="0"/>
        <w:rPr>
          <w:color w:val="000000"/>
        </w:rPr>
      </w:pPr>
      <w:r w:rsidRPr="004F5FB4">
        <w:rPr>
          <w:color w:val="000000"/>
        </w:rPr>
        <w:t>Überempfindlichkeit gegen den Wirkstoff oder einen der in Abschnitt</w:t>
      </w:r>
      <w:r w:rsidR="00AA5107" w:rsidRPr="004F5FB4">
        <w:rPr>
          <w:color w:val="000000"/>
        </w:rPr>
        <w:t> </w:t>
      </w:r>
      <w:r w:rsidRPr="004F5FB4">
        <w:rPr>
          <w:color w:val="000000"/>
        </w:rPr>
        <w:t>6.1 genannten sonstigen Bestandteile.</w:t>
      </w:r>
    </w:p>
    <w:p w14:paraId="2D2A4E1F" w14:textId="77777777" w:rsidR="00C355EC" w:rsidRPr="004F5FB4" w:rsidRDefault="00C355EC" w:rsidP="0075475A">
      <w:pPr>
        <w:pStyle w:val="BodyText"/>
        <w:widowControl/>
        <w:kinsoku w:val="0"/>
        <w:overflowPunct w:val="0"/>
        <w:ind w:left="0"/>
        <w:rPr>
          <w:color w:val="000000"/>
        </w:rPr>
      </w:pPr>
    </w:p>
    <w:p w14:paraId="4B03D1BB" w14:textId="77777777" w:rsidR="007E0DEB" w:rsidRPr="004F5FB4" w:rsidRDefault="00C355EC" w:rsidP="0075475A">
      <w:pPr>
        <w:pStyle w:val="BodyText"/>
        <w:widowControl/>
        <w:kinsoku w:val="0"/>
        <w:overflowPunct w:val="0"/>
        <w:ind w:left="0"/>
        <w:rPr>
          <w:color w:val="000000"/>
        </w:rPr>
      </w:pPr>
      <w:r w:rsidRPr="004F5FB4">
        <w:rPr>
          <w:color w:val="000000"/>
        </w:rPr>
        <w:t>Aktive Tuberkulose oder andere schwere Infektionen wie Sepsis und opportunistische Infektionen (siehe Abschnitt</w:t>
      </w:r>
      <w:r w:rsidR="00AA5107" w:rsidRPr="004F5FB4">
        <w:rPr>
          <w:color w:val="000000"/>
        </w:rPr>
        <w:t> </w:t>
      </w:r>
      <w:r w:rsidRPr="004F5FB4">
        <w:rPr>
          <w:color w:val="000000"/>
        </w:rPr>
        <w:t>4.4).</w:t>
      </w:r>
    </w:p>
    <w:p w14:paraId="6C91BDEF" w14:textId="77777777" w:rsidR="007E0DEB" w:rsidRPr="004F5FB4" w:rsidRDefault="007E0DEB" w:rsidP="0075475A">
      <w:pPr>
        <w:pStyle w:val="BodyText"/>
        <w:widowControl/>
        <w:kinsoku w:val="0"/>
        <w:overflowPunct w:val="0"/>
        <w:ind w:left="0"/>
        <w:rPr>
          <w:color w:val="000000"/>
        </w:rPr>
      </w:pPr>
    </w:p>
    <w:p w14:paraId="2E307336" w14:textId="77777777" w:rsidR="00C355EC" w:rsidRPr="004F5FB4" w:rsidRDefault="00C355EC" w:rsidP="0075475A">
      <w:pPr>
        <w:pStyle w:val="BodyText"/>
        <w:widowControl/>
        <w:kinsoku w:val="0"/>
        <w:overflowPunct w:val="0"/>
        <w:ind w:left="0"/>
        <w:rPr>
          <w:color w:val="000000"/>
        </w:rPr>
      </w:pPr>
      <w:r w:rsidRPr="004F5FB4">
        <w:rPr>
          <w:color w:val="000000"/>
        </w:rPr>
        <w:t>Mäßige bis schwere Herzinsuffizienz (NYHA-Klasse III/IV) (siehe Abschnitt</w:t>
      </w:r>
      <w:r w:rsidR="00AA5107" w:rsidRPr="004F5FB4">
        <w:rPr>
          <w:color w:val="000000"/>
        </w:rPr>
        <w:t> </w:t>
      </w:r>
      <w:r w:rsidRPr="004F5FB4">
        <w:rPr>
          <w:color w:val="000000"/>
        </w:rPr>
        <w:t>4.4).</w:t>
      </w:r>
    </w:p>
    <w:p w14:paraId="13C09BFD" w14:textId="77777777" w:rsidR="0075475A" w:rsidRPr="004F5FB4" w:rsidRDefault="0075475A" w:rsidP="0075475A">
      <w:pPr>
        <w:pStyle w:val="BodyText"/>
        <w:widowControl/>
        <w:kinsoku w:val="0"/>
        <w:overflowPunct w:val="0"/>
        <w:ind w:left="0"/>
        <w:rPr>
          <w:color w:val="000000"/>
        </w:rPr>
      </w:pPr>
    </w:p>
    <w:p w14:paraId="5F2CE351" w14:textId="77777777" w:rsidR="00C355EC" w:rsidRPr="004F5FB4" w:rsidRDefault="00C355EC" w:rsidP="00CA7719">
      <w:pPr>
        <w:pStyle w:val="BodyText"/>
        <w:keepNext/>
        <w:widowControl/>
        <w:numPr>
          <w:ilvl w:val="1"/>
          <w:numId w:val="21"/>
        </w:numPr>
        <w:kinsoku w:val="0"/>
        <w:overflowPunct w:val="0"/>
        <w:spacing w:before="8"/>
        <w:ind w:left="0" w:firstLine="0"/>
        <w:rPr>
          <w:b/>
          <w:bCs/>
          <w:color w:val="000000"/>
        </w:rPr>
      </w:pPr>
      <w:r w:rsidRPr="00CA7719">
        <w:rPr>
          <w:b/>
          <w:bCs/>
          <w:color w:val="000000"/>
        </w:rPr>
        <w:t>Besondere Warnhinweise und Vorsichtsmaßnahmen für die Anwendung</w:t>
      </w:r>
    </w:p>
    <w:p w14:paraId="58199349" w14:textId="77777777" w:rsidR="00C355EC" w:rsidRPr="004F5FB4" w:rsidRDefault="00C355EC" w:rsidP="0075475A">
      <w:pPr>
        <w:pStyle w:val="BodyText"/>
        <w:widowControl/>
        <w:kinsoku w:val="0"/>
        <w:overflowPunct w:val="0"/>
        <w:ind w:left="0"/>
        <w:rPr>
          <w:b/>
          <w:bCs/>
          <w:color w:val="000000"/>
          <w:szCs w:val="21"/>
        </w:rPr>
      </w:pPr>
    </w:p>
    <w:p w14:paraId="683430D5" w14:textId="77777777" w:rsidR="00C355EC" w:rsidRPr="004F5FB4" w:rsidRDefault="00C355EC" w:rsidP="0075475A">
      <w:pPr>
        <w:pStyle w:val="BodyText"/>
        <w:widowControl/>
        <w:kinsoku w:val="0"/>
        <w:overflowPunct w:val="0"/>
        <w:ind w:left="0"/>
        <w:rPr>
          <w:color w:val="000000"/>
        </w:rPr>
      </w:pPr>
      <w:r w:rsidRPr="004F5FB4">
        <w:rPr>
          <w:color w:val="000000"/>
          <w:u w:val="single"/>
        </w:rPr>
        <w:t>Rückverfolgbarkeit</w:t>
      </w:r>
    </w:p>
    <w:p w14:paraId="35424900" w14:textId="77777777" w:rsidR="00C355EC" w:rsidRPr="004F5FB4" w:rsidRDefault="00C355EC" w:rsidP="0075475A">
      <w:pPr>
        <w:pStyle w:val="BodyText"/>
        <w:widowControl/>
        <w:kinsoku w:val="0"/>
        <w:overflowPunct w:val="0"/>
        <w:ind w:left="0"/>
        <w:rPr>
          <w:color w:val="000000"/>
          <w:szCs w:val="15"/>
        </w:rPr>
      </w:pPr>
    </w:p>
    <w:p w14:paraId="4AF754E0" w14:textId="77777777" w:rsidR="00C355EC" w:rsidRPr="004F5FB4" w:rsidRDefault="00C355EC" w:rsidP="0075475A">
      <w:pPr>
        <w:pStyle w:val="BodyText"/>
        <w:widowControl/>
        <w:kinsoku w:val="0"/>
        <w:overflowPunct w:val="0"/>
        <w:ind w:left="0"/>
        <w:rPr>
          <w:color w:val="000000"/>
        </w:rPr>
      </w:pPr>
      <w:r w:rsidRPr="004F5FB4">
        <w:rPr>
          <w:color w:val="000000"/>
        </w:rPr>
        <w:t>Um die Rückverfolgbarkeit biologischer Arzneimittel zu verbessern, müssen die Bezeichnung des Arzneimittels und die Chargenbezeichnung des angewendeten Arzneimittels eindeutig dokumentiert werden.</w:t>
      </w:r>
    </w:p>
    <w:p w14:paraId="0D7FE0FB" w14:textId="77777777" w:rsidR="00C355EC" w:rsidRPr="004F5FB4" w:rsidRDefault="00C355EC" w:rsidP="0075475A">
      <w:pPr>
        <w:pStyle w:val="BodyText"/>
        <w:widowControl/>
        <w:kinsoku w:val="0"/>
        <w:overflowPunct w:val="0"/>
        <w:ind w:left="0"/>
        <w:rPr>
          <w:color w:val="000000"/>
        </w:rPr>
      </w:pPr>
    </w:p>
    <w:p w14:paraId="7DE6BB39" w14:textId="77777777" w:rsidR="00C355EC" w:rsidRPr="004F5FB4" w:rsidRDefault="00C355EC" w:rsidP="0075475A">
      <w:pPr>
        <w:pStyle w:val="BodyText"/>
        <w:widowControl/>
        <w:kinsoku w:val="0"/>
        <w:overflowPunct w:val="0"/>
        <w:ind w:left="0"/>
        <w:rPr>
          <w:color w:val="000000"/>
        </w:rPr>
      </w:pPr>
      <w:r w:rsidRPr="004F5FB4">
        <w:rPr>
          <w:color w:val="000000"/>
          <w:u w:val="single"/>
        </w:rPr>
        <w:t>Infektionen</w:t>
      </w:r>
    </w:p>
    <w:p w14:paraId="17A962D6" w14:textId="77777777" w:rsidR="00C355EC" w:rsidRPr="004F5FB4" w:rsidRDefault="00C355EC" w:rsidP="0075475A">
      <w:pPr>
        <w:pStyle w:val="BodyText"/>
        <w:widowControl/>
        <w:kinsoku w:val="0"/>
        <w:overflowPunct w:val="0"/>
        <w:ind w:left="0"/>
        <w:rPr>
          <w:color w:val="000000"/>
          <w:szCs w:val="15"/>
        </w:rPr>
      </w:pPr>
    </w:p>
    <w:p w14:paraId="58415939" w14:textId="77777777" w:rsidR="00C355EC" w:rsidRPr="004F5FB4" w:rsidRDefault="00C355EC" w:rsidP="0075475A">
      <w:pPr>
        <w:pStyle w:val="BodyText"/>
        <w:widowControl/>
        <w:kinsoku w:val="0"/>
        <w:overflowPunct w:val="0"/>
        <w:ind w:left="0"/>
        <w:rPr>
          <w:color w:val="000000"/>
        </w:rPr>
      </w:pPr>
      <w:r w:rsidRPr="004F5FB4">
        <w:rPr>
          <w:color w:val="000000"/>
        </w:rPr>
        <w:t>Patienten, die mit TNF-Antagonisten behandelt werden, sind für schwere Infektionen empfänglicher. Eine beeinträchtigte Lungenfunktion kann das Risiko für die Entwicklung von Infektionen erhöhen. Patienten müssen daher im Hinblick auf Infektionen, einschließlich Tuberkulose, vor, während und nach der Behandlung mit Amsparity engmaschig überwacht werden. Da die Elimination von Adalimumab bis zu vier Monate dauern kann, sollte die Überwachung über diesen Zeitraum fortgesetzt werden.</w:t>
      </w:r>
    </w:p>
    <w:p w14:paraId="5E08C35C" w14:textId="77777777" w:rsidR="00C355EC" w:rsidRPr="004F5FB4" w:rsidRDefault="00C355EC" w:rsidP="0075475A">
      <w:pPr>
        <w:pStyle w:val="BodyText"/>
        <w:widowControl/>
        <w:kinsoku w:val="0"/>
        <w:overflowPunct w:val="0"/>
        <w:ind w:left="0"/>
        <w:rPr>
          <w:color w:val="000000"/>
        </w:rPr>
      </w:pPr>
    </w:p>
    <w:p w14:paraId="113B9098" w14:textId="77777777" w:rsidR="00C355EC" w:rsidRPr="004F5FB4" w:rsidRDefault="00C355EC" w:rsidP="0075475A">
      <w:pPr>
        <w:pStyle w:val="BodyText"/>
        <w:widowControl/>
        <w:kinsoku w:val="0"/>
        <w:overflowPunct w:val="0"/>
        <w:ind w:left="0"/>
        <w:rPr>
          <w:color w:val="000000"/>
        </w:rPr>
      </w:pPr>
      <w:r w:rsidRPr="004F5FB4">
        <w:rPr>
          <w:color w:val="000000"/>
        </w:rPr>
        <w:t>Eine Behandlung mit Amsparity sollte bei Patienten mit aktiven Infektionen, einschließlich chronischer oder lokalisierter Infektionen, erst eingeleitet werden, wenn die Infektionen unter Kontrolle sind. Bei Patienten, die Tuberkulose ausgesetzt waren</w:t>
      </w:r>
      <w:r w:rsidR="00662D3E" w:rsidRPr="004F5FB4">
        <w:rPr>
          <w:color w:val="000000"/>
        </w:rPr>
        <w:t>,</w:t>
      </w:r>
      <w:r w:rsidRPr="004F5FB4">
        <w:rPr>
          <w:color w:val="000000"/>
        </w:rPr>
        <w:t xml:space="preserve"> und bei Patienten, die in Hochrisikogebiete von Tuberkulose oder von endemischen Mykosen wie z.</w:t>
      </w:r>
      <w:r w:rsidR="00933236" w:rsidRPr="004F5FB4">
        <w:rPr>
          <w:color w:val="000000"/>
        </w:rPr>
        <w:t> </w:t>
      </w:r>
      <w:r w:rsidRPr="004F5FB4">
        <w:rPr>
          <w:color w:val="000000"/>
        </w:rPr>
        <w:t xml:space="preserve">B. Histoplasmose, Kokzidioidomykose oder Blastomykose gereist sind, müssen vor Beginn der Therapie Risiko und </w:t>
      </w:r>
      <w:r w:rsidRPr="004F5FB4">
        <w:rPr>
          <w:color w:val="000000"/>
        </w:rPr>
        <w:lastRenderedPageBreak/>
        <w:t xml:space="preserve">Vorteile einer Behandlung mit Amsparity sorgfältig überdacht werden (siehe </w:t>
      </w:r>
      <w:r w:rsidRPr="004F5FB4">
        <w:rPr>
          <w:i/>
          <w:iCs/>
          <w:color w:val="000000"/>
        </w:rPr>
        <w:t>Andere opportunistische Infektionen</w:t>
      </w:r>
      <w:r w:rsidRPr="004F5FB4">
        <w:rPr>
          <w:color w:val="000000"/>
        </w:rPr>
        <w:t>).</w:t>
      </w:r>
    </w:p>
    <w:p w14:paraId="3526C779" w14:textId="77777777" w:rsidR="00C355EC" w:rsidRPr="004F5FB4" w:rsidRDefault="00C355EC" w:rsidP="0075475A">
      <w:pPr>
        <w:pStyle w:val="BodyText"/>
        <w:widowControl/>
        <w:kinsoku w:val="0"/>
        <w:overflowPunct w:val="0"/>
        <w:ind w:left="0"/>
        <w:rPr>
          <w:color w:val="000000"/>
          <w:szCs w:val="21"/>
        </w:rPr>
      </w:pPr>
    </w:p>
    <w:p w14:paraId="2BBF45E6" w14:textId="77777777" w:rsidR="00C355EC" w:rsidRPr="004F5FB4" w:rsidRDefault="00C355EC" w:rsidP="0075475A">
      <w:pPr>
        <w:pStyle w:val="BodyText"/>
        <w:widowControl/>
        <w:kinsoku w:val="0"/>
        <w:overflowPunct w:val="0"/>
        <w:ind w:left="0"/>
        <w:rPr>
          <w:color w:val="000000"/>
        </w:rPr>
      </w:pPr>
      <w:r w:rsidRPr="004F5FB4">
        <w:rPr>
          <w:color w:val="000000"/>
        </w:rPr>
        <w:t>Patienten, bei denen sich unter Behandlung mit Amsparity eine neue Infektion entwickelt, sollten engmaschig beobachtet werden und sich einer vollständigen diagnostischen Beurteilung unterziehen. Tritt bei einem Patienten eine schwere Infektion oder Sepsis neu auf, sollte Amsparity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Amsparity durch den behandelnden Arzt mit Vorsicht abgewogen werden.</w:t>
      </w:r>
    </w:p>
    <w:p w14:paraId="63E95355" w14:textId="77777777" w:rsidR="00E54383" w:rsidRPr="004F5FB4" w:rsidRDefault="00E54383" w:rsidP="0075475A">
      <w:pPr>
        <w:pStyle w:val="BodyText"/>
        <w:widowControl/>
        <w:kinsoku w:val="0"/>
        <w:overflowPunct w:val="0"/>
        <w:ind w:left="0" w:right="106"/>
        <w:rPr>
          <w:color w:val="000000"/>
        </w:rPr>
      </w:pPr>
    </w:p>
    <w:p w14:paraId="092EC85D" w14:textId="77777777" w:rsidR="00C355EC" w:rsidRPr="004F5FB4" w:rsidRDefault="00C355EC" w:rsidP="00B43A73">
      <w:pPr>
        <w:pStyle w:val="BodyText"/>
        <w:keepNext/>
        <w:widowControl/>
        <w:kinsoku w:val="0"/>
        <w:overflowPunct w:val="0"/>
        <w:ind w:left="0"/>
        <w:rPr>
          <w:color w:val="000000"/>
        </w:rPr>
      </w:pPr>
      <w:r w:rsidRPr="004F5FB4">
        <w:rPr>
          <w:i/>
          <w:iCs/>
          <w:color w:val="000000"/>
        </w:rPr>
        <w:t>Schwere Infektionen</w:t>
      </w:r>
    </w:p>
    <w:p w14:paraId="62C93B26" w14:textId="77777777" w:rsidR="00C355EC" w:rsidRPr="004F5FB4" w:rsidRDefault="00C355EC" w:rsidP="00B43A73">
      <w:pPr>
        <w:pStyle w:val="BodyText"/>
        <w:keepNext/>
        <w:widowControl/>
        <w:kinsoku w:val="0"/>
        <w:overflowPunct w:val="0"/>
        <w:ind w:left="0"/>
        <w:rPr>
          <w:i/>
          <w:iCs/>
          <w:color w:val="000000"/>
          <w:szCs w:val="21"/>
        </w:rPr>
      </w:pPr>
    </w:p>
    <w:p w14:paraId="5CEF16D1" w14:textId="77777777" w:rsidR="00C355EC" w:rsidRPr="004F5FB4" w:rsidRDefault="00C355EC" w:rsidP="007C4B2C">
      <w:pPr>
        <w:pStyle w:val="BodyText"/>
        <w:widowControl/>
        <w:kinsoku w:val="0"/>
        <w:overflowPunct w:val="0"/>
        <w:ind w:left="0"/>
        <w:rPr>
          <w:color w:val="000000"/>
        </w:rPr>
      </w:pPr>
      <w:r w:rsidRPr="004F5FB4">
        <w:rPr>
          <w:color w:val="000000"/>
        </w:rPr>
        <w:t>Schwere Infektionen, einschließlich Sepsis, aufgrund von bakteriellen, mykobakteriellen, invasiven Pilz-, Parasiten-, viralen oder anderen opportunistischen Infektionen, wie z.</w:t>
      </w:r>
      <w:r w:rsidR="00933236" w:rsidRPr="004F5FB4">
        <w:rPr>
          <w:color w:val="000000"/>
        </w:rPr>
        <w:t> </w:t>
      </w:r>
      <w:r w:rsidRPr="004F5FB4">
        <w:rPr>
          <w:color w:val="000000"/>
        </w:rPr>
        <w:t>B. Listeriose, Legionellose und Pneumocystisinfektion, sind im Zusammenhang mit Adalimumab beschrieben worden.</w:t>
      </w:r>
    </w:p>
    <w:p w14:paraId="5B4B2CFC" w14:textId="77777777" w:rsidR="00C355EC" w:rsidRPr="004F5FB4" w:rsidRDefault="00C355EC" w:rsidP="0009685B">
      <w:pPr>
        <w:pStyle w:val="BodyText"/>
        <w:widowControl/>
        <w:kinsoku w:val="0"/>
        <w:overflowPunct w:val="0"/>
        <w:ind w:left="0"/>
        <w:rPr>
          <w:color w:val="000000"/>
          <w:szCs w:val="21"/>
        </w:rPr>
      </w:pPr>
    </w:p>
    <w:p w14:paraId="6E09B050" w14:textId="77777777" w:rsidR="00C355EC" w:rsidRPr="004F5FB4" w:rsidRDefault="00C355EC" w:rsidP="0009685B">
      <w:pPr>
        <w:pStyle w:val="BodyText"/>
        <w:widowControl/>
        <w:kinsoku w:val="0"/>
        <w:overflowPunct w:val="0"/>
        <w:ind w:left="0"/>
        <w:rPr>
          <w:color w:val="000000"/>
        </w:rPr>
      </w:pPr>
      <w:r w:rsidRPr="004F5FB4">
        <w:rPr>
          <w:color w:val="000000"/>
        </w:rPr>
        <w:t>Andere schwere Infektionen in klinischen Studien schließen Pneumonie, Pyelonephritis, septische Arthritis und Septikämie ein. Über Hospitalisierung oder Todesfälle in Verbindung mit Infektionen wurde berichtet.</w:t>
      </w:r>
    </w:p>
    <w:p w14:paraId="04BDD511" w14:textId="77777777" w:rsidR="00C355EC" w:rsidRPr="004F5FB4" w:rsidRDefault="00C355EC" w:rsidP="0009685B">
      <w:pPr>
        <w:pStyle w:val="BodyText"/>
        <w:widowControl/>
        <w:kinsoku w:val="0"/>
        <w:overflowPunct w:val="0"/>
        <w:ind w:left="0"/>
        <w:rPr>
          <w:color w:val="000000"/>
        </w:rPr>
      </w:pPr>
    </w:p>
    <w:p w14:paraId="01A3A527" w14:textId="77777777" w:rsidR="00C355EC" w:rsidRPr="004F5FB4" w:rsidRDefault="00C355EC" w:rsidP="0009685B">
      <w:pPr>
        <w:pStyle w:val="BodyText"/>
        <w:widowControl/>
        <w:kinsoku w:val="0"/>
        <w:overflowPunct w:val="0"/>
        <w:ind w:left="0"/>
        <w:rPr>
          <w:color w:val="000000"/>
        </w:rPr>
      </w:pPr>
      <w:r w:rsidRPr="004F5FB4">
        <w:rPr>
          <w:i/>
          <w:iCs/>
          <w:color w:val="000000"/>
        </w:rPr>
        <w:t>Tuberkulose</w:t>
      </w:r>
    </w:p>
    <w:p w14:paraId="7E037094" w14:textId="77777777" w:rsidR="00C355EC" w:rsidRPr="004F5FB4" w:rsidRDefault="00C355EC" w:rsidP="0009685B">
      <w:pPr>
        <w:pStyle w:val="BodyText"/>
        <w:widowControl/>
        <w:kinsoku w:val="0"/>
        <w:overflowPunct w:val="0"/>
        <w:ind w:left="0"/>
        <w:rPr>
          <w:i/>
          <w:iCs/>
          <w:color w:val="000000"/>
          <w:szCs w:val="21"/>
        </w:rPr>
      </w:pPr>
    </w:p>
    <w:p w14:paraId="6502CC6F" w14:textId="77777777" w:rsidR="00C355EC" w:rsidRPr="004F5FB4" w:rsidRDefault="00C355EC" w:rsidP="0009685B">
      <w:pPr>
        <w:pStyle w:val="BodyText"/>
        <w:widowControl/>
        <w:kinsoku w:val="0"/>
        <w:overflowPunct w:val="0"/>
        <w:ind w:left="0"/>
        <w:rPr>
          <w:color w:val="000000"/>
        </w:rPr>
      </w:pPr>
      <w:r w:rsidRPr="004F5FB4">
        <w:rPr>
          <w:color w:val="000000"/>
        </w:rPr>
        <w:t>Es gab Berichte von Tuberkulose, einschließlich Reaktivierung und Tuberkuloseneuerkrankungen, bei Patienten, die Adalimumab erhielten. Die Berichte umfassten pulmonale und extrapulmonale (d. h. disseminierte) Tuberkulosefälle.</w:t>
      </w:r>
    </w:p>
    <w:p w14:paraId="3769AEA4" w14:textId="77777777" w:rsidR="00C355EC" w:rsidRPr="004F5FB4" w:rsidRDefault="00C355EC" w:rsidP="0009685B">
      <w:pPr>
        <w:pStyle w:val="BodyText"/>
        <w:widowControl/>
        <w:kinsoku w:val="0"/>
        <w:overflowPunct w:val="0"/>
        <w:ind w:left="0"/>
        <w:rPr>
          <w:color w:val="000000"/>
        </w:rPr>
      </w:pPr>
    </w:p>
    <w:p w14:paraId="6C5DAE21" w14:textId="77777777" w:rsidR="00C355EC" w:rsidRPr="004F5FB4" w:rsidRDefault="00C355EC" w:rsidP="0009685B">
      <w:pPr>
        <w:pStyle w:val="BodyText"/>
        <w:widowControl/>
        <w:kinsoku w:val="0"/>
        <w:overflowPunct w:val="0"/>
        <w:ind w:left="0"/>
        <w:rPr>
          <w:color w:val="000000"/>
        </w:rPr>
      </w:pPr>
      <w:r w:rsidRPr="004F5FB4">
        <w:rPr>
          <w:color w:val="000000"/>
        </w:rPr>
        <w:t>Vor Beginn der Behandlung mit Amsparity müssen alle Patienten sowohl auf aktive als auch auf inaktive („latente“) Tuberkuloseinfektionen untersucht werden. Zu dieser Untersuchung sollte eine eingehende medizinische Anamnese des Patienten gehören. Diese sollte eine persönliche Tuberkulosevorerkrankung, mögliche frühere Kontakte zu Personen mit aktiver Tuberkulose und eine frühere bzw. derzeitige Behandlung mit Immunsuppressiva abklären. Geeignete Screeningtests (d.</w:t>
      </w:r>
      <w:r w:rsidR="00933236" w:rsidRPr="004F5FB4">
        <w:rPr>
          <w:color w:val="000000"/>
        </w:rPr>
        <w:t> </w:t>
      </w:r>
      <w:r w:rsidRPr="004F5FB4">
        <w:rPr>
          <w:color w:val="000000"/>
        </w:rPr>
        <w:t>h. Tuberkulinhauttest und Röntgen-Thoraxaufnahme) sollten bei allen Patienten durchgeführt werden (nationale Empfehlungen sollten befolgt werden). Es wird empfohlen, die Durchführung und Ergebnisse dieser Tests auf dem Patientenpass zu dokumentieren. Verschreibende Ärzte werden an das Risiko der falsch negativen Ergebnisse des Tuberkulinhauttests, insbesondere bei schwer erkrankten oder immunsupprimierten Patienten, erinnert.</w:t>
      </w:r>
    </w:p>
    <w:p w14:paraId="60EE1F0C" w14:textId="77777777" w:rsidR="00C355EC" w:rsidRPr="004F5FB4" w:rsidRDefault="00C355EC" w:rsidP="0009685B">
      <w:pPr>
        <w:pStyle w:val="BodyText"/>
        <w:widowControl/>
        <w:kinsoku w:val="0"/>
        <w:overflowPunct w:val="0"/>
        <w:ind w:left="0"/>
        <w:rPr>
          <w:color w:val="000000"/>
        </w:rPr>
      </w:pPr>
    </w:p>
    <w:p w14:paraId="2A2A0154" w14:textId="77777777" w:rsidR="00C355EC" w:rsidRPr="004F5FB4" w:rsidRDefault="00C355EC" w:rsidP="0009685B">
      <w:pPr>
        <w:pStyle w:val="BodyText"/>
        <w:widowControl/>
        <w:kinsoku w:val="0"/>
        <w:overflowPunct w:val="0"/>
        <w:ind w:left="0"/>
        <w:rPr>
          <w:color w:val="000000"/>
        </w:rPr>
      </w:pPr>
      <w:r w:rsidRPr="004F5FB4">
        <w:rPr>
          <w:color w:val="000000"/>
        </w:rPr>
        <w:t>Wird eine aktive Tuberkulose diagnostiziert, darf die Behandlung mit Amsparity nicht eingeleitet werden (siehe Abschnitt</w:t>
      </w:r>
      <w:r w:rsidR="00BE59FE" w:rsidRPr="004F5FB4">
        <w:rPr>
          <w:color w:val="000000"/>
        </w:rPr>
        <w:t> </w:t>
      </w:r>
      <w:r w:rsidRPr="004F5FB4">
        <w:rPr>
          <w:color w:val="000000"/>
        </w:rPr>
        <w:t>4.3).</w:t>
      </w:r>
    </w:p>
    <w:p w14:paraId="2881B18F" w14:textId="77777777" w:rsidR="00C355EC" w:rsidRPr="004F5FB4" w:rsidRDefault="00C355EC" w:rsidP="0009685B">
      <w:pPr>
        <w:pStyle w:val="BodyText"/>
        <w:widowControl/>
        <w:kinsoku w:val="0"/>
        <w:overflowPunct w:val="0"/>
        <w:ind w:left="0"/>
        <w:rPr>
          <w:color w:val="000000"/>
        </w:rPr>
      </w:pPr>
    </w:p>
    <w:p w14:paraId="12857DB7" w14:textId="77777777" w:rsidR="00C355EC" w:rsidRPr="004F5FB4" w:rsidRDefault="00C355EC" w:rsidP="0009685B">
      <w:pPr>
        <w:pStyle w:val="BodyText"/>
        <w:widowControl/>
        <w:kinsoku w:val="0"/>
        <w:overflowPunct w:val="0"/>
        <w:ind w:left="0"/>
        <w:rPr>
          <w:color w:val="000000"/>
        </w:rPr>
      </w:pPr>
      <w:r w:rsidRPr="004F5FB4">
        <w:rPr>
          <w:color w:val="000000"/>
        </w:rPr>
        <w:t>In allen nachstehend beschriebenen Situationen sollte das Nutzen-Risiko-Verhältnis einer Amsparity-Therapie sehr sorgfältig abgewogen werden.</w:t>
      </w:r>
    </w:p>
    <w:p w14:paraId="263482E4" w14:textId="77777777" w:rsidR="00C355EC" w:rsidRPr="004F5FB4" w:rsidRDefault="00C355EC" w:rsidP="0009685B">
      <w:pPr>
        <w:pStyle w:val="BodyText"/>
        <w:widowControl/>
        <w:kinsoku w:val="0"/>
        <w:overflowPunct w:val="0"/>
        <w:ind w:left="0"/>
        <w:rPr>
          <w:color w:val="000000"/>
          <w:szCs w:val="21"/>
        </w:rPr>
      </w:pPr>
    </w:p>
    <w:p w14:paraId="478E1B27" w14:textId="77777777" w:rsidR="00C355EC" w:rsidRPr="004F5FB4" w:rsidRDefault="00C355EC" w:rsidP="0009685B">
      <w:pPr>
        <w:pStyle w:val="BodyText"/>
        <w:widowControl/>
        <w:kinsoku w:val="0"/>
        <w:overflowPunct w:val="0"/>
        <w:ind w:left="0"/>
        <w:rPr>
          <w:color w:val="000000"/>
        </w:rPr>
      </w:pPr>
      <w:r w:rsidRPr="004F5FB4">
        <w:rPr>
          <w:color w:val="000000"/>
        </w:rPr>
        <w:t>Bei Verdacht auf latente Tuberkulose sollte ein in der Tuberkulosebehandlung erfahrener Arzt aufgesucht werden.</w:t>
      </w:r>
    </w:p>
    <w:p w14:paraId="31B47518" w14:textId="77777777" w:rsidR="00C355EC" w:rsidRPr="004F5FB4" w:rsidRDefault="00C355EC" w:rsidP="0009685B">
      <w:pPr>
        <w:pStyle w:val="BodyText"/>
        <w:widowControl/>
        <w:kinsoku w:val="0"/>
        <w:overflowPunct w:val="0"/>
        <w:ind w:left="0"/>
        <w:rPr>
          <w:color w:val="000000"/>
        </w:rPr>
      </w:pPr>
    </w:p>
    <w:p w14:paraId="72FCEFF5" w14:textId="77777777" w:rsidR="00C355EC" w:rsidRPr="004F5FB4" w:rsidRDefault="00C355EC" w:rsidP="0009685B">
      <w:pPr>
        <w:pStyle w:val="BodyText"/>
        <w:widowControl/>
        <w:kinsoku w:val="0"/>
        <w:overflowPunct w:val="0"/>
        <w:ind w:left="0"/>
        <w:rPr>
          <w:color w:val="000000"/>
        </w:rPr>
      </w:pPr>
      <w:r w:rsidRPr="004F5FB4">
        <w:rPr>
          <w:color w:val="000000"/>
        </w:rPr>
        <w:t>Wird eine latente Tuberkulose diagnostiziert, muss vor der ersten Gabe von Amsparity eine geeignete Tuberkuloseprophylaxe entsprechend den nationalen Empfehlungen begonnen werden.</w:t>
      </w:r>
    </w:p>
    <w:p w14:paraId="6C8E8CD4" w14:textId="77777777" w:rsidR="00C355EC" w:rsidRPr="004F5FB4" w:rsidRDefault="00C355EC" w:rsidP="0009685B">
      <w:pPr>
        <w:pStyle w:val="BodyText"/>
        <w:widowControl/>
        <w:kinsoku w:val="0"/>
        <w:overflowPunct w:val="0"/>
        <w:ind w:left="0"/>
        <w:rPr>
          <w:color w:val="000000"/>
          <w:szCs w:val="21"/>
        </w:rPr>
      </w:pPr>
    </w:p>
    <w:p w14:paraId="33BD808D" w14:textId="77777777" w:rsidR="00C355EC" w:rsidRPr="004F5FB4" w:rsidRDefault="00C355EC" w:rsidP="0009685B">
      <w:pPr>
        <w:pStyle w:val="BodyText"/>
        <w:widowControl/>
        <w:kinsoku w:val="0"/>
        <w:overflowPunct w:val="0"/>
        <w:ind w:left="0"/>
        <w:rPr>
          <w:color w:val="000000"/>
        </w:rPr>
      </w:pPr>
      <w:r w:rsidRPr="004F5FB4">
        <w:rPr>
          <w:color w:val="000000"/>
        </w:rPr>
        <w:t>Eine Tuberkuloseprophylaxe vor Beginn der Behandlung mit Amsparity sollte ebenfalls bei Patienten 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07F96B7B" w14:textId="77777777" w:rsidR="00C355EC" w:rsidRPr="004F5FB4" w:rsidRDefault="00C355EC" w:rsidP="0009685B">
      <w:pPr>
        <w:pStyle w:val="BodyText"/>
        <w:widowControl/>
        <w:kinsoku w:val="0"/>
        <w:overflowPunct w:val="0"/>
        <w:ind w:left="0"/>
        <w:rPr>
          <w:color w:val="000000"/>
          <w:szCs w:val="21"/>
        </w:rPr>
      </w:pPr>
    </w:p>
    <w:p w14:paraId="069D0163" w14:textId="77777777" w:rsidR="00C355EC" w:rsidRPr="004F5FB4" w:rsidRDefault="00C355EC" w:rsidP="0009685B">
      <w:pPr>
        <w:pStyle w:val="BodyText"/>
        <w:widowControl/>
        <w:kinsoku w:val="0"/>
        <w:overflowPunct w:val="0"/>
        <w:ind w:left="0"/>
        <w:rPr>
          <w:color w:val="000000"/>
        </w:rPr>
      </w:pPr>
      <w:r w:rsidRPr="004F5FB4">
        <w:rPr>
          <w:color w:val="000000"/>
        </w:rPr>
        <w:lastRenderedPageBreak/>
        <w:t>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w:t>
      </w:r>
    </w:p>
    <w:p w14:paraId="504AF32D" w14:textId="77777777" w:rsidR="00C355EC" w:rsidRPr="004F5FB4" w:rsidRDefault="00C355EC" w:rsidP="0009685B">
      <w:pPr>
        <w:pStyle w:val="BodyText"/>
        <w:widowControl/>
        <w:kinsoku w:val="0"/>
        <w:overflowPunct w:val="0"/>
        <w:ind w:left="0"/>
        <w:rPr>
          <w:color w:val="000000"/>
        </w:rPr>
      </w:pPr>
    </w:p>
    <w:p w14:paraId="665FF8BC" w14:textId="77777777" w:rsidR="00C355EC" w:rsidRPr="004F5FB4" w:rsidRDefault="00C355EC" w:rsidP="0009685B">
      <w:pPr>
        <w:pStyle w:val="BodyText"/>
        <w:widowControl/>
        <w:kinsoku w:val="0"/>
        <w:overflowPunct w:val="0"/>
        <w:ind w:left="0"/>
        <w:rPr>
          <w:color w:val="000000"/>
        </w:rPr>
      </w:pPr>
      <w:r w:rsidRPr="004F5FB4">
        <w:rPr>
          <w:color w:val="000000"/>
        </w:rPr>
        <w:t>Die Patienten sind anzuweisen, ärztlichen Rat einzuholen, falls es während oder nach der Behandlung mit Amsparity zu klinischen Anzeichen/</w:t>
      </w:r>
      <w:r w:rsidR="00D71717" w:rsidRPr="004F5FB4">
        <w:rPr>
          <w:color w:val="000000"/>
        </w:rPr>
        <w:t xml:space="preserve"> </w:t>
      </w:r>
      <w:r w:rsidRPr="004F5FB4">
        <w:rPr>
          <w:color w:val="000000"/>
        </w:rPr>
        <w:t>Symptomen kommt, die auf eine Tuberkuloseinfektion hinweisen (z. B. anhaltender Husten, Kräfteschwund/</w:t>
      </w:r>
      <w:r w:rsidR="00A31930" w:rsidRPr="004F5FB4">
        <w:rPr>
          <w:color w:val="000000"/>
        </w:rPr>
        <w:t xml:space="preserve"> </w:t>
      </w:r>
      <w:r w:rsidRPr="004F5FB4">
        <w:rPr>
          <w:color w:val="000000"/>
        </w:rPr>
        <w:t>Gewichtsverlust, leicht erhöhte Körpertemperatur, Teilnahmslosigkeit).</w:t>
      </w:r>
    </w:p>
    <w:p w14:paraId="0AD63A03" w14:textId="77777777" w:rsidR="00C355EC" w:rsidRPr="004F5FB4" w:rsidRDefault="00C355EC" w:rsidP="0009685B">
      <w:pPr>
        <w:pStyle w:val="BodyText"/>
        <w:widowControl/>
        <w:kinsoku w:val="0"/>
        <w:overflowPunct w:val="0"/>
        <w:ind w:left="0"/>
        <w:rPr>
          <w:color w:val="000000"/>
        </w:rPr>
      </w:pPr>
    </w:p>
    <w:p w14:paraId="577C4647" w14:textId="77777777" w:rsidR="00C355EC" w:rsidRPr="004F5FB4" w:rsidRDefault="00C355EC" w:rsidP="0009685B">
      <w:pPr>
        <w:pStyle w:val="BodyText"/>
        <w:keepNext/>
        <w:widowControl/>
        <w:kinsoku w:val="0"/>
        <w:overflowPunct w:val="0"/>
        <w:ind w:left="0"/>
        <w:rPr>
          <w:color w:val="000000"/>
        </w:rPr>
      </w:pPr>
      <w:r w:rsidRPr="004F5FB4">
        <w:rPr>
          <w:i/>
          <w:iCs/>
          <w:color w:val="000000"/>
        </w:rPr>
        <w:t>Andere opportunistische Infektionen</w:t>
      </w:r>
    </w:p>
    <w:p w14:paraId="55A0ECAE" w14:textId="77777777" w:rsidR="00C355EC" w:rsidRPr="004F5FB4" w:rsidRDefault="00C355EC" w:rsidP="0009685B">
      <w:pPr>
        <w:pStyle w:val="BodyText"/>
        <w:widowControl/>
        <w:kinsoku w:val="0"/>
        <w:overflowPunct w:val="0"/>
        <w:ind w:left="0"/>
        <w:rPr>
          <w:i/>
          <w:iCs/>
          <w:color w:val="000000"/>
          <w:szCs w:val="21"/>
        </w:rPr>
      </w:pPr>
    </w:p>
    <w:p w14:paraId="19A4B5B7" w14:textId="77777777" w:rsidR="00C355EC" w:rsidRPr="004F5FB4" w:rsidRDefault="00C355EC" w:rsidP="0009685B">
      <w:pPr>
        <w:pStyle w:val="BodyText"/>
        <w:widowControl/>
        <w:kinsoku w:val="0"/>
        <w:overflowPunct w:val="0"/>
        <w:ind w:left="0"/>
        <w:rPr>
          <w:color w:val="000000"/>
        </w:rPr>
      </w:pPr>
      <w:r w:rsidRPr="004F5FB4">
        <w:rPr>
          <w:color w:val="000000"/>
        </w:rPr>
        <w:t>Opportunistische Infektionen, einschließlich invasiver Pilzinfektionen, wurden bei Patienten beobachtet, die Adalimumab erhielten. Diese Infektionen wurden nicht lückenlos bei Patienten erkannt, die TNF</w:t>
      </w:r>
      <w:r w:rsidRPr="004F5FB4">
        <w:rPr>
          <w:color w:val="000000"/>
        </w:rPr>
        <w:noBreakHyphen/>
        <w:t>Antagonisten anwendeten. Dies führte zu Verzögerungen bei der geeigneten Therapie, manchmal mit tödlichem Ausgang.</w:t>
      </w:r>
    </w:p>
    <w:p w14:paraId="5EDBF389" w14:textId="77777777" w:rsidR="008620EF" w:rsidRPr="004F5FB4" w:rsidRDefault="008620EF" w:rsidP="0009685B">
      <w:pPr>
        <w:pStyle w:val="BodyText"/>
        <w:widowControl/>
        <w:kinsoku w:val="0"/>
        <w:overflowPunct w:val="0"/>
        <w:ind w:left="0"/>
        <w:rPr>
          <w:color w:val="000000"/>
        </w:rPr>
      </w:pPr>
    </w:p>
    <w:p w14:paraId="371AC89B" w14:textId="77777777" w:rsidR="00C355EC" w:rsidRPr="004F5FB4" w:rsidRDefault="00C355EC" w:rsidP="0009685B">
      <w:pPr>
        <w:pStyle w:val="BodyText"/>
        <w:widowControl/>
        <w:kinsoku w:val="0"/>
        <w:overflowPunct w:val="0"/>
        <w:ind w:left="0"/>
        <w:rPr>
          <w:color w:val="000000"/>
        </w:rPr>
      </w:pPr>
      <w:r w:rsidRPr="004F5FB4">
        <w:rPr>
          <w:color w:val="000000"/>
        </w:rPr>
        <w:t>Bei Patienten, die Anzeichen oder Symptome wie z. B. Fieber, Unwohlsein, Gewichtsverlust, Schweißausbrüche, Husten, Atemnot und/</w:t>
      </w:r>
      <w:r w:rsidR="00A31930" w:rsidRPr="004F5FB4">
        <w:rPr>
          <w:color w:val="000000"/>
        </w:rPr>
        <w:t xml:space="preserve"> </w:t>
      </w:r>
      <w:r w:rsidRPr="004F5FB4">
        <w:rPr>
          <w:color w:val="000000"/>
        </w:rPr>
        <w:t>oder Lungeninfiltrate oder eine andere schwere systemische Erkrankung mit oder ohne gleichzeitigem Schock entwickeln, ist eine invasive Pilzinfektion zu vermuten. Die Verabreichung von Amsparity muss sofort unterbrochen werden. Bei diesen Patienten sollten die Diagnose und die Einleitung einer empirischen Antimykotikatherapie mit einem Arzt abgesprochen werden, der in der Behandlung von Patienten mit invasiven Pilzinfektionen Erfahrung hat.</w:t>
      </w:r>
    </w:p>
    <w:p w14:paraId="198EA320" w14:textId="77777777" w:rsidR="00C355EC" w:rsidRPr="004F5FB4" w:rsidRDefault="00C355EC" w:rsidP="0009685B">
      <w:pPr>
        <w:pStyle w:val="BodyText"/>
        <w:widowControl/>
        <w:kinsoku w:val="0"/>
        <w:overflowPunct w:val="0"/>
        <w:ind w:left="0"/>
        <w:rPr>
          <w:color w:val="000000"/>
          <w:szCs w:val="21"/>
        </w:rPr>
      </w:pPr>
    </w:p>
    <w:p w14:paraId="1014BAAD" w14:textId="77777777" w:rsidR="00C355EC" w:rsidRPr="004F5FB4" w:rsidRDefault="00C355EC" w:rsidP="00054A92">
      <w:pPr>
        <w:pStyle w:val="BodyText"/>
        <w:keepNext/>
        <w:widowControl/>
        <w:kinsoku w:val="0"/>
        <w:overflowPunct w:val="0"/>
        <w:ind w:left="0"/>
        <w:rPr>
          <w:color w:val="000000"/>
        </w:rPr>
      </w:pPr>
      <w:r w:rsidRPr="004F5FB4">
        <w:rPr>
          <w:color w:val="000000"/>
          <w:u w:val="single"/>
        </w:rPr>
        <w:t>Hepatitis-B-Reaktivierung</w:t>
      </w:r>
    </w:p>
    <w:p w14:paraId="064A2D3B" w14:textId="77777777" w:rsidR="00C355EC" w:rsidRPr="004F5FB4" w:rsidRDefault="00C355EC" w:rsidP="0009685B">
      <w:pPr>
        <w:pStyle w:val="BodyText"/>
        <w:widowControl/>
        <w:kinsoku w:val="0"/>
        <w:overflowPunct w:val="0"/>
        <w:ind w:left="0"/>
        <w:rPr>
          <w:color w:val="000000"/>
        </w:rPr>
      </w:pPr>
    </w:p>
    <w:p w14:paraId="66B5F49E" w14:textId="77777777" w:rsidR="00C355EC" w:rsidRPr="004F5FB4" w:rsidRDefault="00C355EC" w:rsidP="0009685B">
      <w:pPr>
        <w:pStyle w:val="BodyText"/>
        <w:widowControl/>
        <w:kinsoku w:val="0"/>
        <w:overflowPunct w:val="0"/>
        <w:ind w:left="0"/>
        <w:rPr>
          <w:color w:val="000000"/>
        </w:rPr>
      </w:pPr>
      <w:r w:rsidRPr="004F5FB4">
        <w:rPr>
          <w:color w:val="000000"/>
        </w:rPr>
        <w:t>Die Reaktivierung einer Hepatitis B trat bei Patienten auf, die einen TNF-Antagonisten, einschließlich Adalimumab, erhielten und chronische Träger dieses Virus waren (d.</w:t>
      </w:r>
      <w:r w:rsidR="00503F48" w:rsidRPr="004F5FB4">
        <w:rPr>
          <w:color w:val="000000"/>
        </w:rPr>
        <w:t> </w:t>
      </w:r>
      <w:r w:rsidRPr="004F5FB4">
        <w:rPr>
          <w:color w:val="000000"/>
        </w:rPr>
        <w:t>h. HBsAg-positiv). Einige Fälle nahmen einen tödlichen Ausgang. Patienten müssen vor Beginn der Therapie mit Amsparity auf eine HBV-Infektion untersucht werden. Patienten, die positiv auf eine Hepatitis-B-Infektion getestet wurden, sollten Rücksprache mit einem Arzt halten, der Fachkenntnisse zur Behandlung von Hepatitis</w:t>
      </w:r>
      <w:r w:rsidR="0098465C" w:rsidRPr="004F5FB4">
        <w:rPr>
          <w:color w:val="000000"/>
        </w:rPr>
        <w:t> </w:t>
      </w:r>
      <w:r w:rsidRPr="004F5FB4">
        <w:rPr>
          <w:color w:val="000000"/>
        </w:rPr>
        <w:t>B hat.</w:t>
      </w:r>
    </w:p>
    <w:p w14:paraId="6D763679" w14:textId="77777777" w:rsidR="00C355EC" w:rsidRPr="004F5FB4" w:rsidRDefault="00C355EC" w:rsidP="0009685B">
      <w:pPr>
        <w:pStyle w:val="BodyText"/>
        <w:widowControl/>
        <w:kinsoku w:val="0"/>
        <w:overflowPunct w:val="0"/>
        <w:ind w:left="0"/>
        <w:rPr>
          <w:color w:val="000000"/>
        </w:rPr>
      </w:pPr>
    </w:p>
    <w:p w14:paraId="6B14C16E" w14:textId="77777777" w:rsidR="00C355EC" w:rsidRPr="004F5FB4" w:rsidRDefault="00C355EC" w:rsidP="0009685B">
      <w:pPr>
        <w:pStyle w:val="BodyText"/>
        <w:widowControl/>
        <w:kinsoku w:val="0"/>
        <w:overflowPunct w:val="0"/>
        <w:ind w:left="0"/>
        <w:rPr>
          <w:color w:val="000000"/>
        </w:rPr>
      </w:pPr>
      <w:r w:rsidRPr="004F5FB4">
        <w:rPr>
          <w:color w:val="000000"/>
        </w:rPr>
        <w:t>Träger von HBV, die eine Behandlung mit Amsparity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TNF-Antagonisten behandelt werden und Träger von HBV sind. Patienten, bei denen eine HBV-Reaktivierung auftritt, müssen Amsparity absetzen und eine effektive antivirale Therapie mit geeigneter unterstützender Behandlung muss eingeleitet werden.</w:t>
      </w:r>
    </w:p>
    <w:p w14:paraId="164D945F" w14:textId="77777777" w:rsidR="00C355EC" w:rsidRPr="004F5FB4" w:rsidRDefault="00C355EC" w:rsidP="0009685B">
      <w:pPr>
        <w:pStyle w:val="BodyText"/>
        <w:widowControl/>
        <w:kinsoku w:val="0"/>
        <w:overflowPunct w:val="0"/>
        <w:ind w:left="0"/>
        <w:rPr>
          <w:color w:val="000000"/>
          <w:szCs w:val="21"/>
        </w:rPr>
      </w:pPr>
    </w:p>
    <w:p w14:paraId="3941BA48" w14:textId="77777777" w:rsidR="00C355EC" w:rsidRPr="004F5FB4" w:rsidRDefault="00C355EC" w:rsidP="0009685B">
      <w:pPr>
        <w:pStyle w:val="BodyText"/>
        <w:widowControl/>
        <w:kinsoku w:val="0"/>
        <w:overflowPunct w:val="0"/>
        <w:ind w:left="0"/>
        <w:rPr>
          <w:color w:val="000000"/>
        </w:rPr>
      </w:pPr>
      <w:r w:rsidRPr="004F5FB4">
        <w:rPr>
          <w:color w:val="000000"/>
          <w:u w:val="single"/>
        </w:rPr>
        <w:t>Neurologische Ereignisse</w:t>
      </w:r>
    </w:p>
    <w:p w14:paraId="299437B8" w14:textId="77777777" w:rsidR="00C355EC" w:rsidRPr="004F5FB4" w:rsidRDefault="00C355EC" w:rsidP="0009685B">
      <w:pPr>
        <w:pStyle w:val="BodyText"/>
        <w:widowControl/>
        <w:kinsoku w:val="0"/>
        <w:overflowPunct w:val="0"/>
        <w:ind w:left="0"/>
        <w:rPr>
          <w:color w:val="000000"/>
        </w:rPr>
      </w:pPr>
    </w:p>
    <w:p w14:paraId="362A6656" w14:textId="77777777" w:rsidR="00C355EC" w:rsidRPr="004F5FB4" w:rsidRDefault="00C355EC" w:rsidP="0009685B">
      <w:pPr>
        <w:pStyle w:val="BodyText"/>
        <w:widowControl/>
        <w:kinsoku w:val="0"/>
        <w:overflowPunct w:val="0"/>
        <w:ind w:left="0"/>
        <w:rPr>
          <w:color w:val="000000"/>
        </w:rPr>
      </w:pPr>
      <w:r w:rsidRPr="004F5FB4">
        <w:rPr>
          <w:color w:val="000000"/>
        </w:rPr>
        <w:t>TNF-Antagonisten, einschließlich Adalimumab, wurden in seltenen Fällen mit dem neuen Auftreten oder der Verstärkung der klinischen Symptomatik und/</w:t>
      </w:r>
      <w:r w:rsidR="0098465C" w:rsidRPr="004F5FB4">
        <w:rPr>
          <w:color w:val="000000"/>
        </w:rPr>
        <w:t xml:space="preserve"> </w:t>
      </w:r>
      <w:r w:rsidRPr="004F5FB4">
        <w:rPr>
          <w:color w:val="000000"/>
        </w:rPr>
        <w:t xml:space="preserve">oder dem radiologischen Nachweis von demyelinisierenden Erkrankungen im zentralen Nervensystem, einschließlich </w:t>
      </w:r>
      <w:r w:rsidR="00A63F9C" w:rsidRPr="004F5FB4">
        <w:rPr>
          <w:color w:val="000000"/>
        </w:rPr>
        <w:t>M</w:t>
      </w:r>
      <w:r w:rsidRPr="004F5FB4">
        <w:rPr>
          <w:color w:val="000000"/>
        </w:rPr>
        <w:t>ultipler Sklerose und Optikusneuritis, und demyelinisierenden Erkrankungen im peripheren Nervensystem, einschließlich Guillain-Barré-Syndrom, in Verbindung gebracht. Die Verordnung von Amsparity sollte bei Patienten mit vorbestehenden oder beginnenden demyelinisierenden Erkrankungen des ZNS oder des peripheren Nervensystems vom verschreibenden Arzt sorgfältig abgewogen werden. Tritt eine dieser Erkrankungen auf, sollte in Betracht gezogen werden, Amsparity abzusetzen. Es besteht ein bekannter Zusammenhang zwischen einer Uveitis intermedia und demyelinisierenden Erkrankungen des ZNS. Patienten mit nicht infektiöser Uveitis intermedia sollten vor der Einleitung einer Amsparity-Therapie und regelmäßig während der Behandlung neurologisch untersucht werden, um vorbestehende oder beginnende demyelinisierende Erkrankungen des ZNS zu erfassen.</w:t>
      </w:r>
    </w:p>
    <w:p w14:paraId="13A4B894" w14:textId="77777777" w:rsidR="00C355EC" w:rsidRPr="004F5FB4" w:rsidRDefault="00C355EC" w:rsidP="0009685B">
      <w:pPr>
        <w:pStyle w:val="BodyText"/>
        <w:widowControl/>
        <w:kinsoku w:val="0"/>
        <w:overflowPunct w:val="0"/>
        <w:ind w:left="0"/>
        <w:rPr>
          <w:color w:val="000000"/>
        </w:rPr>
      </w:pPr>
    </w:p>
    <w:p w14:paraId="3149B63F" w14:textId="77777777" w:rsidR="00C355EC" w:rsidRPr="004F5FB4" w:rsidRDefault="00C355EC" w:rsidP="0009685B">
      <w:pPr>
        <w:pStyle w:val="BodyText"/>
        <w:widowControl/>
        <w:kinsoku w:val="0"/>
        <w:overflowPunct w:val="0"/>
        <w:ind w:left="0"/>
        <w:rPr>
          <w:color w:val="000000"/>
        </w:rPr>
      </w:pPr>
      <w:r w:rsidRPr="004F5FB4">
        <w:rPr>
          <w:color w:val="000000"/>
          <w:u w:val="single"/>
        </w:rPr>
        <w:lastRenderedPageBreak/>
        <w:t>Allergische Reaktionen</w:t>
      </w:r>
    </w:p>
    <w:p w14:paraId="73E1565E" w14:textId="77777777" w:rsidR="00C355EC" w:rsidRPr="004F5FB4" w:rsidRDefault="00C355EC" w:rsidP="0009685B">
      <w:pPr>
        <w:pStyle w:val="BodyText"/>
        <w:widowControl/>
        <w:kinsoku w:val="0"/>
        <w:overflowPunct w:val="0"/>
        <w:ind w:left="0"/>
        <w:rPr>
          <w:color w:val="000000"/>
        </w:rPr>
      </w:pPr>
    </w:p>
    <w:p w14:paraId="26BB38EE" w14:textId="77777777" w:rsidR="00C355EC" w:rsidRPr="004F5FB4" w:rsidRDefault="00C355EC" w:rsidP="0009685B">
      <w:pPr>
        <w:pStyle w:val="BodyText"/>
        <w:widowControl/>
        <w:kinsoku w:val="0"/>
        <w:overflowPunct w:val="0"/>
        <w:ind w:left="0"/>
        <w:rPr>
          <w:color w:val="000000"/>
        </w:rPr>
      </w:pPr>
      <w:r w:rsidRPr="004F5FB4">
        <w:rPr>
          <w:color w:val="000000"/>
        </w:rPr>
        <w:t>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Amsparity sofort abgesetzt und eine geeignete Behandlung eingeleitet werden.</w:t>
      </w:r>
    </w:p>
    <w:p w14:paraId="7783C1C6" w14:textId="77777777" w:rsidR="00C355EC" w:rsidRPr="004F5FB4" w:rsidRDefault="00C355EC" w:rsidP="0009685B">
      <w:pPr>
        <w:pStyle w:val="BodyText"/>
        <w:widowControl/>
        <w:kinsoku w:val="0"/>
        <w:overflowPunct w:val="0"/>
        <w:ind w:left="0"/>
        <w:rPr>
          <w:color w:val="000000"/>
        </w:rPr>
      </w:pPr>
    </w:p>
    <w:p w14:paraId="14ADB56E" w14:textId="77777777" w:rsidR="00C355EC" w:rsidRPr="004F5FB4" w:rsidRDefault="00C355EC" w:rsidP="0009685B">
      <w:pPr>
        <w:pStyle w:val="BodyText"/>
        <w:widowControl/>
        <w:kinsoku w:val="0"/>
        <w:overflowPunct w:val="0"/>
        <w:ind w:left="0"/>
        <w:rPr>
          <w:color w:val="000000"/>
        </w:rPr>
      </w:pPr>
      <w:r w:rsidRPr="004F5FB4">
        <w:rPr>
          <w:color w:val="000000"/>
          <w:u w:val="single"/>
        </w:rPr>
        <w:t>Immunsuppression</w:t>
      </w:r>
    </w:p>
    <w:p w14:paraId="6715F109" w14:textId="77777777" w:rsidR="00C355EC" w:rsidRPr="004F5FB4" w:rsidRDefault="00C355EC" w:rsidP="0009685B">
      <w:pPr>
        <w:pStyle w:val="BodyText"/>
        <w:widowControl/>
        <w:kinsoku w:val="0"/>
        <w:overflowPunct w:val="0"/>
        <w:ind w:left="0"/>
        <w:rPr>
          <w:color w:val="000000"/>
        </w:rPr>
      </w:pPr>
    </w:p>
    <w:p w14:paraId="4FCCC953" w14:textId="77777777" w:rsidR="00C355EC" w:rsidRPr="004F5FB4" w:rsidRDefault="00C355EC" w:rsidP="0009685B">
      <w:pPr>
        <w:pStyle w:val="BodyText"/>
        <w:widowControl/>
        <w:kinsoku w:val="0"/>
        <w:overflowPunct w:val="0"/>
        <w:ind w:left="0"/>
        <w:rPr>
          <w:color w:val="000000"/>
        </w:rPr>
      </w:pPr>
      <w:r w:rsidRPr="004F5FB4">
        <w:rPr>
          <w:color w:val="000000"/>
        </w:rPr>
        <w:t>In einer Studie mit 64</w:t>
      </w:r>
      <w:r w:rsidR="00BE59FE" w:rsidRPr="004F5FB4">
        <w:rPr>
          <w:color w:val="000000"/>
        </w:rPr>
        <w:t> </w:t>
      </w:r>
      <w:r w:rsidRPr="004F5FB4">
        <w:rPr>
          <w:color w:val="000000"/>
        </w:rPr>
        <w:t>Patienten mit rheumatoider Arthritis, die mit Adalimumab behandelt wurden, ergab sich kein Beleg für eine Abschwächung der Überempfindlichkeitsreaktion vom verzögerten Typ, für eine Abnahme der Immunglobulinkonzentration oder für Veränderungen der Zahl von Effektor-T-, B-, NK-Zellen, Monozyten/</w:t>
      </w:r>
      <w:r w:rsidR="00E85F19" w:rsidRPr="004F5FB4">
        <w:rPr>
          <w:color w:val="000000"/>
        </w:rPr>
        <w:t xml:space="preserve"> </w:t>
      </w:r>
      <w:r w:rsidRPr="004F5FB4">
        <w:rPr>
          <w:color w:val="000000"/>
        </w:rPr>
        <w:t>Makrophagen und neutrophilen Granulozyten.</w:t>
      </w:r>
    </w:p>
    <w:p w14:paraId="7E5453EF" w14:textId="77777777" w:rsidR="00C355EC" w:rsidRPr="004F5FB4" w:rsidRDefault="00C355EC" w:rsidP="0009685B">
      <w:pPr>
        <w:pStyle w:val="BodyText"/>
        <w:widowControl/>
        <w:kinsoku w:val="0"/>
        <w:overflowPunct w:val="0"/>
        <w:ind w:left="0"/>
        <w:rPr>
          <w:color w:val="000000"/>
        </w:rPr>
      </w:pPr>
    </w:p>
    <w:p w14:paraId="0424EF6A" w14:textId="77777777" w:rsidR="00C355EC" w:rsidRPr="004F5FB4" w:rsidRDefault="00C355EC" w:rsidP="0009685B">
      <w:pPr>
        <w:pStyle w:val="BodyText"/>
        <w:keepNext/>
        <w:widowControl/>
        <w:kinsoku w:val="0"/>
        <w:overflowPunct w:val="0"/>
        <w:ind w:left="0"/>
        <w:rPr>
          <w:color w:val="000000"/>
        </w:rPr>
      </w:pPr>
      <w:r w:rsidRPr="004F5FB4">
        <w:rPr>
          <w:color w:val="000000"/>
          <w:u w:val="single"/>
        </w:rPr>
        <w:t>Maligne und lymphoproliferative Erkrankungen</w:t>
      </w:r>
    </w:p>
    <w:p w14:paraId="18016517" w14:textId="77777777" w:rsidR="00C355EC" w:rsidRPr="004F5FB4" w:rsidRDefault="00C355EC" w:rsidP="0009685B">
      <w:pPr>
        <w:pStyle w:val="BodyText"/>
        <w:keepNext/>
        <w:widowControl/>
        <w:kinsoku w:val="0"/>
        <w:overflowPunct w:val="0"/>
        <w:ind w:left="0"/>
        <w:rPr>
          <w:color w:val="000000"/>
        </w:rPr>
      </w:pPr>
    </w:p>
    <w:p w14:paraId="088FE3F3" w14:textId="77777777" w:rsidR="00C355EC" w:rsidRPr="004F5FB4" w:rsidRDefault="00C355EC" w:rsidP="0009685B">
      <w:pPr>
        <w:pStyle w:val="BodyText"/>
        <w:widowControl/>
        <w:kinsoku w:val="0"/>
        <w:overflowPunct w:val="0"/>
        <w:ind w:left="0"/>
        <w:rPr>
          <w:color w:val="000000"/>
        </w:rPr>
      </w:pPr>
      <w:r w:rsidRPr="004F5FB4">
        <w:rPr>
          <w:color w:val="000000"/>
        </w:rPr>
        <w:t xml:space="preserve">Innerhalb kontrollierter Phasen von klinischen Studien </w:t>
      </w:r>
      <w:r w:rsidR="004648BC" w:rsidRPr="004F5FB4">
        <w:rPr>
          <w:color w:val="000000"/>
        </w:rPr>
        <w:t xml:space="preserve">mit </w:t>
      </w:r>
      <w:r w:rsidRPr="004F5FB4">
        <w:rPr>
          <w:color w:val="000000"/>
        </w:rPr>
        <w:t xml:space="preserve">TNF-Antagonisten wurden </w:t>
      </w:r>
      <w:r w:rsidR="004648BC" w:rsidRPr="004F5FB4">
        <w:rPr>
          <w:color w:val="000000"/>
        </w:rPr>
        <w:t xml:space="preserve">mehr Fälle von malignen Erkrankungen, einschließlich Lymphome, </w:t>
      </w:r>
      <w:r w:rsidRPr="004F5FB4">
        <w:rPr>
          <w:color w:val="000000"/>
        </w:rPr>
        <w:t>bei Patienten unter TNF-Antagonisten im Vergleich zu Kontrollpatienten beobachtet. Allerdings war das Auftreten selten. In der Phase nach Markteinführung wurden Fälle von Leukämie bei Patienten, die mit einem TNF-Antagonisten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TNF-Antagonisten behandelt werden, nicht ausgeschlossen werden.</w:t>
      </w:r>
    </w:p>
    <w:p w14:paraId="1328846C" w14:textId="77777777" w:rsidR="00C355EC" w:rsidRPr="004F5FB4" w:rsidRDefault="00C355EC" w:rsidP="0009685B">
      <w:pPr>
        <w:pStyle w:val="BodyText"/>
        <w:widowControl/>
        <w:kinsoku w:val="0"/>
        <w:overflowPunct w:val="0"/>
        <w:ind w:left="0"/>
        <w:rPr>
          <w:color w:val="000000"/>
          <w:szCs w:val="21"/>
        </w:rPr>
      </w:pPr>
    </w:p>
    <w:p w14:paraId="146CDDFB" w14:textId="77777777" w:rsidR="00C355EC" w:rsidRPr="004F5FB4" w:rsidRDefault="00C355EC" w:rsidP="0009685B">
      <w:pPr>
        <w:pStyle w:val="BodyText"/>
        <w:widowControl/>
        <w:kinsoku w:val="0"/>
        <w:overflowPunct w:val="0"/>
        <w:ind w:left="0"/>
        <w:rPr>
          <w:color w:val="000000"/>
        </w:rPr>
      </w:pPr>
      <w:r w:rsidRPr="004F5FB4">
        <w:rPr>
          <w:color w:val="000000"/>
        </w:rPr>
        <w:t>Bei Kindern, Jugendlichen und jungen Erwachsenen (bis 22 Jahre), die mit TNF-Antagonisten (einschließlich Adalimumab in der Phase nach der Markteinführung) behandelt wurden (Therapieeinleitung ≤</w:t>
      </w:r>
      <w:r w:rsidR="00503F48" w:rsidRPr="004F5FB4">
        <w:rPr>
          <w:color w:val="000000"/>
        </w:rPr>
        <w:t> </w:t>
      </w:r>
      <w:r w:rsidRPr="004F5FB4">
        <w:rPr>
          <w:color w:val="000000"/>
        </w:rPr>
        <w:t>18</w:t>
      </w:r>
      <w:r w:rsidR="00503F48" w:rsidRPr="004F5FB4">
        <w:rPr>
          <w:color w:val="000000"/>
        </w:rPr>
        <w:t> </w:t>
      </w:r>
      <w:r w:rsidRPr="004F5FB4">
        <w:rPr>
          <w:color w:val="000000"/>
        </w:rPr>
        <w:t>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TNF-Antagonisten ein Risiko für die Entwicklung maligner Erkrankungen nicht ausgeschlossen werden.</w:t>
      </w:r>
    </w:p>
    <w:p w14:paraId="2F8CA93F" w14:textId="77777777" w:rsidR="00C355EC" w:rsidRPr="004F5FB4" w:rsidRDefault="00C355EC" w:rsidP="0009685B">
      <w:pPr>
        <w:pStyle w:val="BodyText"/>
        <w:widowControl/>
        <w:kinsoku w:val="0"/>
        <w:overflowPunct w:val="0"/>
        <w:ind w:left="0"/>
        <w:rPr>
          <w:color w:val="000000"/>
        </w:rPr>
      </w:pPr>
    </w:p>
    <w:p w14:paraId="42459F2B" w14:textId="77777777" w:rsidR="00C355EC" w:rsidRPr="004F5FB4" w:rsidRDefault="00C355EC" w:rsidP="0009685B">
      <w:pPr>
        <w:pStyle w:val="BodyText"/>
        <w:widowControl/>
        <w:kinsoku w:val="0"/>
        <w:overflowPunct w:val="0"/>
        <w:ind w:left="0"/>
        <w:rPr>
          <w:color w:val="000000"/>
        </w:rPr>
      </w:pPr>
      <w:r w:rsidRPr="004F5FB4">
        <w:rPr>
          <w:color w:val="000000"/>
        </w:rPr>
        <w:t>Nach Markteinführung wurden bei Patienten, die mit Adalimumab behandelt wurden, seltene Fälle von hepatosplenalen T-Zell-Lymphomen beobachtet. Diese seltene Form eines T-Zell-Lymphoms hat einen sehr aggressiven Krankheitsverlauf und führt in der Regel zum Tode. Einige der hepatosplenalen T-Zell-Lymphome sind bei jungen Erwachsenen aufgetreten, die Adalimumab in Kombination mit Azathioprin oder 6-Mercaptopurin zur Behandlung einer chronisch</w:t>
      </w:r>
      <w:r w:rsidR="0087658E" w:rsidRPr="004F5FB4">
        <w:rPr>
          <w:color w:val="000000"/>
        </w:rPr>
        <w:t>-</w:t>
      </w:r>
      <w:r w:rsidRPr="004F5FB4">
        <w:rPr>
          <w:color w:val="000000"/>
        </w:rPr>
        <w:t>entzündlichen Darmerkrankung erhielten. Ein mögliches Risiko von Adalimumab in Kombination mit Azathioprin oder 6-Mercaptopurin sollte sorgfältig geprüft werden. Es kann nicht ausgeschlossen werden, dass bei Patienten, die mit Amsparity behandelt werden, ein Risiko für die Entwicklung eines hepatosplenalen T-Zell-Lymphoms besteht (siehe Abschnitt 4.8).</w:t>
      </w:r>
    </w:p>
    <w:p w14:paraId="03F800D4" w14:textId="77777777" w:rsidR="00C355EC" w:rsidRPr="004F5FB4" w:rsidRDefault="00C355EC" w:rsidP="0009685B">
      <w:pPr>
        <w:pStyle w:val="BodyText"/>
        <w:widowControl/>
        <w:kinsoku w:val="0"/>
        <w:overflowPunct w:val="0"/>
        <w:ind w:left="0"/>
        <w:rPr>
          <w:color w:val="000000"/>
        </w:rPr>
      </w:pPr>
    </w:p>
    <w:p w14:paraId="5C446E13" w14:textId="77777777" w:rsidR="00C355EC" w:rsidRPr="004F5FB4" w:rsidRDefault="00C355EC" w:rsidP="0009685B">
      <w:pPr>
        <w:pStyle w:val="BodyText"/>
        <w:widowControl/>
        <w:kinsoku w:val="0"/>
        <w:overflowPunct w:val="0"/>
        <w:ind w:left="0"/>
        <w:rPr>
          <w:color w:val="000000"/>
        </w:rPr>
      </w:pPr>
      <w:r w:rsidRPr="004F5FB4">
        <w:rPr>
          <w:color w:val="000000"/>
        </w:rPr>
        <w:t>Es wurden keine Studien durchgeführt, in die Patienten mit einer malignen Erkrankung in der Vorgeschichte eingeschlossen wurden oder in denen die Behandlung mit Adalimumab bei Patienten fortgesetzt wurde, nachdem sich eine maligne Erkrankung entwickelte. Daher sollte zusätzliche Vorsicht bei der Behandlung dieser Patienten mit Adalimumab angewandt werden (siehe Abschnitt</w:t>
      </w:r>
      <w:r w:rsidR="00407FE6" w:rsidRPr="004F5FB4">
        <w:rPr>
          <w:color w:val="000000"/>
        </w:rPr>
        <w:t> </w:t>
      </w:r>
      <w:r w:rsidRPr="004F5FB4">
        <w:rPr>
          <w:color w:val="000000"/>
        </w:rPr>
        <w:t>4.8).</w:t>
      </w:r>
    </w:p>
    <w:p w14:paraId="483FBD6C" w14:textId="77777777" w:rsidR="00C355EC" w:rsidRPr="004F5FB4" w:rsidRDefault="00C355EC" w:rsidP="0009685B">
      <w:pPr>
        <w:pStyle w:val="BodyText"/>
        <w:widowControl/>
        <w:kinsoku w:val="0"/>
        <w:overflowPunct w:val="0"/>
        <w:ind w:left="0"/>
        <w:rPr>
          <w:color w:val="000000"/>
        </w:rPr>
      </w:pPr>
    </w:p>
    <w:p w14:paraId="5052AF00" w14:textId="77777777" w:rsidR="00C355EC" w:rsidRPr="004F5FB4" w:rsidRDefault="00C355EC" w:rsidP="0009685B">
      <w:pPr>
        <w:pStyle w:val="BodyText"/>
        <w:widowControl/>
        <w:kinsoku w:val="0"/>
        <w:overflowPunct w:val="0"/>
        <w:ind w:left="0"/>
        <w:rPr>
          <w:color w:val="000000"/>
        </w:rPr>
      </w:pPr>
      <w:r w:rsidRPr="004F5FB4">
        <w:rPr>
          <w:color w:val="000000"/>
        </w:rPr>
        <w:t xml:space="preserve">Alle Patienten, insbesondere Patienten mit einer intensiven immunsuppressiven Therapie in der Vorgeschichte oder Psoriasispatienten, die zuvor eine PUVA-Therapie erhalten haben, sollten vor und </w:t>
      </w:r>
      <w:r w:rsidRPr="004F5FB4">
        <w:rPr>
          <w:color w:val="000000"/>
        </w:rPr>
        <w:lastRenderedPageBreak/>
        <w:t>während der Behandlung mit Amsparity auf das Vorliegen von nicht melanomartigen Hauttumoren untersucht werden. Ebenso wurde das Auftreten von Melanomen und Merkelzellkarzinomen bei Patienten, die mit TNF-Antagonisten, einschließlich Adalimumab, behandelt wurden, berichtet (siehe Abschnitt</w:t>
      </w:r>
      <w:r w:rsidR="00503F48" w:rsidRPr="004F5FB4">
        <w:rPr>
          <w:color w:val="000000"/>
        </w:rPr>
        <w:t> </w:t>
      </w:r>
      <w:r w:rsidRPr="004F5FB4">
        <w:rPr>
          <w:color w:val="000000"/>
        </w:rPr>
        <w:t>4.8).</w:t>
      </w:r>
    </w:p>
    <w:p w14:paraId="0F1079E1" w14:textId="77777777" w:rsidR="00C355EC" w:rsidRPr="004F5FB4" w:rsidRDefault="00C355EC" w:rsidP="0009685B">
      <w:pPr>
        <w:pStyle w:val="BodyText"/>
        <w:widowControl/>
        <w:kinsoku w:val="0"/>
        <w:overflowPunct w:val="0"/>
        <w:ind w:left="0"/>
        <w:rPr>
          <w:color w:val="000000"/>
        </w:rPr>
      </w:pPr>
    </w:p>
    <w:p w14:paraId="06206F47" w14:textId="77777777" w:rsidR="00C355EC" w:rsidRPr="004F5FB4" w:rsidRDefault="00C355EC" w:rsidP="0009685B">
      <w:pPr>
        <w:pStyle w:val="BodyText"/>
        <w:widowControl/>
        <w:kinsoku w:val="0"/>
        <w:overflowPunct w:val="0"/>
        <w:ind w:left="0"/>
        <w:rPr>
          <w:color w:val="000000"/>
        </w:rPr>
      </w:pPr>
      <w:r w:rsidRPr="004F5FB4">
        <w:rPr>
          <w:color w:val="000000"/>
        </w:rPr>
        <w:t>In einer exploratorischen klinischen Studie zur Evaluierung der Anwendung eines anderen TNF-Antagonisten, Infliximab, bei Patienten mit mäßiger bis schwerer chronischer obstruktiver Lungenerkrankung (COPD) wurden bei mit Infliximab behandelten Patienten im Vergleich zu Kontrollpatienten mehr maligne Erkrankungen, meistens der Lunge oder des Kopfes und Halses, berichtet. Alle Patienten waren in der Vorgeschichte starke Raucher. Daher müssen TNF-Antagonisten bei COPD-Patienten mit Vorsicht angewendet werden, ebenso bei Patienten mit erhöhtem Risiko für maligne Erkrankungen als Folge starken Rauchens.</w:t>
      </w:r>
    </w:p>
    <w:p w14:paraId="2559B5A9" w14:textId="77777777" w:rsidR="00C355EC" w:rsidRPr="004F5FB4" w:rsidRDefault="00C355EC" w:rsidP="0009685B">
      <w:pPr>
        <w:pStyle w:val="BodyText"/>
        <w:widowControl/>
        <w:kinsoku w:val="0"/>
        <w:overflowPunct w:val="0"/>
        <w:ind w:left="0"/>
        <w:rPr>
          <w:color w:val="000000"/>
        </w:rPr>
      </w:pPr>
    </w:p>
    <w:p w14:paraId="7D9AD714" w14:textId="77777777" w:rsidR="00C355EC" w:rsidRPr="004F5FB4" w:rsidRDefault="00C355EC" w:rsidP="0009685B">
      <w:pPr>
        <w:pStyle w:val="BodyText"/>
        <w:widowControl/>
        <w:kinsoku w:val="0"/>
        <w:overflowPunct w:val="0"/>
        <w:ind w:left="0"/>
        <w:rPr>
          <w:color w:val="000000"/>
        </w:rPr>
      </w:pPr>
      <w:r w:rsidRPr="004F5FB4">
        <w:rPr>
          <w:color w:val="000000"/>
        </w:rPr>
        <w:t>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des Krankheitsverlaufs in regelmäßigen Intervallen auf Dysplasien untersucht werden. Die Untersuchung sollte Koloskopie und Biopsien entsprechend den nationalen Empfehlungen umfassen.</w:t>
      </w:r>
    </w:p>
    <w:p w14:paraId="383A0D6E" w14:textId="77777777" w:rsidR="00C355EC" w:rsidRPr="004F5FB4" w:rsidRDefault="00C355EC" w:rsidP="0009685B">
      <w:pPr>
        <w:pStyle w:val="BodyText"/>
        <w:widowControl/>
        <w:kinsoku w:val="0"/>
        <w:overflowPunct w:val="0"/>
        <w:ind w:left="0"/>
        <w:rPr>
          <w:color w:val="000000"/>
        </w:rPr>
      </w:pPr>
    </w:p>
    <w:p w14:paraId="262215D8" w14:textId="77777777" w:rsidR="00C355EC" w:rsidRPr="004F5FB4" w:rsidRDefault="00C355EC" w:rsidP="0009685B">
      <w:pPr>
        <w:pStyle w:val="BodyText"/>
        <w:keepNext/>
        <w:widowControl/>
        <w:kinsoku w:val="0"/>
        <w:overflowPunct w:val="0"/>
        <w:ind w:left="0"/>
        <w:rPr>
          <w:color w:val="000000"/>
        </w:rPr>
      </w:pPr>
      <w:r w:rsidRPr="004F5FB4">
        <w:rPr>
          <w:color w:val="000000"/>
          <w:u w:val="single"/>
        </w:rPr>
        <w:t>Hämatologische Reaktionen</w:t>
      </w:r>
    </w:p>
    <w:p w14:paraId="04ACD3FE" w14:textId="77777777" w:rsidR="00C355EC" w:rsidRPr="004F5FB4" w:rsidRDefault="00C355EC" w:rsidP="0009685B">
      <w:pPr>
        <w:pStyle w:val="BodyText"/>
        <w:keepNext/>
        <w:widowControl/>
        <w:kinsoku w:val="0"/>
        <w:overflowPunct w:val="0"/>
        <w:ind w:left="0"/>
        <w:rPr>
          <w:color w:val="000000"/>
        </w:rPr>
      </w:pPr>
    </w:p>
    <w:p w14:paraId="754D668D" w14:textId="77777777" w:rsidR="00C355EC" w:rsidRPr="004F5FB4" w:rsidRDefault="00C355EC" w:rsidP="0009685B">
      <w:pPr>
        <w:pStyle w:val="BodyText"/>
        <w:widowControl/>
        <w:kinsoku w:val="0"/>
        <w:overflowPunct w:val="0"/>
        <w:ind w:left="0"/>
        <w:rPr>
          <w:color w:val="000000"/>
        </w:rPr>
      </w:pPr>
      <w:r w:rsidRPr="004F5FB4">
        <w:rPr>
          <w:color w:val="000000"/>
        </w:rPr>
        <w:t>Im Zusammenhang mit TNF-Antagonisten wurde in seltenen Fällen über das Auftreten von Panzytopenie, einschließlich aplastischer Anämie, berichtet. Unerwünschte Ereignisse des blutbildenden Systems, einschließlich medizinisch signifikanter Zytopenie (z. B. Thrombozytopenie, Leukopenie), wurden unter Adalimumab berichtet. Alle Patienten sollten darauf hingewiesen werden, dass sie sofort einen Arzt aufsuchen sollten, wenn sie unter der Amsparity-Therapie Anzeichen und Symptome entwickeln, die auf eine Blutdyskrasie hindeuten (z.</w:t>
      </w:r>
      <w:r w:rsidR="00503F48" w:rsidRPr="004F5FB4">
        <w:rPr>
          <w:color w:val="000000"/>
        </w:rPr>
        <w:t> </w:t>
      </w:r>
      <w:r w:rsidRPr="004F5FB4">
        <w:rPr>
          <w:color w:val="000000"/>
        </w:rPr>
        <w:t>B. anhaltendes Fieber, Blutergüsse, Blutung, Blässe). Bei Patienten mit bestätigten signifikanten hämatologischen Abnormalitäten sollte eine Unterbrechung der Amsparity-Therapie in Betracht gezogen werden.</w:t>
      </w:r>
    </w:p>
    <w:p w14:paraId="356420AA" w14:textId="77777777" w:rsidR="008620EF" w:rsidRPr="004F5FB4" w:rsidRDefault="008620EF" w:rsidP="0009685B">
      <w:pPr>
        <w:pStyle w:val="BodyText"/>
        <w:widowControl/>
        <w:kinsoku w:val="0"/>
        <w:overflowPunct w:val="0"/>
        <w:ind w:left="0"/>
        <w:rPr>
          <w:color w:val="000000"/>
          <w:u w:val="single"/>
        </w:rPr>
      </w:pPr>
    </w:p>
    <w:p w14:paraId="5D45F3E5" w14:textId="77777777" w:rsidR="00C355EC" w:rsidRPr="004F5FB4" w:rsidRDefault="00C355EC" w:rsidP="0009685B">
      <w:pPr>
        <w:pStyle w:val="BodyText"/>
        <w:widowControl/>
        <w:kinsoku w:val="0"/>
        <w:overflowPunct w:val="0"/>
        <w:ind w:left="0"/>
        <w:rPr>
          <w:color w:val="000000"/>
        </w:rPr>
      </w:pPr>
      <w:r w:rsidRPr="004F5FB4">
        <w:rPr>
          <w:color w:val="000000"/>
          <w:u w:val="single"/>
        </w:rPr>
        <w:t>Impfungen</w:t>
      </w:r>
    </w:p>
    <w:p w14:paraId="5FAA85BC" w14:textId="77777777" w:rsidR="00C355EC" w:rsidRPr="004F5FB4" w:rsidRDefault="00C355EC" w:rsidP="0009685B">
      <w:pPr>
        <w:pStyle w:val="BodyText"/>
        <w:widowControl/>
        <w:kinsoku w:val="0"/>
        <w:overflowPunct w:val="0"/>
        <w:ind w:left="0"/>
        <w:rPr>
          <w:color w:val="000000"/>
        </w:rPr>
      </w:pPr>
    </w:p>
    <w:p w14:paraId="2BD96C91" w14:textId="77777777" w:rsidR="00C355EC" w:rsidRPr="004F5FB4" w:rsidRDefault="00C355EC" w:rsidP="0009685B">
      <w:pPr>
        <w:pStyle w:val="BodyText"/>
        <w:widowControl/>
        <w:kinsoku w:val="0"/>
        <w:overflowPunct w:val="0"/>
        <w:ind w:left="0"/>
        <w:rPr>
          <w:color w:val="000000"/>
        </w:rPr>
      </w:pPr>
      <w:r w:rsidRPr="004F5FB4">
        <w:rPr>
          <w:color w:val="000000"/>
        </w:rPr>
        <w:t>Vergleichbare Antikörperantworten auf einen 23-valenten Standardpneumokokkenimpfstoff und einen trivalenten Influenzaimpfstoff wurden in einer Studie bei 226 Erwachsenen mit rheumatoider Arthritis, die mit Adalimumab oder Placebo behandelt wurden, beobachtet. Es liegen keine Daten vor über eine sekundäre Infektionsübertragung durch Lebendimpfstoffe bei Patienten, die Adalimumab erhielten.</w:t>
      </w:r>
    </w:p>
    <w:p w14:paraId="4F26C666" w14:textId="77777777" w:rsidR="00C355EC" w:rsidRPr="004F5FB4" w:rsidRDefault="00C355EC" w:rsidP="0009685B">
      <w:pPr>
        <w:pStyle w:val="BodyText"/>
        <w:widowControl/>
        <w:kinsoku w:val="0"/>
        <w:overflowPunct w:val="0"/>
        <w:ind w:left="0"/>
        <w:rPr>
          <w:color w:val="000000"/>
        </w:rPr>
      </w:pPr>
    </w:p>
    <w:p w14:paraId="1D961B16" w14:textId="77777777" w:rsidR="00C355EC" w:rsidRPr="004F5FB4" w:rsidRDefault="00C355EC" w:rsidP="0009685B">
      <w:pPr>
        <w:pStyle w:val="BodyText"/>
        <w:widowControl/>
        <w:kinsoku w:val="0"/>
        <w:overflowPunct w:val="0"/>
        <w:ind w:left="0"/>
        <w:rPr>
          <w:color w:val="000000"/>
        </w:rPr>
      </w:pPr>
      <w:r w:rsidRPr="004F5FB4">
        <w:rPr>
          <w:color w:val="000000"/>
        </w:rPr>
        <w:t xml:space="preserve">Bei </w:t>
      </w:r>
      <w:r w:rsidR="004648BC" w:rsidRPr="004F5FB4">
        <w:rPr>
          <w:color w:val="000000"/>
        </w:rPr>
        <w:t xml:space="preserve">Kindern und Jugendlichen </w:t>
      </w:r>
      <w:r w:rsidRPr="004F5FB4">
        <w:rPr>
          <w:color w:val="000000"/>
        </w:rPr>
        <w:t>wird empfohlen, nach Möglichkeit vor Therapiebeginn mit Adalimumab alle Immunisierungen in Übereinstimmung mit den gegenwärtigen Richtlinien auf den aktuellen Stand zu bringen.</w:t>
      </w:r>
    </w:p>
    <w:p w14:paraId="2299E147" w14:textId="77777777" w:rsidR="00C355EC" w:rsidRPr="004F5FB4" w:rsidRDefault="00C355EC" w:rsidP="0009685B">
      <w:pPr>
        <w:pStyle w:val="BodyText"/>
        <w:widowControl/>
        <w:kinsoku w:val="0"/>
        <w:overflowPunct w:val="0"/>
        <w:ind w:left="0"/>
        <w:rPr>
          <w:color w:val="000000"/>
          <w:szCs w:val="21"/>
        </w:rPr>
      </w:pPr>
    </w:p>
    <w:p w14:paraId="046422CF" w14:textId="77777777" w:rsidR="00C355EC" w:rsidRPr="004F5FB4" w:rsidRDefault="00C355EC" w:rsidP="0009685B">
      <w:pPr>
        <w:pStyle w:val="BodyText"/>
        <w:widowControl/>
        <w:kinsoku w:val="0"/>
        <w:overflowPunct w:val="0"/>
        <w:ind w:left="0"/>
        <w:rPr>
          <w:color w:val="000000"/>
        </w:rPr>
      </w:pPr>
      <w:r w:rsidRPr="004F5FB4">
        <w:rPr>
          <w:color w:val="000000"/>
        </w:rPr>
        <w:t xml:space="preserve">Patienten können gleichzeitig zur Adalimumab-Therapie Impfungen erhalten, mit Ausnahme von Lebendimpfstoffen. Es wird empfohlen, Säuglinge, die </w:t>
      </w:r>
      <w:r w:rsidRPr="004F5FB4">
        <w:rPr>
          <w:i/>
          <w:color w:val="000000"/>
        </w:rPr>
        <w:t>in utero</w:t>
      </w:r>
      <w:r w:rsidRPr="004F5FB4">
        <w:rPr>
          <w:color w:val="000000"/>
        </w:rPr>
        <w:t xml:space="preserve"> Adalimumab ausgesetzt waren, nicht vor Ablauf von 5 Monaten nach der letzten Gabe von Adalimumab bei der Mutter während der Schwangerschaft mit Lebendimpfstoffen (z.</w:t>
      </w:r>
      <w:r w:rsidR="00503F48" w:rsidRPr="004F5FB4">
        <w:rPr>
          <w:color w:val="000000"/>
        </w:rPr>
        <w:t> </w:t>
      </w:r>
      <w:r w:rsidRPr="004F5FB4">
        <w:rPr>
          <w:color w:val="000000"/>
        </w:rPr>
        <w:t>B. BCG-Vakzine) zu impfen.</w:t>
      </w:r>
    </w:p>
    <w:p w14:paraId="109813A7" w14:textId="77777777" w:rsidR="00C355EC" w:rsidRPr="004F5FB4" w:rsidRDefault="00C355EC" w:rsidP="0009685B">
      <w:pPr>
        <w:pStyle w:val="BodyText"/>
        <w:widowControl/>
        <w:kinsoku w:val="0"/>
        <w:overflowPunct w:val="0"/>
        <w:ind w:left="0"/>
        <w:rPr>
          <w:color w:val="000000"/>
        </w:rPr>
      </w:pPr>
    </w:p>
    <w:p w14:paraId="3536A6D7" w14:textId="77777777" w:rsidR="00C355EC" w:rsidRPr="004F5FB4" w:rsidRDefault="00C355EC" w:rsidP="0009685B">
      <w:pPr>
        <w:pStyle w:val="BodyText"/>
        <w:widowControl/>
        <w:kinsoku w:val="0"/>
        <w:overflowPunct w:val="0"/>
        <w:ind w:left="0"/>
        <w:rPr>
          <w:color w:val="000000"/>
        </w:rPr>
      </w:pPr>
      <w:r w:rsidRPr="004F5FB4">
        <w:rPr>
          <w:color w:val="000000"/>
          <w:u w:val="single"/>
        </w:rPr>
        <w:t>Dekompensierte Herzinsuffizienz</w:t>
      </w:r>
    </w:p>
    <w:p w14:paraId="0CAB504A" w14:textId="77777777" w:rsidR="00C355EC" w:rsidRPr="004F5FB4" w:rsidRDefault="00C355EC" w:rsidP="0009685B">
      <w:pPr>
        <w:pStyle w:val="BodyText"/>
        <w:widowControl/>
        <w:kinsoku w:val="0"/>
        <w:overflowPunct w:val="0"/>
        <w:ind w:left="0"/>
        <w:rPr>
          <w:color w:val="000000"/>
        </w:rPr>
      </w:pPr>
    </w:p>
    <w:p w14:paraId="2333D39E" w14:textId="77777777" w:rsidR="00C355EC" w:rsidRPr="004F5FB4" w:rsidRDefault="00C355EC" w:rsidP="0009685B">
      <w:pPr>
        <w:pStyle w:val="BodyText"/>
        <w:widowControl/>
        <w:kinsoku w:val="0"/>
        <w:overflowPunct w:val="0"/>
        <w:ind w:left="0"/>
        <w:rPr>
          <w:color w:val="000000"/>
        </w:rPr>
      </w:pPr>
      <w:r w:rsidRPr="004F5FB4">
        <w:rPr>
          <w:color w:val="000000"/>
        </w:rPr>
        <w:t xml:space="preserve">In einer klinischen Studie mit einem anderen TNF-Antagonisten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Amsparity sollte bei Patienten mit leichter Herzinsuffizienz (NYHA-Klasse I/II) mit Vorsicht eingesetzt werden. Amsparity darf nicht bei mäßiger bis schwerer Herzinsuffizienz angewendet werden (siehe Abschnitt 4.3). Die Behandlung mit </w:t>
      </w:r>
      <w:r w:rsidRPr="004F5FB4">
        <w:rPr>
          <w:color w:val="000000"/>
        </w:rPr>
        <w:lastRenderedPageBreak/>
        <w:t>Amsparity muss bei Patienten, die neue oder sich verschlechternde Symptome einer dekompensierten Herzinsuffizienz entwickeln, abgesetzt werden.</w:t>
      </w:r>
    </w:p>
    <w:p w14:paraId="164A18BC" w14:textId="77777777" w:rsidR="00C355EC" w:rsidRPr="004F5FB4" w:rsidRDefault="00C355EC" w:rsidP="0009685B">
      <w:pPr>
        <w:pStyle w:val="BodyText"/>
        <w:widowControl/>
        <w:kinsoku w:val="0"/>
        <w:overflowPunct w:val="0"/>
        <w:ind w:left="0"/>
        <w:rPr>
          <w:color w:val="000000"/>
        </w:rPr>
      </w:pPr>
    </w:p>
    <w:p w14:paraId="33A3B0F3" w14:textId="77777777" w:rsidR="00C355EC" w:rsidRPr="004F5FB4" w:rsidRDefault="00C355EC" w:rsidP="00687087">
      <w:pPr>
        <w:pStyle w:val="BodyText"/>
        <w:keepNext/>
        <w:widowControl/>
        <w:kinsoku w:val="0"/>
        <w:overflowPunct w:val="0"/>
        <w:ind w:left="0"/>
        <w:rPr>
          <w:color w:val="000000"/>
        </w:rPr>
      </w:pPr>
      <w:r w:rsidRPr="004F5FB4">
        <w:rPr>
          <w:color w:val="000000"/>
          <w:u w:val="single"/>
        </w:rPr>
        <w:t>Autoimmunprozesse</w:t>
      </w:r>
    </w:p>
    <w:p w14:paraId="29C82D26" w14:textId="77777777" w:rsidR="00C355EC" w:rsidRPr="004F5FB4" w:rsidRDefault="00C355EC" w:rsidP="00687087">
      <w:pPr>
        <w:pStyle w:val="BodyText"/>
        <w:keepNext/>
        <w:widowControl/>
        <w:kinsoku w:val="0"/>
        <w:overflowPunct w:val="0"/>
        <w:ind w:left="0"/>
        <w:rPr>
          <w:color w:val="000000"/>
        </w:rPr>
      </w:pPr>
    </w:p>
    <w:p w14:paraId="7F78E098" w14:textId="77777777" w:rsidR="00C355EC" w:rsidRPr="004F5FB4" w:rsidRDefault="00C355EC" w:rsidP="0009685B">
      <w:pPr>
        <w:pStyle w:val="BodyText"/>
        <w:widowControl/>
        <w:kinsoku w:val="0"/>
        <w:overflowPunct w:val="0"/>
        <w:ind w:left="0"/>
        <w:rPr>
          <w:color w:val="000000"/>
        </w:rPr>
      </w:pPr>
      <w:r w:rsidRPr="004F5FB4">
        <w:rPr>
          <w:color w:val="000000"/>
        </w:rPr>
        <w:t>Die Behandlung mit Amsparity kann zur Bildung von Autoantikörpern führen. Der Einfluss einer Langzeitbehandlung mit Adalimumab auf die Entwicklung von Autoimmunerkrankungen ist nicht bekannt. Entwickelt ein Patient nach der Behandlung mit Amsparity Symptome, die auf ein lupusähnliches Syndrom hindeuten und wird positiv auf Antikörper gegen doppelsträngige DNA getestet, darf die Behandlung mit Amsparity nicht weitergeführt werden (siehe Abschnitt</w:t>
      </w:r>
      <w:r w:rsidR="00980E23" w:rsidRPr="004F5FB4">
        <w:rPr>
          <w:color w:val="000000"/>
        </w:rPr>
        <w:t> </w:t>
      </w:r>
      <w:r w:rsidRPr="004F5FB4">
        <w:rPr>
          <w:color w:val="000000"/>
        </w:rPr>
        <w:t>4.8).</w:t>
      </w:r>
    </w:p>
    <w:p w14:paraId="5B4D2698" w14:textId="77777777" w:rsidR="00C355EC" w:rsidRPr="004F5FB4" w:rsidRDefault="00C355EC" w:rsidP="0009685B">
      <w:pPr>
        <w:pStyle w:val="BodyText"/>
        <w:widowControl/>
        <w:kinsoku w:val="0"/>
        <w:overflowPunct w:val="0"/>
        <w:ind w:left="0"/>
        <w:rPr>
          <w:color w:val="000000"/>
        </w:rPr>
      </w:pPr>
    </w:p>
    <w:p w14:paraId="39CE8D54" w14:textId="77777777" w:rsidR="00C355EC" w:rsidRPr="004F5FB4" w:rsidRDefault="00C355EC" w:rsidP="0009685B">
      <w:pPr>
        <w:pStyle w:val="BodyText"/>
        <w:widowControl/>
        <w:kinsoku w:val="0"/>
        <w:overflowPunct w:val="0"/>
        <w:ind w:left="0"/>
        <w:rPr>
          <w:color w:val="000000"/>
        </w:rPr>
      </w:pPr>
      <w:r w:rsidRPr="004F5FB4">
        <w:rPr>
          <w:color w:val="000000"/>
          <w:u w:val="single"/>
        </w:rPr>
        <w:t>Gleichzeitige Anwendung von biologischen DMARDs oder TNF-Antagonisten</w:t>
      </w:r>
    </w:p>
    <w:p w14:paraId="4410AFE0" w14:textId="77777777" w:rsidR="00C355EC" w:rsidRPr="004F5FB4" w:rsidRDefault="00C355EC" w:rsidP="0009685B">
      <w:pPr>
        <w:pStyle w:val="BodyText"/>
        <w:widowControl/>
        <w:kinsoku w:val="0"/>
        <w:overflowPunct w:val="0"/>
        <w:ind w:left="0"/>
        <w:rPr>
          <w:color w:val="000000"/>
        </w:rPr>
      </w:pPr>
    </w:p>
    <w:p w14:paraId="4F37EE7A" w14:textId="77777777" w:rsidR="00C355EC" w:rsidRPr="004F5FB4" w:rsidRDefault="00C355EC" w:rsidP="0009685B">
      <w:pPr>
        <w:pStyle w:val="BodyText"/>
        <w:widowControl/>
        <w:kinsoku w:val="0"/>
        <w:overflowPunct w:val="0"/>
        <w:ind w:left="0"/>
        <w:rPr>
          <w:color w:val="000000"/>
        </w:rPr>
      </w:pPr>
      <w:r w:rsidRPr="004F5FB4">
        <w:rPr>
          <w:color w:val="000000"/>
        </w:rPr>
        <w:t>In klinischen Studien wurden bei gleichzeitiger Anwendung von Anakinra und einem anderen TNF-Antagonisten, Etanercept, schwere Infektionen beobachtet, während die Kombinationstherapie im Vergleich zur Etanercept-Monotherapie keinen zusätzlichen klinischen Nutzen aufwies.</w:t>
      </w:r>
      <w:r w:rsidR="00F34D2A" w:rsidRPr="004F5FB4">
        <w:rPr>
          <w:color w:val="000000"/>
        </w:rPr>
        <w:t xml:space="preserve"> </w:t>
      </w:r>
      <w:r w:rsidRPr="004F5FB4">
        <w:rPr>
          <w:color w:val="000000"/>
        </w:rPr>
        <w:t>Aufgrund der Art der unerwünschten Ereignisse, die unter der Kombinationstherapie mit Etanercept und Anakinra beobachtet wurden, könnten ähnliche Toxizitäten auch aus der Kombination von Anakinra und anderen TNF-Antagonisten resultieren. Daher wird die Kombination von Adalimumab und Anakinra nicht empfohlen (siehe Abschnitt 4.5).</w:t>
      </w:r>
    </w:p>
    <w:p w14:paraId="2FC4B0D0" w14:textId="77777777" w:rsidR="00C355EC" w:rsidRPr="004F5FB4" w:rsidRDefault="00C355EC" w:rsidP="0009685B">
      <w:pPr>
        <w:pStyle w:val="BodyText"/>
        <w:widowControl/>
        <w:kinsoku w:val="0"/>
        <w:overflowPunct w:val="0"/>
        <w:ind w:left="0"/>
        <w:rPr>
          <w:color w:val="000000"/>
          <w:szCs w:val="21"/>
        </w:rPr>
      </w:pPr>
    </w:p>
    <w:p w14:paraId="27BFE405" w14:textId="77777777" w:rsidR="00C355EC" w:rsidRPr="004F5FB4" w:rsidRDefault="00C355EC" w:rsidP="0009685B">
      <w:pPr>
        <w:pStyle w:val="BodyText"/>
        <w:widowControl/>
        <w:kinsoku w:val="0"/>
        <w:overflowPunct w:val="0"/>
        <w:ind w:left="0"/>
        <w:rPr>
          <w:color w:val="000000"/>
        </w:rPr>
      </w:pPr>
      <w:r w:rsidRPr="004F5FB4">
        <w:rPr>
          <w:color w:val="000000"/>
        </w:rPr>
        <w:t>Die gleichzeitige Anwendung von Adalimumab mit anderen biologischen DMARDs (z. B. Anakinra und Abatacept) oder anderen TNF-Antagonisten wird aufgrund des möglichen erhöhten Infektionsrisikos, einschließlich schwerwiegender Infektionen, und anderer möglicher pharmakologischer Interaktionen nicht empfohlen (siehe Abschnitt 4.5).</w:t>
      </w:r>
    </w:p>
    <w:p w14:paraId="079B6019" w14:textId="77777777" w:rsidR="00C355EC" w:rsidRPr="004F5FB4" w:rsidRDefault="00C355EC" w:rsidP="0009685B">
      <w:pPr>
        <w:pStyle w:val="BodyText"/>
        <w:widowControl/>
        <w:kinsoku w:val="0"/>
        <w:overflowPunct w:val="0"/>
        <w:ind w:left="0"/>
        <w:rPr>
          <w:color w:val="000000"/>
          <w:szCs w:val="21"/>
        </w:rPr>
      </w:pPr>
    </w:p>
    <w:p w14:paraId="6EC24F1C" w14:textId="77777777" w:rsidR="00C355EC" w:rsidRPr="004F5FB4" w:rsidRDefault="00C355EC" w:rsidP="0009685B">
      <w:pPr>
        <w:pStyle w:val="BodyText"/>
        <w:widowControl/>
        <w:kinsoku w:val="0"/>
        <w:overflowPunct w:val="0"/>
        <w:ind w:left="0"/>
        <w:rPr>
          <w:color w:val="000000"/>
        </w:rPr>
      </w:pPr>
      <w:r w:rsidRPr="004F5FB4">
        <w:rPr>
          <w:color w:val="000000"/>
          <w:u w:val="single"/>
        </w:rPr>
        <w:t>Operationen</w:t>
      </w:r>
    </w:p>
    <w:p w14:paraId="2F61CF92" w14:textId="77777777" w:rsidR="00C355EC" w:rsidRPr="004F5FB4" w:rsidRDefault="00C355EC" w:rsidP="0009685B">
      <w:pPr>
        <w:pStyle w:val="BodyText"/>
        <w:widowControl/>
        <w:kinsoku w:val="0"/>
        <w:overflowPunct w:val="0"/>
        <w:ind w:left="0"/>
        <w:rPr>
          <w:color w:val="000000"/>
          <w:szCs w:val="15"/>
        </w:rPr>
      </w:pPr>
    </w:p>
    <w:p w14:paraId="5664EB2E" w14:textId="77777777" w:rsidR="00C355EC" w:rsidRPr="004F5FB4" w:rsidRDefault="00C355EC" w:rsidP="0009685B">
      <w:pPr>
        <w:pStyle w:val="BodyText"/>
        <w:widowControl/>
        <w:kinsoku w:val="0"/>
        <w:overflowPunct w:val="0"/>
        <w:ind w:left="0"/>
        <w:rPr>
          <w:color w:val="000000"/>
        </w:rPr>
      </w:pPr>
      <w:r w:rsidRPr="004F5FB4">
        <w:rPr>
          <w:color w:val="000000"/>
        </w:rPr>
        <w:t xml:space="preserve">Es liegen begrenzte Erfahrungen hinsichtlich der Sicherheit von Adalimumab </w:t>
      </w:r>
      <w:r w:rsidR="0035749F" w:rsidRPr="004F5FB4">
        <w:rPr>
          <w:color w:val="000000"/>
        </w:rPr>
        <w:t>im Rahmen von operativen Eingriffen</w:t>
      </w:r>
      <w:r w:rsidRPr="004F5FB4">
        <w:rPr>
          <w:color w:val="000000"/>
        </w:rPr>
        <w:t xml:space="preserve"> vor. Bei der Planung von operativen Eingriffen sollte die lange Halbwertszeit von Adalimumab berücksichtigt werden. Patienten, die während der Therapie mit Amsparity operiert werden, sollten im Hinblick auf Infektionen engmaschig überwacht werden, und es sollten geeignete Maßnahmen ergriffen werden. Es liegen begrenzte Erfahrungen hinsichtlich der Sicherheit </w:t>
      </w:r>
      <w:r w:rsidR="00BE2981" w:rsidRPr="004F5FB4">
        <w:rPr>
          <w:color w:val="000000"/>
        </w:rPr>
        <w:t>von Adalimumab im Rahmen von</w:t>
      </w:r>
      <w:r w:rsidRPr="004F5FB4">
        <w:rPr>
          <w:color w:val="000000"/>
        </w:rPr>
        <w:t xml:space="preserve"> Gelenkersatzoperation</w:t>
      </w:r>
      <w:r w:rsidR="00BE2981" w:rsidRPr="004F5FB4">
        <w:rPr>
          <w:color w:val="000000"/>
        </w:rPr>
        <w:t>en vor</w:t>
      </w:r>
      <w:r w:rsidRPr="004F5FB4">
        <w:rPr>
          <w:color w:val="000000"/>
        </w:rPr>
        <w:t>.</w:t>
      </w:r>
    </w:p>
    <w:p w14:paraId="789F2710" w14:textId="77777777" w:rsidR="008620EF" w:rsidRPr="004F5FB4" w:rsidRDefault="008620EF" w:rsidP="0009685B">
      <w:pPr>
        <w:pStyle w:val="BodyText"/>
        <w:widowControl/>
        <w:kinsoku w:val="0"/>
        <w:overflowPunct w:val="0"/>
        <w:ind w:left="0"/>
        <w:rPr>
          <w:color w:val="000000"/>
          <w:u w:val="single"/>
        </w:rPr>
      </w:pPr>
    </w:p>
    <w:p w14:paraId="0CAA8B79" w14:textId="77777777" w:rsidR="00C355EC" w:rsidRPr="004F5FB4" w:rsidRDefault="00C355EC" w:rsidP="0009685B">
      <w:pPr>
        <w:pStyle w:val="BodyText"/>
        <w:keepNext/>
        <w:widowControl/>
        <w:kinsoku w:val="0"/>
        <w:overflowPunct w:val="0"/>
        <w:ind w:left="0"/>
        <w:rPr>
          <w:color w:val="000000"/>
        </w:rPr>
      </w:pPr>
      <w:r w:rsidRPr="004F5FB4">
        <w:rPr>
          <w:color w:val="000000"/>
          <w:u w:val="single"/>
        </w:rPr>
        <w:t>Dünndarmstenose</w:t>
      </w:r>
    </w:p>
    <w:p w14:paraId="05B561C6" w14:textId="77777777" w:rsidR="00C355EC" w:rsidRPr="004F5FB4" w:rsidRDefault="00C355EC" w:rsidP="0009685B">
      <w:pPr>
        <w:pStyle w:val="BodyText"/>
        <w:keepNext/>
        <w:widowControl/>
        <w:kinsoku w:val="0"/>
        <w:overflowPunct w:val="0"/>
        <w:ind w:left="0"/>
        <w:rPr>
          <w:color w:val="000000"/>
        </w:rPr>
      </w:pPr>
    </w:p>
    <w:p w14:paraId="1A74A0FB" w14:textId="77777777" w:rsidR="00C355EC" w:rsidRPr="004F5FB4" w:rsidRDefault="00C355EC" w:rsidP="00054A92">
      <w:pPr>
        <w:pStyle w:val="BodyText"/>
        <w:widowControl/>
        <w:kinsoku w:val="0"/>
        <w:overflowPunct w:val="0"/>
        <w:ind w:left="0"/>
        <w:rPr>
          <w:color w:val="000000"/>
        </w:rPr>
      </w:pPr>
      <w:r w:rsidRPr="004F5FB4">
        <w:rPr>
          <w:color w:val="000000"/>
        </w:rPr>
        <w:t>Ein unzureichendes Ansprechen auf die Behandlung bei Morbus Crohn kann ein Hinweis für eine fibrotische Stenose sein, die gegebenenfalls chirurgisch behandelt werden sollte. Nach den verfügbaren Daten scheint Adalimumab eine Stenose weder zu verschlimmern noch zu verursachen.</w:t>
      </w:r>
    </w:p>
    <w:p w14:paraId="07506B91" w14:textId="77777777" w:rsidR="00C355EC" w:rsidRPr="004F5FB4" w:rsidRDefault="00C355EC" w:rsidP="0009685B">
      <w:pPr>
        <w:pStyle w:val="BodyText"/>
        <w:widowControl/>
        <w:kinsoku w:val="0"/>
        <w:overflowPunct w:val="0"/>
        <w:ind w:left="0"/>
        <w:rPr>
          <w:color w:val="000000"/>
        </w:rPr>
      </w:pPr>
    </w:p>
    <w:p w14:paraId="333B5DDD" w14:textId="77777777" w:rsidR="00C355EC" w:rsidRPr="004F5FB4" w:rsidRDefault="00C355EC" w:rsidP="0009685B">
      <w:pPr>
        <w:pStyle w:val="BodyText"/>
        <w:keepNext/>
        <w:widowControl/>
        <w:kinsoku w:val="0"/>
        <w:overflowPunct w:val="0"/>
        <w:ind w:left="0"/>
        <w:rPr>
          <w:color w:val="000000"/>
        </w:rPr>
      </w:pPr>
      <w:r w:rsidRPr="004F5FB4">
        <w:rPr>
          <w:color w:val="000000"/>
          <w:u w:val="single"/>
        </w:rPr>
        <w:t>Ältere Patienten</w:t>
      </w:r>
    </w:p>
    <w:p w14:paraId="078CA601" w14:textId="77777777" w:rsidR="00C355EC" w:rsidRPr="004F5FB4" w:rsidRDefault="00C355EC" w:rsidP="0009685B">
      <w:pPr>
        <w:pStyle w:val="BodyText"/>
        <w:keepNext/>
        <w:widowControl/>
        <w:kinsoku w:val="0"/>
        <w:overflowPunct w:val="0"/>
        <w:ind w:left="0"/>
        <w:rPr>
          <w:color w:val="000000"/>
        </w:rPr>
      </w:pPr>
    </w:p>
    <w:p w14:paraId="39C9291D" w14:textId="77777777" w:rsidR="00C355EC" w:rsidRPr="004F5FB4" w:rsidRDefault="00C355EC" w:rsidP="0009685B">
      <w:pPr>
        <w:pStyle w:val="BodyText"/>
        <w:widowControl/>
        <w:kinsoku w:val="0"/>
        <w:overflowPunct w:val="0"/>
        <w:ind w:left="0"/>
        <w:rPr>
          <w:color w:val="000000"/>
        </w:rPr>
      </w:pPr>
      <w:r w:rsidRPr="004F5FB4">
        <w:rPr>
          <w:color w:val="000000"/>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753B1293" w14:textId="77777777" w:rsidR="00C355EC" w:rsidRPr="004F5FB4" w:rsidRDefault="00C355EC" w:rsidP="0009685B">
      <w:pPr>
        <w:pStyle w:val="BodyText"/>
        <w:widowControl/>
        <w:kinsoku w:val="0"/>
        <w:overflowPunct w:val="0"/>
        <w:ind w:left="0"/>
        <w:rPr>
          <w:color w:val="000000"/>
        </w:rPr>
      </w:pPr>
    </w:p>
    <w:p w14:paraId="764497D2" w14:textId="77777777" w:rsidR="00C355EC" w:rsidRPr="004F5FB4" w:rsidRDefault="00C355EC" w:rsidP="00054A92">
      <w:pPr>
        <w:pStyle w:val="BodyText"/>
        <w:keepNext/>
        <w:widowControl/>
        <w:kinsoku w:val="0"/>
        <w:overflowPunct w:val="0"/>
        <w:ind w:left="0"/>
        <w:rPr>
          <w:color w:val="000000"/>
        </w:rPr>
      </w:pPr>
      <w:r w:rsidRPr="004F5FB4">
        <w:rPr>
          <w:color w:val="000000"/>
          <w:u w:val="single"/>
        </w:rPr>
        <w:t>Kinder und Jugendliche</w:t>
      </w:r>
    </w:p>
    <w:p w14:paraId="40814E66" w14:textId="77777777" w:rsidR="00C355EC" w:rsidRPr="004F5FB4" w:rsidRDefault="00C355EC" w:rsidP="00054A92">
      <w:pPr>
        <w:pStyle w:val="BodyText"/>
        <w:keepNext/>
        <w:widowControl/>
        <w:kinsoku w:val="0"/>
        <w:overflowPunct w:val="0"/>
        <w:ind w:left="0"/>
        <w:rPr>
          <w:color w:val="000000"/>
        </w:rPr>
      </w:pPr>
    </w:p>
    <w:p w14:paraId="3BA96351" w14:textId="77777777" w:rsidR="00C355EC" w:rsidRPr="004F5FB4" w:rsidRDefault="00C355EC" w:rsidP="0009685B">
      <w:pPr>
        <w:pStyle w:val="BodyText"/>
        <w:widowControl/>
        <w:kinsoku w:val="0"/>
        <w:overflowPunct w:val="0"/>
        <w:ind w:left="0"/>
        <w:rPr>
          <w:color w:val="000000"/>
        </w:rPr>
      </w:pPr>
      <w:r w:rsidRPr="004F5FB4">
        <w:rPr>
          <w:color w:val="000000"/>
        </w:rPr>
        <w:t>Zu Impfungen siehe oben.</w:t>
      </w:r>
    </w:p>
    <w:p w14:paraId="6C53E01B" w14:textId="77777777" w:rsidR="008D74DD" w:rsidRPr="004F5FB4" w:rsidRDefault="008D74DD" w:rsidP="0009685B">
      <w:pPr>
        <w:rPr>
          <w:color w:val="000000"/>
        </w:rPr>
      </w:pPr>
    </w:p>
    <w:p w14:paraId="68C96929" w14:textId="6BFB2B2B" w:rsidR="00FC61A4" w:rsidRPr="004F5FB4" w:rsidRDefault="00FC61A4" w:rsidP="00687087">
      <w:pPr>
        <w:keepNext/>
        <w:rPr>
          <w:color w:val="000000"/>
          <w:u w:val="single"/>
        </w:rPr>
      </w:pPr>
      <w:r w:rsidRPr="004F5FB4">
        <w:rPr>
          <w:color w:val="000000"/>
          <w:u w:val="single"/>
        </w:rPr>
        <w:t>Sonstige Bestandteil</w:t>
      </w:r>
      <w:r w:rsidR="00957AE9">
        <w:rPr>
          <w:color w:val="000000"/>
          <w:u w:val="single"/>
        </w:rPr>
        <w:t>e</w:t>
      </w:r>
      <w:r w:rsidRPr="004F5FB4">
        <w:rPr>
          <w:color w:val="000000"/>
          <w:u w:val="single"/>
        </w:rPr>
        <w:t xml:space="preserve"> </w:t>
      </w:r>
      <w:r w:rsidR="000A61CC" w:rsidRPr="004F5FB4">
        <w:rPr>
          <w:color w:val="000000"/>
          <w:u w:val="single"/>
        </w:rPr>
        <w:t>mit bekannter Wirkung</w:t>
      </w:r>
    </w:p>
    <w:p w14:paraId="11D445C1" w14:textId="77777777" w:rsidR="00FC61A4" w:rsidRPr="004F5FB4" w:rsidRDefault="00FC61A4" w:rsidP="00687087">
      <w:pPr>
        <w:keepNext/>
        <w:rPr>
          <w:color w:val="000000"/>
        </w:rPr>
      </w:pPr>
    </w:p>
    <w:p w14:paraId="09FB71D4" w14:textId="77777777" w:rsidR="005573B1" w:rsidRPr="007F47A9" w:rsidRDefault="005573B1" w:rsidP="005573B1">
      <w:pPr>
        <w:rPr>
          <w:i/>
          <w:iCs/>
        </w:rPr>
      </w:pPr>
      <w:r>
        <w:rPr>
          <w:i/>
        </w:rPr>
        <w:t>Polysorbat</w:t>
      </w:r>
      <w:r>
        <w:rPr>
          <w:i/>
        </w:rPr>
        <w:br/>
      </w:r>
    </w:p>
    <w:p w14:paraId="0E4A90A9" w14:textId="1DB412A0" w:rsidR="005573B1" w:rsidRPr="007F47A9" w:rsidRDefault="005573B1" w:rsidP="005573B1">
      <w:pPr>
        <w:rPr>
          <w:i/>
          <w:iCs/>
        </w:rPr>
      </w:pPr>
      <w:r w:rsidRPr="00C75D0C">
        <w:lastRenderedPageBreak/>
        <w:t>Dieses Arzneimittel enthält Polysorbat 80</w:t>
      </w:r>
      <w:r w:rsidR="008D5857">
        <w:t xml:space="preserve">. </w:t>
      </w:r>
      <w:r w:rsidR="00C248D8" w:rsidRPr="009671A0">
        <w:t xml:space="preserve">Amsparity 20 mg Injektionslösung in einer Fertigspritze enthält 0,08 mg Polysorbat 80 pro 0,4 ml Einzeldosis, dies entspricht 0,2 mg/ml Polysorbat 80. </w:t>
      </w:r>
      <w:r w:rsidR="000C1BA9">
        <w:t xml:space="preserve">Polysorbate können allergische Reaktionen </w:t>
      </w:r>
      <w:r>
        <w:t>hervorrufen.</w:t>
      </w:r>
    </w:p>
    <w:p w14:paraId="5D9C512D" w14:textId="77777777" w:rsidR="005573B1" w:rsidRPr="00EC03BF" w:rsidRDefault="005573B1" w:rsidP="005573B1">
      <w:pPr>
        <w:rPr>
          <w:i/>
          <w:iCs/>
        </w:rPr>
      </w:pPr>
    </w:p>
    <w:p w14:paraId="6FB86E9F" w14:textId="77777777" w:rsidR="005573B1" w:rsidRDefault="005573B1" w:rsidP="005573B1">
      <w:pPr>
        <w:rPr>
          <w:color w:val="000000"/>
        </w:rPr>
      </w:pPr>
      <w:r>
        <w:rPr>
          <w:i/>
        </w:rPr>
        <w:t>Natrium</w:t>
      </w:r>
    </w:p>
    <w:p w14:paraId="33002551" w14:textId="77777777" w:rsidR="005573B1" w:rsidRDefault="005573B1" w:rsidP="005573B1">
      <w:pPr>
        <w:rPr>
          <w:color w:val="000000"/>
        </w:rPr>
      </w:pPr>
    </w:p>
    <w:p w14:paraId="1784BA42" w14:textId="203B3D4C" w:rsidR="00FC61A4" w:rsidRPr="004F5FB4" w:rsidRDefault="007719A8" w:rsidP="005573B1">
      <w:pPr>
        <w:rPr>
          <w:color w:val="000000"/>
        </w:rPr>
      </w:pPr>
      <w:r w:rsidRPr="004F5FB4">
        <w:rPr>
          <w:color w:val="000000"/>
        </w:rPr>
        <w:t>Amsparity</w:t>
      </w:r>
      <w:r w:rsidR="00FC61A4" w:rsidRPr="004F5FB4">
        <w:rPr>
          <w:color w:val="000000"/>
        </w:rPr>
        <w:t xml:space="preserve"> enthält weniger als 1 mmol Natrium (23 mg) pro </w:t>
      </w:r>
      <w:r w:rsidR="0056121D">
        <w:rPr>
          <w:color w:val="000000"/>
        </w:rPr>
        <w:t>0,4</w:t>
      </w:r>
      <w:r w:rsidR="00FC61A4" w:rsidRPr="004F5FB4">
        <w:rPr>
          <w:color w:val="000000"/>
        </w:rPr>
        <w:t> ml Dosis, d</w:t>
      </w:r>
      <w:r w:rsidR="00965C47" w:rsidRPr="004F5FB4">
        <w:rPr>
          <w:color w:val="000000"/>
        </w:rPr>
        <w:t>. </w:t>
      </w:r>
      <w:r w:rsidR="00FC61A4" w:rsidRPr="004F5FB4">
        <w:rPr>
          <w:color w:val="000000"/>
        </w:rPr>
        <w:t>h</w:t>
      </w:r>
      <w:r w:rsidR="00965C47" w:rsidRPr="004F5FB4">
        <w:rPr>
          <w:color w:val="000000"/>
        </w:rPr>
        <w:t>.,</w:t>
      </w:r>
      <w:r w:rsidR="00FC61A4" w:rsidRPr="004F5FB4">
        <w:rPr>
          <w:color w:val="000000"/>
        </w:rPr>
        <w:t xml:space="preserve"> es ist nahezu „natriumfrei“.</w:t>
      </w:r>
    </w:p>
    <w:p w14:paraId="59EA31D8" w14:textId="77777777" w:rsidR="00FC61A4" w:rsidRPr="004F5FB4" w:rsidRDefault="00FC61A4" w:rsidP="0009685B">
      <w:pPr>
        <w:rPr>
          <w:color w:val="000000"/>
        </w:rPr>
      </w:pPr>
    </w:p>
    <w:p w14:paraId="08870A55" w14:textId="77777777" w:rsidR="00C355EC" w:rsidRPr="004F5FB4" w:rsidRDefault="00C355EC" w:rsidP="00CA7719">
      <w:pPr>
        <w:pStyle w:val="BodyText"/>
        <w:keepNext/>
        <w:widowControl/>
        <w:numPr>
          <w:ilvl w:val="1"/>
          <w:numId w:val="21"/>
        </w:numPr>
        <w:kinsoku w:val="0"/>
        <w:overflowPunct w:val="0"/>
        <w:spacing w:before="8"/>
        <w:ind w:left="0" w:firstLine="0"/>
        <w:rPr>
          <w:b/>
          <w:bCs/>
          <w:color w:val="000000"/>
        </w:rPr>
      </w:pPr>
      <w:r w:rsidRPr="00CA7719">
        <w:rPr>
          <w:b/>
          <w:bCs/>
          <w:color w:val="000000"/>
        </w:rPr>
        <w:t>Wechselwirkungen mit anderen Arzneimitteln und sonstige Wechselwirkungen</w:t>
      </w:r>
    </w:p>
    <w:p w14:paraId="3FA410B5" w14:textId="77777777" w:rsidR="00C355EC" w:rsidRPr="004F5FB4" w:rsidRDefault="00C355EC" w:rsidP="00687087">
      <w:pPr>
        <w:pStyle w:val="BodyText"/>
        <w:keepNext/>
        <w:widowControl/>
        <w:kinsoku w:val="0"/>
        <w:overflowPunct w:val="0"/>
        <w:ind w:left="0"/>
        <w:rPr>
          <w:b/>
          <w:bCs/>
          <w:color w:val="000000"/>
          <w:szCs w:val="21"/>
        </w:rPr>
      </w:pPr>
    </w:p>
    <w:p w14:paraId="1421C194" w14:textId="77777777" w:rsidR="00C355EC" w:rsidRPr="004F5FB4" w:rsidRDefault="00F37FB1" w:rsidP="0009685B">
      <w:pPr>
        <w:pStyle w:val="BodyText"/>
        <w:widowControl/>
        <w:kinsoku w:val="0"/>
        <w:overflowPunct w:val="0"/>
        <w:ind w:left="0"/>
        <w:rPr>
          <w:color w:val="000000"/>
        </w:rPr>
      </w:pPr>
      <w:r w:rsidRPr="004F5FB4">
        <w:rPr>
          <w:color w:val="000000"/>
        </w:rPr>
        <w:t xml:space="preserve">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w:t>
      </w:r>
      <w:r w:rsidRPr="004F5FB4">
        <w:rPr>
          <w:i/>
          <w:color w:val="000000"/>
        </w:rPr>
        <w:t>Clearance</w:t>
      </w:r>
      <w:r w:rsidRPr="004F5FB4">
        <w:rPr>
          <w:color w:val="000000"/>
        </w:rPr>
        <w:t xml:space="preserve"> und einer verminderten Wirksamkeit von Adalimumab (siehe Abschnitt</w:t>
      </w:r>
      <w:r w:rsidR="00980E23" w:rsidRPr="004F5FB4">
        <w:rPr>
          <w:color w:val="000000"/>
        </w:rPr>
        <w:t> </w:t>
      </w:r>
      <w:r w:rsidRPr="004F5FB4">
        <w:rPr>
          <w:color w:val="000000"/>
        </w:rPr>
        <w:t>5.1).</w:t>
      </w:r>
    </w:p>
    <w:p w14:paraId="6E0C0BBA" w14:textId="77777777" w:rsidR="00C355EC" w:rsidRPr="004F5FB4" w:rsidRDefault="00C355EC" w:rsidP="0009685B">
      <w:pPr>
        <w:pStyle w:val="BodyText"/>
        <w:widowControl/>
        <w:kinsoku w:val="0"/>
        <w:overflowPunct w:val="0"/>
        <w:ind w:left="0"/>
        <w:rPr>
          <w:color w:val="000000"/>
        </w:rPr>
      </w:pPr>
    </w:p>
    <w:p w14:paraId="5F2ACAEA" w14:textId="77777777" w:rsidR="00C355EC" w:rsidRPr="004F5FB4" w:rsidRDefault="00C355EC" w:rsidP="0009685B">
      <w:pPr>
        <w:pStyle w:val="BodyText"/>
        <w:widowControl/>
        <w:kinsoku w:val="0"/>
        <w:overflowPunct w:val="0"/>
        <w:ind w:left="0"/>
        <w:rPr>
          <w:color w:val="000000"/>
        </w:rPr>
      </w:pPr>
      <w:r w:rsidRPr="004F5FB4">
        <w:rPr>
          <w:color w:val="000000"/>
        </w:rPr>
        <w:t>Die Kombination von Amsparity und Anakinra wird nicht empfohlen (siehe in Abschnitt</w:t>
      </w:r>
      <w:r w:rsidR="00980E23" w:rsidRPr="004F5FB4">
        <w:rPr>
          <w:color w:val="000000"/>
        </w:rPr>
        <w:t> </w:t>
      </w:r>
      <w:r w:rsidRPr="004F5FB4">
        <w:rPr>
          <w:color w:val="000000"/>
        </w:rPr>
        <w:t>4.4 „Gleichzeitige Anwendung von biologischen DMARDs oder TNF-Antagonisten“).</w:t>
      </w:r>
    </w:p>
    <w:p w14:paraId="07B76607" w14:textId="77777777" w:rsidR="00C355EC" w:rsidRPr="004F5FB4" w:rsidRDefault="00C355EC" w:rsidP="0009685B">
      <w:pPr>
        <w:pStyle w:val="BodyText"/>
        <w:widowControl/>
        <w:kinsoku w:val="0"/>
        <w:overflowPunct w:val="0"/>
        <w:ind w:left="0"/>
        <w:rPr>
          <w:color w:val="000000"/>
          <w:szCs w:val="21"/>
        </w:rPr>
      </w:pPr>
    </w:p>
    <w:p w14:paraId="21D1C70D" w14:textId="77777777" w:rsidR="00C355EC" w:rsidRPr="004F5FB4" w:rsidRDefault="00C355EC" w:rsidP="0009685B">
      <w:pPr>
        <w:pStyle w:val="BodyText"/>
        <w:widowControl/>
        <w:kinsoku w:val="0"/>
        <w:overflowPunct w:val="0"/>
        <w:ind w:left="0"/>
        <w:rPr>
          <w:color w:val="000000"/>
        </w:rPr>
      </w:pPr>
      <w:r w:rsidRPr="004F5FB4">
        <w:rPr>
          <w:color w:val="000000"/>
        </w:rPr>
        <w:t>Die Kombination von Amsparity und Abatacept wird nicht empfohlen (siehe in Abschnitt</w:t>
      </w:r>
      <w:r w:rsidR="00980E23" w:rsidRPr="004F5FB4">
        <w:rPr>
          <w:color w:val="000000"/>
        </w:rPr>
        <w:t> </w:t>
      </w:r>
      <w:r w:rsidRPr="004F5FB4">
        <w:rPr>
          <w:color w:val="000000"/>
        </w:rPr>
        <w:t>4.4 „Gleichzeitige Anwendung von biologischen DMARDs oder TNF-Antagonisten“).</w:t>
      </w:r>
    </w:p>
    <w:p w14:paraId="07CE1385" w14:textId="77777777" w:rsidR="00C355EC" w:rsidRPr="004F5FB4" w:rsidRDefault="00C355EC" w:rsidP="0009685B">
      <w:pPr>
        <w:rPr>
          <w:color w:val="000000"/>
        </w:rPr>
      </w:pPr>
    </w:p>
    <w:p w14:paraId="07CF87F9" w14:textId="77777777" w:rsidR="00C355EC" w:rsidRPr="004F5FB4" w:rsidRDefault="00C355EC" w:rsidP="00CA7719">
      <w:pPr>
        <w:pStyle w:val="BodyText"/>
        <w:keepNext/>
        <w:widowControl/>
        <w:numPr>
          <w:ilvl w:val="1"/>
          <w:numId w:val="21"/>
        </w:numPr>
        <w:kinsoku w:val="0"/>
        <w:overflowPunct w:val="0"/>
        <w:spacing w:before="8"/>
        <w:ind w:left="0" w:firstLine="0"/>
        <w:rPr>
          <w:b/>
          <w:bCs/>
          <w:color w:val="000000"/>
        </w:rPr>
      </w:pPr>
      <w:r w:rsidRPr="00CA7719">
        <w:rPr>
          <w:b/>
          <w:bCs/>
          <w:color w:val="000000"/>
        </w:rPr>
        <w:t>Fertilität, Schwangerschaft und Stillzeit</w:t>
      </w:r>
    </w:p>
    <w:p w14:paraId="3FA006D7" w14:textId="77777777" w:rsidR="00785BDA" w:rsidRPr="004F5FB4" w:rsidRDefault="00785BDA" w:rsidP="00687087">
      <w:pPr>
        <w:pStyle w:val="BodyText"/>
        <w:keepNext/>
        <w:widowControl/>
        <w:kinsoku w:val="0"/>
        <w:overflowPunct w:val="0"/>
        <w:ind w:left="0"/>
        <w:rPr>
          <w:color w:val="000000"/>
          <w:u w:val="single"/>
          <w:lang w:val="en-GB"/>
        </w:rPr>
      </w:pPr>
    </w:p>
    <w:p w14:paraId="79334676" w14:textId="77777777" w:rsidR="00785BDA" w:rsidRPr="004F5FB4" w:rsidRDefault="00785BDA" w:rsidP="00687087">
      <w:pPr>
        <w:pStyle w:val="BodyText"/>
        <w:keepNext/>
        <w:widowControl/>
        <w:kinsoku w:val="0"/>
        <w:overflowPunct w:val="0"/>
        <w:ind w:left="0"/>
        <w:rPr>
          <w:color w:val="000000"/>
          <w:u w:val="single"/>
        </w:rPr>
      </w:pPr>
      <w:r w:rsidRPr="004F5FB4">
        <w:rPr>
          <w:color w:val="000000"/>
          <w:u w:val="single"/>
        </w:rPr>
        <w:t>Frauen im gebärfähigen Alter</w:t>
      </w:r>
    </w:p>
    <w:p w14:paraId="3F230D56" w14:textId="77777777" w:rsidR="00054A92" w:rsidRPr="004F5FB4" w:rsidRDefault="00054A92" w:rsidP="00687087">
      <w:pPr>
        <w:pStyle w:val="BodyText"/>
        <w:keepNext/>
        <w:widowControl/>
        <w:kinsoku w:val="0"/>
        <w:overflowPunct w:val="0"/>
        <w:ind w:left="0"/>
        <w:rPr>
          <w:color w:val="000000"/>
          <w:lang w:val="en-GB"/>
        </w:rPr>
      </w:pPr>
    </w:p>
    <w:p w14:paraId="3EC36872" w14:textId="77777777" w:rsidR="00785BDA" w:rsidRPr="004F5FB4" w:rsidRDefault="00785BDA" w:rsidP="0009685B">
      <w:pPr>
        <w:pStyle w:val="BodyText"/>
        <w:widowControl/>
        <w:kinsoku w:val="0"/>
        <w:overflowPunct w:val="0"/>
        <w:ind w:left="0"/>
        <w:rPr>
          <w:color w:val="000000"/>
        </w:rPr>
      </w:pPr>
      <w:r w:rsidRPr="004F5FB4">
        <w:rPr>
          <w:color w:val="000000"/>
        </w:rPr>
        <w:t>Frauen im gebärfähigen Alter sollten zur Vermeidung einer Schwangerschaft geeignete Empfängnisverhütungsmethoden in Erwägung ziehen und diese für mindestens fünf Monate nach der letzten Gabe von Amsparity fortführen.</w:t>
      </w:r>
    </w:p>
    <w:p w14:paraId="698AACD6" w14:textId="77777777" w:rsidR="00785BDA" w:rsidRPr="004F5FB4" w:rsidRDefault="00785BDA" w:rsidP="0009685B">
      <w:pPr>
        <w:pStyle w:val="BodyText"/>
        <w:widowControl/>
        <w:kinsoku w:val="0"/>
        <w:overflowPunct w:val="0"/>
        <w:ind w:left="0"/>
        <w:rPr>
          <w:color w:val="000000"/>
          <w:u w:val="single"/>
        </w:rPr>
      </w:pPr>
    </w:p>
    <w:p w14:paraId="08157C44" w14:textId="77777777" w:rsidR="00785BDA" w:rsidRPr="004F5FB4" w:rsidRDefault="00785BDA" w:rsidP="00687087">
      <w:pPr>
        <w:pStyle w:val="BodyText"/>
        <w:keepNext/>
        <w:widowControl/>
        <w:kinsoku w:val="0"/>
        <w:overflowPunct w:val="0"/>
        <w:ind w:left="0"/>
        <w:rPr>
          <w:color w:val="000000"/>
          <w:u w:val="single"/>
        </w:rPr>
      </w:pPr>
      <w:r w:rsidRPr="004F5FB4">
        <w:rPr>
          <w:color w:val="000000"/>
          <w:u w:val="single"/>
        </w:rPr>
        <w:t>Schwangerschaft</w:t>
      </w:r>
    </w:p>
    <w:p w14:paraId="3B4CED1B" w14:textId="77777777" w:rsidR="00054A92" w:rsidRPr="004F5FB4" w:rsidRDefault="00054A92" w:rsidP="00687087">
      <w:pPr>
        <w:pStyle w:val="BodyText"/>
        <w:keepNext/>
        <w:widowControl/>
        <w:kinsoku w:val="0"/>
        <w:overflowPunct w:val="0"/>
        <w:ind w:left="0"/>
        <w:rPr>
          <w:color w:val="000000"/>
        </w:rPr>
      </w:pPr>
    </w:p>
    <w:p w14:paraId="11310BB0" w14:textId="77777777" w:rsidR="00785BDA" w:rsidRPr="004F5FB4" w:rsidRDefault="00785BDA" w:rsidP="0009685B">
      <w:pPr>
        <w:pStyle w:val="BodyText"/>
        <w:widowControl/>
        <w:kinsoku w:val="0"/>
        <w:overflowPunct w:val="0"/>
        <w:ind w:left="0"/>
        <w:rPr>
          <w:color w:val="000000"/>
        </w:rPr>
      </w:pPr>
      <w:r w:rsidRPr="004F5FB4">
        <w:rPr>
          <w:color w:val="000000"/>
        </w:rPr>
        <w:t>Die Auswertung einer großen Anzahl (etwa 2</w:t>
      </w:r>
      <w:r w:rsidR="00407FE6" w:rsidRPr="004F5FB4">
        <w:rPr>
          <w:color w:val="000000"/>
        </w:rPr>
        <w:t>.</w:t>
      </w:r>
      <w:r w:rsidRPr="004F5FB4">
        <w:rPr>
          <w:color w:val="000000"/>
        </w:rPr>
        <w:t>100) prospektiv erfasster Schwangerschaften mit Exposition gegenüber Adalimumab und mit Lebendgeburten mit bekanntem Ausgang deutete nicht auf eine erhöhte Rate von Missbildungen bei Neugeborenen hin. Bei über 1</w:t>
      </w:r>
      <w:r w:rsidR="00407FE6" w:rsidRPr="004F5FB4">
        <w:rPr>
          <w:color w:val="000000"/>
        </w:rPr>
        <w:t>.</w:t>
      </w:r>
      <w:r w:rsidRPr="004F5FB4">
        <w:rPr>
          <w:color w:val="000000"/>
        </w:rPr>
        <w:t>500 dieser Schwangerschaften fand die Exposition während des ersten Trimesters statt.</w:t>
      </w:r>
    </w:p>
    <w:p w14:paraId="219A217A" w14:textId="77777777" w:rsidR="00785BDA" w:rsidRPr="004F5FB4" w:rsidRDefault="00785BDA" w:rsidP="0009685B">
      <w:pPr>
        <w:pStyle w:val="BodyText"/>
        <w:widowControl/>
        <w:kinsoku w:val="0"/>
        <w:overflowPunct w:val="0"/>
        <w:ind w:left="0"/>
        <w:rPr>
          <w:color w:val="000000"/>
        </w:rPr>
      </w:pPr>
    </w:p>
    <w:p w14:paraId="31030430" w14:textId="77777777" w:rsidR="00785BDA" w:rsidRPr="004F5FB4" w:rsidRDefault="00785BDA" w:rsidP="0009685B">
      <w:pPr>
        <w:pStyle w:val="BodyText"/>
        <w:widowControl/>
        <w:kinsoku w:val="0"/>
        <w:overflowPunct w:val="0"/>
        <w:ind w:left="0"/>
        <w:rPr>
          <w:color w:val="000000"/>
        </w:rPr>
      </w:pPr>
      <w:r w:rsidRPr="004F5FB4">
        <w:rPr>
          <w:color w:val="000000"/>
        </w:rPr>
        <w:t>Folgende Probanden wurden in eine prospektive Kohortenstudie eingeschlossen: 257 Frauen mit rheumatoider Arthritis (RA) oder Morbus Crohn (MC), die mindestens während des ersten Trimesters mit Adalimumab behandelt wurden, sowie 120</w:t>
      </w:r>
      <w:r w:rsidR="00980E23" w:rsidRPr="004F5FB4">
        <w:rPr>
          <w:color w:val="000000"/>
        </w:rPr>
        <w:t> </w:t>
      </w:r>
      <w:r w:rsidRPr="004F5FB4">
        <w:rPr>
          <w:color w:val="000000"/>
        </w:rPr>
        <w:t>Frauen mit RA oder MC, die nicht mit Adalimumab behandelt wurden. Der primäre Endpunkt war die Prävalenz schwerwiegender Geburtsfehler. Der Anteil an Schwangerschaften mit mindestens einem lebend geborenen Kind, das einen schwerwiegenden Geburtsfehler hatte, betrug 6/69</w:t>
      </w:r>
      <w:r w:rsidR="00BE59FE" w:rsidRPr="004F5FB4">
        <w:rPr>
          <w:color w:val="000000"/>
        </w:rPr>
        <w:t> </w:t>
      </w:r>
      <w:r w:rsidRPr="004F5FB4">
        <w:rPr>
          <w:color w:val="000000"/>
        </w:rPr>
        <w:t>(8,7 %) bei mit Adalimumab behandelten Patientinnen mit RA, 5/74</w:t>
      </w:r>
      <w:r w:rsidR="00BE59FE" w:rsidRPr="004F5FB4">
        <w:rPr>
          <w:color w:val="000000"/>
        </w:rPr>
        <w:t> </w:t>
      </w:r>
      <w:r w:rsidRPr="004F5FB4">
        <w:rPr>
          <w:color w:val="000000"/>
        </w:rPr>
        <w:t>(6,8 %) bei unbehandelten Frauen mit RA (nicht bereinigte OR 1,31; 95 % CI 0,38 – 4,52); 16/152</w:t>
      </w:r>
      <w:r w:rsidR="00BE59FE" w:rsidRPr="004F5FB4">
        <w:rPr>
          <w:color w:val="000000"/>
        </w:rPr>
        <w:t> </w:t>
      </w:r>
      <w:r w:rsidRPr="004F5FB4">
        <w:rPr>
          <w:color w:val="000000"/>
        </w:rPr>
        <w:t>(10,5</w:t>
      </w:r>
      <w:r w:rsidR="00980E23" w:rsidRPr="004F5FB4">
        <w:rPr>
          <w:color w:val="000000"/>
        </w:rPr>
        <w:t> </w:t>
      </w:r>
      <w:r w:rsidRPr="004F5FB4">
        <w:rPr>
          <w:color w:val="000000"/>
        </w:rPr>
        <w:t>%) bei mit Adalimumab behandelten Patientinnen mit MC und 3/32</w:t>
      </w:r>
      <w:r w:rsidR="00BE59FE" w:rsidRPr="004F5FB4">
        <w:rPr>
          <w:color w:val="000000"/>
        </w:rPr>
        <w:t> </w:t>
      </w:r>
      <w:r w:rsidRPr="004F5FB4">
        <w:rPr>
          <w:color w:val="000000"/>
        </w:rPr>
        <w:t>(9,4</w:t>
      </w:r>
      <w:r w:rsidR="00A87FE1" w:rsidRPr="004F5FB4">
        <w:rPr>
          <w:color w:val="000000"/>
        </w:rPr>
        <w:t> </w:t>
      </w:r>
      <w:r w:rsidRPr="004F5FB4">
        <w:rPr>
          <w:color w:val="000000"/>
        </w:rPr>
        <w:t>%)</w:t>
      </w:r>
      <w:r w:rsidR="00980E23" w:rsidRPr="004F5FB4">
        <w:rPr>
          <w:color w:val="000000"/>
        </w:rPr>
        <w:t> </w:t>
      </w:r>
      <w:r w:rsidRPr="004F5FB4">
        <w:rPr>
          <w:color w:val="000000"/>
        </w:rPr>
        <w:t>bei unbehandelten Frauen mit MC (nicht bereinigte OR</w:t>
      </w:r>
      <w:r w:rsidR="00BE59FE" w:rsidRPr="004F5FB4">
        <w:rPr>
          <w:color w:val="000000"/>
        </w:rPr>
        <w:t> </w:t>
      </w:r>
      <w:r w:rsidRPr="004F5FB4">
        <w:rPr>
          <w:color w:val="000000"/>
        </w:rPr>
        <w:t xml:space="preserve">1,14; 95 % CI 0,31 – 4,16). Die bereinigte OR (die Unterschiede bei Baseline miteinbezieht) betrug für RA und MC zusammen insgesamt 1,10 (95 % CI 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Infektionen. Es wurden keine Totgeburten oder maligne Erkrankungen berichtet. Die Auswertung der Daten kann durch die methodologischen Einschränkungen der </w:t>
      </w:r>
      <w:r w:rsidR="00753C60" w:rsidRPr="004F5FB4">
        <w:rPr>
          <w:color w:val="000000"/>
        </w:rPr>
        <w:t>Registers</w:t>
      </w:r>
      <w:r w:rsidRPr="004F5FB4">
        <w:rPr>
          <w:color w:val="000000"/>
        </w:rPr>
        <w:t>tudie beeinflusst sein, darunter eine kleine Fallzahl und ein nicht randomisiertes Design.</w:t>
      </w:r>
    </w:p>
    <w:p w14:paraId="5BC4681F" w14:textId="77777777" w:rsidR="00785BDA" w:rsidRPr="004F5FB4" w:rsidRDefault="00785BDA" w:rsidP="0009685B">
      <w:pPr>
        <w:pStyle w:val="BodyText"/>
        <w:widowControl/>
        <w:kinsoku w:val="0"/>
        <w:overflowPunct w:val="0"/>
        <w:ind w:left="0"/>
        <w:rPr>
          <w:color w:val="000000"/>
        </w:rPr>
      </w:pPr>
    </w:p>
    <w:p w14:paraId="18DB606E" w14:textId="77777777" w:rsidR="00785BDA" w:rsidRPr="004F5FB4" w:rsidRDefault="00785BDA" w:rsidP="0009685B">
      <w:pPr>
        <w:pStyle w:val="BodyText"/>
        <w:widowControl/>
        <w:kinsoku w:val="0"/>
        <w:overflowPunct w:val="0"/>
        <w:ind w:left="0"/>
        <w:rPr>
          <w:color w:val="000000"/>
        </w:rPr>
      </w:pPr>
      <w:r w:rsidRPr="004F5FB4">
        <w:rPr>
          <w:color w:val="000000"/>
        </w:rPr>
        <w:lastRenderedPageBreak/>
        <w:t>Eine Studie zur Entwicklungstoxizität an Affen ergab keine Hinweise auf eine maternale Toxizität, Embryotoxizität oder Teratogenität. Präklinische Daten zur postnatalen Toxizität von Adalimumab liegen nicht vor (siehe Abschnitt 5.3).</w:t>
      </w:r>
    </w:p>
    <w:p w14:paraId="330F1668" w14:textId="77777777" w:rsidR="00785BDA" w:rsidRPr="004F5FB4" w:rsidRDefault="00785BDA" w:rsidP="0009685B">
      <w:pPr>
        <w:pStyle w:val="BodyText"/>
        <w:widowControl/>
        <w:kinsoku w:val="0"/>
        <w:overflowPunct w:val="0"/>
        <w:ind w:left="0"/>
        <w:rPr>
          <w:color w:val="000000"/>
        </w:rPr>
      </w:pPr>
    </w:p>
    <w:p w14:paraId="64DB6155" w14:textId="77777777" w:rsidR="00785BDA" w:rsidRPr="004F5FB4" w:rsidRDefault="00785BDA" w:rsidP="0009685B">
      <w:pPr>
        <w:pStyle w:val="BodyText"/>
        <w:widowControl/>
        <w:kinsoku w:val="0"/>
        <w:overflowPunct w:val="0"/>
        <w:ind w:left="0"/>
        <w:rPr>
          <w:color w:val="000000"/>
        </w:rPr>
      </w:pPr>
      <w:r w:rsidRPr="004F5FB4">
        <w:rPr>
          <w:color w:val="000000"/>
        </w:rPr>
        <w:t>Bei Anwendung von Adalimumab während der Schwangerschaft könnten wegen der TNF-α-Hemmung die normalen Immunreaktionen des Neugeborenen beeinflusst werden. Adalimumab sollte während einer Schwangerschaft nur angewendet werden, wenn dies eindeutig erforderlich ist.</w:t>
      </w:r>
    </w:p>
    <w:p w14:paraId="4F31D3A4" w14:textId="77777777" w:rsidR="00785BDA" w:rsidRPr="004F5FB4" w:rsidRDefault="00785BDA" w:rsidP="0009685B">
      <w:pPr>
        <w:pStyle w:val="BodyText"/>
        <w:widowControl/>
        <w:kinsoku w:val="0"/>
        <w:overflowPunct w:val="0"/>
        <w:ind w:left="0"/>
        <w:rPr>
          <w:color w:val="000000"/>
        </w:rPr>
      </w:pPr>
    </w:p>
    <w:p w14:paraId="45912BA5" w14:textId="77777777" w:rsidR="00785BDA" w:rsidRPr="004F5FB4" w:rsidRDefault="00785BDA" w:rsidP="0009685B">
      <w:pPr>
        <w:pStyle w:val="BodyText"/>
        <w:widowControl/>
        <w:kinsoku w:val="0"/>
        <w:overflowPunct w:val="0"/>
        <w:ind w:left="0"/>
        <w:rPr>
          <w:color w:val="000000"/>
        </w:rPr>
      </w:pPr>
      <w:r w:rsidRPr="004F5FB4">
        <w:rPr>
          <w:color w:val="000000"/>
        </w:rPr>
        <w:t xml:space="preserve">Wenn Mütter während der Schwangerschaft mit Adalimumab behandelt wurden, gelangt Adalimumab möglicherweise über die Plazenta in das Serum von Säuglingen. Infolgedessen haben diese Säuglinge eventuell ein erhöhtes Risiko für Infektionen. </w:t>
      </w:r>
      <w:r w:rsidR="00753C60" w:rsidRPr="004F5FB4">
        <w:rPr>
          <w:color w:val="000000"/>
        </w:rPr>
        <w:t>Die Verabreichung von Lebendimpfstoffen (z. B. BCG-Vakzine) an</w:t>
      </w:r>
      <w:r w:rsidRPr="004F5FB4">
        <w:rPr>
          <w:color w:val="000000"/>
        </w:rPr>
        <w:t xml:space="preserve"> Säuglinge, die </w:t>
      </w:r>
      <w:r w:rsidRPr="004F5FB4">
        <w:rPr>
          <w:i/>
          <w:color w:val="000000"/>
        </w:rPr>
        <w:t>in utero</w:t>
      </w:r>
      <w:r w:rsidRPr="004F5FB4">
        <w:rPr>
          <w:color w:val="000000"/>
        </w:rPr>
        <w:t xml:space="preserve"> Adalimumab ausgesetzt waren, </w:t>
      </w:r>
      <w:r w:rsidR="00753C60" w:rsidRPr="004F5FB4">
        <w:rPr>
          <w:color w:val="000000"/>
        </w:rPr>
        <w:t>ist für</w:t>
      </w:r>
      <w:r w:rsidRPr="004F5FB4">
        <w:rPr>
          <w:color w:val="000000"/>
        </w:rPr>
        <w:t xml:space="preserve"> 5 Monate nach der letzten Gabe von Adalimumab bei der Mutter während der Schwangerschaft </w:t>
      </w:r>
      <w:r w:rsidR="00753C60" w:rsidRPr="004F5FB4">
        <w:rPr>
          <w:color w:val="000000"/>
        </w:rPr>
        <w:t>nicht empfohlen</w:t>
      </w:r>
      <w:r w:rsidRPr="004F5FB4">
        <w:rPr>
          <w:color w:val="000000"/>
        </w:rPr>
        <w:t>.</w:t>
      </w:r>
    </w:p>
    <w:p w14:paraId="6D443673" w14:textId="77777777" w:rsidR="00785BDA" w:rsidRPr="004F5FB4" w:rsidRDefault="00785BDA" w:rsidP="0009685B">
      <w:pPr>
        <w:pStyle w:val="BodyText"/>
        <w:widowControl/>
        <w:kinsoku w:val="0"/>
        <w:overflowPunct w:val="0"/>
        <w:ind w:left="0"/>
        <w:rPr>
          <w:color w:val="000000"/>
          <w:u w:val="single"/>
        </w:rPr>
      </w:pPr>
    </w:p>
    <w:p w14:paraId="6CE9CDFD" w14:textId="77777777" w:rsidR="00785BDA" w:rsidRPr="004F5FB4" w:rsidRDefault="00785BDA" w:rsidP="00687087">
      <w:pPr>
        <w:pStyle w:val="BodyText"/>
        <w:keepNext/>
        <w:widowControl/>
        <w:kinsoku w:val="0"/>
        <w:overflowPunct w:val="0"/>
        <w:ind w:left="0"/>
        <w:rPr>
          <w:color w:val="000000"/>
          <w:u w:val="single"/>
        </w:rPr>
      </w:pPr>
      <w:r w:rsidRPr="004F5FB4">
        <w:rPr>
          <w:color w:val="000000"/>
          <w:u w:val="single"/>
        </w:rPr>
        <w:t>Stillzeit</w:t>
      </w:r>
    </w:p>
    <w:p w14:paraId="6090589F" w14:textId="77777777" w:rsidR="00054A92" w:rsidRPr="004F5FB4" w:rsidRDefault="00054A92" w:rsidP="00687087">
      <w:pPr>
        <w:pStyle w:val="BodyText"/>
        <w:keepNext/>
        <w:widowControl/>
        <w:kinsoku w:val="0"/>
        <w:overflowPunct w:val="0"/>
        <w:ind w:left="0"/>
        <w:rPr>
          <w:color w:val="000000"/>
        </w:rPr>
      </w:pPr>
    </w:p>
    <w:p w14:paraId="1CA4B364" w14:textId="77777777" w:rsidR="00785BDA" w:rsidRPr="004F5FB4" w:rsidRDefault="00785BDA" w:rsidP="0009685B">
      <w:pPr>
        <w:pStyle w:val="BodyText"/>
        <w:widowControl/>
        <w:kinsoku w:val="0"/>
        <w:overflowPunct w:val="0"/>
        <w:ind w:left="0"/>
        <w:rPr>
          <w:color w:val="000000"/>
        </w:rPr>
      </w:pPr>
      <w:r w:rsidRPr="004F5FB4">
        <w:rPr>
          <w:color w:val="000000"/>
        </w:rPr>
        <w:t>Eingeschränkte Informationen aus der veröffentlichten Literatur lassen darauf schließen, dass Adalimumab in sehr geringer Konzentration (zwischen 0,1</w:t>
      </w:r>
      <w:r w:rsidR="00F41115" w:rsidRPr="004F5FB4">
        <w:rPr>
          <w:color w:val="000000"/>
        </w:rPr>
        <w:t> </w:t>
      </w:r>
      <w:r w:rsidRPr="004F5FB4">
        <w:rPr>
          <w:color w:val="000000"/>
        </w:rPr>
        <w:t>–</w:t>
      </w:r>
      <w:r w:rsidR="00F41115" w:rsidRPr="004F5FB4">
        <w:rPr>
          <w:color w:val="000000"/>
        </w:rPr>
        <w:t> </w:t>
      </w:r>
      <w:r w:rsidRPr="004F5FB4">
        <w:rPr>
          <w:color w:val="000000"/>
        </w:rPr>
        <w:t>1</w:t>
      </w:r>
      <w:r w:rsidR="00F41115" w:rsidRPr="004F5FB4">
        <w:rPr>
          <w:color w:val="000000"/>
        </w:rPr>
        <w:t> </w:t>
      </w:r>
      <w:r w:rsidRPr="004F5FB4">
        <w:rPr>
          <w:color w:val="000000"/>
        </w:rPr>
        <w:t>% des Serumspiegels der Mutter) in die Muttermilch übergeht. Bei oraler Anwendung durchlaufen Proteine des Typs Immunglobulin G eine intestinale Proteolyse und weisen eine schlechte Bioverfügbarkeit auf. Es werden keine Auswirkungen auf die gestillten Neugeborenen/</w:t>
      </w:r>
      <w:r w:rsidR="00F41115" w:rsidRPr="004F5FB4">
        <w:rPr>
          <w:color w:val="000000"/>
        </w:rPr>
        <w:t xml:space="preserve"> </w:t>
      </w:r>
      <w:r w:rsidRPr="004F5FB4">
        <w:rPr>
          <w:color w:val="000000"/>
        </w:rPr>
        <w:t>Säuglinge erwartet. Folglich kann Amsparity während der Stillzeit angewendet werden.</w:t>
      </w:r>
    </w:p>
    <w:p w14:paraId="7582BED1" w14:textId="77777777" w:rsidR="00785BDA" w:rsidRPr="004F5FB4" w:rsidRDefault="00785BDA" w:rsidP="0009685B">
      <w:pPr>
        <w:pStyle w:val="BodyText"/>
        <w:widowControl/>
        <w:kinsoku w:val="0"/>
        <w:overflowPunct w:val="0"/>
        <w:ind w:left="0"/>
        <w:rPr>
          <w:color w:val="000000"/>
        </w:rPr>
      </w:pPr>
    </w:p>
    <w:p w14:paraId="33DF60AC" w14:textId="77777777" w:rsidR="00785BDA" w:rsidRPr="004F5FB4" w:rsidRDefault="00785BDA" w:rsidP="00687087">
      <w:pPr>
        <w:pStyle w:val="BodyText"/>
        <w:keepNext/>
        <w:widowControl/>
        <w:kinsoku w:val="0"/>
        <w:overflowPunct w:val="0"/>
        <w:ind w:left="0"/>
        <w:rPr>
          <w:color w:val="000000"/>
          <w:u w:val="single"/>
        </w:rPr>
      </w:pPr>
      <w:r w:rsidRPr="004F5FB4">
        <w:rPr>
          <w:color w:val="000000"/>
          <w:u w:val="single"/>
        </w:rPr>
        <w:t>Fertilität</w:t>
      </w:r>
    </w:p>
    <w:p w14:paraId="1B8C6CFF" w14:textId="77777777" w:rsidR="00054A92" w:rsidRPr="004F5FB4" w:rsidRDefault="00054A92" w:rsidP="00687087">
      <w:pPr>
        <w:pStyle w:val="BodyText"/>
        <w:keepNext/>
        <w:widowControl/>
        <w:kinsoku w:val="0"/>
        <w:overflowPunct w:val="0"/>
        <w:ind w:left="0"/>
        <w:rPr>
          <w:color w:val="000000"/>
        </w:rPr>
      </w:pPr>
    </w:p>
    <w:p w14:paraId="753E2330" w14:textId="77777777" w:rsidR="00785BDA" w:rsidRPr="004F5FB4" w:rsidRDefault="00785BDA" w:rsidP="0009685B">
      <w:pPr>
        <w:pStyle w:val="BodyText"/>
        <w:widowControl/>
        <w:kinsoku w:val="0"/>
        <w:overflowPunct w:val="0"/>
        <w:ind w:left="0"/>
        <w:rPr>
          <w:color w:val="000000"/>
        </w:rPr>
      </w:pPr>
      <w:r w:rsidRPr="004F5FB4">
        <w:rPr>
          <w:color w:val="000000"/>
        </w:rPr>
        <w:t>Präklinische Daten zu Auswirkungen von Adalimumab auf die Fertilität liegen nicht vor.</w:t>
      </w:r>
    </w:p>
    <w:p w14:paraId="6BD8DD40" w14:textId="77777777" w:rsidR="00785BDA" w:rsidRPr="004F5FB4" w:rsidRDefault="00785BDA" w:rsidP="0009685B">
      <w:pPr>
        <w:pStyle w:val="BodyText"/>
        <w:widowControl/>
        <w:kinsoku w:val="0"/>
        <w:overflowPunct w:val="0"/>
        <w:ind w:left="0"/>
        <w:rPr>
          <w:color w:val="000000"/>
          <w:u w:val="single"/>
        </w:rPr>
      </w:pPr>
    </w:p>
    <w:p w14:paraId="79ACC0FB" w14:textId="77777777" w:rsidR="00C355EC" w:rsidRPr="004F5FB4" w:rsidRDefault="00C355EC" w:rsidP="00CA7719">
      <w:pPr>
        <w:pStyle w:val="BodyText"/>
        <w:keepNext/>
        <w:widowControl/>
        <w:numPr>
          <w:ilvl w:val="1"/>
          <w:numId w:val="21"/>
        </w:numPr>
        <w:kinsoku w:val="0"/>
        <w:overflowPunct w:val="0"/>
        <w:spacing w:before="8"/>
        <w:ind w:left="561" w:hanging="561"/>
        <w:rPr>
          <w:b/>
          <w:bCs/>
          <w:color w:val="000000"/>
        </w:rPr>
      </w:pPr>
      <w:r w:rsidRPr="00CA7719">
        <w:rPr>
          <w:b/>
          <w:bCs/>
          <w:color w:val="000000"/>
        </w:rPr>
        <w:t>Auswirkungen auf die Verkehrstüchtigkeit und die Fähigkeit zum Bedienen von Maschinen</w:t>
      </w:r>
    </w:p>
    <w:p w14:paraId="73744A34" w14:textId="77777777" w:rsidR="00C355EC" w:rsidRPr="004F5FB4" w:rsidRDefault="00C355EC" w:rsidP="0009685B">
      <w:pPr>
        <w:pStyle w:val="BodyText"/>
        <w:keepNext/>
        <w:widowControl/>
        <w:kinsoku w:val="0"/>
        <w:overflowPunct w:val="0"/>
        <w:ind w:left="0"/>
        <w:rPr>
          <w:bCs/>
          <w:color w:val="000000"/>
          <w:szCs w:val="21"/>
        </w:rPr>
      </w:pPr>
    </w:p>
    <w:p w14:paraId="4F4F91D2" w14:textId="77777777" w:rsidR="00C355EC" w:rsidRPr="004F5FB4" w:rsidRDefault="00DA19A6" w:rsidP="0009685B">
      <w:pPr>
        <w:pStyle w:val="BodyText"/>
        <w:widowControl/>
        <w:kinsoku w:val="0"/>
        <w:overflowPunct w:val="0"/>
        <w:ind w:left="0"/>
        <w:rPr>
          <w:color w:val="000000"/>
        </w:rPr>
      </w:pPr>
      <w:r w:rsidRPr="004F5FB4">
        <w:rPr>
          <w:color w:val="000000"/>
        </w:rPr>
        <w:t>Adalimumab kann einen geringen Einfluss auf die Verkehrstüchtigkeit und die Fähigkeit zum Bedienen von Maschinen haben. Es können nach Verabreichung von Amsparity Schwindel und eine Beeinträchtigung des Sehvermögens auftreten (siehe Abschnitt</w:t>
      </w:r>
      <w:r w:rsidR="00735C41" w:rsidRPr="004F5FB4">
        <w:rPr>
          <w:color w:val="000000"/>
        </w:rPr>
        <w:t> </w:t>
      </w:r>
      <w:r w:rsidRPr="004F5FB4">
        <w:rPr>
          <w:color w:val="000000"/>
        </w:rPr>
        <w:t>4.8).</w:t>
      </w:r>
    </w:p>
    <w:p w14:paraId="3A99F28A" w14:textId="77777777" w:rsidR="00C355EC" w:rsidRPr="004F5FB4" w:rsidRDefault="00C355EC" w:rsidP="0009685B">
      <w:pPr>
        <w:pStyle w:val="BodyText"/>
        <w:widowControl/>
        <w:kinsoku w:val="0"/>
        <w:overflowPunct w:val="0"/>
        <w:ind w:left="0"/>
        <w:rPr>
          <w:color w:val="000000"/>
        </w:rPr>
      </w:pPr>
    </w:p>
    <w:p w14:paraId="3EFA7C63" w14:textId="77777777" w:rsidR="00C355EC" w:rsidRPr="004F5FB4" w:rsidRDefault="00C355EC" w:rsidP="00CA7719">
      <w:pPr>
        <w:pStyle w:val="BodyText"/>
        <w:keepNext/>
        <w:widowControl/>
        <w:numPr>
          <w:ilvl w:val="1"/>
          <w:numId w:val="21"/>
        </w:numPr>
        <w:kinsoku w:val="0"/>
        <w:overflowPunct w:val="0"/>
        <w:spacing w:before="8"/>
        <w:ind w:left="561" w:hanging="561"/>
        <w:rPr>
          <w:b/>
          <w:bCs/>
          <w:color w:val="000000"/>
        </w:rPr>
      </w:pPr>
      <w:r w:rsidRPr="00CA7719">
        <w:rPr>
          <w:b/>
          <w:bCs/>
          <w:color w:val="000000"/>
        </w:rPr>
        <w:t>Nebenwirkungen</w:t>
      </w:r>
    </w:p>
    <w:p w14:paraId="2A82BD27" w14:textId="77777777" w:rsidR="00C355EC" w:rsidRPr="004F5FB4" w:rsidRDefault="00C355EC" w:rsidP="00687087">
      <w:pPr>
        <w:pStyle w:val="BodyText"/>
        <w:keepNext/>
        <w:widowControl/>
        <w:kinsoku w:val="0"/>
        <w:overflowPunct w:val="0"/>
        <w:ind w:left="0"/>
        <w:rPr>
          <w:bCs/>
          <w:color w:val="000000"/>
          <w:lang w:val="en-GB"/>
        </w:rPr>
      </w:pPr>
    </w:p>
    <w:p w14:paraId="749F5D2D" w14:textId="77777777" w:rsidR="00C355EC" w:rsidRPr="004F5FB4" w:rsidRDefault="00C355EC" w:rsidP="00687087">
      <w:pPr>
        <w:pStyle w:val="BodyText"/>
        <w:keepNext/>
        <w:widowControl/>
        <w:kinsoku w:val="0"/>
        <w:overflowPunct w:val="0"/>
        <w:ind w:left="0"/>
        <w:rPr>
          <w:color w:val="000000"/>
        </w:rPr>
      </w:pPr>
      <w:r w:rsidRPr="004F5FB4">
        <w:rPr>
          <w:color w:val="000000"/>
          <w:u w:val="single"/>
        </w:rPr>
        <w:t>Zusammenfassung des Sicherheitsprofils</w:t>
      </w:r>
    </w:p>
    <w:p w14:paraId="20C689A6" w14:textId="77777777" w:rsidR="00C355EC" w:rsidRPr="004F5FB4" w:rsidRDefault="00C355EC" w:rsidP="00687087">
      <w:pPr>
        <w:pStyle w:val="BodyText"/>
        <w:keepNext/>
        <w:widowControl/>
        <w:kinsoku w:val="0"/>
        <w:overflowPunct w:val="0"/>
        <w:ind w:left="0"/>
        <w:rPr>
          <w:color w:val="000000"/>
          <w:lang w:val="en-GB"/>
        </w:rPr>
      </w:pPr>
    </w:p>
    <w:p w14:paraId="7B9B7A58" w14:textId="77777777" w:rsidR="00C355EC" w:rsidRPr="004F5FB4" w:rsidRDefault="00DA19A6" w:rsidP="0009685B">
      <w:pPr>
        <w:pStyle w:val="BodyText"/>
        <w:widowControl/>
        <w:kinsoku w:val="0"/>
        <w:overflowPunct w:val="0"/>
        <w:ind w:left="0"/>
        <w:rPr>
          <w:color w:val="000000"/>
        </w:rPr>
      </w:pPr>
      <w:r w:rsidRPr="004F5FB4">
        <w:rPr>
          <w:color w:val="000000"/>
        </w:rPr>
        <w:t xml:space="preserve">Adalimumab wurde bei 9.506 Patienten in kontrollierten Zulassungsstudien und offenen </w:t>
      </w:r>
      <w:r w:rsidR="00E30FFF" w:rsidRPr="004F5FB4">
        <w:rPr>
          <w:color w:val="000000"/>
        </w:rPr>
        <w:t>Erweiterungss</w:t>
      </w:r>
      <w:r w:rsidRPr="004F5FB4">
        <w:rPr>
          <w:color w:val="000000"/>
        </w:rPr>
        <w:t>tudien über einen Zeitraum von bis zu 60 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und Uveitis. Die pivotalen kontrollierten Studien umfassten 6.089</w:t>
      </w:r>
      <w:r w:rsidR="00735C41" w:rsidRPr="004F5FB4">
        <w:rPr>
          <w:color w:val="000000"/>
        </w:rPr>
        <w:t> </w:t>
      </w:r>
      <w:r w:rsidRPr="004F5FB4">
        <w:rPr>
          <w:color w:val="000000"/>
        </w:rPr>
        <w:t>mit Adalimumab behandelte Patienten und 3.801</w:t>
      </w:r>
      <w:r w:rsidR="00735C41" w:rsidRPr="004F5FB4">
        <w:rPr>
          <w:color w:val="000000"/>
        </w:rPr>
        <w:t> </w:t>
      </w:r>
      <w:r w:rsidRPr="004F5FB4">
        <w:rPr>
          <w:color w:val="000000"/>
        </w:rPr>
        <w:t>Patienten, die während der kontrollierten Studienphase Placebo oder eine aktive Vergleichssubstanz erhielten.</w:t>
      </w:r>
    </w:p>
    <w:p w14:paraId="16B18865" w14:textId="77777777" w:rsidR="00C355EC" w:rsidRPr="004F5FB4" w:rsidRDefault="00C355EC" w:rsidP="0009685B">
      <w:pPr>
        <w:pStyle w:val="BodyText"/>
        <w:widowControl/>
        <w:kinsoku w:val="0"/>
        <w:overflowPunct w:val="0"/>
        <w:ind w:left="0"/>
        <w:rPr>
          <w:color w:val="000000"/>
        </w:rPr>
      </w:pPr>
    </w:p>
    <w:p w14:paraId="33CA3913" w14:textId="77777777" w:rsidR="00C355EC" w:rsidRPr="004F5FB4" w:rsidRDefault="00C355EC" w:rsidP="007C4B2C">
      <w:pPr>
        <w:pStyle w:val="BodyText"/>
        <w:widowControl/>
        <w:kinsoku w:val="0"/>
        <w:overflowPunct w:val="0"/>
        <w:ind w:left="0"/>
        <w:rPr>
          <w:color w:val="000000"/>
        </w:rPr>
      </w:pPr>
      <w:r w:rsidRPr="004F5FB4">
        <w:rPr>
          <w:color w:val="000000"/>
        </w:rPr>
        <w:t>Der Anteil der Patienten, die die Behandlung während der doppelblinden, kontrollierten Phase der pivotalen Studien aufgrund unerwünschter Ereignisse abbrachen, betrug 5,9 % in der Adalimumab-Gruppe und 5,4 % in der Kontrollgruppe.</w:t>
      </w:r>
    </w:p>
    <w:p w14:paraId="6FFC5216" w14:textId="77777777" w:rsidR="00C355EC" w:rsidRPr="004F5FB4" w:rsidRDefault="00C355EC" w:rsidP="0009685B">
      <w:pPr>
        <w:pStyle w:val="BodyText"/>
        <w:widowControl/>
        <w:kinsoku w:val="0"/>
        <w:overflowPunct w:val="0"/>
        <w:ind w:left="0"/>
        <w:rPr>
          <w:color w:val="000000"/>
          <w:szCs w:val="21"/>
        </w:rPr>
      </w:pPr>
    </w:p>
    <w:p w14:paraId="3DE5FB12" w14:textId="77777777" w:rsidR="00C355EC" w:rsidRPr="004F5FB4" w:rsidRDefault="00C355EC" w:rsidP="0009685B">
      <w:pPr>
        <w:pStyle w:val="BodyText"/>
        <w:widowControl/>
        <w:kinsoku w:val="0"/>
        <w:overflowPunct w:val="0"/>
        <w:ind w:left="0"/>
        <w:rPr>
          <w:color w:val="000000"/>
        </w:rPr>
      </w:pPr>
      <w:r w:rsidRPr="004F5FB4">
        <w:rPr>
          <w:color w:val="000000"/>
        </w:rPr>
        <w:t>Die am häufigsten berichteten Nebenwirkungen sind Infektionen (wie z. B. Nasopharyngitis, Infektion im oberen Respirationstrakt und Sinusitis), Reaktionen an der Injektionsstelle (Erytheme, Juckreiz, Hämorrhagien, Schmerzen oder Schwellungen), Kopfschmerzen und muskuloskelettale Schmerzen.</w:t>
      </w:r>
    </w:p>
    <w:p w14:paraId="3ADDBCBA" w14:textId="77777777" w:rsidR="00C355EC" w:rsidRPr="004F5FB4" w:rsidRDefault="00C355EC" w:rsidP="0009685B">
      <w:pPr>
        <w:pStyle w:val="BodyText"/>
        <w:widowControl/>
        <w:kinsoku w:val="0"/>
        <w:overflowPunct w:val="0"/>
        <w:ind w:left="0"/>
        <w:rPr>
          <w:color w:val="000000"/>
        </w:rPr>
      </w:pPr>
    </w:p>
    <w:p w14:paraId="679E0795" w14:textId="77777777" w:rsidR="005902F1" w:rsidRPr="004F5FB4" w:rsidRDefault="00C355EC" w:rsidP="0009685B">
      <w:pPr>
        <w:pStyle w:val="BodyText"/>
        <w:widowControl/>
        <w:kinsoku w:val="0"/>
        <w:overflowPunct w:val="0"/>
        <w:ind w:left="0"/>
        <w:rPr>
          <w:color w:val="000000"/>
        </w:rPr>
      </w:pPr>
      <w:r w:rsidRPr="004F5FB4">
        <w:rPr>
          <w:color w:val="000000"/>
        </w:rPr>
        <w:lastRenderedPageBreak/>
        <w:t>Es wurden für Adalimumab schwerwiegende Nebenwirkungen berichtet. TNF-Antagonisten, wie z.</w:t>
      </w:r>
      <w:r w:rsidR="00F41115" w:rsidRPr="004F5FB4">
        <w:rPr>
          <w:color w:val="000000"/>
        </w:rPr>
        <w:t> </w:t>
      </w:r>
      <w:r w:rsidRPr="004F5FB4">
        <w:rPr>
          <w:color w:val="000000"/>
        </w:rPr>
        <w:t xml:space="preserve">B. Adalimumab, beeinflussen das Immunsystem, und ihre Anwendung kann die körpereigene Abwehr gegen Infektionen und Krebs beeinflussen. </w:t>
      </w:r>
    </w:p>
    <w:p w14:paraId="3495BB11" w14:textId="77777777" w:rsidR="0097243A" w:rsidRPr="004F5FB4" w:rsidRDefault="0097243A" w:rsidP="0009685B">
      <w:pPr>
        <w:pStyle w:val="BodyText"/>
        <w:widowControl/>
        <w:kinsoku w:val="0"/>
        <w:overflowPunct w:val="0"/>
        <w:ind w:left="0"/>
        <w:rPr>
          <w:color w:val="000000"/>
        </w:rPr>
      </w:pPr>
    </w:p>
    <w:p w14:paraId="6F365024" w14:textId="77777777" w:rsidR="00C355EC" w:rsidRPr="004F5FB4" w:rsidRDefault="00C355EC" w:rsidP="0009685B">
      <w:pPr>
        <w:pStyle w:val="BodyText"/>
        <w:widowControl/>
        <w:kinsoku w:val="0"/>
        <w:overflowPunct w:val="0"/>
        <w:ind w:left="0"/>
        <w:rPr>
          <w:color w:val="000000"/>
        </w:rPr>
      </w:pPr>
      <w:r w:rsidRPr="004F5FB4">
        <w:rPr>
          <w:color w:val="000000"/>
        </w:rPr>
        <w:t>Tödlich verlaufende und lebensbedrohende Infektionen (einschließlich Sepsis, opportunistischer Infektionen und TB), HBV-Reaktivierung und verschiedene maligne Erkrankungen (einschließlich Leukämie, Lymphome und HSTCL) sind auch unter der Anwendung von Adalimumab berichtet worden.</w:t>
      </w:r>
    </w:p>
    <w:p w14:paraId="11AD7489" w14:textId="77777777" w:rsidR="00C355EC" w:rsidRPr="004F5FB4" w:rsidRDefault="00C355EC" w:rsidP="0009685B">
      <w:pPr>
        <w:pStyle w:val="BodyText"/>
        <w:widowControl/>
        <w:kinsoku w:val="0"/>
        <w:overflowPunct w:val="0"/>
        <w:ind w:left="0"/>
        <w:rPr>
          <w:color w:val="000000"/>
        </w:rPr>
      </w:pPr>
    </w:p>
    <w:p w14:paraId="465C5E32" w14:textId="77777777" w:rsidR="00C355EC" w:rsidRPr="004F5FB4" w:rsidRDefault="00C355EC" w:rsidP="0009685B">
      <w:pPr>
        <w:pStyle w:val="BodyText"/>
        <w:widowControl/>
        <w:kinsoku w:val="0"/>
        <w:overflowPunct w:val="0"/>
        <w:ind w:left="0"/>
        <w:rPr>
          <w:color w:val="000000"/>
        </w:rPr>
      </w:pPr>
      <w:r w:rsidRPr="004F5FB4">
        <w:rPr>
          <w:color w:val="000000"/>
        </w:rPr>
        <w:t>Schwerwiegende hämatologische, neurologische und Autoimmunreaktionen sind ebenfalls berichtet worden. Diese umfassen seltene Berichte zu Panzytopenie, aplastischer Anämie, zentralen und peripheren Demyelinisierungen und Berichte zu Lupus, lupusähnlichen Zuständen und Stevens-Johnson-Syndrom.</w:t>
      </w:r>
    </w:p>
    <w:p w14:paraId="6096875E" w14:textId="77777777" w:rsidR="00C355EC" w:rsidRPr="004F5FB4" w:rsidRDefault="00C355EC" w:rsidP="0009685B">
      <w:pPr>
        <w:pStyle w:val="BodyText"/>
        <w:widowControl/>
        <w:kinsoku w:val="0"/>
        <w:overflowPunct w:val="0"/>
        <w:ind w:left="0"/>
        <w:rPr>
          <w:color w:val="000000"/>
        </w:rPr>
      </w:pPr>
    </w:p>
    <w:p w14:paraId="09D40DDF" w14:textId="77777777" w:rsidR="00C355EC" w:rsidRPr="004F5FB4" w:rsidRDefault="00C355EC" w:rsidP="0009685B">
      <w:pPr>
        <w:pStyle w:val="BodyText"/>
        <w:widowControl/>
        <w:kinsoku w:val="0"/>
        <w:overflowPunct w:val="0"/>
        <w:ind w:left="0"/>
        <w:rPr>
          <w:color w:val="000000"/>
        </w:rPr>
      </w:pPr>
      <w:r w:rsidRPr="004F5FB4">
        <w:rPr>
          <w:color w:val="000000"/>
          <w:u w:val="single"/>
        </w:rPr>
        <w:t>Kinder und Jugendliche</w:t>
      </w:r>
    </w:p>
    <w:p w14:paraId="2724ECFE" w14:textId="77777777" w:rsidR="00C355EC" w:rsidRPr="004F5FB4" w:rsidRDefault="00C355EC" w:rsidP="0009685B">
      <w:pPr>
        <w:pStyle w:val="BodyText"/>
        <w:widowControl/>
        <w:kinsoku w:val="0"/>
        <w:overflowPunct w:val="0"/>
        <w:ind w:left="0"/>
        <w:rPr>
          <w:color w:val="000000"/>
        </w:rPr>
      </w:pPr>
    </w:p>
    <w:p w14:paraId="4EA4A2F7" w14:textId="77777777" w:rsidR="00C355EC" w:rsidRPr="004F5FB4" w:rsidRDefault="00C355EC" w:rsidP="0009685B">
      <w:pPr>
        <w:pStyle w:val="BodyText"/>
        <w:widowControl/>
        <w:kinsoku w:val="0"/>
        <w:overflowPunct w:val="0"/>
        <w:ind w:left="0"/>
        <w:rPr>
          <w:color w:val="000000"/>
        </w:rPr>
      </w:pPr>
      <w:r w:rsidRPr="004F5FB4">
        <w:rPr>
          <w:color w:val="000000"/>
        </w:rPr>
        <w:t xml:space="preserve">Im Allgemeinen waren die bei </w:t>
      </w:r>
      <w:r w:rsidR="004648BC" w:rsidRPr="004F5FB4">
        <w:rPr>
          <w:color w:val="000000"/>
        </w:rPr>
        <w:t xml:space="preserve">Kindern und Jugendlichen </w:t>
      </w:r>
      <w:r w:rsidRPr="004F5FB4">
        <w:rPr>
          <w:color w:val="000000"/>
        </w:rPr>
        <w:t>beobachteten unerwünschten Ereignisse bezüglich Häufigkeit und Art ähnlich denjenigen, die bei erwachsenen Patienten beobachtet wurden.</w:t>
      </w:r>
    </w:p>
    <w:p w14:paraId="1D0CBDA4" w14:textId="77777777" w:rsidR="008620EF" w:rsidRPr="004F5FB4" w:rsidRDefault="008620EF" w:rsidP="0009685B">
      <w:pPr>
        <w:pStyle w:val="BodyText"/>
        <w:widowControl/>
        <w:kinsoku w:val="0"/>
        <w:overflowPunct w:val="0"/>
        <w:ind w:left="0"/>
        <w:rPr>
          <w:color w:val="000000"/>
          <w:u w:val="single"/>
        </w:rPr>
      </w:pPr>
    </w:p>
    <w:p w14:paraId="0CD4033D" w14:textId="77777777" w:rsidR="00C355EC" w:rsidRPr="004F5FB4" w:rsidRDefault="00C355EC" w:rsidP="00687087">
      <w:pPr>
        <w:pStyle w:val="BodyText"/>
        <w:keepNext/>
        <w:widowControl/>
        <w:kinsoku w:val="0"/>
        <w:overflowPunct w:val="0"/>
        <w:ind w:left="0"/>
        <w:rPr>
          <w:color w:val="000000"/>
        </w:rPr>
      </w:pPr>
      <w:r w:rsidRPr="004F5FB4">
        <w:rPr>
          <w:color w:val="000000"/>
          <w:u w:val="single"/>
        </w:rPr>
        <w:t>Tabellarische Auflistung der Nebenwirkungen</w:t>
      </w:r>
    </w:p>
    <w:p w14:paraId="3C8CF9A7" w14:textId="77777777" w:rsidR="00C355EC" w:rsidRPr="004F5FB4" w:rsidRDefault="00C355EC" w:rsidP="00687087">
      <w:pPr>
        <w:pStyle w:val="BodyText"/>
        <w:keepNext/>
        <w:widowControl/>
        <w:kinsoku w:val="0"/>
        <w:overflowPunct w:val="0"/>
        <w:ind w:left="0"/>
        <w:rPr>
          <w:color w:val="000000"/>
        </w:rPr>
      </w:pPr>
    </w:p>
    <w:p w14:paraId="075241E1" w14:textId="77777777" w:rsidR="00C355EC" w:rsidRPr="004F5FB4" w:rsidRDefault="00C355EC" w:rsidP="0009685B">
      <w:pPr>
        <w:pStyle w:val="BodyText"/>
        <w:widowControl/>
        <w:kinsoku w:val="0"/>
        <w:overflowPunct w:val="0"/>
        <w:ind w:left="0"/>
        <w:rPr>
          <w:color w:val="000000"/>
        </w:rPr>
      </w:pPr>
      <w:r w:rsidRPr="004F5FB4">
        <w:rPr>
          <w:color w:val="000000"/>
        </w:rPr>
        <w:t>Die folgende Auflistung von Nebenwirkungen basiert auf der Erfahrung aus klinischen Studien und auf der Erfahrung nach der Markteinführung und ist in der nachstehenden Tabelle 6 nach Systemorganklasse und Häufigkeit dargestellt: sehr häufig (≥</w:t>
      </w:r>
      <w:r w:rsidR="00735C41" w:rsidRPr="004F5FB4">
        <w:rPr>
          <w:color w:val="000000"/>
        </w:rPr>
        <w:t> </w:t>
      </w:r>
      <w:r w:rsidRPr="004F5FB4">
        <w:rPr>
          <w:color w:val="000000"/>
        </w:rPr>
        <w:t>1/10); häufig (≥</w:t>
      </w:r>
      <w:r w:rsidR="00735C41" w:rsidRPr="004F5FB4">
        <w:rPr>
          <w:color w:val="000000"/>
        </w:rPr>
        <w:t> </w:t>
      </w:r>
      <w:r w:rsidRPr="004F5FB4">
        <w:rPr>
          <w:color w:val="000000"/>
        </w:rPr>
        <w:t>1/100 bis &lt;</w:t>
      </w:r>
      <w:r w:rsidR="00735C41" w:rsidRPr="004F5FB4">
        <w:rPr>
          <w:color w:val="000000"/>
        </w:rPr>
        <w:t> </w:t>
      </w:r>
      <w:r w:rsidRPr="004F5FB4">
        <w:rPr>
          <w:color w:val="000000"/>
        </w:rPr>
        <w:t>1/10); gelegentlich (≥</w:t>
      </w:r>
      <w:r w:rsidR="00735C41" w:rsidRPr="004F5FB4">
        <w:rPr>
          <w:color w:val="000000"/>
        </w:rPr>
        <w:t> </w:t>
      </w:r>
      <w:r w:rsidRPr="004F5FB4">
        <w:rPr>
          <w:color w:val="000000"/>
        </w:rPr>
        <w:t>1/1.000 bis &lt;</w:t>
      </w:r>
      <w:r w:rsidR="00735C41" w:rsidRPr="004F5FB4">
        <w:rPr>
          <w:color w:val="000000"/>
        </w:rPr>
        <w:t> </w:t>
      </w:r>
      <w:r w:rsidRPr="004F5FB4">
        <w:rPr>
          <w:color w:val="000000"/>
        </w:rPr>
        <w:t>1/100); selten (≥</w:t>
      </w:r>
      <w:r w:rsidR="00735C41" w:rsidRPr="004F5FB4">
        <w:rPr>
          <w:color w:val="000000"/>
        </w:rPr>
        <w:t> </w:t>
      </w:r>
      <w:r w:rsidRPr="004F5FB4">
        <w:rPr>
          <w:color w:val="000000"/>
        </w:rPr>
        <w:t>1/10.000 bis &lt;</w:t>
      </w:r>
      <w:r w:rsidR="00735C41" w:rsidRPr="004F5FB4">
        <w:rPr>
          <w:color w:val="000000"/>
        </w:rPr>
        <w:t> </w:t>
      </w:r>
      <w:r w:rsidRPr="004F5FB4">
        <w:rPr>
          <w:color w:val="000000"/>
        </w:rPr>
        <w:t>1/1.000)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79B60FC7" w14:textId="77777777" w:rsidR="00452285" w:rsidRPr="004F5FB4" w:rsidRDefault="00452285" w:rsidP="0009685B">
      <w:pPr>
        <w:pStyle w:val="BodyText"/>
        <w:widowControl/>
        <w:kinsoku w:val="0"/>
        <w:overflowPunct w:val="0"/>
        <w:ind w:left="0"/>
        <w:rPr>
          <w:color w:val="000000"/>
        </w:rPr>
      </w:pPr>
    </w:p>
    <w:p w14:paraId="58884A97" w14:textId="77777777" w:rsidR="009F2EB6" w:rsidRPr="004F5FB4" w:rsidRDefault="00452285" w:rsidP="00687087">
      <w:pPr>
        <w:pStyle w:val="BodyText"/>
        <w:widowControl/>
        <w:kinsoku w:val="0"/>
        <w:overflowPunct w:val="0"/>
        <w:ind w:left="0"/>
        <w:rPr>
          <w:b/>
          <w:color w:val="000000"/>
        </w:rPr>
      </w:pPr>
      <w:r w:rsidRPr="004F5FB4">
        <w:rPr>
          <w:b/>
          <w:color w:val="000000"/>
        </w:rPr>
        <w:t>Tabelle 6</w:t>
      </w:r>
    </w:p>
    <w:p w14:paraId="7FA26216" w14:textId="77777777" w:rsidR="00452285" w:rsidRPr="004F5FB4" w:rsidRDefault="00452285" w:rsidP="00687087">
      <w:pPr>
        <w:pStyle w:val="BodyText"/>
        <w:widowControl/>
        <w:kinsoku w:val="0"/>
        <w:overflowPunct w:val="0"/>
        <w:ind w:left="0"/>
        <w:rPr>
          <w:b/>
          <w:color w:val="000000"/>
        </w:rPr>
      </w:pPr>
      <w:r w:rsidRPr="004F5FB4">
        <w:rPr>
          <w:b/>
          <w:color w:val="000000"/>
        </w:rPr>
        <w:t>Nebenwirkungen</w:t>
      </w:r>
    </w:p>
    <w:p w14:paraId="1399E107" w14:textId="77777777" w:rsidR="00452285" w:rsidRPr="004F5FB4" w:rsidRDefault="00452285" w:rsidP="0009685B">
      <w:pPr>
        <w:rPr>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2470"/>
        <w:gridCol w:w="2587"/>
      </w:tblGrid>
      <w:tr w:rsidR="00452285" w:rsidRPr="004F5FB4" w14:paraId="5915EF76" w14:textId="77777777" w:rsidTr="00054A92">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115A86EA" w14:textId="77777777" w:rsidR="00452285" w:rsidRPr="004F5FB4" w:rsidRDefault="00452285" w:rsidP="00982118">
            <w:pPr>
              <w:jc w:val="center"/>
              <w:rPr>
                <w:b/>
                <w:color w:val="000000"/>
              </w:rPr>
            </w:pPr>
            <w:r w:rsidRPr="004F5FB4">
              <w:rPr>
                <w:b/>
                <w:color w:val="000000"/>
              </w:rPr>
              <w:t>Systemorganklasse</w:t>
            </w:r>
          </w:p>
        </w:tc>
        <w:tc>
          <w:tcPr>
            <w:tcW w:w="1621" w:type="dxa"/>
            <w:tcBorders>
              <w:top w:val="single" w:sz="4" w:space="0" w:color="auto"/>
              <w:left w:val="single" w:sz="4" w:space="0" w:color="auto"/>
              <w:bottom w:val="single" w:sz="4" w:space="0" w:color="auto"/>
              <w:right w:val="single" w:sz="4" w:space="0" w:color="auto"/>
            </w:tcBorders>
            <w:hideMark/>
          </w:tcPr>
          <w:p w14:paraId="58F6696B" w14:textId="77777777" w:rsidR="00452285" w:rsidRPr="004F5FB4" w:rsidRDefault="00452285" w:rsidP="00982118">
            <w:pPr>
              <w:jc w:val="center"/>
              <w:rPr>
                <w:b/>
                <w:color w:val="000000"/>
              </w:rPr>
            </w:pPr>
            <w:r w:rsidRPr="004F5FB4">
              <w:rPr>
                <w:b/>
                <w:color w:val="000000"/>
              </w:rPr>
              <w:t>Häufigkeit</w:t>
            </w:r>
          </w:p>
        </w:tc>
        <w:tc>
          <w:tcPr>
            <w:tcW w:w="0" w:type="auto"/>
            <w:tcBorders>
              <w:top w:val="single" w:sz="4" w:space="0" w:color="auto"/>
              <w:left w:val="single" w:sz="4" w:space="0" w:color="auto"/>
              <w:bottom w:val="single" w:sz="4" w:space="0" w:color="auto"/>
              <w:right w:val="single" w:sz="4" w:space="0" w:color="auto"/>
            </w:tcBorders>
            <w:hideMark/>
          </w:tcPr>
          <w:p w14:paraId="0037005F" w14:textId="77777777" w:rsidR="00452285" w:rsidRPr="004F5FB4" w:rsidRDefault="00452285" w:rsidP="00982118">
            <w:pPr>
              <w:jc w:val="center"/>
              <w:rPr>
                <w:b/>
                <w:color w:val="000000"/>
              </w:rPr>
            </w:pPr>
            <w:r w:rsidRPr="004F5FB4">
              <w:rPr>
                <w:b/>
                <w:color w:val="000000"/>
              </w:rPr>
              <w:t>Nebenwirkung</w:t>
            </w:r>
          </w:p>
        </w:tc>
      </w:tr>
      <w:tr w:rsidR="00452285" w:rsidRPr="004F5FB4" w14:paraId="4C5220AF"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9906F7D" w14:textId="77777777" w:rsidR="00452285" w:rsidRPr="004F5FB4" w:rsidRDefault="00452285" w:rsidP="00982118">
            <w:pPr>
              <w:rPr>
                <w:color w:val="000000"/>
              </w:rPr>
            </w:pPr>
            <w:r w:rsidRPr="004F5FB4">
              <w:rPr>
                <w:color w:val="000000"/>
              </w:rPr>
              <w:t>Infektionen und parasitäre Erkrankungen*</w:t>
            </w:r>
          </w:p>
        </w:tc>
        <w:tc>
          <w:tcPr>
            <w:tcW w:w="1621" w:type="dxa"/>
            <w:tcBorders>
              <w:top w:val="single" w:sz="4" w:space="0" w:color="auto"/>
              <w:left w:val="single" w:sz="4" w:space="0" w:color="auto"/>
              <w:right w:val="single" w:sz="4" w:space="0" w:color="auto"/>
            </w:tcBorders>
          </w:tcPr>
          <w:p w14:paraId="7511ECAB" w14:textId="77777777" w:rsidR="00452285" w:rsidRPr="004F5FB4" w:rsidRDefault="00452285" w:rsidP="00982118">
            <w:pPr>
              <w:rPr>
                <w:color w:val="000000"/>
              </w:rPr>
            </w:pPr>
            <w:r w:rsidRPr="004F5FB4">
              <w:rPr>
                <w:color w:val="000000"/>
              </w:rPr>
              <w:t>Sehr häufig</w:t>
            </w:r>
          </w:p>
          <w:p w14:paraId="4BB1494B" w14:textId="77777777" w:rsidR="00452285" w:rsidRPr="004F5FB4" w:rsidRDefault="00452285" w:rsidP="00982118">
            <w:pPr>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6B558EBF" w14:textId="77777777" w:rsidR="00452285" w:rsidRPr="004F5FB4" w:rsidRDefault="00452285" w:rsidP="005D31CE">
            <w:pPr>
              <w:rPr>
                <w:color w:val="000000"/>
              </w:rPr>
            </w:pPr>
            <w:r w:rsidRPr="004F5FB4">
              <w:rPr>
                <w:color w:val="000000"/>
              </w:rPr>
              <w:t>Infektionen des Respirationstraktes (einschließlich des unteren und oberen Respirationstraktes, Pneumonie, Sinusitis, Pharyngitis, Nasopharyngitis und virale Herpespneumonie)</w:t>
            </w:r>
          </w:p>
        </w:tc>
      </w:tr>
      <w:tr w:rsidR="00452285" w:rsidRPr="004F5FB4" w14:paraId="3946DF5C" w14:textId="77777777" w:rsidTr="00054A92">
        <w:trPr>
          <w:cantSplit/>
        </w:trPr>
        <w:tc>
          <w:tcPr>
            <w:tcW w:w="2628" w:type="dxa"/>
            <w:vMerge/>
            <w:tcBorders>
              <w:left w:val="single" w:sz="4" w:space="0" w:color="auto"/>
              <w:right w:val="single" w:sz="4" w:space="0" w:color="auto"/>
            </w:tcBorders>
          </w:tcPr>
          <w:p w14:paraId="05BCB79D" w14:textId="77777777" w:rsidR="00452285" w:rsidRPr="004F5FB4" w:rsidRDefault="00452285" w:rsidP="00982118">
            <w:pPr>
              <w:rPr>
                <w:color w:val="000000"/>
              </w:rPr>
            </w:pPr>
          </w:p>
        </w:tc>
        <w:tc>
          <w:tcPr>
            <w:tcW w:w="1621" w:type="dxa"/>
            <w:tcBorders>
              <w:left w:val="single" w:sz="4" w:space="0" w:color="auto"/>
              <w:right w:val="single" w:sz="4" w:space="0" w:color="auto"/>
            </w:tcBorders>
          </w:tcPr>
          <w:p w14:paraId="33DCB3F0" w14:textId="77777777" w:rsidR="00452285" w:rsidRPr="004F5FB4" w:rsidRDefault="00452285" w:rsidP="00982118">
            <w:pPr>
              <w:rPr>
                <w:color w:val="000000"/>
              </w:rPr>
            </w:pPr>
            <w:r w:rsidRPr="004F5FB4">
              <w:rPr>
                <w:color w:val="000000"/>
              </w:rPr>
              <w:t>Häufig</w:t>
            </w:r>
          </w:p>
          <w:p w14:paraId="34EFD6FB" w14:textId="77777777" w:rsidR="00452285" w:rsidRPr="004F5FB4" w:rsidRDefault="00452285" w:rsidP="00982118">
            <w:pPr>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70171806" w14:textId="77777777" w:rsidR="00452285" w:rsidRPr="004F5FB4" w:rsidRDefault="00452285" w:rsidP="00982118">
            <w:pPr>
              <w:rPr>
                <w:color w:val="000000"/>
              </w:rPr>
            </w:pPr>
            <w:r w:rsidRPr="004F5FB4">
              <w:rPr>
                <w:color w:val="000000"/>
              </w:rPr>
              <w:t xml:space="preserve">systemische Infektionen (einschließlich Sepsis, Candidiasis und Influenza), </w:t>
            </w:r>
          </w:p>
          <w:p w14:paraId="41018AE7" w14:textId="77777777" w:rsidR="00452285" w:rsidRPr="004F5FB4" w:rsidRDefault="00452285" w:rsidP="00982118">
            <w:pPr>
              <w:rPr>
                <w:color w:val="000000"/>
              </w:rPr>
            </w:pPr>
            <w:r w:rsidRPr="004F5FB4">
              <w:rPr>
                <w:color w:val="000000"/>
              </w:rPr>
              <w:t xml:space="preserve">intestinale Infektionen (einschließlich viraler Gastroenteritis), </w:t>
            </w:r>
          </w:p>
          <w:p w14:paraId="733A88F8" w14:textId="77777777" w:rsidR="00452285" w:rsidRPr="004F5FB4" w:rsidRDefault="00452285" w:rsidP="00982118">
            <w:pPr>
              <w:rPr>
                <w:color w:val="000000"/>
              </w:rPr>
            </w:pPr>
            <w:r w:rsidRPr="004F5FB4">
              <w:rPr>
                <w:color w:val="000000"/>
              </w:rPr>
              <w:t xml:space="preserve">Haut- und Weichteilinfektionen (einschließlich Paronychie, Zellgewebsentzündung, Impetigo, nekrotisierender Fasciitis und Herpes zoster), </w:t>
            </w:r>
          </w:p>
          <w:p w14:paraId="27A5961F" w14:textId="77777777" w:rsidR="00452285" w:rsidRPr="004F5FB4" w:rsidRDefault="00452285" w:rsidP="00982118">
            <w:pPr>
              <w:rPr>
                <w:color w:val="000000"/>
              </w:rPr>
            </w:pPr>
            <w:r w:rsidRPr="004F5FB4">
              <w:rPr>
                <w:color w:val="000000"/>
              </w:rPr>
              <w:t xml:space="preserve">Ohrinfektionen, </w:t>
            </w:r>
          </w:p>
          <w:p w14:paraId="167CD8D7" w14:textId="77777777" w:rsidR="00452285" w:rsidRPr="004F5FB4" w:rsidRDefault="00452285" w:rsidP="00982118">
            <w:pPr>
              <w:rPr>
                <w:color w:val="000000"/>
              </w:rPr>
            </w:pPr>
            <w:r w:rsidRPr="004F5FB4">
              <w:rPr>
                <w:color w:val="000000"/>
              </w:rPr>
              <w:t xml:space="preserve">Mundinfektionen (einschließlich Herpes simplex, Mundherpes und Zahninfektionen), </w:t>
            </w:r>
          </w:p>
          <w:p w14:paraId="4E975EB6" w14:textId="77777777" w:rsidR="00452285" w:rsidRPr="004F5FB4" w:rsidRDefault="00452285" w:rsidP="00982118">
            <w:pPr>
              <w:rPr>
                <w:color w:val="000000"/>
              </w:rPr>
            </w:pPr>
            <w:r w:rsidRPr="004F5FB4">
              <w:rPr>
                <w:color w:val="000000"/>
              </w:rPr>
              <w:t xml:space="preserve">Genitaltraktinfektionen (einschließlich vulvovaginaler Pilzinfektion), </w:t>
            </w:r>
          </w:p>
          <w:p w14:paraId="20194536" w14:textId="77777777" w:rsidR="00452285" w:rsidRPr="004F5FB4" w:rsidRDefault="00452285" w:rsidP="00982118">
            <w:pPr>
              <w:rPr>
                <w:color w:val="000000"/>
              </w:rPr>
            </w:pPr>
            <w:r w:rsidRPr="004F5FB4">
              <w:rPr>
                <w:color w:val="000000"/>
              </w:rPr>
              <w:t xml:space="preserve">Harnwegsinfektionen (einschließlich Pyelonephritis), </w:t>
            </w:r>
          </w:p>
          <w:p w14:paraId="0480DAF9" w14:textId="77777777" w:rsidR="00452285" w:rsidRPr="004F5FB4" w:rsidRDefault="00452285" w:rsidP="00982118">
            <w:pPr>
              <w:rPr>
                <w:color w:val="000000"/>
              </w:rPr>
            </w:pPr>
            <w:r w:rsidRPr="004F5FB4">
              <w:rPr>
                <w:color w:val="000000"/>
              </w:rPr>
              <w:t xml:space="preserve">Pilzinfektionen, </w:t>
            </w:r>
          </w:p>
          <w:p w14:paraId="5E5D3854" w14:textId="77777777" w:rsidR="00452285" w:rsidRPr="004F5FB4" w:rsidDel="00955F88" w:rsidRDefault="00452285" w:rsidP="005D31CE">
            <w:pPr>
              <w:rPr>
                <w:color w:val="000000"/>
                <w:lang w:val="en-GB"/>
              </w:rPr>
            </w:pPr>
            <w:r w:rsidRPr="004F5FB4">
              <w:rPr>
                <w:color w:val="000000"/>
              </w:rPr>
              <w:t>Gelenkinfektionen</w:t>
            </w:r>
          </w:p>
        </w:tc>
      </w:tr>
      <w:tr w:rsidR="00452285" w:rsidRPr="004F5FB4" w14:paraId="10A621AB" w14:textId="77777777" w:rsidTr="00054A92">
        <w:trPr>
          <w:cantSplit/>
        </w:trPr>
        <w:tc>
          <w:tcPr>
            <w:tcW w:w="2628" w:type="dxa"/>
            <w:vMerge/>
            <w:tcBorders>
              <w:left w:val="single" w:sz="4" w:space="0" w:color="auto"/>
              <w:bottom w:val="single" w:sz="4" w:space="0" w:color="auto"/>
              <w:right w:val="single" w:sz="4" w:space="0" w:color="auto"/>
            </w:tcBorders>
          </w:tcPr>
          <w:p w14:paraId="6EF39506" w14:textId="77777777" w:rsidR="00452285" w:rsidRPr="004F5FB4" w:rsidRDefault="00452285" w:rsidP="00982118">
            <w:pPr>
              <w:rPr>
                <w:color w:val="000000"/>
                <w:lang w:val="en-GB"/>
              </w:rPr>
            </w:pPr>
          </w:p>
        </w:tc>
        <w:tc>
          <w:tcPr>
            <w:tcW w:w="1621" w:type="dxa"/>
            <w:tcBorders>
              <w:left w:val="single" w:sz="4" w:space="0" w:color="auto"/>
              <w:bottom w:val="single" w:sz="4" w:space="0" w:color="auto"/>
              <w:right w:val="single" w:sz="4" w:space="0" w:color="auto"/>
            </w:tcBorders>
          </w:tcPr>
          <w:p w14:paraId="11A907C3" w14:textId="77777777" w:rsidR="00452285" w:rsidRPr="004F5FB4" w:rsidRDefault="00452285" w:rsidP="00982118">
            <w:pPr>
              <w:rPr>
                <w:color w:val="000000"/>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1C9B6BA1" w14:textId="77777777" w:rsidR="00452285" w:rsidRPr="004F5FB4" w:rsidRDefault="00452285" w:rsidP="00982118">
            <w:pPr>
              <w:keepNext/>
              <w:autoSpaceDE w:val="0"/>
              <w:autoSpaceDN w:val="0"/>
              <w:adjustRightInd w:val="0"/>
              <w:rPr>
                <w:color w:val="000000"/>
              </w:rPr>
            </w:pPr>
            <w:r w:rsidRPr="004F5FB4">
              <w:rPr>
                <w:color w:val="000000"/>
              </w:rPr>
              <w:t>neurologische Infektionen (einschließlich viraler Meningitis),</w:t>
            </w:r>
          </w:p>
          <w:p w14:paraId="117CC447" w14:textId="77777777" w:rsidR="00452285" w:rsidRPr="004F5FB4" w:rsidRDefault="00452285" w:rsidP="00982118">
            <w:pPr>
              <w:keepNext/>
              <w:autoSpaceDE w:val="0"/>
              <w:autoSpaceDN w:val="0"/>
              <w:adjustRightInd w:val="0"/>
              <w:rPr>
                <w:color w:val="000000"/>
              </w:rPr>
            </w:pPr>
            <w:r w:rsidRPr="004F5FB4">
              <w:rPr>
                <w:color w:val="000000"/>
              </w:rPr>
              <w:t xml:space="preserve">opportunistische Infektionen und Tuberkulose (einschließlich Kokzidioidomykose, Histoplasmose und komplexe Infektion durch </w:t>
            </w:r>
            <w:r w:rsidRPr="004F5FB4">
              <w:rPr>
                <w:i/>
                <w:color w:val="000000"/>
              </w:rPr>
              <w:t>Mycobacterium avium</w:t>
            </w:r>
            <w:r w:rsidRPr="004F5FB4">
              <w:rPr>
                <w:color w:val="000000"/>
              </w:rPr>
              <w:t>),</w:t>
            </w:r>
          </w:p>
          <w:p w14:paraId="7A828186" w14:textId="77777777" w:rsidR="00452285" w:rsidRPr="004F5FB4" w:rsidRDefault="00452285" w:rsidP="00982118">
            <w:pPr>
              <w:keepNext/>
              <w:autoSpaceDE w:val="0"/>
              <w:autoSpaceDN w:val="0"/>
              <w:adjustRightInd w:val="0"/>
              <w:rPr>
                <w:color w:val="000000"/>
              </w:rPr>
            </w:pPr>
            <w:r w:rsidRPr="004F5FB4">
              <w:rPr>
                <w:color w:val="000000"/>
              </w:rPr>
              <w:t>bakterielle Infektionen,</w:t>
            </w:r>
          </w:p>
          <w:p w14:paraId="7BAFF88C" w14:textId="77777777" w:rsidR="00452285" w:rsidRPr="004F5FB4" w:rsidRDefault="00452285" w:rsidP="00982118">
            <w:pPr>
              <w:keepNext/>
              <w:autoSpaceDE w:val="0"/>
              <w:autoSpaceDN w:val="0"/>
              <w:adjustRightInd w:val="0"/>
              <w:rPr>
                <w:color w:val="000000"/>
              </w:rPr>
            </w:pPr>
            <w:r w:rsidRPr="004F5FB4">
              <w:rPr>
                <w:color w:val="000000"/>
              </w:rPr>
              <w:t>Augeninfektionen,</w:t>
            </w:r>
          </w:p>
          <w:p w14:paraId="28DF1144" w14:textId="77777777" w:rsidR="00452285" w:rsidRPr="004F5FB4" w:rsidDel="00955F88" w:rsidRDefault="00452285" w:rsidP="005D31CE">
            <w:pPr>
              <w:rPr>
                <w:color w:val="000000"/>
                <w:lang w:val="en-GB"/>
              </w:rPr>
            </w:pPr>
            <w:r w:rsidRPr="004F5FB4">
              <w:rPr>
                <w:color w:val="000000"/>
              </w:rPr>
              <w:t>Divertikulitis</w:t>
            </w:r>
            <w:r w:rsidRPr="004F5FB4">
              <w:rPr>
                <w:color w:val="000000"/>
                <w:vertAlign w:val="superscript"/>
              </w:rPr>
              <w:t>1</w:t>
            </w:r>
          </w:p>
        </w:tc>
      </w:tr>
      <w:tr w:rsidR="00452285" w:rsidRPr="004F5FB4" w14:paraId="14BB37B9"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06646EE" w14:textId="77777777" w:rsidR="00452285" w:rsidRPr="004F5FB4" w:rsidRDefault="00452285" w:rsidP="00982118">
            <w:pPr>
              <w:rPr>
                <w:color w:val="000000"/>
              </w:rPr>
            </w:pPr>
            <w:r w:rsidRPr="004F5FB4">
              <w:rPr>
                <w:color w:val="000000"/>
              </w:rPr>
              <w:t>Gutartige, bösartige und unspezifische Neubildungen (einschließlich Zysten und Polypen)*</w:t>
            </w:r>
          </w:p>
        </w:tc>
        <w:tc>
          <w:tcPr>
            <w:tcW w:w="1621" w:type="dxa"/>
            <w:tcBorders>
              <w:top w:val="single" w:sz="4" w:space="0" w:color="auto"/>
              <w:left w:val="single" w:sz="4" w:space="0" w:color="auto"/>
              <w:bottom w:val="single" w:sz="4" w:space="0" w:color="auto"/>
              <w:right w:val="single" w:sz="4" w:space="0" w:color="auto"/>
            </w:tcBorders>
          </w:tcPr>
          <w:p w14:paraId="7EBBFFEF" w14:textId="77777777" w:rsidR="00452285" w:rsidRPr="004F5FB4" w:rsidRDefault="00452285" w:rsidP="00982118">
            <w:pPr>
              <w:rPr>
                <w:color w:val="000000"/>
              </w:rPr>
            </w:pPr>
            <w:r w:rsidRPr="004F5FB4">
              <w:rPr>
                <w:color w:val="000000"/>
              </w:rPr>
              <w:t>Häufig</w:t>
            </w:r>
          </w:p>
          <w:p w14:paraId="0D566E1C" w14:textId="77777777" w:rsidR="00452285" w:rsidRPr="004F5FB4" w:rsidRDefault="00452285" w:rsidP="00982118">
            <w:pPr>
              <w:rPr>
                <w:color w:val="000000"/>
                <w:lang w:val="en-GB"/>
              </w:rPr>
            </w:pPr>
          </w:p>
        </w:tc>
        <w:tc>
          <w:tcPr>
            <w:tcW w:w="0" w:type="auto"/>
            <w:tcBorders>
              <w:top w:val="single" w:sz="4" w:space="0" w:color="auto"/>
              <w:left w:val="single" w:sz="4" w:space="0" w:color="auto"/>
              <w:right w:val="single" w:sz="4" w:space="0" w:color="auto"/>
            </w:tcBorders>
          </w:tcPr>
          <w:p w14:paraId="47CAEC6E" w14:textId="77777777" w:rsidR="00452285" w:rsidRPr="004F5FB4" w:rsidRDefault="00452285" w:rsidP="00982118">
            <w:pPr>
              <w:rPr>
                <w:color w:val="000000"/>
              </w:rPr>
            </w:pPr>
            <w:r w:rsidRPr="004F5FB4">
              <w:rPr>
                <w:color w:val="000000"/>
              </w:rPr>
              <w:t>Hautkrebs außer Melanom (einschließlich Basalzellkarzinom und Plattenepithelkarzinom),</w:t>
            </w:r>
          </w:p>
          <w:p w14:paraId="4EDD2402" w14:textId="77777777" w:rsidR="00452285" w:rsidRPr="004F5FB4" w:rsidRDefault="00452285" w:rsidP="005D31CE">
            <w:pPr>
              <w:rPr>
                <w:color w:val="000000"/>
                <w:lang w:val="en-GB"/>
              </w:rPr>
            </w:pPr>
            <w:r w:rsidRPr="004F5FB4">
              <w:rPr>
                <w:color w:val="000000"/>
              </w:rPr>
              <w:t>gutartiges Neoplasma</w:t>
            </w:r>
          </w:p>
        </w:tc>
      </w:tr>
      <w:tr w:rsidR="00452285" w:rsidRPr="004F5FB4" w14:paraId="7784C4A0" w14:textId="77777777" w:rsidTr="00054A92">
        <w:trPr>
          <w:cantSplit/>
        </w:trPr>
        <w:tc>
          <w:tcPr>
            <w:tcW w:w="2628" w:type="dxa"/>
            <w:vMerge/>
            <w:tcBorders>
              <w:left w:val="single" w:sz="4" w:space="0" w:color="auto"/>
              <w:right w:val="single" w:sz="4" w:space="0" w:color="auto"/>
            </w:tcBorders>
          </w:tcPr>
          <w:p w14:paraId="6D556342"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7FCDDDDF" w14:textId="77777777" w:rsidR="00452285" w:rsidRPr="004F5FB4" w:rsidRDefault="00452285" w:rsidP="00982118">
            <w:pPr>
              <w:rPr>
                <w:color w:val="000000"/>
              </w:rPr>
            </w:pPr>
            <w:r w:rsidRPr="004F5FB4">
              <w:rPr>
                <w:color w:val="000000"/>
              </w:rPr>
              <w:t>Gelegentlich</w:t>
            </w:r>
          </w:p>
        </w:tc>
        <w:tc>
          <w:tcPr>
            <w:tcW w:w="0" w:type="auto"/>
            <w:tcBorders>
              <w:left w:val="single" w:sz="4" w:space="0" w:color="auto"/>
              <w:right w:val="single" w:sz="4" w:space="0" w:color="auto"/>
            </w:tcBorders>
          </w:tcPr>
          <w:p w14:paraId="17C5C0CE" w14:textId="77777777" w:rsidR="00452285" w:rsidRPr="004F5FB4" w:rsidRDefault="00452285" w:rsidP="00982118">
            <w:pPr>
              <w:rPr>
                <w:color w:val="000000"/>
              </w:rPr>
            </w:pPr>
            <w:r w:rsidRPr="004F5FB4">
              <w:rPr>
                <w:color w:val="000000"/>
              </w:rPr>
              <w:t>Lymphom**,</w:t>
            </w:r>
          </w:p>
          <w:p w14:paraId="18825E01" w14:textId="77777777" w:rsidR="00452285" w:rsidRPr="004F5FB4" w:rsidRDefault="00452285" w:rsidP="00982118">
            <w:pPr>
              <w:rPr>
                <w:color w:val="000000"/>
              </w:rPr>
            </w:pPr>
            <w:r w:rsidRPr="004F5FB4">
              <w:rPr>
                <w:color w:val="000000"/>
              </w:rPr>
              <w:t>solide Organtumoren (einschließlich Brustkrebs, Lungentumor und Schilddrüsentumor),</w:t>
            </w:r>
          </w:p>
          <w:p w14:paraId="5C5D048F" w14:textId="77777777" w:rsidR="00452285" w:rsidRPr="004F5FB4" w:rsidRDefault="00452285" w:rsidP="005D31CE">
            <w:pPr>
              <w:rPr>
                <w:color w:val="000000"/>
                <w:lang w:val="en-GB"/>
              </w:rPr>
            </w:pPr>
            <w:r w:rsidRPr="004F5FB4">
              <w:rPr>
                <w:color w:val="000000"/>
              </w:rPr>
              <w:t>Melanom**</w:t>
            </w:r>
          </w:p>
        </w:tc>
      </w:tr>
      <w:tr w:rsidR="00452285" w:rsidRPr="004F5FB4" w14:paraId="77A32A26" w14:textId="77777777" w:rsidTr="00054A92">
        <w:trPr>
          <w:cantSplit/>
        </w:trPr>
        <w:tc>
          <w:tcPr>
            <w:tcW w:w="2628" w:type="dxa"/>
            <w:vMerge/>
            <w:tcBorders>
              <w:left w:val="single" w:sz="4" w:space="0" w:color="auto"/>
              <w:right w:val="single" w:sz="4" w:space="0" w:color="auto"/>
            </w:tcBorders>
          </w:tcPr>
          <w:p w14:paraId="3B7836CB"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0DDAEF94" w14:textId="77777777" w:rsidR="00452285" w:rsidRPr="004F5FB4" w:rsidRDefault="00452285" w:rsidP="00982118">
            <w:pPr>
              <w:rPr>
                <w:color w:val="000000"/>
              </w:rPr>
            </w:pPr>
            <w:r w:rsidRPr="004F5FB4">
              <w:rPr>
                <w:color w:val="000000"/>
              </w:rPr>
              <w:t>Selten</w:t>
            </w:r>
          </w:p>
        </w:tc>
        <w:tc>
          <w:tcPr>
            <w:tcW w:w="0" w:type="auto"/>
            <w:tcBorders>
              <w:left w:val="single" w:sz="4" w:space="0" w:color="auto"/>
              <w:right w:val="single" w:sz="4" w:space="0" w:color="auto"/>
            </w:tcBorders>
          </w:tcPr>
          <w:p w14:paraId="2325AE79" w14:textId="77777777" w:rsidR="00452285" w:rsidRPr="004F5FB4" w:rsidRDefault="00452285" w:rsidP="005D31CE">
            <w:pPr>
              <w:rPr>
                <w:color w:val="000000"/>
                <w:lang w:val="en-GB"/>
              </w:rPr>
            </w:pPr>
            <w:r w:rsidRPr="004F5FB4">
              <w:rPr>
                <w:color w:val="000000"/>
              </w:rPr>
              <w:t>Leukämie</w:t>
            </w:r>
            <w:r w:rsidRPr="004F5FB4">
              <w:rPr>
                <w:color w:val="000000"/>
                <w:vertAlign w:val="superscript"/>
              </w:rPr>
              <w:t>1</w:t>
            </w:r>
          </w:p>
        </w:tc>
      </w:tr>
      <w:tr w:rsidR="00452285" w:rsidRPr="004F5FB4" w14:paraId="347FC911" w14:textId="77777777" w:rsidTr="00054A92">
        <w:trPr>
          <w:cantSplit/>
        </w:trPr>
        <w:tc>
          <w:tcPr>
            <w:tcW w:w="2628" w:type="dxa"/>
            <w:vMerge/>
            <w:tcBorders>
              <w:left w:val="single" w:sz="4" w:space="0" w:color="auto"/>
              <w:bottom w:val="single" w:sz="4" w:space="0" w:color="auto"/>
              <w:right w:val="single" w:sz="4" w:space="0" w:color="auto"/>
            </w:tcBorders>
          </w:tcPr>
          <w:p w14:paraId="4994FDF9"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73E01132" w14:textId="77777777" w:rsidR="00452285" w:rsidRPr="004F5FB4" w:rsidRDefault="00293725" w:rsidP="00982118">
            <w:pPr>
              <w:rPr>
                <w:color w:val="000000"/>
              </w:rPr>
            </w:pPr>
            <w:r w:rsidRPr="004F5FB4">
              <w:rPr>
                <w:color w:val="000000"/>
              </w:rPr>
              <w:t xml:space="preserve">Nicht </w:t>
            </w:r>
            <w:r w:rsidR="00452285" w:rsidRPr="004F5FB4">
              <w:rPr>
                <w:color w:val="000000"/>
              </w:rPr>
              <w:t>bekannt</w:t>
            </w:r>
          </w:p>
        </w:tc>
        <w:tc>
          <w:tcPr>
            <w:tcW w:w="0" w:type="auto"/>
            <w:tcBorders>
              <w:left w:val="single" w:sz="4" w:space="0" w:color="auto"/>
              <w:bottom w:val="single" w:sz="4" w:space="0" w:color="auto"/>
              <w:right w:val="single" w:sz="4" w:space="0" w:color="auto"/>
            </w:tcBorders>
          </w:tcPr>
          <w:p w14:paraId="76009FE6" w14:textId="77777777" w:rsidR="00452285" w:rsidRPr="004F5FB4" w:rsidRDefault="00452285" w:rsidP="00982118">
            <w:pPr>
              <w:rPr>
                <w:color w:val="000000"/>
              </w:rPr>
            </w:pPr>
            <w:r w:rsidRPr="004F5FB4">
              <w:rPr>
                <w:color w:val="000000"/>
              </w:rPr>
              <w:t>hepatosplenales T-Zell-Lymphom</w:t>
            </w:r>
            <w:r w:rsidRPr="004F5FB4">
              <w:rPr>
                <w:color w:val="000000"/>
                <w:vertAlign w:val="superscript"/>
              </w:rPr>
              <w:t>1</w:t>
            </w:r>
            <w:r w:rsidRPr="004F5FB4">
              <w:rPr>
                <w:color w:val="000000"/>
              </w:rPr>
              <w:t>,</w:t>
            </w:r>
          </w:p>
          <w:p w14:paraId="11033AC3" w14:textId="77777777" w:rsidR="00452285" w:rsidRDefault="00452285" w:rsidP="005D31CE">
            <w:pPr>
              <w:rPr>
                <w:color w:val="000000"/>
              </w:rPr>
            </w:pPr>
            <w:r w:rsidRPr="004F5FB4">
              <w:rPr>
                <w:color w:val="000000"/>
              </w:rPr>
              <w:t>Merkelzellkarzinom (neuroendokrines Karzinom der Haut)</w:t>
            </w:r>
            <w:r w:rsidRPr="004F5FB4">
              <w:rPr>
                <w:color w:val="000000"/>
                <w:vertAlign w:val="superscript"/>
              </w:rPr>
              <w:t>1</w:t>
            </w:r>
            <w:r w:rsidR="00E56892" w:rsidRPr="004E6403">
              <w:rPr>
                <w:color w:val="000000"/>
              </w:rPr>
              <w:t>,</w:t>
            </w:r>
          </w:p>
          <w:p w14:paraId="43F1F639" w14:textId="77777777" w:rsidR="00E56892" w:rsidRPr="004F5FB4" w:rsidRDefault="00E56892" w:rsidP="005D31CE">
            <w:pPr>
              <w:rPr>
                <w:color w:val="000000"/>
              </w:rPr>
            </w:pPr>
            <w:r w:rsidRPr="00E56892">
              <w:rPr>
                <w:color w:val="000000"/>
              </w:rPr>
              <w:t>Kaposi-Sarkom</w:t>
            </w:r>
          </w:p>
        </w:tc>
      </w:tr>
      <w:tr w:rsidR="00452285" w:rsidRPr="004F5FB4" w14:paraId="1128155C"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5515B48" w14:textId="77777777" w:rsidR="00452285" w:rsidRPr="004F5FB4" w:rsidRDefault="00452285" w:rsidP="00982118">
            <w:pPr>
              <w:rPr>
                <w:color w:val="000000"/>
              </w:rPr>
            </w:pPr>
            <w:r w:rsidRPr="004F5FB4">
              <w:rPr>
                <w:color w:val="000000"/>
              </w:rPr>
              <w:t>Erkrankungen des Blutes und des Lymphsystems*</w:t>
            </w:r>
          </w:p>
        </w:tc>
        <w:tc>
          <w:tcPr>
            <w:tcW w:w="1621" w:type="dxa"/>
            <w:tcBorders>
              <w:top w:val="single" w:sz="4" w:space="0" w:color="auto"/>
              <w:left w:val="single" w:sz="4" w:space="0" w:color="auto"/>
              <w:bottom w:val="single" w:sz="4" w:space="0" w:color="auto"/>
              <w:right w:val="single" w:sz="4" w:space="0" w:color="auto"/>
            </w:tcBorders>
          </w:tcPr>
          <w:p w14:paraId="3D27A549" w14:textId="77777777" w:rsidR="00452285" w:rsidRPr="004F5FB4" w:rsidRDefault="00452285" w:rsidP="00982118">
            <w:pPr>
              <w:rPr>
                <w:color w:val="000000"/>
              </w:rPr>
            </w:pPr>
            <w:r w:rsidRPr="004F5FB4">
              <w:rPr>
                <w:color w:val="000000"/>
              </w:rPr>
              <w:t>Sehr häufig</w:t>
            </w:r>
          </w:p>
          <w:p w14:paraId="34FCA9FA" w14:textId="77777777" w:rsidR="00452285" w:rsidRPr="004F5FB4" w:rsidRDefault="00452285" w:rsidP="00982118">
            <w:pPr>
              <w:rPr>
                <w:color w:val="000000"/>
                <w:lang w:val="en-GB"/>
              </w:rPr>
            </w:pPr>
          </w:p>
        </w:tc>
        <w:tc>
          <w:tcPr>
            <w:tcW w:w="0" w:type="auto"/>
            <w:tcBorders>
              <w:top w:val="single" w:sz="4" w:space="0" w:color="auto"/>
              <w:left w:val="single" w:sz="4" w:space="0" w:color="auto"/>
              <w:right w:val="single" w:sz="4" w:space="0" w:color="auto"/>
            </w:tcBorders>
          </w:tcPr>
          <w:p w14:paraId="5C11A819" w14:textId="77777777" w:rsidR="00452285" w:rsidRPr="004F5FB4" w:rsidRDefault="00452285" w:rsidP="00982118">
            <w:pPr>
              <w:autoSpaceDE w:val="0"/>
              <w:autoSpaceDN w:val="0"/>
              <w:adjustRightInd w:val="0"/>
              <w:rPr>
                <w:color w:val="000000"/>
              </w:rPr>
            </w:pPr>
            <w:r w:rsidRPr="004F5FB4">
              <w:rPr>
                <w:color w:val="000000"/>
              </w:rPr>
              <w:t>Leukopenie (einschließlich Neutropenie und Agranulozytose),</w:t>
            </w:r>
          </w:p>
          <w:p w14:paraId="2C6A9D7A" w14:textId="77777777" w:rsidR="00452285" w:rsidRPr="004F5FB4" w:rsidRDefault="00452285" w:rsidP="005D31CE">
            <w:pPr>
              <w:rPr>
                <w:color w:val="000000"/>
                <w:lang w:val="en-GB"/>
              </w:rPr>
            </w:pPr>
            <w:r w:rsidRPr="004F5FB4">
              <w:rPr>
                <w:color w:val="000000"/>
              </w:rPr>
              <w:t>Anämie</w:t>
            </w:r>
          </w:p>
        </w:tc>
      </w:tr>
      <w:tr w:rsidR="00452285" w:rsidRPr="004F5FB4" w14:paraId="2B87224E" w14:textId="77777777" w:rsidTr="00054A92">
        <w:trPr>
          <w:cantSplit/>
        </w:trPr>
        <w:tc>
          <w:tcPr>
            <w:tcW w:w="2628" w:type="dxa"/>
            <w:vMerge/>
            <w:tcBorders>
              <w:left w:val="single" w:sz="4" w:space="0" w:color="auto"/>
              <w:right w:val="single" w:sz="4" w:space="0" w:color="auto"/>
            </w:tcBorders>
          </w:tcPr>
          <w:p w14:paraId="49C81B33"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1CC856E2" w14:textId="77777777" w:rsidR="00452285" w:rsidRPr="004F5FB4" w:rsidRDefault="00452285" w:rsidP="00982118">
            <w:pPr>
              <w:rPr>
                <w:color w:val="000000"/>
              </w:rPr>
            </w:pPr>
            <w:r w:rsidRPr="004F5FB4">
              <w:rPr>
                <w:color w:val="000000"/>
              </w:rPr>
              <w:t>Häufig</w:t>
            </w:r>
          </w:p>
          <w:p w14:paraId="4CB9F065"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144839CC" w14:textId="77777777" w:rsidR="00452285" w:rsidRPr="004F5FB4" w:rsidRDefault="00452285" w:rsidP="00982118">
            <w:pPr>
              <w:autoSpaceDE w:val="0"/>
              <w:autoSpaceDN w:val="0"/>
              <w:adjustRightInd w:val="0"/>
              <w:rPr>
                <w:color w:val="000000"/>
              </w:rPr>
            </w:pPr>
            <w:r w:rsidRPr="004F5FB4">
              <w:rPr>
                <w:color w:val="000000"/>
              </w:rPr>
              <w:t>Leukozytose,</w:t>
            </w:r>
          </w:p>
          <w:p w14:paraId="31DDF830" w14:textId="77777777" w:rsidR="00452285" w:rsidRPr="004F5FB4" w:rsidDel="00437FA1" w:rsidRDefault="00452285" w:rsidP="005D31CE">
            <w:pPr>
              <w:rPr>
                <w:color w:val="000000"/>
                <w:lang w:val="en-GB"/>
              </w:rPr>
            </w:pPr>
            <w:r w:rsidRPr="004F5FB4">
              <w:rPr>
                <w:color w:val="000000"/>
              </w:rPr>
              <w:t>Thrombozytopenie</w:t>
            </w:r>
          </w:p>
        </w:tc>
      </w:tr>
      <w:tr w:rsidR="00452285" w:rsidRPr="004F5FB4" w14:paraId="670EBCDD" w14:textId="77777777" w:rsidTr="00054A92">
        <w:trPr>
          <w:cantSplit/>
        </w:trPr>
        <w:tc>
          <w:tcPr>
            <w:tcW w:w="2628" w:type="dxa"/>
            <w:vMerge/>
            <w:tcBorders>
              <w:left w:val="single" w:sz="4" w:space="0" w:color="auto"/>
              <w:right w:val="single" w:sz="4" w:space="0" w:color="auto"/>
            </w:tcBorders>
          </w:tcPr>
          <w:p w14:paraId="7A3BCE25"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63604A0A" w14:textId="77777777" w:rsidR="00452285" w:rsidRPr="004F5FB4" w:rsidRDefault="00452285" w:rsidP="005D31CE">
            <w:pPr>
              <w:rPr>
                <w:color w:val="000000"/>
                <w:lang w:val="en-GB"/>
              </w:rPr>
            </w:pPr>
            <w:r w:rsidRPr="004F5FB4">
              <w:rPr>
                <w:color w:val="000000"/>
              </w:rPr>
              <w:t>Gelegentlich</w:t>
            </w:r>
          </w:p>
        </w:tc>
        <w:tc>
          <w:tcPr>
            <w:tcW w:w="0" w:type="auto"/>
            <w:tcBorders>
              <w:left w:val="single" w:sz="4" w:space="0" w:color="auto"/>
              <w:right w:val="single" w:sz="4" w:space="0" w:color="auto"/>
            </w:tcBorders>
          </w:tcPr>
          <w:p w14:paraId="0005515B" w14:textId="77777777" w:rsidR="00452285" w:rsidRPr="004F5FB4" w:rsidDel="00437FA1" w:rsidRDefault="00452285" w:rsidP="005D31CE">
            <w:pPr>
              <w:rPr>
                <w:color w:val="000000"/>
                <w:lang w:val="en-GB"/>
              </w:rPr>
            </w:pPr>
            <w:r w:rsidRPr="004F5FB4">
              <w:rPr>
                <w:color w:val="000000"/>
              </w:rPr>
              <w:t>idiopathische thrombozytopenische Purpura</w:t>
            </w:r>
          </w:p>
        </w:tc>
      </w:tr>
      <w:tr w:rsidR="00452285" w:rsidRPr="004F5FB4" w14:paraId="24A5B67B" w14:textId="77777777" w:rsidTr="00054A92">
        <w:trPr>
          <w:cantSplit/>
        </w:trPr>
        <w:tc>
          <w:tcPr>
            <w:tcW w:w="2628" w:type="dxa"/>
            <w:vMerge/>
            <w:tcBorders>
              <w:left w:val="single" w:sz="4" w:space="0" w:color="auto"/>
              <w:bottom w:val="single" w:sz="4" w:space="0" w:color="auto"/>
              <w:right w:val="single" w:sz="4" w:space="0" w:color="auto"/>
            </w:tcBorders>
          </w:tcPr>
          <w:p w14:paraId="3B705BF4"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60847608" w14:textId="77777777" w:rsidR="00452285" w:rsidRPr="004F5FB4" w:rsidRDefault="00452285" w:rsidP="005D31CE">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54B0FB4E" w14:textId="77777777" w:rsidR="00452285" w:rsidRPr="004F5FB4" w:rsidDel="00437FA1" w:rsidRDefault="00452285" w:rsidP="00982118">
            <w:pPr>
              <w:autoSpaceDE w:val="0"/>
              <w:autoSpaceDN w:val="0"/>
              <w:adjustRightInd w:val="0"/>
              <w:rPr>
                <w:color w:val="000000"/>
              </w:rPr>
            </w:pPr>
            <w:r w:rsidRPr="004F5FB4">
              <w:rPr>
                <w:color w:val="000000"/>
              </w:rPr>
              <w:t>Panzytopenie</w:t>
            </w:r>
          </w:p>
        </w:tc>
      </w:tr>
      <w:tr w:rsidR="00452285" w:rsidRPr="004F5FB4" w14:paraId="27ECA815"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45649AE" w14:textId="77777777" w:rsidR="00452285" w:rsidRPr="004F5FB4" w:rsidRDefault="00452285" w:rsidP="00982118">
            <w:pPr>
              <w:rPr>
                <w:color w:val="000000"/>
              </w:rPr>
            </w:pPr>
            <w:r w:rsidRPr="004F5FB4">
              <w:rPr>
                <w:color w:val="000000"/>
              </w:rPr>
              <w:t>Erkrankungen des Immunsystems*</w:t>
            </w:r>
          </w:p>
        </w:tc>
        <w:tc>
          <w:tcPr>
            <w:tcW w:w="1621" w:type="dxa"/>
            <w:tcBorders>
              <w:top w:val="single" w:sz="4" w:space="0" w:color="auto"/>
              <w:left w:val="single" w:sz="4" w:space="0" w:color="auto"/>
              <w:bottom w:val="single" w:sz="4" w:space="0" w:color="auto"/>
              <w:right w:val="single" w:sz="4" w:space="0" w:color="auto"/>
            </w:tcBorders>
          </w:tcPr>
          <w:p w14:paraId="7D554623" w14:textId="77777777" w:rsidR="00452285" w:rsidRPr="004F5FB4" w:rsidRDefault="00452285" w:rsidP="00982118">
            <w:pPr>
              <w:rPr>
                <w:color w:val="000000"/>
              </w:rPr>
            </w:pPr>
            <w:r w:rsidRPr="004F5FB4">
              <w:rPr>
                <w:color w:val="000000"/>
              </w:rPr>
              <w:t>Häufig</w:t>
            </w:r>
          </w:p>
          <w:p w14:paraId="4B70BA2E" w14:textId="77777777" w:rsidR="00452285" w:rsidRPr="004F5FB4" w:rsidRDefault="00452285" w:rsidP="00982118">
            <w:pPr>
              <w:rPr>
                <w:color w:val="000000"/>
                <w:lang w:val="en-GB"/>
              </w:rPr>
            </w:pPr>
          </w:p>
        </w:tc>
        <w:tc>
          <w:tcPr>
            <w:tcW w:w="0" w:type="auto"/>
            <w:tcBorders>
              <w:top w:val="single" w:sz="4" w:space="0" w:color="auto"/>
              <w:left w:val="single" w:sz="4" w:space="0" w:color="auto"/>
              <w:right w:val="single" w:sz="4" w:space="0" w:color="auto"/>
            </w:tcBorders>
          </w:tcPr>
          <w:p w14:paraId="3EA34E27" w14:textId="77777777" w:rsidR="00452285" w:rsidRPr="004F5FB4" w:rsidRDefault="00452285" w:rsidP="00982118">
            <w:pPr>
              <w:rPr>
                <w:color w:val="000000"/>
              </w:rPr>
            </w:pPr>
            <w:r w:rsidRPr="004F5FB4">
              <w:rPr>
                <w:color w:val="000000"/>
              </w:rPr>
              <w:t>Überempfindlichkeit,</w:t>
            </w:r>
          </w:p>
          <w:p w14:paraId="19FA0709" w14:textId="77777777" w:rsidR="00452285" w:rsidRPr="004F5FB4" w:rsidRDefault="00452285" w:rsidP="005D31CE">
            <w:pPr>
              <w:rPr>
                <w:color w:val="000000"/>
              </w:rPr>
            </w:pPr>
            <w:r w:rsidRPr="004F5FB4">
              <w:rPr>
                <w:color w:val="000000"/>
              </w:rPr>
              <w:t>Allergien (einschließlich durch Jahreszeiten bedingte Allergie)</w:t>
            </w:r>
          </w:p>
        </w:tc>
      </w:tr>
      <w:tr w:rsidR="00452285" w:rsidRPr="004F5FB4" w14:paraId="271FAB92" w14:textId="77777777" w:rsidTr="00054A92">
        <w:trPr>
          <w:cantSplit/>
        </w:trPr>
        <w:tc>
          <w:tcPr>
            <w:tcW w:w="2628" w:type="dxa"/>
            <w:vMerge/>
            <w:tcBorders>
              <w:left w:val="single" w:sz="4" w:space="0" w:color="auto"/>
              <w:right w:val="single" w:sz="4" w:space="0" w:color="auto"/>
            </w:tcBorders>
          </w:tcPr>
          <w:p w14:paraId="3CF8EFDE" w14:textId="77777777" w:rsidR="00452285" w:rsidRPr="004F5FB4"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516E101" w14:textId="77777777" w:rsidR="00452285" w:rsidRPr="004F5FB4" w:rsidRDefault="00452285" w:rsidP="00982118">
            <w:pPr>
              <w:rPr>
                <w:color w:val="000000"/>
              </w:rPr>
            </w:pPr>
            <w:r w:rsidRPr="004F5FB4">
              <w:rPr>
                <w:color w:val="000000"/>
              </w:rPr>
              <w:t>Gelegentlich</w:t>
            </w:r>
          </w:p>
          <w:p w14:paraId="49C2B689"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4DE17112" w14:textId="77777777" w:rsidR="00452285" w:rsidRPr="004F5FB4" w:rsidRDefault="00452285" w:rsidP="00982118">
            <w:pPr>
              <w:rPr>
                <w:color w:val="000000"/>
              </w:rPr>
            </w:pPr>
            <w:r w:rsidRPr="004F5FB4">
              <w:rPr>
                <w:color w:val="000000"/>
              </w:rPr>
              <w:t>Sarkoidose</w:t>
            </w:r>
            <w:r w:rsidRPr="004F5FB4">
              <w:rPr>
                <w:color w:val="000000"/>
                <w:vertAlign w:val="superscript"/>
              </w:rPr>
              <w:t>1</w:t>
            </w:r>
            <w:r w:rsidRPr="004F5FB4">
              <w:rPr>
                <w:color w:val="000000"/>
              </w:rPr>
              <w:t>,</w:t>
            </w:r>
          </w:p>
          <w:p w14:paraId="5CBBAE6E" w14:textId="77777777" w:rsidR="00452285" w:rsidRPr="004F5FB4" w:rsidRDefault="00452285" w:rsidP="005D31CE">
            <w:pPr>
              <w:rPr>
                <w:color w:val="000000"/>
                <w:lang w:val="en-GB"/>
              </w:rPr>
            </w:pPr>
            <w:r w:rsidRPr="004F5FB4">
              <w:rPr>
                <w:color w:val="000000"/>
              </w:rPr>
              <w:t>Vaskulitis</w:t>
            </w:r>
          </w:p>
        </w:tc>
      </w:tr>
      <w:tr w:rsidR="00452285" w:rsidRPr="004F5FB4" w14:paraId="54D9A084" w14:textId="77777777" w:rsidTr="00054A92">
        <w:trPr>
          <w:cantSplit/>
        </w:trPr>
        <w:tc>
          <w:tcPr>
            <w:tcW w:w="2628" w:type="dxa"/>
            <w:vMerge/>
            <w:tcBorders>
              <w:left w:val="single" w:sz="4" w:space="0" w:color="auto"/>
              <w:bottom w:val="single" w:sz="4" w:space="0" w:color="auto"/>
              <w:right w:val="single" w:sz="4" w:space="0" w:color="auto"/>
            </w:tcBorders>
          </w:tcPr>
          <w:p w14:paraId="0505D250"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4B620B79" w14:textId="77777777" w:rsidR="00452285" w:rsidRPr="004F5FB4" w:rsidRDefault="00452285" w:rsidP="00982118">
            <w:pPr>
              <w:rPr>
                <w:color w:val="000000"/>
              </w:rPr>
            </w:pPr>
            <w:r w:rsidRPr="004F5FB4">
              <w:rPr>
                <w:color w:val="000000"/>
              </w:rPr>
              <w:t>Selten</w:t>
            </w:r>
          </w:p>
        </w:tc>
        <w:tc>
          <w:tcPr>
            <w:tcW w:w="0" w:type="auto"/>
            <w:tcBorders>
              <w:left w:val="single" w:sz="4" w:space="0" w:color="auto"/>
              <w:bottom w:val="single" w:sz="4" w:space="0" w:color="auto"/>
              <w:right w:val="single" w:sz="4" w:space="0" w:color="auto"/>
            </w:tcBorders>
          </w:tcPr>
          <w:p w14:paraId="0B5EF495" w14:textId="77777777" w:rsidR="00452285" w:rsidRPr="004F5FB4" w:rsidRDefault="00452285" w:rsidP="005D31CE">
            <w:pPr>
              <w:rPr>
                <w:color w:val="000000"/>
                <w:lang w:val="en-GB"/>
              </w:rPr>
            </w:pPr>
            <w:r w:rsidRPr="004F5FB4">
              <w:rPr>
                <w:color w:val="000000"/>
              </w:rPr>
              <w:t>Anaphylaxie</w:t>
            </w:r>
            <w:r w:rsidRPr="004F5FB4">
              <w:rPr>
                <w:color w:val="000000"/>
                <w:vertAlign w:val="superscript"/>
              </w:rPr>
              <w:t>1</w:t>
            </w:r>
          </w:p>
        </w:tc>
      </w:tr>
      <w:tr w:rsidR="00452285" w:rsidRPr="004F5FB4" w14:paraId="6820F958"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BEFBE1F" w14:textId="77777777" w:rsidR="00452285" w:rsidRPr="004F5FB4" w:rsidRDefault="00452285" w:rsidP="00982118">
            <w:pPr>
              <w:rPr>
                <w:color w:val="000000"/>
              </w:rPr>
            </w:pPr>
            <w:r w:rsidRPr="004F5FB4">
              <w:rPr>
                <w:color w:val="000000"/>
              </w:rPr>
              <w:t>Stoffwechsel- und Ernährungsstörungen</w:t>
            </w:r>
          </w:p>
        </w:tc>
        <w:tc>
          <w:tcPr>
            <w:tcW w:w="1621" w:type="dxa"/>
            <w:tcBorders>
              <w:top w:val="single" w:sz="4" w:space="0" w:color="auto"/>
              <w:left w:val="single" w:sz="4" w:space="0" w:color="auto"/>
              <w:bottom w:val="single" w:sz="4" w:space="0" w:color="auto"/>
              <w:right w:val="single" w:sz="4" w:space="0" w:color="auto"/>
            </w:tcBorders>
          </w:tcPr>
          <w:p w14:paraId="775D80C0" w14:textId="77777777" w:rsidR="00452285" w:rsidRPr="004F5FB4" w:rsidRDefault="00452285" w:rsidP="00982118">
            <w:pPr>
              <w:rPr>
                <w:color w:val="000000"/>
              </w:rPr>
            </w:pPr>
            <w:r w:rsidRPr="004F5FB4">
              <w:rPr>
                <w:color w:val="000000"/>
              </w:rPr>
              <w:t>Sehr häufig</w:t>
            </w:r>
          </w:p>
          <w:p w14:paraId="59214F9E" w14:textId="77777777" w:rsidR="00452285" w:rsidRPr="004F5FB4" w:rsidRDefault="00452285" w:rsidP="00982118">
            <w:pPr>
              <w:rPr>
                <w:color w:val="000000"/>
                <w:lang w:val="en-GB"/>
              </w:rPr>
            </w:pPr>
          </w:p>
        </w:tc>
        <w:tc>
          <w:tcPr>
            <w:tcW w:w="0" w:type="auto"/>
            <w:tcBorders>
              <w:top w:val="single" w:sz="4" w:space="0" w:color="auto"/>
              <w:left w:val="single" w:sz="4" w:space="0" w:color="auto"/>
              <w:right w:val="single" w:sz="4" w:space="0" w:color="auto"/>
            </w:tcBorders>
          </w:tcPr>
          <w:p w14:paraId="6DF842A0" w14:textId="77777777" w:rsidR="00452285" w:rsidRPr="004F5FB4" w:rsidRDefault="00452285" w:rsidP="005D31CE">
            <w:pPr>
              <w:rPr>
                <w:color w:val="000000"/>
                <w:lang w:val="en-GB"/>
              </w:rPr>
            </w:pPr>
            <w:r w:rsidRPr="004F5FB4">
              <w:rPr>
                <w:color w:val="000000"/>
              </w:rPr>
              <w:t>erhöhte Blutfettwerte</w:t>
            </w:r>
          </w:p>
        </w:tc>
      </w:tr>
      <w:tr w:rsidR="00452285" w:rsidRPr="004F5FB4" w14:paraId="021B21A8" w14:textId="77777777" w:rsidTr="00054A92">
        <w:trPr>
          <w:cantSplit/>
        </w:trPr>
        <w:tc>
          <w:tcPr>
            <w:tcW w:w="2628" w:type="dxa"/>
            <w:vMerge/>
            <w:tcBorders>
              <w:left w:val="single" w:sz="4" w:space="0" w:color="auto"/>
              <w:bottom w:val="single" w:sz="4" w:space="0" w:color="auto"/>
              <w:right w:val="single" w:sz="4" w:space="0" w:color="auto"/>
            </w:tcBorders>
          </w:tcPr>
          <w:p w14:paraId="540AA3AC"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3735DD3E" w14:textId="77777777" w:rsidR="00452285" w:rsidRPr="004F5FB4" w:rsidRDefault="00452285" w:rsidP="00982118">
            <w:pPr>
              <w:rPr>
                <w:color w:val="000000"/>
              </w:rPr>
            </w:pPr>
            <w:r w:rsidRPr="004F5FB4">
              <w:rPr>
                <w:color w:val="000000"/>
              </w:rPr>
              <w:t>Häufig</w:t>
            </w:r>
          </w:p>
        </w:tc>
        <w:tc>
          <w:tcPr>
            <w:tcW w:w="0" w:type="auto"/>
            <w:tcBorders>
              <w:left w:val="single" w:sz="4" w:space="0" w:color="auto"/>
              <w:bottom w:val="single" w:sz="4" w:space="0" w:color="auto"/>
              <w:right w:val="single" w:sz="4" w:space="0" w:color="auto"/>
            </w:tcBorders>
          </w:tcPr>
          <w:p w14:paraId="2875729C" w14:textId="77777777" w:rsidR="00452285" w:rsidRPr="004F5FB4" w:rsidRDefault="00452285" w:rsidP="00982118">
            <w:pPr>
              <w:rPr>
                <w:color w:val="000000"/>
              </w:rPr>
            </w:pPr>
            <w:r w:rsidRPr="004F5FB4">
              <w:rPr>
                <w:color w:val="000000"/>
              </w:rPr>
              <w:t>Hypokaliämie,</w:t>
            </w:r>
          </w:p>
          <w:p w14:paraId="3CBA9168" w14:textId="77777777" w:rsidR="00452285" w:rsidRPr="004F5FB4" w:rsidRDefault="00452285" w:rsidP="00982118">
            <w:pPr>
              <w:rPr>
                <w:color w:val="000000"/>
              </w:rPr>
            </w:pPr>
            <w:r w:rsidRPr="004F5FB4">
              <w:rPr>
                <w:color w:val="000000"/>
              </w:rPr>
              <w:t>erhöhte Harnsäurewerte,</w:t>
            </w:r>
          </w:p>
          <w:p w14:paraId="5C69083D" w14:textId="77777777" w:rsidR="00452285" w:rsidRPr="004F5FB4" w:rsidRDefault="00452285" w:rsidP="00982118">
            <w:pPr>
              <w:autoSpaceDE w:val="0"/>
              <w:autoSpaceDN w:val="0"/>
              <w:adjustRightInd w:val="0"/>
              <w:rPr>
                <w:color w:val="000000"/>
              </w:rPr>
            </w:pPr>
            <w:r w:rsidRPr="004F5FB4">
              <w:rPr>
                <w:color w:val="000000"/>
              </w:rPr>
              <w:t>abweichende Natriumwerte im Blut,</w:t>
            </w:r>
          </w:p>
          <w:p w14:paraId="446DF49C" w14:textId="77777777" w:rsidR="00452285" w:rsidRPr="004F5FB4" w:rsidRDefault="00452285" w:rsidP="00982118">
            <w:pPr>
              <w:autoSpaceDE w:val="0"/>
              <w:autoSpaceDN w:val="0"/>
              <w:adjustRightInd w:val="0"/>
              <w:rPr>
                <w:color w:val="000000"/>
              </w:rPr>
            </w:pPr>
            <w:r w:rsidRPr="004F5FB4">
              <w:rPr>
                <w:color w:val="000000"/>
              </w:rPr>
              <w:t>Hypokalzämie,</w:t>
            </w:r>
          </w:p>
          <w:p w14:paraId="494DE674" w14:textId="77777777" w:rsidR="00452285" w:rsidRPr="004F5FB4" w:rsidRDefault="00452285" w:rsidP="00982118">
            <w:pPr>
              <w:autoSpaceDE w:val="0"/>
              <w:autoSpaceDN w:val="0"/>
              <w:adjustRightInd w:val="0"/>
              <w:rPr>
                <w:color w:val="000000"/>
              </w:rPr>
            </w:pPr>
            <w:r w:rsidRPr="004F5FB4">
              <w:rPr>
                <w:color w:val="000000"/>
              </w:rPr>
              <w:t>Hyperglykämie,</w:t>
            </w:r>
          </w:p>
          <w:p w14:paraId="4C8ECB8D" w14:textId="77777777" w:rsidR="00452285" w:rsidRPr="004F5FB4" w:rsidRDefault="00452285" w:rsidP="00982118">
            <w:pPr>
              <w:autoSpaceDE w:val="0"/>
              <w:autoSpaceDN w:val="0"/>
              <w:adjustRightInd w:val="0"/>
              <w:rPr>
                <w:color w:val="000000"/>
              </w:rPr>
            </w:pPr>
            <w:r w:rsidRPr="004F5FB4">
              <w:rPr>
                <w:color w:val="000000"/>
              </w:rPr>
              <w:t>Hypophosphatämie,</w:t>
            </w:r>
          </w:p>
          <w:p w14:paraId="1D23D124" w14:textId="77777777" w:rsidR="00452285" w:rsidRPr="004F5FB4" w:rsidDel="00437FA1" w:rsidRDefault="00452285" w:rsidP="005D31CE">
            <w:pPr>
              <w:rPr>
                <w:color w:val="000000"/>
                <w:lang w:val="en-GB"/>
              </w:rPr>
            </w:pPr>
            <w:r w:rsidRPr="004F5FB4">
              <w:rPr>
                <w:color w:val="000000"/>
              </w:rPr>
              <w:t>Dehydratation</w:t>
            </w:r>
          </w:p>
        </w:tc>
      </w:tr>
      <w:tr w:rsidR="00452285" w:rsidRPr="004F5FB4" w14:paraId="1FA99B49"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65E6D9C2" w14:textId="77777777" w:rsidR="00452285" w:rsidRPr="004F5FB4" w:rsidRDefault="00452285" w:rsidP="00982118">
            <w:pPr>
              <w:rPr>
                <w:color w:val="000000"/>
              </w:rPr>
            </w:pPr>
            <w:r w:rsidRPr="004F5FB4">
              <w:rPr>
                <w:color w:val="000000"/>
              </w:rPr>
              <w:t>Psychiatrische Erkrankungen</w:t>
            </w:r>
          </w:p>
        </w:tc>
        <w:tc>
          <w:tcPr>
            <w:tcW w:w="1621" w:type="dxa"/>
            <w:tcBorders>
              <w:top w:val="single" w:sz="4" w:space="0" w:color="auto"/>
              <w:left w:val="single" w:sz="4" w:space="0" w:color="auto"/>
              <w:bottom w:val="single" w:sz="4" w:space="0" w:color="auto"/>
              <w:right w:val="single" w:sz="4" w:space="0" w:color="auto"/>
            </w:tcBorders>
            <w:hideMark/>
          </w:tcPr>
          <w:p w14:paraId="643CDC5D" w14:textId="77777777" w:rsidR="00452285" w:rsidRPr="004F5FB4" w:rsidRDefault="00452285"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tcPr>
          <w:p w14:paraId="0DDEDA6B" w14:textId="77777777" w:rsidR="00452285" w:rsidRPr="004F5FB4" w:rsidRDefault="00452285" w:rsidP="00982118">
            <w:pPr>
              <w:autoSpaceDE w:val="0"/>
              <w:autoSpaceDN w:val="0"/>
              <w:adjustRightInd w:val="0"/>
              <w:rPr>
                <w:color w:val="000000"/>
              </w:rPr>
            </w:pPr>
            <w:r w:rsidRPr="004F5FB4">
              <w:rPr>
                <w:color w:val="000000"/>
              </w:rPr>
              <w:t>Stimmungsschwankungen (einschließlich Depression),</w:t>
            </w:r>
          </w:p>
          <w:p w14:paraId="396DED4C" w14:textId="77777777" w:rsidR="00452285" w:rsidRPr="004F5FB4" w:rsidRDefault="00452285" w:rsidP="00982118">
            <w:pPr>
              <w:autoSpaceDE w:val="0"/>
              <w:autoSpaceDN w:val="0"/>
              <w:adjustRightInd w:val="0"/>
              <w:rPr>
                <w:color w:val="000000"/>
              </w:rPr>
            </w:pPr>
            <w:r w:rsidRPr="004F5FB4">
              <w:rPr>
                <w:color w:val="000000"/>
              </w:rPr>
              <w:t>Ängstlichkeit,</w:t>
            </w:r>
          </w:p>
          <w:p w14:paraId="49355FD0" w14:textId="77777777" w:rsidR="00452285" w:rsidRPr="00C325BF" w:rsidRDefault="00452285" w:rsidP="005D31CE">
            <w:pPr>
              <w:rPr>
                <w:color w:val="000000"/>
              </w:rPr>
            </w:pPr>
            <w:r w:rsidRPr="004F5FB4">
              <w:rPr>
                <w:color w:val="000000"/>
              </w:rPr>
              <w:t>Schlaflosigkeit</w:t>
            </w:r>
          </w:p>
        </w:tc>
      </w:tr>
      <w:tr w:rsidR="00452285" w:rsidRPr="004F5FB4" w14:paraId="1E521CC7"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8B70880" w14:textId="77777777" w:rsidR="00452285" w:rsidRPr="004F5FB4" w:rsidRDefault="00452285" w:rsidP="00982118">
            <w:pPr>
              <w:rPr>
                <w:color w:val="000000"/>
              </w:rPr>
            </w:pPr>
            <w:r w:rsidRPr="004F5FB4">
              <w:rPr>
                <w:color w:val="000000"/>
              </w:rPr>
              <w:t>Erkrankungen des Nervensystems*</w:t>
            </w:r>
          </w:p>
        </w:tc>
        <w:tc>
          <w:tcPr>
            <w:tcW w:w="1621" w:type="dxa"/>
            <w:tcBorders>
              <w:top w:val="single" w:sz="4" w:space="0" w:color="auto"/>
              <w:left w:val="single" w:sz="4" w:space="0" w:color="auto"/>
              <w:bottom w:val="single" w:sz="4" w:space="0" w:color="auto"/>
              <w:right w:val="single" w:sz="4" w:space="0" w:color="auto"/>
            </w:tcBorders>
          </w:tcPr>
          <w:p w14:paraId="30CDED31" w14:textId="77777777" w:rsidR="00452285" w:rsidRPr="004F5FB4" w:rsidRDefault="00452285" w:rsidP="005D31CE">
            <w:pPr>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671150B5" w14:textId="77777777" w:rsidR="00452285" w:rsidRPr="004F5FB4" w:rsidRDefault="00452285" w:rsidP="005D31CE">
            <w:pPr>
              <w:rPr>
                <w:color w:val="000000"/>
                <w:lang w:val="en-GB"/>
              </w:rPr>
            </w:pPr>
            <w:r w:rsidRPr="004F5FB4">
              <w:rPr>
                <w:color w:val="000000"/>
              </w:rPr>
              <w:t>Kopfschmerzen</w:t>
            </w:r>
          </w:p>
        </w:tc>
      </w:tr>
      <w:tr w:rsidR="00452285" w:rsidRPr="004F5FB4" w14:paraId="5B4DCB30" w14:textId="77777777" w:rsidTr="00054A92">
        <w:trPr>
          <w:cantSplit/>
        </w:trPr>
        <w:tc>
          <w:tcPr>
            <w:tcW w:w="2628" w:type="dxa"/>
            <w:vMerge/>
            <w:tcBorders>
              <w:left w:val="single" w:sz="4" w:space="0" w:color="auto"/>
              <w:right w:val="single" w:sz="4" w:space="0" w:color="auto"/>
            </w:tcBorders>
          </w:tcPr>
          <w:p w14:paraId="4F26BCC8"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1C25313B" w14:textId="77777777" w:rsidR="00452285" w:rsidRPr="004F5FB4" w:rsidRDefault="00452285" w:rsidP="00982118">
            <w:pPr>
              <w:rPr>
                <w:color w:val="000000"/>
              </w:rPr>
            </w:pPr>
            <w:r w:rsidRPr="004F5FB4">
              <w:rPr>
                <w:color w:val="000000"/>
              </w:rPr>
              <w:t>Häufig</w:t>
            </w:r>
          </w:p>
          <w:p w14:paraId="59DE5F7A"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4301AA41" w14:textId="77777777" w:rsidR="00452285" w:rsidRPr="004F5FB4" w:rsidRDefault="00452285" w:rsidP="00982118">
            <w:pPr>
              <w:autoSpaceDE w:val="0"/>
              <w:autoSpaceDN w:val="0"/>
              <w:adjustRightInd w:val="0"/>
              <w:rPr>
                <w:color w:val="000000"/>
              </w:rPr>
            </w:pPr>
            <w:r w:rsidRPr="004F5FB4">
              <w:rPr>
                <w:color w:val="000000"/>
              </w:rPr>
              <w:t>Parästhesien (einschließlich Hypästhesie),</w:t>
            </w:r>
          </w:p>
          <w:p w14:paraId="31ED5EC6" w14:textId="77777777" w:rsidR="00452285" w:rsidRPr="004F5FB4" w:rsidRDefault="00452285" w:rsidP="00982118">
            <w:pPr>
              <w:autoSpaceDE w:val="0"/>
              <w:autoSpaceDN w:val="0"/>
              <w:adjustRightInd w:val="0"/>
              <w:rPr>
                <w:color w:val="000000"/>
              </w:rPr>
            </w:pPr>
            <w:r w:rsidRPr="004F5FB4">
              <w:rPr>
                <w:color w:val="000000"/>
              </w:rPr>
              <w:t>Migräne,</w:t>
            </w:r>
          </w:p>
          <w:p w14:paraId="7A599FA1" w14:textId="77777777" w:rsidR="00C95465" w:rsidRPr="00C325BF" w:rsidRDefault="00452285" w:rsidP="005D31CE">
            <w:pPr>
              <w:rPr>
                <w:color w:val="000000"/>
              </w:rPr>
            </w:pPr>
            <w:r w:rsidRPr="004F5FB4">
              <w:rPr>
                <w:color w:val="000000"/>
              </w:rPr>
              <w:t>Nervenwurzelkompression</w:t>
            </w:r>
          </w:p>
        </w:tc>
      </w:tr>
      <w:tr w:rsidR="00452285" w:rsidRPr="004F5FB4" w14:paraId="1926E158" w14:textId="77777777" w:rsidTr="00054A92">
        <w:trPr>
          <w:cantSplit/>
        </w:trPr>
        <w:tc>
          <w:tcPr>
            <w:tcW w:w="2628" w:type="dxa"/>
            <w:vMerge/>
            <w:tcBorders>
              <w:left w:val="single" w:sz="4" w:space="0" w:color="auto"/>
              <w:right w:val="single" w:sz="4" w:space="0" w:color="auto"/>
            </w:tcBorders>
          </w:tcPr>
          <w:p w14:paraId="5278D943" w14:textId="77777777" w:rsidR="00452285" w:rsidRPr="00263DD8"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133BD9B" w14:textId="77777777" w:rsidR="00452285" w:rsidRPr="004F5FB4" w:rsidRDefault="00452285" w:rsidP="00982118">
            <w:pPr>
              <w:rPr>
                <w:color w:val="000000"/>
              </w:rPr>
            </w:pPr>
            <w:r w:rsidRPr="004F5FB4">
              <w:rPr>
                <w:color w:val="000000"/>
              </w:rPr>
              <w:t>Gelegentlich</w:t>
            </w:r>
          </w:p>
          <w:p w14:paraId="38FD83C1"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70B44F8A" w14:textId="77777777" w:rsidR="00452285" w:rsidRPr="004F5FB4" w:rsidRDefault="00452C34" w:rsidP="00982118">
            <w:pPr>
              <w:rPr>
                <w:color w:val="000000"/>
              </w:rPr>
            </w:pPr>
            <w:r w:rsidRPr="004F5FB4">
              <w:rPr>
                <w:color w:val="000000"/>
              </w:rPr>
              <w:t>zerebrovaskuläre Zwischenfälle</w:t>
            </w:r>
            <w:r w:rsidR="00452285" w:rsidRPr="004F5FB4">
              <w:rPr>
                <w:color w:val="000000"/>
                <w:vertAlign w:val="superscript"/>
              </w:rPr>
              <w:t>1</w:t>
            </w:r>
            <w:r w:rsidR="00452285" w:rsidRPr="004F5FB4">
              <w:rPr>
                <w:color w:val="000000"/>
              </w:rPr>
              <w:t>,</w:t>
            </w:r>
          </w:p>
          <w:p w14:paraId="505C50ED" w14:textId="77777777" w:rsidR="00452285" w:rsidRPr="004F5FB4" w:rsidRDefault="00452285" w:rsidP="00982118">
            <w:pPr>
              <w:rPr>
                <w:color w:val="000000"/>
              </w:rPr>
            </w:pPr>
            <w:r w:rsidRPr="004F5FB4">
              <w:rPr>
                <w:color w:val="000000"/>
              </w:rPr>
              <w:t>Tremor,</w:t>
            </w:r>
          </w:p>
          <w:p w14:paraId="00996E3E" w14:textId="77777777" w:rsidR="00452285" w:rsidRPr="004F5FB4" w:rsidRDefault="00452285" w:rsidP="005D31CE">
            <w:pPr>
              <w:rPr>
                <w:color w:val="000000"/>
              </w:rPr>
            </w:pPr>
            <w:r w:rsidRPr="004F5FB4">
              <w:rPr>
                <w:color w:val="000000"/>
              </w:rPr>
              <w:t>Neuropathie</w:t>
            </w:r>
          </w:p>
        </w:tc>
      </w:tr>
      <w:tr w:rsidR="00452285" w:rsidRPr="00D42C63" w14:paraId="4D2318EE" w14:textId="77777777" w:rsidTr="00054A92">
        <w:trPr>
          <w:cantSplit/>
        </w:trPr>
        <w:tc>
          <w:tcPr>
            <w:tcW w:w="2628" w:type="dxa"/>
            <w:vMerge/>
            <w:tcBorders>
              <w:left w:val="single" w:sz="4" w:space="0" w:color="auto"/>
              <w:bottom w:val="single" w:sz="4" w:space="0" w:color="auto"/>
              <w:right w:val="single" w:sz="4" w:space="0" w:color="auto"/>
            </w:tcBorders>
          </w:tcPr>
          <w:p w14:paraId="039FB5E1" w14:textId="77777777" w:rsidR="00452285" w:rsidRPr="004F5FB4"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1112D9A" w14:textId="77777777" w:rsidR="00452285" w:rsidRPr="004F5FB4" w:rsidRDefault="00452285" w:rsidP="00982118">
            <w:pPr>
              <w:rPr>
                <w:color w:val="000000"/>
              </w:rPr>
            </w:pPr>
            <w:r w:rsidRPr="004F5FB4">
              <w:rPr>
                <w:color w:val="000000"/>
              </w:rPr>
              <w:t>Selten</w:t>
            </w:r>
          </w:p>
          <w:p w14:paraId="2B0F3943" w14:textId="77777777" w:rsidR="00452285" w:rsidRPr="004F5FB4" w:rsidRDefault="00452285" w:rsidP="00982118">
            <w:pPr>
              <w:rPr>
                <w:color w:val="000000"/>
                <w:lang w:val="en-GB"/>
              </w:rPr>
            </w:pPr>
          </w:p>
        </w:tc>
        <w:tc>
          <w:tcPr>
            <w:tcW w:w="0" w:type="auto"/>
            <w:tcBorders>
              <w:left w:val="single" w:sz="4" w:space="0" w:color="auto"/>
              <w:bottom w:val="single" w:sz="4" w:space="0" w:color="auto"/>
              <w:right w:val="single" w:sz="4" w:space="0" w:color="auto"/>
            </w:tcBorders>
          </w:tcPr>
          <w:p w14:paraId="0214860A" w14:textId="77777777" w:rsidR="00452285" w:rsidRPr="00D42C63" w:rsidRDefault="00A63F9C" w:rsidP="00982118">
            <w:pPr>
              <w:rPr>
                <w:color w:val="000000"/>
              </w:rPr>
            </w:pPr>
            <w:r w:rsidRPr="00D42C63">
              <w:rPr>
                <w:color w:val="000000"/>
              </w:rPr>
              <w:t>M</w:t>
            </w:r>
            <w:r w:rsidR="00452285" w:rsidRPr="00D42C63">
              <w:rPr>
                <w:color w:val="000000"/>
              </w:rPr>
              <w:t>ultiple Sklerose,</w:t>
            </w:r>
          </w:p>
          <w:p w14:paraId="6866DC6C" w14:textId="77777777" w:rsidR="00452285" w:rsidRPr="00D42C63" w:rsidRDefault="00452285" w:rsidP="005D31CE">
            <w:pPr>
              <w:rPr>
                <w:color w:val="000000"/>
              </w:rPr>
            </w:pPr>
            <w:r w:rsidRPr="00D42C63">
              <w:rPr>
                <w:color w:val="000000"/>
              </w:rPr>
              <w:t>demyelinisierende Erkrankungen (z.</w:t>
            </w:r>
            <w:r w:rsidR="00933236" w:rsidRPr="00D42C63">
              <w:rPr>
                <w:color w:val="000000"/>
              </w:rPr>
              <w:t> </w:t>
            </w:r>
            <w:r w:rsidRPr="00D42C63">
              <w:rPr>
                <w:color w:val="000000"/>
              </w:rPr>
              <w:t>B. Optikusneuritis, Guillain-Barré-Syndrom)</w:t>
            </w:r>
            <w:r w:rsidRPr="00D42C63">
              <w:rPr>
                <w:color w:val="000000"/>
                <w:vertAlign w:val="superscript"/>
              </w:rPr>
              <w:t>1</w:t>
            </w:r>
          </w:p>
        </w:tc>
      </w:tr>
      <w:tr w:rsidR="00452285" w:rsidRPr="004F5FB4" w14:paraId="1EEA9CF9"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68034A8" w14:textId="77777777" w:rsidR="00452285" w:rsidRPr="004F5FB4" w:rsidRDefault="00452285" w:rsidP="00982118">
            <w:pPr>
              <w:rPr>
                <w:color w:val="000000"/>
              </w:rPr>
            </w:pPr>
            <w:r w:rsidRPr="004F5FB4">
              <w:rPr>
                <w:color w:val="000000"/>
              </w:rPr>
              <w:lastRenderedPageBreak/>
              <w:t>Augenerkrankungen</w:t>
            </w:r>
          </w:p>
        </w:tc>
        <w:tc>
          <w:tcPr>
            <w:tcW w:w="1621" w:type="dxa"/>
            <w:tcBorders>
              <w:top w:val="single" w:sz="4" w:space="0" w:color="auto"/>
              <w:left w:val="single" w:sz="4" w:space="0" w:color="auto"/>
              <w:right w:val="single" w:sz="4" w:space="0" w:color="auto"/>
            </w:tcBorders>
          </w:tcPr>
          <w:p w14:paraId="0F70F4D7" w14:textId="77777777" w:rsidR="00452285" w:rsidRPr="004F5FB4" w:rsidRDefault="00452285" w:rsidP="00982118">
            <w:pPr>
              <w:rPr>
                <w:color w:val="000000"/>
              </w:rPr>
            </w:pPr>
            <w:r w:rsidRPr="004F5FB4">
              <w:rPr>
                <w:color w:val="000000"/>
              </w:rPr>
              <w:t>Häufig</w:t>
            </w:r>
          </w:p>
          <w:p w14:paraId="7B6D8D7B" w14:textId="77777777" w:rsidR="00452285" w:rsidRPr="004F5FB4" w:rsidRDefault="00452285" w:rsidP="00982118">
            <w:pPr>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34D99C6C" w14:textId="77777777" w:rsidR="00452285" w:rsidRPr="004F5FB4" w:rsidRDefault="00452285" w:rsidP="00982118">
            <w:pPr>
              <w:autoSpaceDE w:val="0"/>
              <w:autoSpaceDN w:val="0"/>
              <w:adjustRightInd w:val="0"/>
              <w:rPr>
                <w:color w:val="000000"/>
              </w:rPr>
            </w:pPr>
            <w:r w:rsidRPr="004F5FB4">
              <w:rPr>
                <w:color w:val="000000"/>
              </w:rPr>
              <w:t>eingeschränktes Sehvermögen,</w:t>
            </w:r>
          </w:p>
          <w:p w14:paraId="1B52B513" w14:textId="77777777" w:rsidR="00452285" w:rsidRPr="004F5FB4" w:rsidRDefault="00452285" w:rsidP="00982118">
            <w:pPr>
              <w:autoSpaceDE w:val="0"/>
              <w:autoSpaceDN w:val="0"/>
              <w:adjustRightInd w:val="0"/>
              <w:rPr>
                <w:color w:val="000000"/>
              </w:rPr>
            </w:pPr>
            <w:r w:rsidRPr="004F5FB4">
              <w:rPr>
                <w:color w:val="000000"/>
              </w:rPr>
              <w:t>Konjunktivitis,</w:t>
            </w:r>
          </w:p>
          <w:p w14:paraId="4EF96B93" w14:textId="77777777" w:rsidR="00452285" w:rsidRPr="004F5FB4" w:rsidRDefault="00452285" w:rsidP="00982118">
            <w:pPr>
              <w:autoSpaceDE w:val="0"/>
              <w:autoSpaceDN w:val="0"/>
              <w:adjustRightInd w:val="0"/>
              <w:rPr>
                <w:color w:val="000000"/>
              </w:rPr>
            </w:pPr>
            <w:r w:rsidRPr="004F5FB4">
              <w:rPr>
                <w:color w:val="000000"/>
              </w:rPr>
              <w:t>Blepharitis,</w:t>
            </w:r>
          </w:p>
          <w:p w14:paraId="51A0BFCB" w14:textId="77777777" w:rsidR="00452285" w:rsidRPr="004F5FB4" w:rsidRDefault="00452285" w:rsidP="005D31CE">
            <w:pPr>
              <w:rPr>
                <w:color w:val="000000"/>
              </w:rPr>
            </w:pPr>
            <w:r w:rsidRPr="004F5FB4">
              <w:rPr>
                <w:color w:val="000000"/>
              </w:rPr>
              <w:t>Anschwellen des Auges</w:t>
            </w:r>
          </w:p>
        </w:tc>
      </w:tr>
      <w:tr w:rsidR="00452285" w:rsidRPr="004F5FB4" w14:paraId="3219E4F7" w14:textId="77777777" w:rsidTr="00054A92">
        <w:trPr>
          <w:cantSplit/>
        </w:trPr>
        <w:tc>
          <w:tcPr>
            <w:tcW w:w="2628" w:type="dxa"/>
            <w:vMerge/>
            <w:tcBorders>
              <w:left w:val="single" w:sz="4" w:space="0" w:color="auto"/>
              <w:bottom w:val="single" w:sz="4" w:space="0" w:color="auto"/>
              <w:right w:val="single" w:sz="4" w:space="0" w:color="auto"/>
            </w:tcBorders>
          </w:tcPr>
          <w:p w14:paraId="2994C836" w14:textId="77777777" w:rsidR="00452285" w:rsidRPr="004F5FB4" w:rsidRDefault="00452285" w:rsidP="00982118">
            <w:pPr>
              <w:rPr>
                <w:color w:val="000000"/>
              </w:rPr>
            </w:pPr>
          </w:p>
        </w:tc>
        <w:tc>
          <w:tcPr>
            <w:tcW w:w="1621" w:type="dxa"/>
            <w:tcBorders>
              <w:left w:val="single" w:sz="4" w:space="0" w:color="auto"/>
              <w:bottom w:val="single" w:sz="4" w:space="0" w:color="auto"/>
              <w:right w:val="single" w:sz="4" w:space="0" w:color="auto"/>
            </w:tcBorders>
          </w:tcPr>
          <w:p w14:paraId="4BD18B98" w14:textId="77777777" w:rsidR="00452285" w:rsidRPr="004F5FB4" w:rsidRDefault="00452285" w:rsidP="005D31CE">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40E5271A" w14:textId="77777777" w:rsidR="00452285" w:rsidRPr="004F5FB4" w:rsidRDefault="00452285" w:rsidP="005D31CE">
            <w:pPr>
              <w:rPr>
                <w:color w:val="000000"/>
                <w:lang w:val="en-GB"/>
              </w:rPr>
            </w:pPr>
            <w:r w:rsidRPr="004F5FB4">
              <w:rPr>
                <w:color w:val="000000"/>
              </w:rPr>
              <w:t>Doppeltsehen</w:t>
            </w:r>
          </w:p>
        </w:tc>
      </w:tr>
      <w:tr w:rsidR="00452285" w:rsidRPr="004F5FB4" w14:paraId="63C4382B"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671AD60" w14:textId="77777777" w:rsidR="00452285" w:rsidRPr="004F5FB4" w:rsidRDefault="00452285" w:rsidP="00982118">
            <w:pPr>
              <w:rPr>
                <w:color w:val="000000"/>
              </w:rPr>
            </w:pPr>
            <w:r w:rsidRPr="004F5FB4">
              <w:rPr>
                <w:color w:val="000000"/>
              </w:rPr>
              <w:t>Erkrankungen des Ohres und des Labyrinths</w:t>
            </w:r>
          </w:p>
        </w:tc>
        <w:tc>
          <w:tcPr>
            <w:tcW w:w="1621" w:type="dxa"/>
            <w:tcBorders>
              <w:top w:val="single" w:sz="4" w:space="0" w:color="auto"/>
              <w:left w:val="single" w:sz="4" w:space="0" w:color="auto"/>
              <w:bottom w:val="single" w:sz="4" w:space="0" w:color="auto"/>
              <w:right w:val="single" w:sz="4" w:space="0" w:color="auto"/>
            </w:tcBorders>
          </w:tcPr>
          <w:p w14:paraId="721506F3" w14:textId="77777777" w:rsidR="00452285" w:rsidRPr="004F5FB4" w:rsidRDefault="00452285" w:rsidP="005D31CE">
            <w:pPr>
              <w:rPr>
                <w:color w:val="000000"/>
                <w:lang w:val="en-GB"/>
              </w:rPr>
            </w:pPr>
            <w:r w:rsidRPr="004F5FB4">
              <w:rPr>
                <w:color w:val="000000"/>
              </w:rPr>
              <w:t>Häufig</w:t>
            </w:r>
          </w:p>
        </w:tc>
        <w:tc>
          <w:tcPr>
            <w:tcW w:w="0" w:type="auto"/>
            <w:tcBorders>
              <w:top w:val="single" w:sz="4" w:space="0" w:color="auto"/>
              <w:left w:val="single" w:sz="4" w:space="0" w:color="auto"/>
              <w:right w:val="single" w:sz="4" w:space="0" w:color="auto"/>
            </w:tcBorders>
          </w:tcPr>
          <w:p w14:paraId="2BB898A2" w14:textId="77777777" w:rsidR="00452285" w:rsidRPr="004F5FB4" w:rsidRDefault="00452285" w:rsidP="005D31CE">
            <w:pPr>
              <w:rPr>
                <w:color w:val="000000"/>
                <w:lang w:val="en-GB"/>
              </w:rPr>
            </w:pPr>
            <w:r w:rsidRPr="004F5FB4">
              <w:rPr>
                <w:color w:val="000000"/>
              </w:rPr>
              <w:t>Schwindel</w:t>
            </w:r>
          </w:p>
        </w:tc>
      </w:tr>
      <w:tr w:rsidR="00452285" w:rsidRPr="004F5FB4" w14:paraId="557B0983" w14:textId="77777777" w:rsidTr="00054A92">
        <w:trPr>
          <w:cantSplit/>
        </w:trPr>
        <w:tc>
          <w:tcPr>
            <w:tcW w:w="2628" w:type="dxa"/>
            <w:vMerge/>
            <w:tcBorders>
              <w:left w:val="single" w:sz="4" w:space="0" w:color="auto"/>
              <w:bottom w:val="single" w:sz="4" w:space="0" w:color="auto"/>
              <w:right w:val="single" w:sz="4" w:space="0" w:color="auto"/>
            </w:tcBorders>
          </w:tcPr>
          <w:p w14:paraId="79ABC819"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4E28584C" w14:textId="77777777" w:rsidR="00452285" w:rsidRPr="004F5FB4" w:rsidRDefault="00452285" w:rsidP="00982118">
            <w:pPr>
              <w:rPr>
                <w:color w:val="000000"/>
              </w:rPr>
            </w:pPr>
            <w:r w:rsidRPr="004F5FB4">
              <w:rPr>
                <w:color w:val="000000"/>
              </w:rPr>
              <w:t>Gelegentlich</w:t>
            </w:r>
          </w:p>
        </w:tc>
        <w:tc>
          <w:tcPr>
            <w:tcW w:w="0" w:type="auto"/>
            <w:tcBorders>
              <w:left w:val="single" w:sz="4" w:space="0" w:color="auto"/>
              <w:bottom w:val="single" w:sz="4" w:space="0" w:color="auto"/>
              <w:right w:val="single" w:sz="4" w:space="0" w:color="auto"/>
            </w:tcBorders>
          </w:tcPr>
          <w:p w14:paraId="7CD04721" w14:textId="77777777" w:rsidR="00452285" w:rsidRPr="004F5FB4" w:rsidRDefault="00452285" w:rsidP="00982118">
            <w:pPr>
              <w:rPr>
                <w:color w:val="000000"/>
              </w:rPr>
            </w:pPr>
            <w:r w:rsidRPr="004F5FB4">
              <w:rPr>
                <w:color w:val="000000"/>
              </w:rPr>
              <w:t>Taubheit,</w:t>
            </w:r>
          </w:p>
          <w:p w14:paraId="5D45AFED" w14:textId="77777777" w:rsidR="00452285" w:rsidRPr="004F5FB4" w:rsidRDefault="00452285" w:rsidP="005D31CE">
            <w:pPr>
              <w:rPr>
                <w:color w:val="000000"/>
                <w:lang w:val="en-GB"/>
              </w:rPr>
            </w:pPr>
            <w:r w:rsidRPr="004F5FB4">
              <w:rPr>
                <w:color w:val="000000"/>
              </w:rPr>
              <w:t>Tinnitus</w:t>
            </w:r>
          </w:p>
        </w:tc>
      </w:tr>
      <w:tr w:rsidR="00452285" w:rsidRPr="004F5FB4" w14:paraId="74BA639C"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C28CE70" w14:textId="77777777" w:rsidR="00452285" w:rsidRPr="004F5FB4" w:rsidRDefault="00452285" w:rsidP="00982118">
            <w:pPr>
              <w:rPr>
                <w:color w:val="000000"/>
              </w:rPr>
            </w:pPr>
            <w:r w:rsidRPr="004F5FB4">
              <w:rPr>
                <w:color w:val="000000"/>
              </w:rPr>
              <w:t>Herzerkrankungen*</w:t>
            </w:r>
          </w:p>
        </w:tc>
        <w:tc>
          <w:tcPr>
            <w:tcW w:w="1621" w:type="dxa"/>
            <w:tcBorders>
              <w:top w:val="single" w:sz="4" w:space="0" w:color="auto"/>
              <w:left w:val="single" w:sz="4" w:space="0" w:color="auto"/>
              <w:bottom w:val="single" w:sz="4" w:space="0" w:color="auto"/>
              <w:right w:val="single" w:sz="4" w:space="0" w:color="auto"/>
            </w:tcBorders>
          </w:tcPr>
          <w:p w14:paraId="74849572" w14:textId="77777777" w:rsidR="00452285" w:rsidRPr="004F5FB4" w:rsidRDefault="00452285" w:rsidP="005D31CE">
            <w:pPr>
              <w:rPr>
                <w:color w:val="000000"/>
                <w:lang w:val="en-GB"/>
              </w:rPr>
            </w:pPr>
            <w:r w:rsidRPr="004F5FB4">
              <w:rPr>
                <w:color w:val="000000"/>
              </w:rPr>
              <w:t>Häufig</w:t>
            </w:r>
          </w:p>
        </w:tc>
        <w:tc>
          <w:tcPr>
            <w:tcW w:w="0" w:type="auto"/>
            <w:tcBorders>
              <w:top w:val="single" w:sz="4" w:space="0" w:color="auto"/>
              <w:left w:val="single" w:sz="4" w:space="0" w:color="auto"/>
              <w:right w:val="single" w:sz="4" w:space="0" w:color="auto"/>
            </w:tcBorders>
          </w:tcPr>
          <w:p w14:paraId="1D6632DF" w14:textId="77777777" w:rsidR="00452285" w:rsidRPr="004F5FB4" w:rsidRDefault="00452285" w:rsidP="005D31CE">
            <w:pPr>
              <w:rPr>
                <w:color w:val="000000"/>
                <w:lang w:val="en-GB"/>
              </w:rPr>
            </w:pPr>
            <w:r w:rsidRPr="004F5FB4">
              <w:rPr>
                <w:color w:val="000000"/>
              </w:rPr>
              <w:t>Tachykardie</w:t>
            </w:r>
          </w:p>
        </w:tc>
      </w:tr>
      <w:tr w:rsidR="00452285" w:rsidRPr="004F5FB4" w14:paraId="4620431F" w14:textId="77777777" w:rsidTr="00054A92">
        <w:trPr>
          <w:cantSplit/>
        </w:trPr>
        <w:tc>
          <w:tcPr>
            <w:tcW w:w="2628" w:type="dxa"/>
            <w:vMerge/>
            <w:tcBorders>
              <w:left w:val="single" w:sz="4" w:space="0" w:color="auto"/>
              <w:right w:val="single" w:sz="4" w:space="0" w:color="auto"/>
            </w:tcBorders>
          </w:tcPr>
          <w:p w14:paraId="2D8C4644"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79707C6F" w14:textId="77777777" w:rsidR="00452285" w:rsidRPr="004F5FB4" w:rsidRDefault="00452285" w:rsidP="00982118">
            <w:pPr>
              <w:rPr>
                <w:color w:val="000000"/>
              </w:rPr>
            </w:pPr>
            <w:r w:rsidRPr="004F5FB4">
              <w:rPr>
                <w:color w:val="000000"/>
              </w:rPr>
              <w:t>Gelegentlich</w:t>
            </w:r>
          </w:p>
          <w:p w14:paraId="6B62B771"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4524537A" w14:textId="77777777" w:rsidR="00452285" w:rsidRPr="004F5FB4" w:rsidRDefault="00452285" w:rsidP="00982118">
            <w:pPr>
              <w:autoSpaceDE w:val="0"/>
              <w:autoSpaceDN w:val="0"/>
              <w:adjustRightInd w:val="0"/>
              <w:rPr>
                <w:color w:val="000000"/>
              </w:rPr>
            </w:pPr>
            <w:r w:rsidRPr="004F5FB4">
              <w:rPr>
                <w:color w:val="000000"/>
              </w:rPr>
              <w:t>Myokardinfarkt</w:t>
            </w:r>
            <w:r w:rsidRPr="004F5FB4">
              <w:rPr>
                <w:color w:val="000000"/>
                <w:vertAlign w:val="superscript"/>
              </w:rPr>
              <w:t>1</w:t>
            </w:r>
            <w:r w:rsidRPr="004F5FB4">
              <w:rPr>
                <w:color w:val="000000"/>
              </w:rPr>
              <w:t>,</w:t>
            </w:r>
          </w:p>
          <w:p w14:paraId="1DA338AD" w14:textId="77777777" w:rsidR="00452285" w:rsidRPr="004F5FB4" w:rsidRDefault="00452285" w:rsidP="00982118">
            <w:pPr>
              <w:autoSpaceDE w:val="0"/>
              <w:autoSpaceDN w:val="0"/>
              <w:adjustRightInd w:val="0"/>
              <w:rPr>
                <w:color w:val="000000"/>
              </w:rPr>
            </w:pPr>
            <w:r w:rsidRPr="004F5FB4">
              <w:rPr>
                <w:color w:val="000000"/>
              </w:rPr>
              <w:t>Arrhythmie,</w:t>
            </w:r>
          </w:p>
          <w:p w14:paraId="19C21805" w14:textId="77777777" w:rsidR="00452285" w:rsidRPr="004F5FB4" w:rsidRDefault="00452285" w:rsidP="005D31CE">
            <w:pPr>
              <w:rPr>
                <w:color w:val="000000"/>
                <w:lang w:val="en-GB"/>
              </w:rPr>
            </w:pPr>
            <w:r w:rsidRPr="004F5FB4">
              <w:rPr>
                <w:color w:val="000000"/>
              </w:rPr>
              <w:t>dekompensierte Herzinsuffizienz</w:t>
            </w:r>
          </w:p>
        </w:tc>
      </w:tr>
      <w:tr w:rsidR="00452285" w:rsidRPr="004F5FB4" w14:paraId="24AE5B45" w14:textId="77777777" w:rsidTr="00054A92">
        <w:trPr>
          <w:cantSplit/>
        </w:trPr>
        <w:tc>
          <w:tcPr>
            <w:tcW w:w="2628" w:type="dxa"/>
            <w:vMerge/>
            <w:tcBorders>
              <w:left w:val="single" w:sz="4" w:space="0" w:color="auto"/>
              <w:bottom w:val="single" w:sz="4" w:space="0" w:color="auto"/>
              <w:right w:val="single" w:sz="4" w:space="0" w:color="auto"/>
            </w:tcBorders>
          </w:tcPr>
          <w:p w14:paraId="5EBBC4CA"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647972FD" w14:textId="77777777" w:rsidR="00452285" w:rsidRPr="004F5FB4" w:rsidRDefault="00452285" w:rsidP="005D31CE">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223D4C8C" w14:textId="77777777" w:rsidR="00452285" w:rsidRPr="004F5FB4" w:rsidRDefault="00452285" w:rsidP="005D31CE">
            <w:pPr>
              <w:rPr>
                <w:color w:val="000000"/>
                <w:lang w:val="en-GB"/>
              </w:rPr>
            </w:pPr>
            <w:r w:rsidRPr="004F5FB4">
              <w:rPr>
                <w:color w:val="000000"/>
              </w:rPr>
              <w:t>Herzstillstand</w:t>
            </w:r>
          </w:p>
        </w:tc>
      </w:tr>
      <w:tr w:rsidR="00452285" w:rsidRPr="004F5FB4" w14:paraId="4849E2F9"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FF039B0" w14:textId="77777777" w:rsidR="00452285" w:rsidRPr="004F5FB4" w:rsidRDefault="00452285" w:rsidP="00982118">
            <w:pPr>
              <w:rPr>
                <w:color w:val="000000"/>
              </w:rPr>
            </w:pPr>
            <w:r w:rsidRPr="004F5FB4">
              <w:rPr>
                <w:color w:val="000000"/>
              </w:rPr>
              <w:t>Gefäßerkrankungen</w:t>
            </w:r>
          </w:p>
        </w:tc>
        <w:tc>
          <w:tcPr>
            <w:tcW w:w="1621" w:type="dxa"/>
            <w:tcBorders>
              <w:top w:val="single" w:sz="4" w:space="0" w:color="auto"/>
              <w:left w:val="single" w:sz="4" w:space="0" w:color="auto"/>
              <w:bottom w:val="single" w:sz="4" w:space="0" w:color="auto"/>
              <w:right w:val="single" w:sz="4" w:space="0" w:color="auto"/>
            </w:tcBorders>
          </w:tcPr>
          <w:p w14:paraId="4DE1E3B0" w14:textId="77777777" w:rsidR="00452285" w:rsidRPr="004F5FB4" w:rsidRDefault="00452285" w:rsidP="00982118">
            <w:pPr>
              <w:rPr>
                <w:color w:val="000000"/>
              </w:rPr>
            </w:pPr>
            <w:r w:rsidRPr="004F5FB4">
              <w:rPr>
                <w:color w:val="000000"/>
              </w:rPr>
              <w:t>Häufig</w:t>
            </w:r>
          </w:p>
          <w:p w14:paraId="6DE8AD1A" w14:textId="77777777" w:rsidR="00452285" w:rsidRPr="004F5FB4" w:rsidRDefault="00452285" w:rsidP="00982118">
            <w:pPr>
              <w:rPr>
                <w:color w:val="000000"/>
                <w:lang w:val="en-GB"/>
              </w:rPr>
            </w:pPr>
          </w:p>
        </w:tc>
        <w:tc>
          <w:tcPr>
            <w:tcW w:w="0" w:type="auto"/>
            <w:tcBorders>
              <w:top w:val="single" w:sz="4" w:space="0" w:color="auto"/>
              <w:left w:val="single" w:sz="4" w:space="0" w:color="auto"/>
              <w:right w:val="single" w:sz="4" w:space="0" w:color="auto"/>
            </w:tcBorders>
          </w:tcPr>
          <w:p w14:paraId="1245BA4E" w14:textId="77777777" w:rsidR="00452285" w:rsidRPr="004F5FB4" w:rsidRDefault="00452285" w:rsidP="00982118">
            <w:pPr>
              <w:autoSpaceDE w:val="0"/>
              <w:autoSpaceDN w:val="0"/>
              <w:adjustRightInd w:val="0"/>
              <w:rPr>
                <w:color w:val="000000"/>
              </w:rPr>
            </w:pPr>
            <w:r w:rsidRPr="004F5FB4">
              <w:rPr>
                <w:color w:val="000000"/>
              </w:rPr>
              <w:t>Hypertonie,</w:t>
            </w:r>
          </w:p>
          <w:p w14:paraId="1808FF8E" w14:textId="77777777" w:rsidR="00452285" w:rsidRPr="004F5FB4" w:rsidRDefault="00452285" w:rsidP="00982118">
            <w:pPr>
              <w:autoSpaceDE w:val="0"/>
              <w:autoSpaceDN w:val="0"/>
              <w:adjustRightInd w:val="0"/>
              <w:rPr>
                <w:color w:val="000000"/>
              </w:rPr>
            </w:pPr>
            <w:r w:rsidRPr="004F5FB4">
              <w:rPr>
                <w:color w:val="000000"/>
              </w:rPr>
              <w:t>Hitzegefühl,</w:t>
            </w:r>
          </w:p>
          <w:p w14:paraId="2C40AD6C" w14:textId="77777777" w:rsidR="00452285" w:rsidRPr="004F5FB4" w:rsidRDefault="00452285" w:rsidP="005D31CE">
            <w:pPr>
              <w:rPr>
                <w:color w:val="000000"/>
                <w:lang w:val="en-GB"/>
              </w:rPr>
            </w:pPr>
            <w:r w:rsidRPr="004F5FB4">
              <w:rPr>
                <w:color w:val="000000"/>
              </w:rPr>
              <w:t>Hämatome</w:t>
            </w:r>
          </w:p>
        </w:tc>
      </w:tr>
      <w:tr w:rsidR="00452285" w:rsidRPr="004F5FB4" w14:paraId="1F918DF5" w14:textId="77777777" w:rsidTr="00054A92">
        <w:trPr>
          <w:cantSplit/>
        </w:trPr>
        <w:tc>
          <w:tcPr>
            <w:tcW w:w="2628" w:type="dxa"/>
            <w:vMerge/>
            <w:tcBorders>
              <w:left w:val="single" w:sz="4" w:space="0" w:color="auto"/>
              <w:bottom w:val="single" w:sz="4" w:space="0" w:color="auto"/>
              <w:right w:val="single" w:sz="4" w:space="0" w:color="auto"/>
            </w:tcBorders>
          </w:tcPr>
          <w:p w14:paraId="55954305"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5A390B7A" w14:textId="77777777" w:rsidR="00452285" w:rsidRPr="004F5FB4" w:rsidRDefault="00452285" w:rsidP="00982118">
            <w:pPr>
              <w:rPr>
                <w:color w:val="000000"/>
              </w:rPr>
            </w:pPr>
            <w:r w:rsidRPr="004F5FB4">
              <w:rPr>
                <w:color w:val="000000"/>
              </w:rPr>
              <w:t>Gelegentlich</w:t>
            </w:r>
          </w:p>
        </w:tc>
        <w:tc>
          <w:tcPr>
            <w:tcW w:w="0" w:type="auto"/>
            <w:tcBorders>
              <w:left w:val="single" w:sz="4" w:space="0" w:color="auto"/>
              <w:bottom w:val="single" w:sz="4" w:space="0" w:color="auto"/>
              <w:right w:val="single" w:sz="4" w:space="0" w:color="auto"/>
            </w:tcBorders>
          </w:tcPr>
          <w:p w14:paraId="597A4067" w14:textId="77777777" w:rsidR="00452285" w:rsidRPr="004F5FB4" w:rsidRDefault="00452285" w:rsidP="00982118">
            <w:pPr>
              <w:autoSpaceDE w:val="0"/>
              <w:autoSpaceDN w:val="0"/>
              <w:adjustRightInd w:val="0"/>
              <w:rPr>
                <w:color w:val="000000"/>
              </w:rPr>
            </w:pPr>
            <w:r w:rsidRPr="004F5FB4">
              <w:rPr>
                <w:color w:val="000000"/>
              </w:rPr>
              <w:t>Aortenaneurysma,</w:t>
            </w:r>
          </w:p>
          <w:p w14:paraId="42059DA3" w14:textId="77777777" w:rsidR="00452285" w:rsidRPr="004F5FB4" w:rsidRDefault="00452285" w:rsidP="00982118">
            <w:pPr>
              <w:autoSpaceDE w:val="0"/>
              <w:autoSpaceDN w:val="0"/>
              <w:adjustRightInd w:val="0"/>
              <w:rPr>
                <w:color w:val="000000"/>
              </w:rPr>
            </w:pPr>
            <w:r w:rsidRPr="004F5FB4">
              <w:rPr>
                <w:color w:val="000000"/>
              </w:rPr>
              <w:t>arterieller Gefäßverschluss,</w:t>
            </w:r>
          </w:p>
          <w:p w14:paraId="6C7D5778" w14:textId="77777777" w:rsidR="00452285" w:rsidRPr="004F5FB4" w:rsidDel="00B633E5" w:rsidRDefault="00452285" w:rsidP="005D31CE">
            <w:pPr>
              <w:rPr>
                <w:color w:val="000000"/>
                <w:lang w:val="en-GB"/>
              </w:rPr>
            </w:pPr>
            <w:r w:rsidRPr="004F5FB4">
              <w:rPr>
                <w:color w:val="000000"/>
              </w:rPr>
              <w:t>Thrombophlebitis</w:t>
            </w:r>
          </w:p>
        </w:tc>
      </w:tr>
      <w:tr w:rsidR="00452285" w:rsidRPr="004F5FB4" w14:paraId="579EDBA6" w14:textId="77777777" w:rsidTr="00054A92">
        <w:trPr>
          <w:cantSplit/>
        </w:trPr>
        <w:tc>
          <w:tcPr>
            <w:tcW w:w="2628" w:type="dxa"/>
            <w:vMerge w:val="restart"/>
            <w:tcBorders>
              <w:top w:val="single" w:sz="4" w:space="0" w:color="auto"/>
              <w:left w:val="single" w:sz="4" w:space="0" w:color="auto"/>
              <w:right w:val="single" w:sz="4" w:space="0" w:color="auto"/>
            </w:tcBorders>
            <w:shd w:val="clear" w:color="auto" w:fill="auto"/>
            <w:hideMark/>
          </w:tcPr>
          <w:p w14:paraId="2DFFB11E" w14:textId="77777777" w:rsidR="00BB0131" w:rsidRPr="004F5FB4" w:rsidRDefault="00452285" w:rsidP="00982118">
            <w:pPr>
              <w:keepNext/>
              <w:autoSpaceDE w:val="0"/>
              <w:autoSpaceDN w:val="0"/>
              <w:adjustRightInd w:val="0"/>
              <w:rPr>
                <w:color w:val="000000"/>
              </w:rPr>
            </w:pPr>
            <w:r w:rsidRPr="004F5FB4">
              <w:rPr>
                <w:color w:val="000000"/>
              </w:rPr>
              <w:t>Erkrankungen der Atemwege, des Brustraumes und Mediastinums*</w:t>
            </w:r>
          </w:p>
          <w:p w14:paraId="453A9FD1" w14:textId="77777777" w:rsidR="00452285" w:rsidRPr="004F5FB4" w:rsidRDefault="00452285" w:rsidP="00054A92">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7511FF8C" w14:textId="77777777" w:rsidR="00452285" w:rsidRPr="004F5FB4" w:rsidRDefault="00452285" w:rsidP="00982118">
            <w:pPr>
              <w:keepNext/>
              <w:rPr>
                <w:color w:val="000000"/>
              </w:rPr>
            </w:pPr>
            <w:r w:rsidRPr="004F5FB4">
              <w:rPr>
                <w:color w:val="000000"/>
              </w:rPr>
              <w:t>Häufig</w:t>
            </w:r>
          </w:p>
          <w:p w14:paraId="4E8589E8" w14:textId="77777777" w:rsidR="00452285" w:rsidRPr="004F5FB4" w:rsidRDefault="00452285" w:rsidP="00982118">
            <w:pPr>
              <w:keepNext/>
              <w:rPr>
                <w:color w:val="000000"/>
                <w:lang w:val="en-GB"/>
              </w:rPr>
            </w:pPr>
          </w:p>
        </w:tc>
        <w:tc>
          <w:tcPr>
            <w:tcW w:w="0" w:type="auto"/>
            <w:tcBorders>
              <w:top w:val="single" w:sz="4" w:space="0" w:color="auto"/>
              <w:left w:val="single" w:sz="4" w:space="0" w:color="auto"/>
              <w:right w:val="single" w:sz="4" w:space="0" w:color="auto"/>
            </w:tcBorders>
          </w:tcPr>
          <w:p w14:paraId="7408606C" w14:textId="77777777" w:rsidR="00452285" w:rsidRPr="004F5FB4" w:rsidRDefault="00452285" w:rsidP="00982118">
            <w:pPr>
              <w:keepNext/>
              <w:autoSpaceDE w:val="0"/>
              <w:autoSpaceDN w:val="0"/>
              <w:adjustRightInd w:val="0"/>
              <w:rPr>
                <w:color w:val="000000"/>
              </w:rPr>
            </w:pPr>
            <w:r w:rsidRPr="004F5FB4">
              <w:rPr>
                <w:color w:val="000000"/>
              </w:rPr>
              <w:t>Asthma,</w:t>
            </w:r>
          </w:p>
          <w:p w14:paraId="0067F298" w14:textId="77777777" w:rsidR="00452285" w:rsidRPr="004F5FB4" w:rsidRDefault="00452285" w:rsidP="00982118">
            <w:pPr>
              <w:keepNext/>
              <w:autoSpaceDE w:val="0"/>
              <w:autoSpaceDN w:val="0"/>
              <w:adjustRightInd w:val="0"/>
              <w:rPr>
                <w:color w:val="000000"/>
              </w:rPr>
            </w:pPr>
            <w:r w:rsidRPr="004F5FB4">
              <w:rPr>
                <w:color w:val="000000"/>
              </w:rPr>
              <w:t>Dyspnoe,</w:t>
            </w:r>
          </w:p>
          <w:p w14:paraId="2ED25F4D" w14:textId="77777777" w:rsidR="00452285" w:rsidRPr="004F5FB4" w:rsidRDefault="00452285" w:rsidP="005D31CE">
            <w:pPr>
              <w:keepNext/>
              <w:autoSpaceDE w:val="0"/>
              <w:autoSpaceDN w:val="0"/>
              <w:adjustRightInd w:val="0"/>
              <w:rPr>
                <w:color w:val="000000"/>
                <w:lang w:val="en-GB"/>
              </w:rPr>
            </w:pPr>
            <w:r w:rsidRPr="004F5FB4">
              <w:rPr>
                <w:color w:val="000000"/>
              </w:rPr>
              <w:t>Husten</w:t>
            </w:r>
          </w:p>
        </w:tc>
      </w:tr>
      <w:tr w:rsidR="00452285" w:rsidRPr="004F5FB4" w14:paraId="1DFCDD87" w14:textId="77777777" w:rsidTr="00054A92">
        <w:trPr>
          <w:cantSplit/>
        </w:trPr>
        <w:tc>
          <w:tcPr>
            <w:tcW w:w="2628" w:type="dxa"/>
            <w:vMerge/>
            <w:tcBorders>
              <w:left w:val="single" w:sz="4" w:space="0" w:color="auto"/>
              <w:right w:val="single" w:sz="4" w:space="0" w:color="auto"/>
            </w:tcBorders>
            <w:shd w:val="clear" w:color="auto" w:fill="auto"/>
          </w:tcPr>
          <w:p w14:paraId="045D4CE5" w14:textId="77777777" w:rsidR="00452285" w:rsidRPr="004F5FB4" w:rsidRDefault="00452285" w:rsidP="00982118">
            <w:pPr>
              <w:keepNext/>
              <w:autoSpaceDE w:val="0"/>
              <w:autoSpaceDN w:val="0"/>
              <w:adjustRightInd w:val="0"/>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0A5B9BA7" w14:textId="77777777" w:rsidR="00452285" w:rsidRPr="004F5FB4" w:rsidRDefault="00452285" w:rsidP="00982118">
            <w:pPr>
              <w:keepNext/>
              <w:rPr>
                <w:color w:val="000000"/>
              </w:rPr>
            </w:pPr>
            <w:r w:rsidRPr="004F5FB4">
              <w:rPr>
                <w:color w:val="000000"/>
              </w:rPr>
              <w:t>Gelegentlich</w:t>
            </w:r>
          </w:p>
          <w:p w14:paraId="776EFA74" w14:textId="77777777" w:rsidR="00452285" w:rsidRPr="004F5FB4" w:rsidRDefault="00452285" w:rsidP="00982118">
            <w:pPr>
              <w:keepNext/>
              <w:rPr>
                <w:color w:val="000000"/>
                <w:lang w:val="en-GB"/>
              </w:rPr>
            </w:pPr>
          </w:p>
        </w:tc>
        <w:tc>
          <w:tcPr>
            <w:tcW w:w="0" w:type="auto"/>
            <w:tcBorders>
              <w:left w:val="single" w:sz="4" w:space="0" w:color="auto"/>
              <w:right w:val="single" w:sz="4" w:space="0" w:color="auto"/>
            </w:tcBorders>
          </w:tcPr>
          <w:p w14:paraId="778B3B75" w14:textId="77777777" w:rsidR="00452285" w:rsidRPr="004F5FB4" w:rsidRDefault="00452285" w:rsidP="00982118">
            <w:pPr>
              <w:keepNext/>
              <w:autoSpaceDE w:val="0"/>
              <w:autoSpaceDN w:val="0"/>
              <w:adjustRightInd w:val="0"/>
              <w:rPr>
                <w:color w:val="000000"/>
              </w:rPr>
            </w:pPr>
            <w:r w:rsidRPr="004F5FB4">
              <w:rPr>
                <w:color w:val="000000"/>
              </w:rPr>
              <w:t>Lungenembolie</w:t>
            </w:r>
            <w:r w:rsidRPr="004F5FB4">
              <w:rPr>
                <w:color w:val="000000"/>
                <w:vertAlign w:val="superscript"/>
              </w:rPr>
              <w:t>1</w:t>
            </w:r>
            <w:r w:rsidRPr="004F5FB4">
              <w:rPr>
                <w:color w:val="000000"/>
              </w:rPr>
              <w:t>,</w:t>
            </w:r>
          </w:p>
          <w:p w14:paraId="3374F981" w14:textId="77777777" w:rsidR="00452285" w:rsidRPr="004F5FB4" w:rsidRDefault="00452285" w:rsidP="00982118">
            <w:pPr>
              <w:keepNext/>
              <w:autoSpaceDE w:val="0"/>
              <w:autoSpaceDN w:val="0"/>
              <w:adjustRightInd w:val="0"/>
              <w:rPr>
                <w:color w:val="000000"/>
              </w:rPr>
            </w:pPr>
            <w:r w:rsidRPr="004F5FB4">
              <w:rPr>
                <w:color w:val="000000"/>
              </w:rPr>
              <w:t>interstitielle Lungenerkrankung,</w:t>
            </w:r>
          </w:p>
          <w:p w14:paraId="2994A966" w14:textId="77777777" w:rsidR="00452285" w:rsidRPr="004F5FB4" w:rsidRDefault="00452285" w:rsidP="00982118">
            <w:pPr>
              <w:keepNext/>
              <w:autoSpaceDE w:val="0"/>
              <w:autoSpaceDN w:val="0"/>
              <w:adjustRightInd w:val="0"/>
              <w:rPr>
                <w:color w:val="000000"/>
              </w:rPr>
            </w:pPr>
            <w:r w:rsidRPr="004F5FB4">
              <w:rPr>
                <w:color w:val="000000"/>
              </w:rPr>
              <w:t>chronisch-obstruktive Lungenerkrankung,</w:t>
            </w:r>
          </w:p>
          <w:p w14:paraId="4733783C" w14:textId="77777777" w:rsidR="00452285" w:rsidRPr="004F5FB4" w:rsidRDefault="00452285" w:rsidP="00982118">
            <w:pPr>
              <w:keepNext/>
              <w:autoSpaceDE w:val="0"/>
              <w:autoSpaceDN w:val="0"/>
              <w:adjustRightInd w:val="0"/>
              <w:rPr>
                <w:color w:val="000000"/>
              </w:rPr>
            </w:pPr>
            <w:r w:rsidRPr="004F5FB4">
              <w:rPr>
                <w:color w:val="000000"/>
              </w:rPr>
              <w:t>Pneumonitis,</w:t>
            </w:r>
          </w:p>
          <w:p w14:paraId="1C9868E5" w14:textId="77777777" w:rsidR="00452285" w:rsidRPr="004F5FB4" w:rsidRDefault="00452285" w:rsidP="005D31CE">
            <w:pPr>
              <w:keepNext/>
              <w:autoSpaceDE w:val="0"/>
              <w:autoSpaceDN w:val="0"/>
              <w:adjustRightInd w:val="0"/>
              <w:rPr>
                <w:color w:val="000000"/>
                <w:lang w:val="en-GB"/>
              </w:rPr>
            </w:pPr>
            <w:r w:rsidRPr="004F5FB4">
              <w:rPr>
                <w:color w:val="000000"/>
              </w:rPr>
              <w:t>Pleuraerguss</w:t>
            </w:r>
            <w:r w:rsidRPr="004F5FB4">
              <w:rPr>
                <w:color w:val="000000"/>
                <w:vertAlign w:val="superscript"/>
              </w:rPr>
              <w:t>1</w:t>
            </w:r>
          </w:p>
        </w:tc>
      </w:tr>
      <w:tr w:rsidR="00452285" w:rsidRPr="004F5FB4" w14:paraId="184D7D68" w14:textId="77777777" w:rsidTr="00054A92">
        <w:trPr>
          <w:cantSplit/>
        </w:trPr>
        <w:tc>
          <w:tcPr>
            <w:tcW w:w="2628" w:type="dxa"/>
            <w:vMerge/>
            <w:tcBorders>
              <w:left w:val="single" w:sz="4" w:space="0" w:color="auto"/>
              <w:bottom w:val="single" w:sz="4" w:space="0" w:color="auto"/>
              <w:right w:val="single" w:sz="4" w:space="0" w:color="auto"/>
            </w:tcBorders>
            <w:shd w:val="clear" w:color="auto" w:fill="auto"/>
          </w:tcPr>
          <w:p w14:paraId="08CB50B3" w14:textId="77777777" w:rsidR="00452285" w:rsidRPr="004F5FB4" w:rsidRDefault="00452285" w:rsidP="00982118">
            <w:pPr>
              <w:keepNext/>
              <w:autoSpaceDE w:val="0"/>
              <w:autoSpaceDN w:val="0"/>
              <w:adjustRightInd w:val="0"/>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7AE38F88" w14:textId="77777777" w:rsidR="00452285" w:rsidRPr="004F5FB4" w:rsidRDefault="00452285" w:rsidP="005D31CE">
            <w:pPr>
              <w:keepNext/>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07065091" w14:textId="77777777" w:rsidR="00452285" w:rsidRPr="004F5FB4" w:rsidRDefault="00452285" w:rsidP="005D31CE">
            <w:pPr>
              <w:keepNext/>
              <w:autoSpaceDE w:val="0"/>
              <w:autoSpaceDN w:val="0"/>
              <w:adjustRightInd w:val="0"/>
              <w:rPr>
                <w:color w:val="000000"/>
                <w:lang w:val="en-GB"/>
              </w:rPr>
            </w:pPr>
            <w:r w:rsidRPr="004F5FB4">
              <w:rPr>
                <w:color w:val="000000"/>
              </w:rPr>
              <w:t>Lungenfibrose</w:t>
            </w:r>
            <w:r w:rsidRPr="004F5FB4">
              <w:rPr>
                <w:color w:val="000000"/>
                <w:vertAlign w:val="superscript"/>
              </w:rPr>
              <w:t>1</w:t>
            </w:r>
          </w:p>
        </w:tc>
      </w:tr>
      <w:tr w:rsidR="00452285" w:rsidRPr="004F5FB4" w14:paraId="54A3D8B6"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FD0B121" w14:textId="77777777" w:rsidR="00452285" w:rsidRPr="004F5FB4" w:rsidRDefault="00452285" w:rsidP="00982118">
            <w:pPr>
              <w:rPr>
                <w:color w:val="000000"/>
              </w:rPr>
            </w:pPr>
            <w:r w:rsidRPr="004F5FB4">
              <w:rPr>
                <w:color w:val="000000"/>
              </w:rPr>
              <w:t>Erkrankungen des Gastrointestinaltraktes</w:t>
            </w:r>
          </w:p>
        </w:tc>
        <w:tc>
          <w:tcPr>
            <w:tcW w:w="1621" w:type="dxa"/>
            <w:tcBorders>
              <w:top w:val="single" w:sz="4" w:space="0" w:color="auto"/>
              <w:left w:val="single" w:sz="4" w:space="0" w:color="auto"/>
              <w:bottom w:val="single" w:sz="4" w:space="0" w:color="auto"/>
              <w:right w:val="single" w:sz="4" w:space="0" w:color="auto"/>
            </w:tcBorders>
          </w:tcPr>
          <w:p w14:paraId="34284197" w14:textId="77777777" w:rsidR="00452285" w:rsidRPr="004F5FB4" w:rsidRDefault="00452285" w:rsidP="00982118">
            <w:pPr>
              <w:rPr>
                <w:color w:val="000000"/>
              </w:rPr>
            </w:pPr>
            <w:r w:rsidRPr="004F5FB4">
              <w:rPr>
                <w:color w:val="000000"/>
              </w:rPr>
              <w:t>Sehr häufig</w:t>
            </w:r>
          </w:p>
          <w:p w14:paraId="0769086A" w14:textId="77777777" w:rsidR="00452285" w:rsidRPr="004F5FB4" w:rsidRDefault="00452285" w:rsidP="00982118">
            <w:pPr>
              <w:rPr>
                <w:color w:val="000000"/>
                <w:lang w:val="en-GB"/>
              </w:rPr>
            </w:pPr>
          </w:p>
        </w:tc>
        <w:tc>
          <w:tcPr>
            <w:tcW w:w="0" w:type="auto"/>
            <w:tcBorders>
              <w:top w:val="single" w:sz="4" w:space="0" w:color="auto"/>
              <w:left w:val="single" w:sz="4" w:space="0" w:color="auto"/>
              <w:right w:val="single" w:sz="4" w:space="0" w:color="auto"/>
            </w:tcBorders>
          </w:tcPr>
          <w:p w14:paraId="637473B7" w14:textId="77777777" w:rsidR="00452285" w:rsidRPr="004F5FB4" w:rsidRDefault="00452285" w:rsidP="00982118">
            <w:pPr>
              <w:autoSpaceDE w:val="0"/>
              <w:autoSpaceDN w:val="0"/>
              <w:adjustRightInd w:val="0"/>
              <w:rPr>
                <w:color w:val="000000"/>
              </w:rPr>
            </w:pPr>
            <w:r w:rsidRPr="004F5FB4">
              <w:rPr>
                <w:color w:val="000000"/>
              </w:rPr>
              <w:t>Abdominalschmerzen,</w:t>
            </w:r>
          </w:p>
          <w:p w14:paraId="05882FF1" w14:textId="77777777" w:rsidR="00452285" w:rsidRPr="004F5FB4" w:rsidRDefault="00452285" w:rsidP="005D31CE">
            <w:pPr>
              <w:autoSpaceDE w:val="0"/>
              <w:autoSpaceDN w:val="0"/>
              <w:adjustRightInd w:val="0"/>
              <w:rPr>
                <w:color w:val="000000"/>
                <w:lang w:val="en-GB"/>
              </w:rPr>
            </w:pPr>
            <w:r w:rsidRPr="004F5FB4">
              <w:rPr>
                <w:color w:val="000000"/>
              </w:rPr>
              <w:t>Übelkeit und Erbrechen</w:t>
            </w:r>
          </w:p>
        </w:tc>
      </w:tr>
      <w:tr w:rsidR="00452285" w:rsidRPr="004F5FB4" w14:paraId="03378B64" w14:textId="77777777" w:rsidTr="00054A92">
        <w:trPr>
          <w:cantSplit/>
        </w:trPr>
        <w:tc>
          <w:tcPr>
            <w:tcW w:w="2628" w:type="dxa"/>
            <w:vMerge/>
            <w:tcBorders>
              <w:left w:val="single" w:sz="4" w:space="0" w:color="auto"/>
              <w:right w:val="single" w:sz="4" w:space="0" w:color="auto"/>
            </w:tcBorders>
          </w:tcPr>
          <w:p w14:paraId="2CBDA5BF"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028C4BE2" w14:textId="77777777" w:rsidR="00452285" w:rsidRPr="004F5FB4" w:rsidRDefault="00452285" w:rsidP="00982118">
            <w:pPr>
              <w:rPr>
                <w:color w:val="000000"/>
              </w:rPr>
            </w:pPr>
            <w:r w:rsidRPr="004F5FB4">
              <w:rPr>
                <w:color w:val="000000"/>
              </w:rPr>
              <w:t>Häufig</w:t>
            </w:r>
          </w:p>
          <w:p w14:paraId="5B47D91E"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6E6140B2" w14:textId="77777777" w:rsidR="00452285" w:rsidRPr="004F5FB4" w:rsidRDefault="00452285" w:rsidP="00982118">
            <w:pPr>
              <w:autoSpaceDE w:val="0"/>
              <w:autoSpaceDN w:val="0"/>
              <w:adjustRightInd w:val="0"/>
              <w:rPr>
                <w:color w:val="000000"/>
              </w:rPr>
            </w:pPr>
            <w:r w:rsidRPr="004F5FB4">
              <w:rPr>
                <w:color w:val="000000"/>
              </w:rPr>
              <w:t>Blutungen im Gastrointestinaltrakt,</w:t>
            </w:r>
          </w:p>
          <w:p w14:paraId="23FBD39E" w14:textId="77777777" w:rsidR="00452285" w:rsidRPr="004F5FB4" w:rsidRDefault="00452285" w:rsidP="00982118">
            <w:pPr>
              <w:autoSpaceDE w:val="0"/>
              <w:autoSpaceDN w:val="0"/>
              <w:adjustRightInd w:val="0"/>
              <w:rPr>
                <w:color w:val="000000"/>
              </w:rPr>
            </w:pPr>
            <w:r w:rsidRPr="004F5FB4">
              <w:rPr>
                <w:color w:val="000000"/>
              </w:rPr>
              <w:t>Dyspepsie,</w:t>
            </w:r>
          </w:p>
          <w:p w14:paraId="0EF21E0E" w14:textId="77777777" w:rsidR="00452285" w:rsidRPr="004F5FB4" w:rsidRDefault="00452285" w:rsidP="00982118">
            <w:pPr>
              <w:autoSpaceDE w:val="0"/>
              <w:autoSpaceDN w:val="0"/>
              <w:adjustRightInd w:val="0"/>
              <w:rPr>
                <w:color w:val="000000"/>
              </w:rPr>
            </w:pPr>
            <w:r w:rsidRPr="004F5FB4">
              <w:rPr>
                <w:color w:val="000000"/>
              </w:rPr>
              <w:t>gastroösophageale Refluxkrankheit,</w:t>
            </w:r>
          </w:p>
          <w:p w14:paraId="7977C7C3" w14:textId="77777777" w:rsidR="00452285" w:rsidRPr="004F5FB4" w:rsidRDefault="00452285" w:rsidP="005D31CE">
            <w:pPr>
              <w:autoSpaceDE w:val="0"/>
              <w:autoSpaceDN w:val="0"/>
              <w:adjustRightInd w:val="0"/>
              <w:rPr>
                <w:color w:val="000000"/>
                <w:lang w:val="en-GB"/>
              </w:rPr>
            </w:pPr>
            <w:r w:rsidRPr="004F5FB4">
              <w:rPr>
                <w:color w:val="000000"/>
              </w:rPr>
              <w:t>Sicca-Syndrom</w:t>
            </w:r>
          </w:p>
        </w:tc>
      </w:tr>
      <w:tr w:rsidR="00452285" w:rsidRPr="004F5FB4" w14:paraId="5FA3E736" w14:textId="77777777" w:rsidTr="00054A92">
        <w:trPr>
          <w:cantSplit/>
        </w:trPr>
        <w:tc>
          <w:tcPr>
            <w:tcW w:w="2628" w:type="dxa"/>
            <w:vMerge/>
            <w:tcBorders>
              <w:left w:val="single" w:sz="4" w:space="0" w:color="auto"/>
              <w:right w:val="single" w:sz="4" w:space="0" w:color="auto"/>
            </w:tcBorders>
          </w:tcPr>
          <w:p w14:paraId="04EB1F13"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4B13C1AB" w14:textId="77777777" w:rsidR="00452285" w:rsidRPr="004F5FB4" w:rsidRDefault="00452285" w:rsidP="00982118">
            <w:pPr>
              <w:rPr>
                <w:color w:val="000000"/>
              </w:rPr>
            </w:pPr>
            <w:r w:rsidRPr="004F5FB4">
              <w:rPr>
                <w:color w:val="000000"/>
              </w:rPr>
              <w:t>Gelegentlich</w:t>
            </w:r>
          </w:p>
          <w:p w14:paraId="4FF99C92"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35F86754" w14:textId="77777777" w:rsidR="00452285" w:rsidRPr="004F5FB4" w:rsidRDefault="00452285" w:rsidP="00982118">
            <w:pPr>
              <w:autoSpaceDE w:val="0"/>
              <w:autoSpaceDN w:val="0"/>
              <w:adjustRightInd w:val="0"/>
              <w:rPr>
                <w:color w:val="000000"/>
              </w:rPr>
            </w:pPr>
            <w:r w:rsidRPr="004F5FB4">
              <w:rPr>
                <w:color w:val="000000"/>
              </w:rPr>
              <w:t>Pankreatitis,</w:t>
            </w:r>
          </w:p>
          <w:p w14:paraId="15A0D6A3" w14:textId="77777777" w:rsidR="00452285" w:rsidRPr="004F5FB4" w:rsidRDefault="00452285" w:rsidP="00982118">
            <w:pPr>
              <w:autoSpaceDE w:val="0"/>
              <w:autoSpaceDN w:val="0"/>
              <w:adjustRightInd w:val="0"/>
              <w:rPr>
                <w:color w:val="000000"/>
              </w:rPr>
            </w:pPr>
            <w:r w:rsidRPr="004F5FB4">
              <w:rPr>
                <w:color w:val="000000"/>
              </w:rPr>
              <w:t>Dysphagie,</w:t>
            </w:r>
          </w:p>
          <w:p w14:paraId="5656EBE0" w14:textId="77777777" w:rsidR="00452285" w:rsidRPr="004F5FB4" w:rsidRDefault="00452285" w:rsidP="005D31CE">
            <w:pPr>
              <w:autoSpaceDE w:val="0"/>
              <w:autoSpaceDN w:val="0"/>
              <w:adjustRightInd w:val="0"/>
              <w:rPr>
                <w:color w:val="000000"/>
                <w:lang w:val="en-GB"/>
              </w:rPr>
            </w:pPr>
            <w:r w:rsidRPr="004F5FB4">
              <w:rPr>
                <w:color w:val="000000"/>
              </w:rPr>
              <w:t>Gesichtsödeme</w:t>
            </w:r>
          </w:p>
        </w:tc>
      </w:tr>
      <w:tr w:rsidR="00452285" w:rsidRPr="004F5FB4" w14:paraId="2AEE1A68" w14:textId="77777777" w:rsidTr="00054A92">
        <w:trPr>
          <w:cantSplit/>
        </w:trPr>
        <w:tc>
          <w:tcPr>
            <w:tcW w:w="2628" w:type="dxa"/>
            <w:vMerge/>
            <w:tcBorders>
              <w:left w:val="single" w:sz="4" w:space="0" w:color="auto"/>
              <w:bottom w:val="single" w:sz="4" w:space="0" w:color="auto"/>
              <w:right w:val="single" w:sz="4" w:space="0" w:color="auto"/>
            </w:tcBorders>
          </w:tcPr>
          <w:p w14:paraId="2DE9DF9B"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003400C0" w14:textId="77777777" w:rsidR="00452285" w:rsidRPr="004F5FB4" w:rsidRDefault="00452285" w:rsidP="005D31CE">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660D6525" w14:textId="77777777" w:rsidR="00452285" w:rsidRPr="004F5FB4" w:rsidRDefault="00452285" w:rsidP="005D31CE">
            <w:pPr>
              <w:autoSpaceDE w:val="0"/>
              <w:autoSpaceDN w:val="0"/>
              <w:adjustRightInd w:val="0"/>
              <w:rPr>
                <w:color w:val="000000"/>
                <w:lang w:val="en-GB"/>
              </w:rPr>
            </w:pPr>
            <w:r w:rsidRPr="004F5FB4">
              <w:rPr>
                <w:color w:val="000000"/>
              </w:rPr>
              <w:t>Darm</w:t>
            </w:r>
            <w:r w:rsidR="00E85FA2" w:rsidRPr="004F5FB4">
              <w:rPr>
                <w:color w:val="000000"/>
              </w:rPr>
              <w:t>wand</w:t>
            </w:r>
            <w:r w:rsidRPr="004F5FB4">
              <w:rPr>
                <w:color w:val="000000"/>
              </w:rPr>
              <w:t>perforation</w:t>
            </w:r>
            <w:r w:rsidRPr="004F5FB4">
              <w:rPr>
                <w:color w:val="000000"/>
                <w:vertAlign w:val="superscript"/>
              </w:rPr>
              <w:t>1</w:t>
            </w:r>
          </w:p>
        </w:tc>
      </w:tr>
      <w:tr w:rsidR="00452285" w:rsidRPr="004F5FB4" w14:paraId="0A75E3B5"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B77C11B" w14:textId="77777777" w:rsidR="00452285" w:rsidRPr="004F5FB4" w:rsidRDefault="00452285" w:rsidP="00982118">
            <w:pPr>
              <w:rPr>
                <w:color w:val="000000"/>
              </w:rPr>
            </w:pPr>
            <w:r w:rsidRPr="004F5FB4">
              <w:rPr>
                <w:color w:val="000000"/>
              </w:rPr>
              <w:t>Leber- und Gallenerkrankungen*</w:t>
            </w:r>
          </w:p>
        </w:tc>
        <w:tc>
          <w:tcPr>
            <w:tcW w:w="1621" w:type="dxa"/>
            <w:tcBorders>
              <w:top w:val="single" w:sz="4" w:space="0" w:color="auto"/>
              <w:left w:val="single" w:sz="4" w:space="0" w:color="auto"/>
              <w:bottom w:val="single" w:sz="4" w:space="0" w:color="auto"/>
              <w:right w:val="single" w:sz="4" w:space="0" w:color="auto"/>
            </w:tcBorders>
          </w:tcPr>
          <w:p w14:paraId="0C37DA91" w14:textId="77777777" w:rsidR="00452285" w:rsidRPr="004F5FB4" w:rsidRDefault="00E56EF7" w:rsidP="005D31CE">
            <w:pPr>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55C8912A" w14:textId="77777777" w:rsidR="00452285" w:rsidRPr="004F5FB4" w:rsidRDefault="00452285" w:rsidP="005D31CE">
            <w:pPr>
              <w:rPr>
                <w:color w:val="000000"/>
                <w:lang w:val="en-GB"/>
              </w:rPr>
            </w:pPr>
            <w:r w:rsidRPr="004F5FB4">
              <w:rPr>
                <w:color w:val="000000"/>
              </w:rPr>
              <w:t>Erhöhung der Leberenzyme</w:t>
            </w:r>
          </w:p>
        </w:tc>
      </w:tr>
      <w:tr w:rsidR="00452285" w:rsidRPr="004F5FB4" w14:paraId="5CAF908C" w14:textId="77777777" w:rsidTr="00054A92">
        <w:trPr>
          <w:cantSplit/>
        </w:trPr>
        <w:tc>
          <w:tcPr>
            <w:tcW w:w="2628" w:type="dxa"/>
            <w:vMerge/>
            <w:tcBorders>
              <w:left w:val="single" w:sz="4" w:space="0" w:color="auto"/>
              <w:right w:val="single" w:sz="4" w:space="0" w:color="auto"/>
            </w:tcBorders>
          </w:tcPr>
          <w:p w14:paraId="67AD5C5C"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00BD2BD0" w14:textId="77777777" w:rsidR="00452285" w:rsidRPr="004F5FB4" w:rsidRDefault="00452285" w:rsidP="00982118">
            <w:pPr>
              <w:rPr>
                <w:color w:val="000000"/>
              </w:rPr>
            </w:pPr>
            <w:r w:rsidRPr="004F5FB4">
              <w:rPr>
                <w:color w:val="000000"/>
              </w:rPr>
              <w:t>Gelegentlich</w:t>
            </w:r>
          </w:p>
          <w:p w14:paraId="74467DBC"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4F5297D3" w14:textId="77777777" w:rsidR="00452285" w:rsidRPr="004F5FB4" w:rsidRDefault="00452285" w:rsidP="00982118">
            <w:pPr>
              <w:rPr>
                <w:color w:val="000000"/>
              </w:rPr>
            </w:pPr>
            <w:r w:rsidRPr="004F5FB4">
              <w:rPr>
                <w:color w:val="000000"/>
              </w:rPr>
              <w:t>Cholecystitis und Cholelithiasis,</w:t>
            </w:r>
          </w:p>
          <w:p w14:paraId="2E9748B4" w14:textId="77777777" w:rsidR="00452285" w:rsidRPr="004F5FB4" w:rsidRDefault="00452285" w:rsidP="00982118">
            <w:pPr>
              <w:rPr>
                <w:color w:val="000000"/>
              </w:rPr>
            </w:pPr>
            <w:r w:rsidRPr="004F5FB4">
              <w:rPr>
                <w:color w:val="000000"/>
              </w:rPr>
              <w:t>Fettleber,</w:t>
            </w:r>
          </w:p>
          <w:p w14:paraId="7CCCED11" w14:textId="77777777" w:rsidR="00452285" w:rsidRPr="004F5FB4" w:rsidRDefault="00452285" w:rsidP="005D31CE">
            <w:pPr>
              <w:rPr>
                <w:color w:val="000000"/>
              </w:rPr>
            </w:pPr>
            <w:r w:rsidRPr="004F5FB4">
              <w:rPr>
                <w:color w:val="000000"/>
              </w:rPr>
              <w:t>erhöhte Bilirubinwerte</w:t>
            </w:r>
          </w:p>
        </w:tc>
      </w:tr>
      <w:tr w:rsidR="00452285" w:rsidRPr="004F5FB4" w14:paraId="59F0A4E5" w14:textId="77777777" w:rsidTr="00054A92">
        <w:trPr>
          <w:cantSplit/>
        </w:trPr>
        <w:tc>
          <w:tcPr>
            <w:tcW w:w="2628" w:type="dxa"/>
            <w:vMerge/>
            <w:tcBorders>
              <w:left w:val="single" w:sz="4" w:space="0" w:color="auto"/>
              <w:right w:val="single" w:sz="4" w:space="0" w:color="auto"/>
            </w:tcBorders>
          </w:tcPr>
          <w:p w14:paraId="56492FF0" w14:textId="77777777" w:rsidR="00452285" w:rsidRPr="004F5FB4"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0C0E54D" w14:textId="77777777" w:rsidR="00452285" w:rsidRPr="004F5FB4" w:rsidRDefault="00452285" w:rsidP="00982118">
            <w:pPr>
              <w:rPr>
                <w:color w:val="000000"/>
              </w:rPr>
            </w:pPr>
            <w:r w:rsidRPr="004F5FB4">
              <w:rPr>
                <w:color w:val="000000"/>
              </w:rPr>
              <w:t>Selten</w:t>
            </w:r>
          </w:p>
          <w:p w14:paraId="13299005"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3C86C983" w14:textId="77777777" w:rsidR="00452285" w:rsidRPr="004F5FB4" w:rsidRDefault="00452285" w:rsidP="00982118">
            <w:pPr>
              <w:rPr>
                <w:color w:val="000000"/>
              </w:rPr>
            </w:pPr>
            <w:r w:rsidRPr="004F5FB4">
              <w:rPr>
                <w:color w:val="000000"/>
              </w:rPr>
              <w:t>Hepatitis,</w:t>
            </w:r>
          </w:p>
          <w:p w14:paraId="19ED7B30" w14:textId="77777777" w:rsidR="00452285" w:rsidRPr="004F5FB4" w:rsidRDefault="00452285" w:rsidP="00982118">
            <w:pPr>
              <w:rPr>
                <w:color w:val="000000"/>
              </w:rPr>
            </w:pPr>
            <w:r w:rsidRPr="004F5FB4">
              <w:rPr>
                <w:color w:val="000000"/>
              </w:rPr>
              <w:t>Reaktivierung einer Hepatitis B</w:t>
            </w:r>
            <w:r w:rsidRPr="004F5FB4">
              <w:rPr>
                <w:color w:val="000000"/>
                <w:vertAlign w:val="superscript"/>
              </w:rPr>
              <w:t>1</w:t>
            </w:r>
          </w:p>
          <w:p w14:paraId="469B96AF" w14:textId="77777777" w:rsidR="00452285" w:rsidRPr="004F5FB4" w:rsidRDefault="00452285" w:rsidP="005D31CE">
            <w:pPr>
              <w:rPr>
                <w:color w:val="000000"/>
              </w:rPr>
            </w:pPr>
            <w:r w:rsidRPr="004F5FB4">
              <w:rPr>
                <w:color w:val="000000"/>
              </w:rPr>
              <w:t>Autoimmunhepatitis</w:t>
            </w:r>
            <w:r w:rsidRPr="004F5FB4">
              <w:rPr>
                <w:color w:val="000000"/>
                <w:vertAlign w:val="superscript"/>
              </w:rPr>
              <w:t>1</w:t>
            </w:r>
          </w:p>
        </w:tc>
      </w:tr>
      <w:tr w:rsidR="00452285" w:rsidRPr="004F5FB4" w14:paraId="65DA480B" w14:textId="77777777" w:rsidTr="00054A92">
        <w:trPr>
          <w:cantSplit/>
        </w:trPr>
        <w:tc>
          <w:tcPr>
            <w:tcW w:w="2628" w:type="dxa"/>
            <w:vMerge/>
            <w:tcBorders>
              <w:left w:val="single" w:sz="4" w:space="0" w:color="auto"/>
              <w:bottom w:val="single" w:sz="4" w:space="0" w:color="auto"/>
              <w:right w:val="single" w:sz="4" w:space="0" w:color="auto"/>
            </w:tcBorders>
          </w:tcPr>
          <w:p w14:paraId="7FF2BF8D" w14:textId="77777777" w:rsidR="00452285" w:rsidRPr="004F5FB4"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1EAB86AD" w14:textId="77777777" w:rsidR="00452285" w:rsidRPr="004F5FB4" w:rsidRDefault="00452285" w:rsidP="005D31CE">
            <w:pPr>
              <w:rPr>
                <w:color w:val="000000"/>
                <w:lang w:val="en-GB"/>
              </w:rPr>
            </w:pPr>
            <w:r w:rsidRPr="004F5FB4">
              <w:rPr>
                <w:color w:val="000000"/>
              </w:rPr>
              <w:t>Nicht bekannt</w:t>
            </w:r>
          </w:p>
        </w:tc>
        <w:tc>
          <w:tcPr>
            <w:tcW w:w="0" w:type="auto"/>
            <w:tcBorders>
              <w:left w:val="single" w:sz="4" w:space="0" w:color="auto"/>
              <w:bottom w:val="single" w:sz="4" w:space="0" w:color="auto"/>
              <w:right w:val="single" w:sz="4" w:space="0" w:color="auto"/>
            </w:tcBorders>
          </w:tcPr>
          <w:p w14:paraId="355A5777" w14:textId="77777777" w:rsidR="00452285" w:rsidRPr="004F5FB4" w:rsidRDefault="00452285" w:rsidP="005D31CE">
            <w:pPr>
              <w:rPr>
                <w:color w:val="000000"/>
                <w:lang w:val="en-GB"/>
              </w:rPr>
            </w:pPr>
            <w:r w:rsidRPr="004F5FB4">
              <w:rPr>
                <w:color w:val="000000"/>
              </w:rPr>
              <w:t>Leberversagen</w:t>
            </w:r>
            <w:r w:rsidRPr="004F5FB4">
              <w:rPr>
                <w:color w:val="000000"/>
                <w:vertAlign w:val="superscript"/>
              </w:rPr>
              <w:t>1</w:t>
            </w:r>
          </w:p>
        </w:tc>
      </w:tr>
      <w:tr w:rsidR="00452285" w:rsidRPr="004F5FB4" w14:paraId="41BD297E"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20AC9B5" w14:textId="77777777" w:rsidR="00452285" w:rsidRPr="004F5FB4" w:rsidRDefault="00452285" w:rsidP="00982118">
            <w:pPr>
              <w:rPr>
                <w:color w:val="000000"/>
              </w:rPr>
            </w:pPr>
            <w:r w:rsidRPr="004F5FB4">
              <w:rPr>
                <w:color w:val="000000"/>
              </w:rPr>
              <w:t>Erkrankungen der Haut und des Unterhautzellgewebes</w:t>
            </w:r>
          </w:p>
        </w:tc>
        <w:tc>
          <w:tcPr>
            <w:tcW w:w="1621" w:type="dxa"/>
            <w:tcBorders>
              <w:top w:val="single" w:sz="4" w:space="0" w:color="auto"/>
              <w:left w:val="single" w:sz="4" w:space="0" w:color="auto"/>
              <w:bottom w:val="single" w:sz="4" w:space="0" w:color="auto"/>
              <w:right w:val="single" w:sz="4" w:space="0" w:color="auto"/>
            </w:tcBorders>
          </w:tcPr>
          <w:p w14:paraId="72E8D3F5" w14:textId="77777777" w:rsidR="00452285" w:rsidRPr="004F5FB4" w:rsidRDefault="00E56EF7" w:rsidP="00982118">
            <w:pPr>
              <w:rPr>
                <w:color w:val="000000"/>
              </w:rPr>
            </w:pPr>
            <w:r w:rsidRPr="004F5FB4">
              <w:rPr>
                <w:color w:val="000000"/>
              </w:rPr>
              <w:t>Sehr häufig</w:t>
            </w:r>
          </w:p>
          <w:p w14:paraId="6918487A" w14:textId="77777777" w:rsidR="00452285" w:rsidRPr="004F5FB4" w:rsidRDefault="00452285" w:rsidP="00982118">
            <w:pPr>
              <w:rPr>
                <w:color w:val="000000"/>
                <w:lang w:val="en-GB"/>
              </w:rPr>
            </w:pPr>
          </w:p>
        </w:tc>
        <w:tc>
          <w:tcPr>
            <w:tcW w:w="0" w:type="auto"/>
            <w:tcBorders>
              <w:top w:val="single" w:sz="4" w:space="0" w:color="auto"/>
              <w:left w:val="single" w:sz="4" w:space="0" w:color="auto"/>
              <w:right w:val="single" w:sz="4" w:space="0" w:color="auto"/>
            </w:tcBorders>
          </w:tcPr>
          <w:p w14:paraId="63A1656E" w14:textId="77777777" w:rsidR="00452285" w:rsidRPr="004F5FB4" w:rsidRDefault="00452285" w:rsidP="005D31CE">
            <w:pPr>
              <w:rPr>
                <w:color w:val="000000"/>
                <w:lang w:val="en-GB"/>
              </w:rPr>
            </w:pPr>
            <w:r w:rsidRPr="004F5FB4">
              <w:rPr>
                <w:color w:val="000000"/>
              </w:rPr>
              <w:t>Hautausschlag (einschließlich schuppenden Hautausschlags)</w:t>
            </w:r>
          </w:p>
        </w:tc>
      </w:tr>
      <w:tr w:rsidR="00452285" w:rsidRPr="004F5FB4" w14:paraId="01D10E3B" w14:textId="77777777" w:rsidTr="00054A92">
        <w:trPr>
          <w:cantSplit/>
        </w:trPr>
        <w:tc>
          <w:tcPr>
            <w:tcW w:w="2628" w:type="dxa"/>
            <w:vMerge/>
            <w:tcBorders>
              <w:left w:val="single" w:sz="4" w:space="0" w:color="auto"/>
              <w:right w:val="single" w:sz="4" w:space="0" w:color="auto"/>
            </w:tcBorders>
          </w:tcPr>
          <w:p w14:paraId="10ED9C45"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0690C036" w14:textId="77777777" w:rsidR="00452285" w:rsidRPr="004F5FB4" w:rsidRDefault="00452285" w:rsidP="00982118">
            <w:pPr>
              <w:rPr>
                <w:color w:val="000000"/>
              </w:rPr>
            </w:pPr>
            <w:r w:rsidRPr="004F5FB4">
              <w:rPr>
                <w:color w:val="000000"/>
              </w:rPr>
              <w:t>Häufig</w:t>
            </w:r>
          </w:p>
          <w:p w14:paraId="7A2A937B"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4E68DAE8" w14:textId="77777777" w:rsidR="00452285" w:rsidRPr="004F5FB4" w:rsidRDefault="00452285" w:rsidP="00982118">
            <w:pPr>
              <w:rPr>
                <w:color w:val="000000"/>
              </w:rPr>
            </w:pPr>
            <w:r w:rsidRPr="004F5FB4">
              <w:rPr>
                <w:color w:val="000000"/>
              </w:rPr>
              <w:t>Verschlechterung oder neuer Ausbruch von Psoriasis (einschließlich palmoplantarer pustulöser Psoriasis)</w:t>
            </w:r>
            <w:r w:rsidRPr="004F5FB4">
              <w:rPr>
                <w:color w:val="000000"/>
                <w:vertAlign w:val="superscript"/>
              </w:rPr>
              <w:t>1</w:t>
            </w:r>
            <w:r w:rsidRPr="004F5FB4">
              <w:rPr>
                <w:color w:val="000000"/>
              </w:rPr>
              <w:t>,</w:t>
            </w:r>
          </w:p>
          <w:p w14:paraId="27A2CEA0" w14:textId="77777777" w:rsidR="00452285" w:rsidRPr="004F5FB4" w:rsidRDefault="00452285" w:rsidP="00982118">
            <w:pPr>
              <w:rPr>
                <w:color w:val="000000"/>
              </w:rPr>
            </w:pPr>
            <w:r w:rsidRPr="004F5FB4">
              <w:rPr>
                <w:color w:val="000000"/>
              </w:rPr>
              <w:t>Urtikaria,</w:t>
            </w:r>
          </w:p>
          <w:p w14:paraId="2BDD8986" w14:textId="77777777" w:rsidR="00452285" w:rsidRPr="004F5FB4" w:rsidRDefault="00452285" w:rsidP="00982118">
            <w:pPr>
              <w:rPr>
                <w:color w:val="000000"/>
              </w:rPr>
            </w:pPr>
            <w:r w:rsidRPr="004F5FB4">
              <w:rPr>
                <w:color w:val="000000"/>
              </w:rPr>
              <w:t>Blutergüsse (einschließlich Purpura),</w:t>
            </w:r>
          </w:p>
          <w:p w14:paraId="6CF19266" w14:textId="77777777" w:rsidR="00452285" w:rsidRPr="004F5FB4" w:rsidRDefault="00452285" w:rsidP="00982118">
            <w:pPr>
              <w:rPr>
                <w:color w:val="000000"/>
              </w:rPr>
            </w:pPr>
            <w:r w:rsidRPr="004F5FB4">
              <w:rPr>
                <w:color w:val="000000"/>
              </w:rPr>
              <w:t>Dermatitis (einschließlich Ekzem),</w:t>
            </w:r>
          </w:p>
          <w:p w14:paraId="0A8A4027" w14:textId="77777777" w:rsidR="00452285" w:rsidRPr="004F5FB4" w:rsidRDefault="00452285" w:rsidP="00982118">
            <w:pPr>
              <w:rPr>
                <w:color w:val="000000"/>
              </w:rPr>
            </w:pPr>
            <w:r w:rsidRPr="004F5FB4">
              <w:rPr>
                <w:color w:val="000000"/>
              </w:rPr>
              <w:t>Onychoclasis (Brechen der Nägel),</w:t>
            </w:r>
          </w:p>
          <w:p w14:paraId="74CBDDA0" w14:textId="77777777" w:rsidR="00452285" w:rsidRPr="004F5FB4" w:rsidRDefault="00452285" w:rsidP="00982118">
            <w:pPr>
              <w:rPr>
                <w:color w:val="000000"/>
              </w:rPr>
            </w:pPr>
            <w:r w:rsidRPr="004F5FB4">
              <w:rPr>
                <w:color w:val="000000"/>
              </w:rPr>
              <w:t>Hyperhidrose,</w:t>
            </w:r>
          </w:p>
          <w:p w14:paraId="4C022B93" w14:textId="77777777" w:rsidR="00452285" w:rsidRPr="004F5FB4" w:rsidRDefault="00452285" w:rsidP="00982118">
            <w:pPr>
              <w:rPr>
                <w:color w:val="000000"/>
              </w:rPr>
            </w:pPr>
            <w:r w:rsidRPr="004F5FB4">
              <w:rPr>
                <w:color w:val="000000"/>
              </w:rPr>
              <w:t>Alopezie</w:t>
            </w:r>
            <w:r w:rsidRPr="004F5FB4">
              <w:rPr>
                <w:color w:val="000000"/>
                <w:vertAlign w:val="superscript"/>
              </w:rPr>
              <w:t>1</w:t>
            </w:r>
            <w:r w:rsidRPr="004F5FB4">
              <w:rPr>
                <w:color w:val="000000"/>
              </w:rPr>
              <w:t>,</w:t>
            </w:r>
          </w:p>
          <w:p w14:paraId="0A4E8856" w14:textId="77777777" w:rsidR="00452285" w:rsidRPr="004F5FB4" w:rsidRDefault="00452285" w:rsidP="005D31CE">
            <w:pPr>
              <w:rPr>
                <w:color w:val="000000"/>
                <w:lang w:val="en-GB"/>
              </w:rPr>
            </w:pPr>
            <w:r w:rsidRPr="004F5FB4">
              <w:rPr>
                <w:color w:val="000000"/>
              </w:rPr>
              <w:t>Pruritus</w:t>
            </w:r>
          </w:p>
        </w:tc>
      </w:tr>
      <w:tr w:rsidR="00452285" w:rsidRPr="004F5FB4" w14:paraId="1814F670" w14:textId="77777777" w:rsidTr="00054A92">
        <w:trPr>
          <w:cantSplit/>
        </w:trPr>
        <w:tc>
          <w:tcPr>
            <w:tcW w:w="2628" w:type="dxa"/>
            <w:vMerge/>
            <w:tcBorders>
              <w:left w:val="single" w:sz="4" w:space="0" w:color="auto"/>
              <w:right w:val="single" w:sz="4" w:space="0" w:color="auto"/>
            </w:tcBorders>
          </w:tcPr>
          <w:p w14:paraId="4C1BAFBF"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5D3202B6" w14:textId="77777777" w:rsidR="00452285" w:rsidRPr="004F5FB4" w:rsidRDefault="00452285" w:rsidP="00982118">
            <w:pPr>
              <w:rPr>
                <w:color w:val="000000"/>
              </w:rPr>
            </w:pPr>
            <w:r w:rsidRPr="004F5FB4">
              <w:rPr>
                <w:color w:val="000000"/>
              </w:rPr>
              <w:t>Gelegentlich</w:t>
            </w:r>
          </w:p>
          <w:p w14:paraId="629EE62B"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04F0E899" w14:textId="77777777" w:rsidR="00452285" w:rsidRPr="004F5FB4" w:rsidRDefault="00452285" w:rsidP="00982118">
            <w:pPr>
              <w:rPr>
                <w:color w:val="000000"/>
              </w:rPr>
            </w:pPr>
            <w:r w:rsidRPr="004F5FB4">
              <w:rPr>
                <w:color w:val="000000"/>
              </w:rPr>
              <w:t>nächtliches Schwitzen,</w:t>
            </w:r>
          </w:p>
          <w:p w14:paraId="2917FB6B" w14:textId="77777777" w:rsidR="00452285" w:rsidRPr="004F5FB4" w:rsidRDefault="00452285" w:rsidP="005D31CE">
            <w:pPr>
              <w:rPr>
                <w:color w:val="000000"/>
                <w:lang w:val="en-GB"/>
              </w:rPr>
            </w:pPr>
            <w:r w:rsidRPr="004F5FB4">
              <w:rPr>
                <w:color w:val="000000"/>
              </w:rPr>
              <w:t>Narbenbildung</w:t>
            </w:r>
          </w:p>
        </w:tc>
      </w:tr>
      <w:tr w:rsidR="00452285" w:rsidRPr="004F5FB4" w14:paraId="06185DDB" w14:textId="77777777" w:rsidTr="00054A92">
        <w:trPr>
          <w:cantSplit/>
        </w:trPr>
        <w:tc>
          <w:tcPr>
            <w:tcW w:w="2628" w:type="dxa"/>
            <w:vMerge/>
            <w:tcBorders>
              <w:left w:val="single" w:sz="4" w:space="0" w:color="auto"/>
              <w:right w:val="single" w:sz="4" w:space="0" w:color="auto"/>
            </w:tcBorders>
          </w:tcPr>
          <w:p w14:paraId="773EF3DC"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451E4292" w14:textId="77777777" w:rsidR="00452285" w:rsidRPr="004F5FB4" w:rsidRDefault="00452285" w:rsidP="00982118">
            <w:pPr>
              <w:rPr>
                <w:color w:val="000000"/>
              </w:rPr>
            </w:pPr>
            <w:r w:rsidRPr="004F5FB4">
              <w:rPr>
                <w:color w:val="000000"/>
              </w:rPr>
              <w:t>Selten</w:t>
            </w:r>
          </w:p>
          <w:p w14:paraId="34ECBA6C"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78B8A3D6" w14:textId="77777777" w:rsidR="00452285" w:rsidRPr="00C325BF" w:rsidRDefault="00452285" w:rsidP="00982118">
            <w:pPr>
              <w:rPr>
                <w:color w:val="000000"/>
                <w:lang w:val="fr-FR"/>
              </w:rPr>
            </w:pPr>
            <w:proofErr w:type="spellStart"/>
            <w:r w:rsidRPr="00C325BF">
              <w:rPr>
                <w:color w:val="000000"/>
                <w:lang w:val="fr-FR"/>
              </w:rPr>
              <w:t>Erythema</w:t>
            </w:r>
            <w:proofErr w:type="spellEnd"/>
            <w:r w:rsidRPr="00C325BF">
              <w:rPr>
                <w:color w:val="000000"/>
                <w:lang w:val="fr-FR"/>
              </w:rPr>
              <w:t xml:space="preserve"> multiforme</w:t>
            </w:r>
            <w:r w:rsidRPr="00C325BF">
              <w:rPr>
                <w:color w:val="000000"/>
                <w:vertAlign w:val="superscript"/>
                <w:lang w:val="fr-FR"/>
              </w:rPr>
              <w:t>1</w:t>
            </w:r>
            <w:r w:rsidRPr="00C325BF">
              <w:rPr>
                <w:color w:val="000000"/>
                <w:lang w:val="fr-FR"/>
              </w:rPr>
              <w:t>,</w:t>
            </w:r>
          </w:p>
          <w:p w14:paraId="5E724A71" w14:textId="77777777" w:rsidR="00452285" w:rsidRPr="00C325BF" w:rsidRDefault="00452285" w:rsidP="00982118">
            <w:pPr>
              <w:rPr>
                <w:color w:val="000000"/>
                <w:lang w:val="fr-FR"/>
              </w:rPr>
            </w:pPr>
            <w:r w:rsidRPr="00C325BF">
              <w:rPr>
                <w:color w:val="000000"/>
                <w:lang w:val="fr-FR"/>
              </w:rPr>
              <w:t>Stevens</w:t>
            </w:r>
            <w:r w:rsidRPr="00C325BF">
              <w:rPr>
                <w:color w:val="000000"/>
                <w:lang w:val="fr-FR"/>
              </w:rPr>
              <w:noBreakHyphen/>
              <w:t>Johnson-Syndrom</w:t>
            </w:r>
            <w:r w:rsidRPr="00C325BF">
              <w:rPr>
                <w:color w:val="000000"/>
                <w:vertAlign w:val="superscript"/>
                <w:lang w:val="fr-FR"/>
              </w:rPr>
              <w:t>1</w:t>
            </w:r>
            <w:r w:rsidRPr="00C325BF">
              <w:rPr>
                <w:color w:val="000000"/>
                <w:lang w:val="fr-FR"/>
              </w:rPr>
              <w:t>,</w:t>
            </w:r>
          </w:p>
          <w:p w14:paraId="619EBB13" w14:textId="77777777" w:rsidR="00452285" w:rsidRPr="003A6535" w:rsidRDefault="00452285" w:rsidP="00982118">
            <w:pPr>
              <w:rPr>
                <w:color w:val="000000"/>
              </w:rPr>
            </w:pPr>
            <w:r w:rsidRPr="003A6535">
              <w:rPr>
                <w:color w:val="000000"/>
              </w:rPr>
              <w:t>Angioödem</w:t>
            </w:r>
            <w:r w:rsidRPr="003A6535">
              <w:rPr>
                <w:color w:val="000000"/>
                <w:vertAlign w:val="superscript"/>
              </w:rPr>
              <w:t>1</w:t>
            </w:r>
            <w:r w:rsidRPr="003A6535">
              <w:rPr>
                <w:color w:val="000000"/>
              </w:rPr>
              <w:t>,</w:t>
            </w:r>
          </w:p>
          <w:p w14:paraId="217BA291" w14:textId="77777777" w:rsidR="00452285" w:rsidRPr="003A6535" w:rsidRDefault="00452285" w:rsidP="00982118">
            <w:pPr>
              <w:rPr>
                <w:color w:val="000000"/>
              </w:rPr>
            </w:pPr>
            <w:r w:rsidRPr="003A6535">
              <w:rPr>
                <w:color w:val="000000"/>
              </w:rPr>
              <w:t>kutane Vaskulitis</w:t>
            </w:r>
            <w:r w:rsidRPr="003A6535">
              <w:rPr>
                <w:color w:val="000000"/>
                <w:vertAlign w:val="superscript"/>
              </w:rPr>
              <w:t>1</w:t>
            </w:r>
            <w:r w:rsidRPr="003A6535">
              <w:rPr>
                <w:color w:val="000000"/>
              </w:rPr>
              <w:t>,</w:t>
            </w:r>
          </w:p>
          <w:p w14:paraId="1F186646" w14:textId="77777777" w:rsidR="00452285" w:rsidRPr="00C325BF" w:rsidRDefault="00D329A4" w:rsidP="005D31CE">
            <w:pPr>
              <w:rPr>
                <w:color w:val="000000"/>
              </w:rPr>
            </w:pPr>
            <w:r w:rsidRPr="004F5FB4">
              <w:rPr>
                <w:color w:val="000000"/>
              </w:rPr>
              <w:t>lichenoide Hautreaktion</w:t>
            </w:r>
            <w:r w:rsidRPr="004F5FB4">
              <w:rPr>
                <w:color w:val="000000"/>
                <w:vertAlign w:val="superscript"/>
              </w:rPr>
              <w:t>1</w:t>
            </w:r>
          </w:p>
        </w:tc>
      </w:tr>
      <w:tr w:rsidR="00452285" w:rsidRPr="004F5FB4" w14:paraId="1DF0353E" w14:textId="77777777" w:rsidTr="00054A92">
        <w:trPr>
          <w:cantSplit/>
        </w:trPr>
        <w:tc>
          <w:tcPr>
            <w:tcW w:w="2628" w:type="dxa"/>
            <w:vMerge/>
            <w:tcBorders>
              <w:left w:val="single" w:sz="4" w:space="0" w:color="auto"/>
              <w:bottom w:val="single" w:sz="4" w:space="0" w:color="auto"/>
              <w:right w:val="single" w:sz="4" w:space="0" w:color="auto"/>
            </w:tcBorders>
          </w:tcPr>
          <w:p w14:paraId="6FD5468A" w14:textId="77777777" w:rsidR="00452285" w:rsidRPr="00C325BF"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4000DDF" w14:textId="77777777" w:rsidR="00452285" w:rsidRPr="004F5FB4" w:rsidRDefault="00A80D3A" w:rsidP="00982118">
            <w:pPr>
              <w:rPr>
                <w:color w:val="000000"/>
              </w:rPr>
            </w:pPr>
            <w:r w:rsidRPr="004F5FB4">
              <w:rPr>
                <w:color w:val="000000"/>
              </w:rPr>
              <w:t xml:space="preserve">Nicht </w:t>
            </w:r>
            <w:r w:rsidR="00452285" w:rsidRPr="004F5FB4">
              <w:rPr>
                <w:color w:val="000000"/>
              </w:rPr>
              <w:t>bekannt</w:t>
            </w:r>
          </w:p>
        </w:tc>
        <w:tc>
          <w:tcPr>
            <w:tcW w:w="0" w:type="auto"/>
            <w:tcBorders>
              <w:left w:val="single" w:sz="4" w:space="0" w:color="auto"/>
              <w:bottom w:val="single" w:sz="4" w:space="0" w:color="auto"/>
              <w:right w:val="single" w:sz="4" w:space="0" w:color="auto"/>
            </w:tcBorders>
          </w:tcPr>
          <w:p w14:paraId="71211A05" w14:textId="77777777" w:rsidR="00452285" w:rsidRPr="00C325BF" w:rsidRDefault="00452285" w:rsidP="005D31CE">
            <w:pPr>
              <w:rPr>
                <w:color w:val="000000"/>
              </w:rPr>
            </w:pPr>
            <w:r w:rsidRPr="004F5FB4">
              <w:rPr>
                <w:color w:val="000000"/>
              </w:rPr>
              <w:t>Verschlechterung der Symptome einer Dermatomyositis</w:t>
            </w:r>
            <w:r w:rsidRPr="004F5FB4">
              <w:rPr>
                <w:color w:val="000000"/>
                <w:vertAlign w:val="superscript"/>
              </w:rPr>
              <w:t>1</w:t>
            </w:r>
          </w:p>
        </w:tc>
      </w:tr>
      <w:tr w:rsidR="00452285" w:rsidRPr="004F5FB4" w14:paraId="1449F50E"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3375614" w14:textId="77777777" w:rsidR="00452285" w:rsidRPr="004F5FB4" w:rsidRDefault="00452285" w:rsidP="00982118">
            <w:pPr>
              <w:rPr>
                <w:color w:val="000000"/>
              </w:rPr>
            </w:pPr>
            <w:r w:rsidRPr="004F5FB4">
              <w:rPr>
                <w:color w:val="000000"/>
              </w:rPr>
              <w:t>Skelettmuskulatur-, Bindegewebs- und Knochenerkrankungen</w:t>
            </w:r>
          </w:p>
        </w:tc>
        <w:tc>
          <w:tcPr>
            <w:tcW w:w="1621" w:type="dxa"/>
            <w:tcBorders>
              <w:top w:val="single" w:sz="4" w:space="0" w:color="auto"/>
              <w:left w:val="single" w:sz="4" w:space="0" w:color="auto"/>
              <w:bottom w:val="single" w:sz="4" w:space="0" w:color="auto"/>
              <w:right w:val="single" w:sz="4" w:space="0" w:color="auto"/>
            </w:tcBorders>
          </w:tcPr>
          <w:p w14:paraId="1CEE0CD8" w14:textId="77777777" w:rsidR="00452285" w:rsidRPr="004F5FB4" w:rsidRDefault="00E56EF7" w:rsidP="00982118">
            <w:pPr>
              <w:rPr>
                <w:color w:val="000000"/>
              </w:rPr>
            </w:pPr>
            <w:r w:rsidRPr="004F5FB4">
              <w:rPr>
                <w:color w:val="000000"/>
              </w:rPr>
              <w:t>Sehr häufig</w:t>
            </w:r>
          </w:p>
        </w:tc>
        <w:tc>
          <w:tcPr>
            <w:tcW w:w="0" w:type="auto"/>
            <w:tcBorders>
              <w:top w:val="single" w:sz="4" w:space="0" w:color="auto"/>
              <w:left w:val="single" w:sz="4" w:space="0" w:color="auto"/>
              <w:right w:val="single" w:sz="4" w:space="0" w:color="auto"/>
            </w:tcBorders>
          </w:tcPr>
          <w:p w14:paraId="736F6A32" w14:textId="77777777" w:rsidR="00452285" w:rsidRPr="004F5FB4" w:rsidRDefault="00452285" w:rsidP="005D31CE">
            <w:pPr>
              <w:rPr>
                <w:color w:val="000000"/>
                <w:lang w:val="en-GB"/>
              </w:rPr>
            </w:pPr>
            <w:r w:rsidRPr="004F5FB4">
              <w:rPr>
                <w:color w:val="000000"/>
              </w:rPr>
              <w:t>muskuloskelettale Schmerzen</w:t>
            </w:r>
          </w:p>
        </w:tc>
      </w:tr>
      <w:tr w:rsidR="00452285" w:rsidRPr="004F5FB4" w14:paraId="444590CF" w14:textId="77777777" w:rsidTr="00054A92">
        <w:trPr>
          <w:cantSplit/>
        </w:trPr>
        <w:tc>
          <w:tcPr>
            <w:tcW w:w="2628" w:type="dxa"/>
            <w:vMerge/>
            <w:tcBorders>
              <w:left w:val="single" w:sz="4" w:space="0" w:color="auto"/>
              <w:right w:val="single" w:sz="4" w:space="0" w:color="auto"/>
            </w:tcBorders>
          </w:tcPr>
          <w:p w14:paraId="744ADB58"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76CDC72F" w14:textId="77777777" w:rsidR="00452285" w:rsidRPr="004F5FB4" w:rsidRDefault="00452285" w:rsidP="00982118">
            <w:pPr>
              <w:rPr>
                <w:color w:val="000000"/>
              </w:rPr>
            </w:pPr>
            <w:r w:rsidRPr="004F5FB4">
              <w:rPr>
                <w:color w:val="000000"/>
              </w:rPr>
              <w:t>Häufig</w:t>
            </w:r>
          </w:p>
          <w:p w14:paraId="4F5F5EF8"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18CB248A" w14:textId="77777777" w:rsidR="00452285" w:rsidRPr="004F5FB4" w:rsidRDefault="00452285" w:rsidP="005D31CE">
            <w:pPr>
              <w:rPr>
                <w:color w:val="000000"/>
              </w:rPr>
            </w:pPr>
            <w:r w:rsidRPr="004F5FB4">
              <w:rPr>
                <w:color w:val="000000"/>
              </w:rPr>
              <w:t>Muskelkrämpfe (einschließlich Erhöhung der Blut-Kreatinphosphokinase)</w:t>
            </w:r>
          </w:p>
        </w:tc>
      </w:tr>
      <w:tr w:rsidR="00452285" w:rsidRPr="004F5FB4" w14:paraId="36A2BC8C" w14:textId="77777777" w:rsidTr="00054A92">
        <w:trPr>
          <w:cantSplit/>
        </w:trPr>
        <w:tc>
          <w:tcPr>
            <w:tcW w:w="2628" w:type="dxa"/>
            <w:vMerge/>
            <w:tcBorders>
              <w:left w:val="single" w:sz="4" w:space="0" w:color="auto"/>
              <w:right w:val="single" w:sz="4" w:space="0" w:color="auto"/>
            </w:tcBorders>
          </w:tcPr>
          <w:p w14:paraId="3BD12466" w14:textId="77777777" w:rsidR="00452285" w:rsidRPr="004F5FB4"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16E36AB" w14:textId="77777777" w:rsidR="00452285" w:rsidRPr="004F5FB4" w:rsidRDefault="00452285" w:rsidP="00982118">
            <w:pPr>
              <w:rPr>
                <w:color w:val="000000"/>
              </w:rPr>
            </w:pPr>
            <w:r w:rsidRPr="004F5FB4">
              <w:rPr>
                <w:color w:val="000000"/>
              </w:rPr>
              <w:t>Gelegentlich</w:t>
            </w:r>
          </w:p>
          <w:p w14:paraId="5C342140" w14:textId="77777777" w:rsidR="00452285" w:rsidRPr="004F5FB4" w:rsidRDefault="00452285" w:rsidP="00982118">
            <w:pPr>
              <w:rPr>
                <w:color w:val="000000"/>
                <w:lang w:val="en-GB"/>
              </w:rPr>
            </w:pPr>
          </w:p>
        </w:tc>
        <w:tc>
          <w:tcPr>
            <w:tcW w:w="0" w:type="auto"/>
            <w:tcBorders>
              <w:left w:val="single" w:sz="4" w:space="0" w:color="auto"/>
              <w:right w:val="single" w:sz="4" w:space="0" w:color="auto"/>
            </w:tcBorders>
          </w:tcPr>
          <w:p w14:paraId="56EC7A00" w14:textId="77777777" w:rsidR="00452285" w:rsidRPr="004F5FB4" w:rsidRDefault="00452285" w:rsidP="00982118">
            <w:pPr>
              <w:rPr>
                <w:color w:val="000000"/>
              </w:rPr>
            </w:pPr>
            <w:r w:rsidRPr="004F5FB4">
              <w:rPr>
                <w:color w:val="000000"/>
              </w:rPr>
              <w:t>Rhabdomyolyse,</w:t>
            </w:r>
          </w:p>
          <w:p w14:paraId="49114577" w14:textId="77777777" w:rsidR="00452285" w:rsidRPr="004F5FB4" w:rsidRDefault="00452285" w:rsidP="005D31CE">
            <w:pPr>
              <w:rPr>
                <w:color w:val="000000"/>
                <w:lang w:val="en-GB"/>
              </w:rPr>
            </w:pPr>
            <w:r w:rsidRPr="004F5FB4">
              <w:rPr>
                <w:color w:val="000000"/>
              </w:rPr>
              <w:t>systemischer Lupus erythematodes</w:t>
            </w:r>
          </w:p>
        </w:tc>
      </w:tr>
      <w:tr w:rsidR="00452285" w:rsidRPr="004F5FB4" w14:paraId="3A32D10D" w14:textId="77777777" w:rsidTr="00054A92">
        <w:trPr>
          <w:cantSplit/>
        </w:trPr>
        <w:tc>
          <w:tcPr>
            <w:tcW w:w="2628" w:type="dxa"/>
            <w:vMerge/>
            <w:tcBorders>
              <w:left w:val="single" w:sz="4" w:space="0" w:color="auto"/>
              <w:bottom w:val="single" w:sz="4" w:space="0" w:color="auto"/>
              <w:right w:val="single" w:sz="4" w:space="0" w:color="auto"/>
            </w:tcBorders>
          </w:tcPr>
          <w:p w14:paraId="1C282A4B" w14:textId="77777777" w:rsidR="00452285" w:rsidRPr="004F5FB4" w:rsidRDefault="00452285" w:rsidP="00982118">
            <w:pPr>
              <w:rPr>
                <w:color w:val="000000"/>
                <w:lang w:val="en-GB"/>
              </w:rPr>
            </w:pPr>
          </w:p>
        </w:tc>
        <w:tc>
          <w:tcPr>
            <w:tcW w:w="1621" w:type="dxa"/>
            <w:tcBorders>
              <w:top w:val="single" w:sz="4" w:space="0" w:color="auto"/>
              <w:left w:val="single" w:sz="4" w:space="0" w:color="auto"/>
              <w:bottom w:val="single" w:sz="4" w:space="0" w:color="auto"/>
              <w:right w:val="single" w:sz="4" w:space="0" w:color="auto"/>
            </w:tcBorders>
          </w:tcPr>
          <w:p w14:paraId="4BEB3425" w14:textId="77777777" w:rsidR="00452285" w:rsidRPr="004F5FB4" w:rsidRDefault="00452285" w:rsidP="00982118">
            <w:pPr>
              <w:rPr>
                <w:color w:val="000000"/>
              </w:rPr>
            </w:pPr>
            <w:r w:rsidRPr="004F5FB4">
              <w:rPr>
                <w:color w:val="000000"/>
              </w:rPr>
              <w:t>Selten</w:t>
            </w:r>
          </w:p>
        </w:tc>
        <w:tc>
          <w:tcPr>
            <w:tcW w:w="0" w:type="auto"/>
            <w:tcBorders>
              <w:left w:val="single" w:sz="4" w:space="0" w:color="auto"/>
              <w:bottom w:val="single" w:sz="4" w:space="0" w:color="auto"/>
              <w:right w:val="single" w:sz="4" w:space="0" w:color="auto"/>
            </w:tcBorders>
          </w:tcPr>
          <w:p w14:paraId="193C526D" w14:textId="77777777" w:rsidR="00452285" w:rsidRPr="004F5FB4" w:rsidRDefault="00452285" w:rsidP="005D31CE">
            <w:pPr>
              <w:rPr>
                <w:color w:val="000000"/>
                <w:lang w:val="en-GB"/>
              </w:rPr>
            </w:pPr>
            <w:r w:rsidRPr="004F5FB4">
              <w:rPr>
                <w:color w:val="000000"/>
              </w:rPr>
              <w:t>lupusähnliches Syndrom</w:t>
            </w:r>
            <w:r w:rsidRPr="004F5FB4">
              <w:rPr>
                <w:color w:val="000000"/>
                <w:vertAlign w:val="superscript"/>
              </w:rPr>
              <w:t>1</w:t>
            </w:r>
          </w:p>
        </w:tc>
      </w:tr>
      <w:tr w:rsidR="00452285" w:rsidRPr="004F5FB4" w14:paraId="388C431F"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A8AB511" w14:textId="77777777" w:rsidR="00452285" w:rsidRPr="004F5FB4" w:rsidRDefault="00452285" w:rsidP="00982118">
            <w:pPr>
              <w:rPr>
                <w:color w:val="000000"/>
              </w:rPr>
            </w:pPr>
            <w:r w:rsidRPr="004F5FB4">
              <w:rPr>
                <w:color w:val="000000"/>
              </w:rPr>
              <w:t>Erkrankungen der Nieren und Harnwege</w:t>
            </w:r>
          </w:p>
        </w:tc>
        <w:tc>
          <w:tcPr>
            <w:tcW w:w="1621" w:type="dxa"/>
            <w:tcBorders>
              <w:top w:val="single" w:sz="4" w:space="0" w:color="auto"/>
              <w:left w:val="single" w:sz="4" w:space="0" w:color="auto"/>
              <w:right w:val="single" w:sz="4" w:space="0" w:color="auto"/>
            </w:tcBorders>
          </w:tcPr>
          <w:p w14:paraId="465122BE" w14:textId="77777777" w:rsidR="00452285" w:rsidRPr="004F5FB4" w:rsidRDefault="00452285"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tcPr>
          <w:p w14:paraId="31AEBD7F" w14:textId="77777777" w:rsidR="00452285" w:rsidRPr="004F5FB4" w:rsidRDefault="00452285" w:rsidP="00982118">
            <w:pPr>
              <w:rPr>
                <w:color w:val="000000"/>
              </w:rPr>
            </w:pPr>
            <w:r w:rsidRPr="004F5FB4">
              <w:rPr>
                <w:color w:val="000000"/>
              </w:rPr>
              <w:t>eingeschränkte Nierenfunktion,</w:t>
            </w:r>
          </w:p>
          <w:p w14:paraId="17A88F40" w14:textId="77777777" w:rsidR="00452285" w:rsidRPr="004F5FB4" w:rsidRDefault="00452285" w:rsidP="005D31CE">
            <w:pPr>
              <w:rPr>
                <w:color w:val="000000"/>
                <w:lang w:val="en-GB"/>
              </w:rPr>
            </w:pPr>
            <w:r w:rsidRPr="004F5FB4">
              <w:rPr>
                <w:color w:val="000000"/>
              </w:rPr>
              <w:t>Hämaturie</w:t>
            </w:r>
          </w:p>
        </w:tc>
      </w:tr>
      <w:tr w:rsidR="00452285" w:rsidRPr="004F5FB4" w14:paraId="1927FC11" w14:textId="77777777" w:rsidTr="00054A92">
        <w:trPr>
          <w:cantSplit/>
        </w:trPr>
        <w:tc>
          <w:tcPr>
            <w:tcW w:w="2628" w:type="dxa"/>
            <w:vMerge/>
            <w:tcBorders>
              <w:left w:val="single" w:sz="4" w:space="0" w:color="auto"/>
              <w:bottom w:val="single" w:sz="4" w:space="0" w:color="auto"/>
              <w:right w:val="single" w:sz="4" w:space="0" w:color="auto"/>
            </w:tcBorders>
          </w:tcPr>
          <w:p w14:paraId="77F7D0ED" w14:textId="77777777" w:rsidR="00452285" w:rsidRPr="004F5FB4" w:rsidRDefault="00452285" w:rsidP="00982118">
            <w:pPr>
              <w:rPr>
                <w:color w:val="000000"/>
                <w:lang w:val="en-GB"/>
              </w:rPr>
            </w:pPr>
          </w:p>
        </w:tc>
        <w:tc>
          <w:tcPr>
            <w:tcW w:w="1621" w:type="dxa"/>
            <w:tcBorders>
              <w:left w:val="single" w:sz="4" w:space="0" w:color="auto"/>
              <w:bottom w:val="single" w:sz="4" w:space="0" w:color="auto"/>
              <w:right w:val="single" w:sz="4" w:space="0" w:color="auto"/>
            </w:tcBorders>
          </w:tcPr>
          <w:p w14:paraId="79171E0A" w14:textId="77777777" w:rsidR="00452285" w:rsidRPr="004F5FB4" w:rsidRDefault="00452285" w:rsidP="005D31CE">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06E84EE9" w14:textId="77777777" w:rsidR="00452285" w:rsidRPr="004F5FB4" w:rsidRDefault="00452285" w:rsidP="00982118">
            <w:pPr>
              <w:rPr>
                <w:color w:val="000000"/>
              </w:rPr>
            </w:pPr>
            <w:r w:rsidRPr="004F5FB4">
              <w:rPr>
                <w:color w:val="000000"/>
              </w:rPr>
              <w:t>Nykturie</w:t>
            </w:r>
          </w:p>
        </w:tc>
      </w:tr>
      <w:tr w:rsidR="00452285" w:rsidRPr="004F5FB4" w14:paraId="77244244"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2DFDCD3A" w14:textId="77777777" w:rsidR="00452285" w:rsidRPr="004F5FB4" w:rsidRDefault="00452285" w:rsidP="00982118">
            <w:pPr>
              <w:rPr>
                <w:color w:val="000000"/>
              </w:rPr>
            </w:pPr>
            <w:r w:rsidRPr="004F5FB4">
              <w:rPr>
                <w:color w:val="000000"/>
              </w:rPr>
              <w:t>Erkrankungen der Geschlechtsorgane und der Brustdrüse</w:t>
            </w:r>
          </w:p>
        </w:tc>
        <w:tc>
          <w:tcPr>
            <w:tcW w:w="1621" w:type="dxa"/>
            <w:tcBorders>
              <w:top w:val="single" w:sz="4" w:space="0" w:color="auto"/>
              <w:left w:val="single" w:sz="4" w:space="0" w:color="auto"/>
              <w:bottom w:val="single" w:sz="4" w:space="0" w:color="auto"/>
              <w:right w:val="single" w:sz="4" w:space="0" w:color="auto"/>
            </w:tcBorders>
            <w:hideMark/>
          </w:tcPr>
          <w:p w14:paraId="7CB6F49F" w14:textId="77777777" w:rsidR="00452285" w:rsidRPr="004F5FB4" w:rsidRDefault="00452285" w:rsidP="00982118">
            <w:pPr>
              <w:rPr>
                <w:color w:val="000000"/>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hideMark/>
          </w:tcPr>
          <w:p w14:paraId="11D36DB4" w14:textId="77777777" w:rsidR="00452285" w:rsidRPr="004F5FB4" w:rsidRDefault="00452285" w:rsidP="00982118">
            <w:pPr>
              <w:rPr>
                <w:color w:val="000000"/>
              </w:rPr>
            </w:pPr>
            <w:r w:rsidRPr="004F5FB4">
              <w:rPr>
                <w:color w:val="000000"/>
              </w:rPr>
              <w:t>erektile Dysfunktion</w:t>
            </w:r>
          </w:p>
        </w:tc>
      </w:tr>
      <w:tr w:rsidR="00452285" w:rsidRPr="004F5FB4" w14:paraId="1B95802B"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50F2D87" w14:textId="77777777" w:rsidR="00452285" w:rsidRPr="004F5FB4" w:rsidRDefault="00452285" w:rsidP="006271A6">
            <w:pPr>
              <w:keepNext/>
              <w:rPr>
                <w:color w:val="000000"/>
              </w:rPr>
            </w:pPr>
            <w:r w:rsidRPr="004F5FB4">
              <w:rPr>
                <w:color w:val="000000"/>
              </w:rPr>
              <w:t>Allgemeine Erkrankungen und Beschwerden am Verabreichungsort*</w:t>
            </w:r>
          </w:p>
        </w:tc>
        <w:tc>
          <w:tcPr>
            <w:tcW w:w="1621" w:type="dxa"/>
            <w:tcBorders>
              <w:top w:val="single" w:sz="4" w:space="0" w:color="auto"/>
              <w:left w:val="single" w:sz="4" w:space="0" w:color="auto"/>
              <w:right w:val="single" w:sz="4" w:space="0" w:color="auto"/>
            </w:tcBorders>
          </w:tcPr>
          <w:p w14:paraId="72527393" w14:textId="77777777" w:rsidR="00452285" w:rsidRPr="004F5FB4" w:rsidRDefault="00E56EF7" w:rsidP="006271A6">
            <w:pPr>
              <w:keepNext/>
              <w:rPr>
                <w:color w:val="000000"/>
              </w:rPr>
            </w:pPr>
            <w:r w:rsidRPr="004F5FB4">
              <w:rPr>
                <w:color w:val="000000"/>
              </w:rPr>
              <w:t>Sehr häufig</w:t>
            </w:r>
          </w:p>
          <w:p w14:paraId="6028BEF1" w14:textId="77777777" w:rsidR="00452285" w:rsidRPr="004F5FB4" w:rsidRDefault="00452285" w:rsidP="006271A6">
            <w:pPr>
              <w:keepNext/>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16321D2A" w14:textId="77777777" w:rsidR="00452285" w:rsidRPr="004F5FB4" w:rsidRDefault="00452285" w:rsidP="005D31CE">
            <w:pPr>
              <w:keepNext/>
              <w:rPr>
                <w:color w:val="000000"/>
              </w:rPr>
            </w:pPr>
            <w:r w:rsidRPr="004F5FB4">
              <w:rPr>
                <w:color w:val="000000"/>
              </w:rPr>
              <w:t>Reaktion an der Injektionsstelle (einschließlich Erytheme an der Injektionsstelle)</w:t>
            </w:r>
          </w:p>
        </w:tc>
      </w:tr>
      <w:tr w:rsidR="00452285" w:rsidRPr="004F5FB4" w14:paraId="1EE81A99" w14:textId="77777777" w:rsidTr="00054A92">
        <w:trPr>
          <w:cantSplit/>
        </w:trPr>
        <w:tc>
          <w:tcPr>
            <w:tcW w:w="2628" w:type="dxa"/>
            <w:vMerge/>
            <w:tcBorders>
              <w:left w:val="single" w:sz="4" w:space="0" w:color="auto"/>
              <w:right w:val="single" w:sz="4" w:space="0" w:color="auto"/>
            </w:tcBorders>
          </w:tcPr>
          <w:p w14:paraId="5162B608" w14:textId="77777777" w:rsidR="00452285" w:rsidRPr="004F5FB4" w:rsidRDefault="00452285" w:rsidP="006271A6">
            <w:pPr>
              <w:keepNext/>
              <w:rPr>
                <w:color w:val="000000"/>
              </w:rPr>
            </w:pPr>
          </w:p>
        </w:tc>
        <w:tc>
          <w:tcPr>
            <w:tcW w:w="1621" w:type="dxa"/>
            <w:tcBorders>
              <w:left w:val="single" w:sz="4" w:space="0" w:color="auto"/>
              <w:right w:val="single" w:sz="4" w:space="0" w:color="auto"/>
            </w:tcBorders>
          </w:tcPr>
          <w:p w14:paraId="52EE2487" w14:textId="77777777" w:rsidR="00452285" w:rsidRPr="004F5FB4" w:rsidRDefault="00452285" w:rsidP="006271A6">
            <w:pPr>
              <w:keepNext/>
              <w:rPr>
                <w:color w:val="000000"/>
              </w:rPr>
            </w:pPr>
            <w:r w:rsidRPr="004F5FB4">
              <w:rPr>
                <w:color w:val="000000"/>
              </w:rPr>
              <w:t>Häufig</w:t>
            </w:r>
          </w:p>
          <w:p w14:paraId="14FC1DCC" w14:textId="77777777" w:rsidR="00452285" w:rsidRPr="004F5FB4" w:rsidRDefault="00452285" w:rsidP="006271A6">
            <w:pPr>
              <w:keepNext/>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270FCAEA" w14:textId="77777777" w:rsidR="00452285" w:rsidRPr="004F5FB4" w:rsidRDefault="00452285" w:rsidP="006271A6">
            <w:pPr>
              <w:keepNext/>
              <w:rPr>
                <w:color w:val="000000"/>
              </w:rPr>
            </w:pPr>
            <w:r w:rsidRPr="004F5FB4">
              <w:rPr>
                <w:color w:val="000000"/>
              </w:rPr>
              <w:t>Brustschmerzen,</w:t>
            </w:r>
          </w:p>
          <w:p w14:paraId="23E84881" w14:textId="77777777" w:rsidR="00452285" w:rsidRPr="004F5FB4" w:rsidRDefault="00452285" w:rsidP="006271A6">
            <w:pPr>
              <w:keepNext/>
              <w:rPr>
                <w:color w:val="000000"/>
              </w:rPr>
            </w:pPr>
            <w:r w:rsidRPr="004F5FB4">
              <w:rPr>
                <w:color w:val="000000"/>
              </w:rPr>
              <w:t>Ödeme,</w:t>
            </w:r>
          </w:p>
          <w:p w14:paraId="21323A02" w14:textId="77777777" w:rsidR="00452285" w:rsidRPr="004F5FB4" w:rsidRDefault="00452285" w:rsidP="005D31CE">
            <w:pPr>
              <w:keepNext/>
              <w:rPr>
                <w:color w:val="000000"/>
                <w:lang w:val="en-GB"/>
              </w:rPr>
            </w:pPr>
            <w:r w:rsidRPr="004F5FB4">
              <w:rPr>
                <w:color w:val="000000"/>
              </w:rPr>
              <w:t>Fieber</w:t>
            </w:r>
            <w:r w:rsidRPr="004F5FB4">
              <w:rPr>
                <w:color w:val="000000"/>
                <w:vertAlign w:val="superscript"/>
              </w:rPr>
              <w:t>1</w:t>
            </w:r>
          </w:p>
        </w:tc>
      </w:tr>
      <w:tr w:rsidR="00452285" w:rsidRPr="004F5FB4" w14:paraId="61FC507A" w14:textId="77777777" w:rsidTr="00054A92">
        <w:trPr>
          <w:cantSplit/>
        </w:trPr>
        <w:tc>
          <w:tcPr>
            <w:tcW w:w="2628" w:type="dxa"/>
            <w:vMerge/>
            <w:tcBorders>
              <w:left w:val="single" w:sz="4" w:space="0" w:color="auto"/>
              <w:bottom w:val="single" w:sz="4" w:space="0" w:color="auto"/>
              <w:right w:val="single" w:sz="4" w:space="0" w:color="auto"/>
            </w:tcBorders>
          </w:tcPr>
          <w:p w14:paraId="49511814" w14:textId="77777777" w:rsidR="00452285" w:rsidRPr="004F5FB4" w:rsidRDefault="00452285" w:rsidP="00982118">
            <w:pPr>
              <w:rPr>
                <w:color w:val="000000"/>
                <w:lang w:val="en-GB"/>
              </w:rPr>
            </w:pPr>
          </w:p>
        </w:tc>
        <w:tc>
          <w:tcPr>
            <w:tcW w:w="1621" w:type="dxa"/>
            <w:tcBorders>
              <w:left w:val="single" w:sz="4" w:space="0" w:color="auto"/>
              <w:bottom w:val="single" w:sz="4" w:space="0" w:color="auto"/>
              <w:right w:val="single" w:sz="4" w:space="0" w:color="auto"/>
            </w:tcBorders>
          </w:tcPr>
          <w:p w14:paraId="47158F75" w14:textId="77777777" w:rsidR="00452285" w:rsidRPr="004F5FB4" w:rsidRDefault="00452285" w:rsidP="005D31CE">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212D4D54" w14:textId="77777777" w:rsidR="00452285" w:rsidRPr="004F5FB4" w:rsidRDefault="00452285" w:rsidP="00982118">
            <w:pPr>
              <w:rPr>
                <w:color w:val="000000"/>
              </w:rPr>
            </w:pPr>
            <w:r w:rsidRPr="004F5FB4">
              <w:rPr>
                <w:color w:val="000000"/>
              </w:rPr>
              <w:t>Entzündung</w:t>
            </w:r>
          </w:p>
        </w:tc>
      </w:tr>
      <w:tr w:rsidR="008419B6" w:rsidRPr="004F5FB4" w14:paraId="74710F00" w14:textId="77777777" w:rsidTr="008F3710">
        <w:trPr>
          <w:cantSplit/>
        </w:trPr>
        <w:tc>
          <w:tcPr>
            <w:tcW w:w="2628" w:type="dxa"/>
            <w:vMerge w:val="restart"/>
            <w:tcBorders>
              <w:top w:val="single" w:sz="4" w:space="0" w:color="auto"/>
              <w:left w:val="single" w:sz="4" w:space="0" w:color="auto"/>
              <w:right w:val="single" w:sz="4" w:space="0" w:color="auto"/>
            </w:tcBorders>
            <w:hideMark/>
          </w:tcPr>
          <w:p w14:paraId="27A844AB" w14:textId="77777777" w:rsidR="008419B6" w:rsidRPr="004F5FB4" w:rsidRDefault="008419B6" w:rsidP="00982118">
            <w:pPr>
              <w:rPr>
                <w:color w:val="000000"/>
              </w:rPr>
            </w:pPr>
            <w:r w:rsidRPr="004F5FB4">
              <w:rPr>
                <w:color w:val="000000"/>
              </w:rPr>
              <w:lastRenderedPageBreak/>
              <w:t>Untersuchungen*</w:t>
            </w:r>
          </w:p>
        </w:tc>
        <w:tc>
          <w:tcPr>
            <w:tcW w:w="1621" w:type="dxa"/>
            <w:tcBorders>
              <w:top w:val="single" w:sz="4" w:space="0" w:color="auto"/>
              <w:left w:val="single" w:sz="4" w:space="0" w:color="auto"/>
              <w:bottom w:val="single" w:sz="4" w:space="0" w:color="auto"/>
              <w:right w:val="single" w:sz="4" w:space="0" w:color="auto"/>
            </w:tcBorders>
            <w:hideMark/>
          </w:tcPr>
          <w:p w14:paraId="7D5F209F" w14:textId="77777777" w:rsidR="008419B6" w:rsidRPr="004F5FB4" w:rsidRDefault="008419B6"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hideMark/>
          </w:tcPr>
          <w:p w14:paraId="45735F0F" w14:textId="77777777" w:rsidR="008419B6" w:rsidRPr="004F5FB4" w:rsidRDefault="008419B6" w:rsidP="00982118">
            <w:pPr>
              <w:autoSpaceDE w:val="0"/>
              <w:autoSpaceDN w:val="0"/>
              <w:adjustRightInd w:val="0"/>
              <w:rPr>
                <w:color w:val="000000"/>
              </w:rPr>
            </w:pPr>
            <w:r w:rsidRPr="004F5FB4">
              <w:rPr>
                <w:color w:val="000000"/>
              </w:rPr>
              <w:t xml:space="preserve">Koagulations- und Blutungsstörungen (einschließlich Verlängerung der partiellen Thromboplastinzeit), </w:t>
            </w:r>
          </w:p>
          <w:p w14:paraId="7612A07B" w14:textId="77777777" w:rsidR="008419B6" w:rsidRPr="004F5FB4" w:rsidRDefault="008419B6" w:rsidP="00982118">
            <w:pPr>
              <w:autoSpaceDE w:val="0"/>
              <w:autoSpaceDN w:val="0"/>
              <w:adjustRightInd w:val="0"/>
              <w:rPr>
                <w:color w:val="000000"/>
              </w:rPr>
            </w:pPr>
            <w:r w:rsidRPr="004F5FB4">
              <w:rPr>
                <w:color w:val="000000"/>
              </w:rPr>
              <w:t xml:space="preserve">positiver Nachweis von Autoantikörpern (einschließlich doppelsträngiger DNA-Antikörper), </w:t>
            </w:r>
          </w:p>
          <w:p w14:paraId="43A38D50" w14:textId="77777777" w:rsidR="008419B6" w:rsidRPr="004F5FB4" w:rsidRDefault="008419B6" w:rsidP="005D31CE">
            <w:pPr>
              <w:autoSpaceDE w:val="0"/>
              <w:autoSpaceDN w:val="0"/>
              <w:adjustRightInd w:val="0"/>
              <w:rPr>
                <w:color w:val="000000"/>
                <w:lang w:val="en-GB"/>
              </w:rPr>
            </w:pPr>
            <w:r w:rsidRPr="004F5FB4">
              <w:rPr>
                <w:color w:val="000000"/>
              </w:rPr>
              <w:t>erhöhte Blutwerte für Lactatdehydrogenase</w:t>
            </w:r>
          </w:p>
        </w:tc>
      </w:tr>
      <w:tr w:rsidR="008419B6" w:rsidRPr="004F5FB4" w14:paraId="536AF6CA" w14:textId="77777777" w:rsidTr="008F3710">
        <w:trPr>
          <w:cantSplit/>
        </w:trPr>
        <w:tc>
          <w:tcPr>
            <w:tcW w:w="2628" w:type="dxa"/>
            <w:vMerge/>
            <w:tcBorders>
              <w:left w:val="single" w:sz="4" w:space="0" w:color="auto"/>
              <w:bottom w:val="single" w:sz="4" w:space="0" w:color="auto"/>
              <w:right w:val="single" w:sz="4" w:space="0" w:color="auto"/>
            </w:tcBorders>
          </w:tcPr>
          <w:p w14:paraId="30596425" w14:textId="77777777" w:rsidR="008419B6" w:rsidRPr="004F5FB4" w:rsidRDefault="008419B6"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0639DB4" w14:textId="77777777" w:rsidR="008419B6" w:rsidRPr="004F5FB4" w:rsidRDefault="008419B6" w:rsidP="00982118">
            <w:pPr>
              <w:rPr>
                <w:color w:val="000000"/>
              </w:rPr>
            </w:pPr>
            <w:r>
              <w:rPr>
                <w:color w:val="000000"/>
              </w:rPr>
              <w:t>Nicht bekannt</w:t>
            </w:r>
          </w:p>
        </w:tc>
        <w:tc>
          <w:tcPr>
            <w:tcW w:w="0" w:type="auto"/>
            <w:tcBorders>
              <w:top w:val="single" w:sz="4" w:space="0" w:color="auto"/>
              <w:left w:val="single" w:sz="4" w:space="0" w:color="auto"/>
              <w:bottom w:val="single" w:sz="4" w:space="0" w:color="auto"/>
              <w:right w:val="single" w:sz="4" w:space="0" w:color="auto"/>
            </w:tcBorders>
          </w:tcPr>
          <w:p w14:paraId="38A6006C" w14:textId="77777777" w:rsidR="008419B6" w:rsidRPr="004F5FB4" w:rsidRDefault="008419B6" w:rsidP="00982118">
            <w:pPr>
              <w:autoSpaceDE w:val="0"/>
              <w:autoSpaceDN w:val="0"/>
              <w:adjustRightInd w:val="0"/>
              <w:rPr>
                <w:color w:val="000000"/>
              </w:rPr>
            </w:pPr>
            <w:r>
              <w:rPr>
                <w:color w:val="000000"/>
              </w:rPr>
              <w:t>Gewichtszunahme</w:t>
            </w:r>
            <w:r w:rsidRPr="00D42C63">
              <w:rPr>
                <w:color w:val="000000"/>
                <w:vertAlign w:val="superscript"/>
              </w:rPr>
              <w:t>2</w:t>
            </w:r>
          </w:p>
        </w:tc>
      </w:tr>
      <w:tr w:rsidR="00452285" w:rsidRPr="004F5FB4" w14:paraId="6DF0162C"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498A8F21" w14:textId="77777777" w:rsidR="00452285" w:rsidRPr="004F5FB4" w:rsidRDefault="00452285" w:rsidP="00982118">
            <w:pPr>
              <w:rPr>
                <w:color w:val="000000"/>
              </w:rPr>
            </w:pPr>
            <w:r w:rsidRPr="004F5FB4">
              <w:rPr>
                <w:color w:val="000000"/>
              </w:rPr>
              <w:t>Verletzung, Vergiftung und durch Eingriffe bedingte Komplikationen</w:t>
            </w:r>
          </w:p>
        </w:tc>
        <w:tc>
          <w:tcPr>
            <w:tcW w:w="1621" w:type="dxa"/>
            <w:tcBorders>
              <w:top w:val="single" w:sz="4" w:space="0" w:color="auto"/>
              <w:left w:val="single" w:sz="4" w:space="0" w:color="auto"/>
              <w:bottom w:val="single" w:sz="4" w:space="0" w:color="auto"/>
              <w:right w:val="single" w:sz="4" w:space="0" w:color="auto"/>
            </w:tcBorders>
            <w:hideMark/>
          </w:tcPr>
          <w:p w14:paraId="63A1C678" w14:textId="77777777" w:rsidR="00452285" w:rsidRPr="004F5FB4" w:rsidRDefault="00452285"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hideMark/>
          </w:tcPr>
          <w:p w14:paraId="5047CF7F" w14:textId="77777777" w:rsidR="00452285" w:rsidRPr="004F5FB4" w:rsidRDefault="00452285" w:rsidP="00982118">
            <w:pPr>
              <w:rPr>
                <w:color w:val="000000"/>
              </w:rPr>
            </w:pPr>
            <w:r w:rsidRPr="004F5FB4">
              <w:rPr>
                <w:color w:val="000000"/>
              </w:rPr>
              <w:t>beeinträchtigte Wundheilung</w:t>
            </w:r>
          </w:p>
        </w:tc>
      </w:tr>
      <w:tr w:rsidR="00452285" w:rsidRPr="004F5FB4" w14:paraId="3CEFC75C" w14:textId="77777777" w:rsidTr="00054A92">
        <w:trPr>
          <w:cantSplit/>
        </w:trPr>
        <w:tc>
          <w:tcPr>
            <w:tcW w:w="0" w:type="auto"/>
            <w:gridSpan w:val="3"/>
            <w:tcBorders>
              <w:top w:val="single" w:sz="4" w:space="0" w:color="auto"/>
              <w:left w:val="nil"/>
              <w:bottom w:val="nil"/>
              <w:right w:val="nil"/>
            </w:tcBorders>
            <w:hideMark/>
          </w:tcPr>
          <w:p w14:paraId="2E8F8A6D" w14:textId="77777777" w:rsidR="00452285" w:rsidRPr="00206AEA" w:rsidRDefault="00452285" w:rsidP="00982118">
            <w:pPr>
              <w:tabs>
                <w:tab w:val="left" w:pos="360"/>
              </w:tabs>
              <w:rPr>
                <w:color w:val="000000"/>
                <w:sz w:val="20"/>
                <w:szCs w:val="20"/>
              </w:rPr>
            </w:pPr>
            <w:r w:rsidRPr="00206AEA">
              <w:rPr>
                <w:color w:val="000000"/>
                <w:sz w:val="20"/>
                <w:szCs w:val="20"/>
              </w:rPr>
              <w:t>*</w:t>
            </w:r>
            <w:r w:rsidRPr="00206AEA">
              <w:rPr>
                <w:color w:val="000000"/>
                <w:sz w:val="20"/>
                <w:szCs w:val="20"/>
              </w:rPr>
              <w:tab/>
              <w:t>Weitere Information findet sich in den Abschnitten</w:t>
            </w:r>
            <w:r w:rsidR="00402F33" w:rsidRPr="00206AEA">
              <w:rPr>
                <w:color w:val="000000"/>
                <w:sz w:val="20"/>
                <w:szCs w:val="20"/>
              </w:rPr>
              <w:t> </w:t>
            </w:r>
            <w:r w:rsidRPr="00206AEA">
              <w:rPr>
                <w:color w:val="000000"/>
                <w:sz w:val="20"/>
                <w:szCs w:val="20"/>
              </w:rPr>
              <w:t>4.3, 4.4 und 4.8. </w:t>
            </w:r>
          </w:p>
          <w:p w14:paraId="53BE3590" w14:textId="77777777" w:rsidR="00452285" w:rsidRPr="00206AEA" w:rsidRDefault="00452285" w:rsidP="00982118">
            <w:pPr>
              <w:tabs>
                <w:tab w:val="left" w:pos="360"/>
              </w:tabs>
              <w:rPr>
                <w:color w:val="000000"/>
                <w:sz w:val="20"/>
                <w:szCs w:val="20"/>
              </w:rPr>
            </w:pPr>
            <w:r w:rsidRPr="00206AEA">
              <w:rPr>
                <w:color w:val="000000"/>
                <w:sz w:val="20"/>
                <w:szCs w:val="20"/>
              </w:rPr>
              <w:t xml:space="preserve">** </w:t>
            </w:r>
            <w:r w:rsidRPr="00206AEA">
              <w:rPr>
                <w:color w:val="000000"/>
                <w:sz w:val="20"/>
                <w:szCs w:val="20"/>
              </w:rPr>
              <w:tab/>
              <w:t xml:space="preserve">einschließlich offener </w:t>
            </w:r>
            <w:r w:rsidR="00002BDC" w:rsidRPr="00206AEA">
              <w:rPr>
                <w:color w:val="000000"/>
                <w:sz w:val="20"/>
                <w:szCs w:val="20"/>
              </w:rPr>
              <w:t>Fortsetz</w:t>
            </w:r>
            <w:r w:rsidRPr="00206AEA">
              <w:rPr>
                <w:color w:val="000000"/>
                <w:sz w:val="20"/>
                <w:szCs w:val="20"/>
              </w:rPr>
              <w:t>ungsstudien</w:t>
            </w:r>
          </w:p>
          <w:p w14:paraId="4319B778" w14:textId="77777777" w:rsidR="00452285" w:rsidRPr="00206AEA" w:rsidRDefault="00452285" w:rsidP="00982118">
            <w:pPr>
              <w:tabs>
                <w:tab w:val="left" w:pos="360"/>
              </w:tabs>
              <w:rPr>
                <w:color w:val="000000"/>
                <w:sz w:val="20"/>
                <w:szCs w:val="20"/>
              </w:rPr>
            </w:pPr>
            <w:r w:rsidRPr="00206AEA">
              <w:rPr>
                <w:color w:val="000000"/>
                <w:sz w:val="20"/>
                <w:szCs w:val="20"/>
                <w:vertAlign w:val="superscript"/>
              </w:rPr>
              <w:t>1</w:t>
            </w:r>
            <w:r w:rsidRPr="00206AEA">
              <w:rPr>
                <w:color w:val="000000"/>
                <w:sz w:val="20"/>
                <w:szCs w:val="20"/>
              </w:rPr>
              <w:t xml:space="preserve"> </w:t>
            </w:r>
            <w:r w:rsidRPr="00206AEA">
              <w:rPr>
                <w:color w:val="000000"/>
                <w:sz w:val="20"/>
                <w:szCs w:val="20"/>
              </w:rPr>
              <w:tab/>
              <w:t xml:space="preserve">einschließlich Daten aus Spontanmeldungen </w:t>
            </w:r>
          </w:p>
          <w:p w14:paraId="4CA04E7C" w14:textId="77777777" w:rsidR="008419B6" w:rsidRPr="004F5FB4" w:rsidRDefault="008419B6" w:rsidP="00D42C63">
            <w:pPr>
              <w:tabs>
                <w:tab w:val="left" w:pos="360"/>
              </w:tabs>
              <w:ind w:left="357" w:hanging="357"/>
              <w:rPr>
                <w:color w:val="000000"/>
              </w:rPr>
            </w:pPr>
            <w:r w:rsidRPr="00206AEA">
              <w:rPr>
                <w:color w:val="000000"/>
                <w:sz w:val="20"/>
                <w:szCs w:val="20"/>
                <w:vertAlign w:val="superscript"/>
              </w:rPr>
              <w:t>2</w:t>
            </w:r>
            <w:r w:rsidRPr="00206AEA">
              <w:rPr>
                <w:color w:val="000000"/>
                <w:sz w:val="20"/>
                <w:szCs w:val="20"/>
              </w:rPr>
              <w:t xml:space="preserve"> </w:t>
            </w:r>
            <w:r w:rsidRPr="00206AEA">
              <w:rPr>
                <w:color w:val="000000"/>
                <w:sz w:val="20"/>
                <w:szCs w:val="20"/>
              </w:rPr>
              <w:tab/>
              <w:t>Die mittlere Gewichtszunahme ab der Baseline betrug über einen Behandlungszeitraum von 4 – 6 Monaten bei Adalimumab 0,3 kg bis 1,0 kg bei allen Indikationen für Erwachsene im Vergleich zu (minus) -0,4 kg bis (plus) 0,4 kg bei Placebo. Es wurde in Langzeit-Erweiterungsstudien bei einer mittleren Exposition von etwa 1 – 2 Jahren ohne Kontrollgruppe auch eine Gewichtszunahme von 5 – 6 kg beobachtet, insbesondere bei Patienten mit Morbus Crohn und Colitis Ulcerosa. Der Mechanismus hinter dieser Wirkung ist unklar, könnte aber mit der antiinflammatorischen Wirkung von Adalimumab zusammenhängen.</w:t>
            </w:r>
          </w:p>
        </w:tc>
      </w:tr>
    </w:tbl>
    <w:p w14:paraId="55BFE5DE" w14:textId="77777777" w:rsidR="00452285" w:rsidRPr="004F5FB4" w:rsidRDefault="00452285" w:rsidP="0009685B">
      <w:pPr>
        <w:rPr>
          <w:color w:val="000000"/>
        </w:rPr>
      </w:pPr>
    </w:p>
    <w:p w14:paraId="3DE2607F" w14:textId="77777777" w:rsidR="00452285" w:rsidRPr="004F5FB4" w:rsidRDefault="00452285" w:rsidP="00971955">
      <w:pPr>
        <w:pStyle w:val="BodyText"/>
        <w:keepNext/>
        <w:widowControl/>
        <w:kinsoku w:val="0"/>
        <w:overflowPunct w:val="0"/>
        <w:ind w:left="0"/>
        <w:rPr>
          <w:color w:val="000000"/>
        </w:rPr>
      </w:pPr>
      <w:r w:rsidRPr="004F5FB4">
        <w:rPr>
          <w:color w:val="000000"/>
          <w:u w:val="single"/>
        </w:rPr>
        <w:t>Uveitis</w:t>
      </w:r>
    </w:p>
    <w:p w14:paraId="309CC2BA" w14:textId="77777777" w:rsidR="00452285" w:rsidRPr="004F5FB4" w:rsidRDefault="00452285" w:rsidP="00971955">
      <w:pPr>
        <w:pStyle w:val="BodyText"/>
        <w:keepNext/>
        <w:widowControl/>
        <w:kinsoku w:val="0"/>
        <w:overflowPunct w:val="0"/>
        <w:ind w:left="0"/>
        <w:rPr>
          <w:color w:val="000000"/>
        </w:rPr>
      </w:pPr>
    </w:p>
    <w:p w14:paraId="08E72434" w14:textId="77777777" w:rsidR="00452285" w:rsidRPr="004F5FB4" w:rsidRDefault="00452285" w:rsidP="0009685B">
      <w:pPr>
        <w:pStyle w:val="BodyText"/>
        <w:widowControl/>
        <w:kinsoku w:val="0"/>
        <w:overflowPunct w:val="0"/>
        <w:ind w:left="0"/>
        <w:rPr>
          <w:color w:val="000000"/>
        </w:rPr>
      </w:pPr>
      <w:r w:rsidRPr="004F5FB4">
        <w:rPr>
          <w:color w:val="000000"/>
        </w:rPr>
        <w:t xml:space="preserve">Das Sicherheitsprofil bei Patienten mit Uveitis, die alle zwei Wochen mit Adalimumab behandelt wurden, </w:t>
      </w:r>
      <w:r w:rsidR="00965B22" w:rsidRPr="004F5FB4">
        <w:rPr>
          <w:color w:val="000000"/>
        </w:rPr>
        <w:t>stimmte mit</w:t>
      </w:r>
      <w:r w:rsidRPr="004F5FB4">
        <w:rPr>
          <w:color w:val="000000"/>
        </w:rPr>
        <w:t xml:space="preserve"> dem bekannten Sicherheitsprofil von Adalimumab</w:t>
      </w:r>
      <w:r w:rsidR="00965B22" w:rsidRPr="004F5FB4">
        <w:rPr>
          <w:color w:val="000000"/>
        </w:rPr>
        <w:t xml:space="preserve"> überein</w:t>
      </w:r>
      <w:r w:rsidRPr="004F5FB4">
        <w:rPr>
          <w:color w:val="000000"/>
        </w:rPr>
        <w:t>.</w:t>
      </w:r>
    </w:p>
    <w:p w14:paraId="26648F12" w14:textId="77777777" w:rsidR="00452285" w:rsidRPr="004F5FB4" w:rsidRDefault="00452285" w:rsidP="0009685B">
      <w:pPr>
        <w:pStyle w:val="BodyText"/>
        <w:widowControl/>
        <w:kinsoku w:val="0"/>
        <w:overflowPunct w:val="0"/>
        <w:ind w:left="0"/>
        <w:rPr>
          <w:color w:val="000000"/>
        </w:rPr>
      </w:pPr>
    </w:p>
    <w:p w14:paraId="7AD17782" w14:textId="77777777" w:rsidR="00452285" w:rsidRPr="004F5FB4" w:rsidRDefault="00452285" w:rsidP="000E0085">
      <w:pPr>
        <w:pStyle w:val="BodyText"/>
        <w:keepNext/>
        <w:widowControl/>
        <w:kinsoku w:val="0"/>
        <w:overflowPunct w:val="0"/>
        <w:ind w:left="0"/>
        <w:rPr>
          <w:color w:val="000000"/>
        </w:rPr>
      </w:pPr>
      <w:r w:rsidRPr="004F5FB4">
        <w:rPr>
          <w:color w:val="000000"/>
          <w:u w:val="single"/>
        </w:rPr>
        <w:t>Beschreibung von definierten Nebenwirkungen</w:t>
      </w:r>
    </w:p>
    <w:p w14:paraId="50E2AB7D" w14:textId="77777777" w:rsidR="00452285" w:rsidRPr="004F5FB4" w:rsidRDefault="00452285" w:rsidP="000E0085">
      <w:pPr>
        <w:pStyle w:val="BodyText"/>
        <w:keepNext/>
        <w:widowControl/>
        <w:kinsoku w:val="0"/>
        <w:overflowPunct w:val="0"/>
        <w:ind w:left="0"/>
        <w:rPr>
          <w:color w:val="000000"/>
        </w:rPr>
      </w:pPr>
    </w:p>
    <w:p w14:paraId="22D9BE97" w14:textId="77777777" w:rsidR="00452285" w:rsidRPr="004F5FB4" w:rsidRDefault="00452285" w:rsidP="000E0085">
      <w:pPr>
        <w:pStyle w:val="BodyText"/>
        <w:keepNext/>
        <w:widowControl/>
        <w:kinsoku w:val="0"/>
        <w:overflowPunct w:val="0"/>
        <w:ind w:left="0"/>
        <w:rPr>
          <w:color w:val="000000"/>
        </w:rPr>
      </w:pPr>
      <w:r w:rsidRPr="004F5FB4">
        <w:rPr>
          <w:i/>
          <w:iCs/>
          <w:color w:val="000000"/>
        </w:rPr>
        <w:t>Reaktionen an der Injektionsstelle</w:t>
      </w:r>
    </w:p>
    <w:p w14:paraId="16717B14" w14:textId="77777777" w:rsidR="00452285" w:rsidRPr="004F5FB4" w:rsidRDefault="00452285" w:rsidP="000E0085">
      <w:pPr>
        <w:pStyle w:val="BodyText"/>
        <w:keepNext/>
        <w:widowControl/>
        <w:kinsoku w:val="0"/>
        <w:overflowPunct w:val="0"/>
        <w:ind w:left="0"/>
        <w:rPr>
          <w:i/>
          <w:iCs/>
          <w:color w:val="000000"/>
          <w:szCs w:val="21"/>
        </w:rPr>
      </w:pPr>
    </w:p>
    <w:p w14:paraId="1A8B680A" w14:textId="77777777" w:rsidR="00452285" w:rsidRPr="004F5FB4" w:rsidRDefault="00452285" w:rsidP="00687087">
      <w:pPr>
        <w:pStyle w:val="BodyText"/>
        <w:widowControl/>
        <w:kinsoku w:val="0"/>
        <w:overflowPunct w:val="0"/>
        <w:ind w:left="0"/>
        <w:rPr>
          <w:color w:val="000000"/>
        </w:rPr>
      </w:pPr>
      <w:r w:rsidRPr="004F5FB4">
        <w:rPr>
          <w:color w:val="000000"/>
        </w:rPr>
        <w:t>In den pivotalen kontrollierten Studien bei Erwachsenen und Kindern entwickelten 12,9 % der mit Adalimumab behandelten Patienten Reaktionen an der Injektionsstelle (Erytheme und/</w:t>
      </w:r>
      <w:r w:rsidR="00A80D3A" w:rsidRPr="004F5FB4">
        <w:rPr>
          <w:color w:val="000000"/>
        </w:rPr>
        <w:t xml:space="preserve"> </w:t>
      </w:r>
      <w:r w:rsidRPr="004F5FB4">
        <w:rPr>
          <w:color w:val="000000"/>
        </w:rPr>
        <w:t>oder Juckreiz, Hämorrhagien, Schmerzen oder Schwellungen) im Vergleich zu 7,2 % der Patienten unter Placebo oder aktiver Vergleichssubstanz. Die Reaktionen an der Injektionsstelle machten im Allgemeinen kein Absetzen des Arzneimittels erforderlich.</w:t>
      </w:r>
    </w:p>
    <w:p w14:paraId="7122FCD4" w14:textId="77777777" w:rsidR="00452285" w:rsidRPr="004F5FB4" w:rsidRDefault="00452285" w:rsidP="0009685B">
      <w:pPr>
        <w:pStyle w:val="BodyText"/>
        <w:widowControl/>
        <w:kinsoku w:val="0"/>
        <w:overflowPunct w:val="0"/>
        <w:ind w:left="0"/>
        <w:rPr>
          <w:color w:val="000000"/>
        </w:rPr>
      </w:pPr>
    </w:p>
    <w:p w14:paraId="664A4FDE" w14:textId="77777777" w:rsidR="00452285" w:rsidRPr="004F5FB4" w:rsidRDefault="00452285" w:rsidP="00687087">
      <w:pPr>
        <w:pStyle w:val="BodyText"/>
        <w:keepNext/>
        <w:widowControl/>
        <w:kinsoku w:val="0"/>
        <w:overflowPunct w:val="0"/>
        <w:ind w:left="0"/>
        <w:rPr>
          <w:color w:val="000000"/>
        </w:rPr>
      </w:pPr>
      <w:r w:rsidRPr="004F5FB4">
        <w:rPr>
          <w:i/>
          <w:iCs/>
          <w:color w:val="000000"/>
        </w:rPr>
        <w:t>Infektionen</w:t>
      </w:r>
    </w:p>
    <w:p w14:paraId="4BE6E56B" w14:textId="77777777" w:rsidR="00452285" w:rsidRPr="004F5FB4" w:rsidRDefault="00452285" w:rsidP="00687087">
      <w:pPr>
        <w:pStyle w:val="BodyText"/>
        <w:keepNext/>
        <w:widowControl/>
        <w:kinsoku w:val="0"/>
        <w:overflowPunct w:val="0"/>
        <w:ind w:left="0"/>
        <w:rPr>
          <w:i/>
          <w:iCs/>
          <w:color w:val="000000"/>
          <w:szCs w:val="21"/>
        </w:rPr>
      </w:pPr>
    </w:p>
    <w:p w14:paraId="73FC17AE" w14:textId="77777777" w:rsidR="00452285" w:rsidRPr="004F5FB4" w:rsidRDefault="00452285" w:rsidP="0009685B">
      <w:pPr>
        <w:pStyle w:val="BodyText"/>
        <w:widowControl/>
        <w:kinsoku w:val="0"/>
        <w:overflowPunct w:val="0"/>
        <w:ind w:left="0"/>
        <w:rPr>
          <w:color w:val="000000"/>
        </w:rPr>
      </w:pPr>
      <w:r w:rsidRPr="004F5FB4">
        <w:rPr>
          <w:color w:val="000000"/>
        </w:rPr>
        <w:t>In den pivotalen kontrollierten Studien bei Erwachsenen und Kindern betrug die Infektionsrate bei den mit Adalimumab behandelten Patienten 1,51</w:t>
      </w:r>
      <w:r w:rsidR="00735C41" w:rsidRPr="004F5FB4">
        <w:rPr>
          <w:color w:val="000000"/>
        </w:rPr>
        <w:t> </w:t>
      </w:r>
      <w:r w:rsidRPr="004F5FB4">
        <w:rPr>
          <w:color w:val="000000"/>
        </w:rPr>
        <w:t>pro Patientenjahr und bei den Patienten unter Placebo und aktiver Kontrolle 1,46</w:t>
      </w:r>
      <w:r w:rsidR="00735C41" w:rsidRPr="004F5FB4">
        <w:rPr>
          <w:color w:val="000000"/>
        </w:rPr>
        <w:t> </w:t>
      </w:r>
      <w:r w:rsidRPr="004F5FB4">
        <w:rPr>
          <w:color w:val="000000"/>
        </w:rPr>
        <w:t>pro Patientenjahr. Die Infektionen beinhalteten primär Nasopharyngitis, Infektionen der oberen Atemwege und Sinusitis. Die meisten Patienten setzten die Behandlung mit Adalimumab nach Abheilen der Infektion fort.</w:t>
      </w:r>
    </w:p>
    <w:p w14:paraId="292557F0" w14:textId="77777777" w:rsidR="00452285" w:rsidRPr="004F5FB4" w:rsidRDefault="00452285" w:rsidP="0009685B">
      <w:pPr>
        <w:pStyle w:val="BodyText"/>
        <w:widowControl/>
        <w:kinsoku w:val="0"/>
        <w:overflowPunct w:val="0"/>
        <w:ind w:left="0"/>
        <w:rPr>
          <w:color w:val="000000"/>
        </w:rPr>
      </w:pPr>
    </w:p>
    <w:p w14:paraId="18AB510E" w14:textId="77777777" w:rsidR="00452285" w:rsidRPr="004F5FB4" w:rsidRDefault="00452285" w:rsidP="0009685B">
      <w:pPr>
        <w:pStyle w:val="BodyText"/>
        <w:widowControl/>
        <w:kinsoku w:val="0"/>
        <w:overflowPunct w:val="0"/>
        <w:ind w:left="0"/>
        <w:rPr>
          <w:color w:val="000000"/>
        </w:rPr>
      </w:pPr>
      <w:r w:rsidRPr="004F5FB4">
        <w:rPr>
          <w:color w:val="000000"/>
        </w:rPr>
        <w:t>Die Inzidenz schwerer Infektionen lag in der Adalimumab-Gruppe bei 0,04</w:t>
      </w:r>
      <w:r w:rsidR="00735C41" w:rsidRPr="004F5FB4">
        <w:rPr>
          <w:color w:val="000000"/>
        </w:rPr>
        <w:t> </w:t>
      </w:r>
      <w:r w:rsidRPr="004F5FB4">
        <w:rPr>
          <w:color w:val="000000"/>
        </w:rPr>
        <w:t>pro Patientenjahr und in der Placebo- und aktiven Kontrollgruppe bei 0,03</w:t>
      </w:r>
      <w:r w:rsidR="00735C41" w:rsidRPr="004F5FB4">
        <w:rPr>
          <w:color w:val="000000"/>
        </w:rPr>
        <w:t> </w:t>
      </w:r>
      <w:r w:rsidRPr="004F5FB4">
        <w:rPr>
          <w:color w:val="000000"/>
        </w:rPr>
        <w:t>pro Patientenjahr.</w:t>
      </w:r>
    </w:p>
    <w:p w14:paraId="7F5148C5" w14:textId="77777777" w:rsidR="00452285" w:rsidRPr="004F5FB4" w:rsidRDefault="00452285" w:rsidP="0009685B">
      <w:pPr>
        <w:pStyle w:val="BodyText"/>
        <w:widowControl/>
        <w:kinsoku w:val="0"/>
        <w:overflowPunct w:val="0"/>
        <w:ind w:left="0"/>
        <w:rPr>
          <w:color w:val="000000"/>
          <w:szCs w:val="21"/>
        </w:rPr>
      </w:pPr>
    </w:p>
    <w:p w14:paraId="6C61A0BB" w14:textId="77777777" w:rsidR="00452285" w:rsidRPr="004F5FB4" w:rsidRDefault="00452285" w:rsidP="0009685B">
      <w:pPr>
        <w:pStyle w:val="BodyText"/>
        <w:widowControl/>
        <w:kinsoku w:val="0"/>
        <w:overflowPunct w:val="0"/>
        <w:ind w:left="0"/>
        <w:rPr>
          <w:color w:val="000000"/>
        </w:rPr>
      </w:pPr>
      <w:r w:rsidRPr="004F5FB4">
        <w:rPr>
          <w:color w:val="000000"/>
        </w:rPr>
        <w:t xml:space="preserve">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 B. disseminierte oder extrapulmonale Histoplasmose, </w:t>
      </w:r>
      <w:r w:rsidRPr="004F5FB4">
        <w:rPr>
          <w:color w:val="000000"/>
        </w:rPr>
        <w:lastRenderedPageBreak/>
        <w:t>Blastomykose, Kokzidioidomykose, Pneumocystisinfektion, Candidiasis (Soor), Aspergillose und Listeriose) berichtet. Die meisten Fälle von Tuberkulose traten innerhalb der ersten 8</w:t>
      </w:r>
      <w:r w:rsidR="008F33DC" w:rsidRPr="004F5FB4">
        <w:rPr>
          <w:color w:val="000000"/>
        </w:rPr>
        <w:t> </w:t>
      </w:r>
      <w:r w:rsidRPr="004F5FB4">
        <w:rPr>
          <w:color w:val="000000"/>
        </w:rPr>
        <w:t>Monate nach Beginn der Therapie auf und können die Reaktivierung einer latent bestehenden Erkrankung darstellen.</w:t>
      </w:r>
    </w:p>
    <w:p w14:paraId="786006D0" w14:textId="77777777" w:rsidR="00452285" w:rsidRPr="004F5FB4" w:rsidRDefault="00452285" w:rsidP="0009685B">
      <w:pPr>
        <w:pStyle w:val="BodyText"/>
        <w:widowControl/>
        <w:kinsoku w:val="0"/>
        <w:overflowPunct w:val="0"/>
        <w:ind w:left="0"/>
        <w:rPr>
          <w:color w:val="000000"/>
        </w:rPr>
      </w:pPr>
    </w:p>
    <w:p w14:paraId="16F25486" w14:textId="77777777" w:rsidR="00452285" w:rsidRPr="004F5FB4" w:rsidRDefault="00452285" w:rsidP="006271A6">
      <w:pPr>
        <w:pStyle w:val="BodyText"/>
        <w:keepNext/>
        <w:widowControl/>
        <w:kinsoku w:val="0"/>
        <w:overflowPunct w:val="0"/>
        <w:ind w:left="0"/>
        <w:rPr>
          <w:color w:val="000000"/>
        </w:rPr>
      </w:pPr>
      <w:r w:rsidRPr="004F5FB4">
        <w:rPr>
          <w:i/>
          <w:iCs/>
          <w:color w:val="000000"/>
        </w:rPr>
        <w:t>Maligne und lymphoproliferative Erkrankungen</w:t>
      </w:r>
    </w:p>
    <w:p w14:paraId="69A14F00" w14:textId="77777777" w:rsidR="00452285" w:rsidRPr="004F5FB4" w:rsidRDefault="00452285" w:rsidP="006271A6">
      <w:pPr>
        <w:pStyle w:val="BodyText"/>
        <w:keepNext/>
        <w:widowControl/>
        <w:kinsoku w:val="0"/>
        <w:overflowPunct w:val="0"/>
        <w:ind w:left="0"/>
        <w:rPr>
          <w:i/>
          <w:iCs/>
          <w:color w:val="000000"/>
          <w:szCs w:val="21"/>
        </w:rPr>
      </w:pPr>
    </w:p>
    <w:p w14:paraId="6C60A749" w14:textId="77777777" w:rsidR="00452285" w:rsidRPr="004F5FB4" w:rsidRDefault="00452285" w:rsidP="006271A6">
      <w:pPr>
        <w:pStyle w:val="BodyText"/>
        <w:keepNext/>
        <w:widowControl/>
        <w:kinsoku w:val="0"/>
        <w:overflowPunct w:val="0"/>
        <w:ind w:left="0"/>
        <w:rPr>
          <w:color w:val="000000"/>
        </w:rPr>
      </w:pPr>
      <w:r w:rsidRPr="004F5FB4">
        <w:rPr>
          <w:color w:val="000000"/>
        </w:rPr>
        <w:t>Während der Studien mit Adalimumab bei Patienten mit juveniler idiopathischer Arthritis (polyartikulärer juveniler idiopathischer Arthritis und Enthesitis-assoziierter Arthritis) wurden bei 249</w:t>
      </w:r>
      <w:r w:rsidR="00407FE6" w:rsidRPr="004F5FB4">
        <w:rPr>
          <w:color w:val="000000"/>
        </w:rPr>
        <w:t> </w:t>
      </w:r>
      <w:r w:rsidR="004648BC" w:rsidRPr="004F5FB4">
        <w:rPr>
          <w:color w:val="000000"/>
        </w:rPr>
        <w:t xml:space="preserve">Kindern und Jugendlichen </w:t>
      </w:r>
      <w:r w:rsidRPr="004F5FB4">
        <w:rPr>
          <w:color w:val="000000"/>
        </w:rPr>
        <w:t>mit einer Exposition von 655,6 Patientenjahren keine malignen Erkrankungen beobachtet. Außerdem wurden bei 192</w:t>
      </w:r>
      <w:r w:rsidR="00735C41" w:rsidRPr="004F5FB4">
        <w:rPr>
          <w:color w:val="000000"/>
        </w:rPr>
        <w:t> </w:t>
      </w:r>
      <w:r w:rsidR="004648BC" w:rsidRPr="004F5FB4">
        <w:rPr>
          <w:color w:val="000000"/>
        </w:rPr>
        <w:t xml:space="preserve">Kindern und Jugendlichen </w:t>
      </w:r>
      <w:r w:rsidRPr="004F5FB4">
        <w:rPr>
          <w:color w:val="000000"/>
        </w:rPr>
        <w:t>mit einer Exposition von 498,1</w:t>
      </w:r>
      <w:r w:rsidR="008F33DC" w:rsidRPr="004F5FB4">
        <w:rPr>
          <w:color w:val="000000"/>
        </w:rPr>
        <w:t> </w:t>
      </w:r>
      <w:r w:rsidRPr="004F5FB4">
        <w:rPr>
          <w:color w:val="000000"/>
        </w:rPr>
        <w:t xml:space="preserve">Patientenjahren während klinischer Studien mit Adalimumab bei Kindern und Jugendlichen mit Morbus Crohn keine malignen Erkrankungen beobachtet. In einer Studie mit Adalimumab zu chronischer Plaque-Psoriasis an </w:t>
      </w:r>
      <w:r w:rsidR="004664CA" w:rsidRPr="004F5FB4">
        <w:rPr>
          <w:color w:val="000000"/>
        </w:rPr>
        <w:t xml:space="preserve">Kindern und Jugendlichen </w:t>
      </w:r>
      <w:r w:rsidRPr="004F5FB4">
        <w:rPr>
          <w:color w:val="000000"/>
        </w:rPr>
        <w:t>wurden bei 77</w:t>
      </w:r>
      <w:r w:rsidR="00735C41" w:rsidRPr="004F5FB4">
        <w:rPr>
          <w:color w:val="000000"/>
        </w:rPr>
        <w:t> </w:t>
      </w:r>
      <w:r w:rsidR="004648BC" w:rsidRPr="004F5FB4">
        <w:rPr>
          <w:color w:val="000000"/>
        </w:rPr>
        <w:t xml:space="preserve">Kindern und Jugendlichen </w:t>
      </w:r>
      <w:r w:rsidRPr="004F5FB4">
        <w:rPr>
          <w:color w:val="000000"/>
        </w:rPr>
        <w:t>mit einer Exposition von 80,0</w:t>
      </w:r>
      <w:r w:rsidR="008F33DC" w:rsidRPr="004F5FB4">
        <w:rPr>
          <w:color w:val="000000"/>
        </w:rPr>
        <w:t> </w:t>
      </w:r>
      <w:r w:rsidRPr="004F5FB4">
        <w:rPr>
          <w:color w:val="000000"/>
        </w:rPr>
        <w:t xml:space="preserve">Patientenjahren keine malignen Erkrankungen beobachtet. Während einer Studie mit Adalimumab bei </w:t>
      </w:r>
      <w:r w:rsidR="009F2EB6" w:rsidRPr="004F5FB4">
        <w:rPr>
          <w:color w:val="000000"/>
        </w:rPr>
        <w:t>Kindern und Jugendlichen</w:t>
      </w:r>
      <w:r w:rsidRPr="004F5FB4">
        <w:rPr>
          <w:color w:val="000000"/>
        </w:rPr>
        <w:t xml:space="preserve"> mit Uveitis wurden bei 60</w:t>
      </w:r>
      <w:r w:rsidR="00735C41" w:rsidRPr="004F5FB4">
        <w:rPr>
          <w:color w:val="000000"/>
        </w:rPr>
        <w:t> </w:t>
      </w:r>
      <w:r w:rsidR="004664CA" w:rsidRPr="004F5FB4">
        <w:rPr>
          <w:color w:val="000000"/>
        </w:rPr>
        <w:t xml:space="preserve">Kindern und Jugendlichen </w:t>
      </w:r>
      <w:r w:rsidRPr="004F5FB4">
        <w:rPr>
          <w:color w:val="000000"/>
        </w:rPr>
        <w:t>mit einer Exposition von 58,4</w:t>
      </w:r>
      <w:r w:rsidR="008F33DC" w:rsidRPr="004F5FB4">
        <w:rPr>
          <w:color w:val="000000"/>
        </w:rPr>
        <w:t> </w:t>
      </w:r>
      <w:r w:rsidRPr="004F5FB4">
        <w:rPr>
          <w:color w:val="000000"/>
        </w:rPr>
        <w:t>Patientenjahren keine malignen Erkrankungen beobachtet.</w:t>
      </w:r>
    </w:p>
    <w:p w14:paraId="52FE9820" w14:textId="77777777" w:rsidR="00452285" w:rsidRPr="004F5FB4" w:rsidRDefault="00452285" w:rsidP="0009685B">
      <w:pPr>
        <w:pStyle w:val="BodyText"/>
        <w:widowControl/>
        <w:kinsoku w:val="0"/>
        <w:overflowPunct w:val="0"/>
        <w:ind w:left="0"/>
        <w:rPr>
          <w:color w:val="000000"/>
        </w:rPr>
      </w:pPr>
    </w:p>
    <w:p w14:paraId="0C1EE02A" w14:textId="77777777" w:rsidR="00452285" w:rsidRPr="004F5FB4" w:rsidRDefault="00452285" w:rsidP="0009685B">
      <w:pPr>
        <w:pStyle w:val="BodyText"/>
        <w:widowControl/>
        <w:kinsoku w:val="0"/>
        <w:overflowPunct w:val="0"/>
        <w:ind w:left="0"/>
        <w:rPr>
          <w:color w:val="000000"/>
        </w:rPr>
      </w:pPr>
      <w:r w:rsidRPr="004F5FB4">
        <w:rPr>
          <w:color w:val="000000"/>
        </w:rPr>
        <w:t>Während der kontrollierten Phasen der pivotalen klinischen Studien an Erwachsenen mit Adalimumab, die mindestens 12 Wochen bei Patienten mit mäßiger bis schwerer aktiver rheumatoider Arthritis, ankylosierender Spondylitis, axialer Spondyloarthritis ohne Röntgennachweis einer AS, Psoriasis-Arthritis, Psoriasis, Hidradenitis suppurativa, Morbus Crohn, Colitis ulcerosa und Uveitis durchgeführt wurden, wurden maligne Erkrankungen, die keine Lymphome oder nicht melanomartige Hauttumoren waren, beobachtet. Die Rate (95 % Konfidenzintervall) betrug 6,8 (4,4; 10,5) pro 1.000</w:t>
      </w:r>
      <w:r w:rsidR="008F33DC" w:rsidRPr="004F5FB4">
        <w:rPr>
          <w:color w:val="000000"/>
        </w:rPr>
        <w:t> </w:t>
      </w:r>
      <w:r w:rsidRPr="004F5FB4">
        <w:rPr>
          <w:color w:val="000000"/>
        </w:rPr>
        <w:t>Patientenjahre bei 5.291</w:t>
      </w:r>
      <w:r w:rsidR="00735C41" w:rsidRPr="004F5FB4">
        <w:rPr>
          <w:color w:val="000000"/>
        </w:rPr>
        <w:t> </w:t>
      </w:r>
      <w:r w:rsidRPr="004F5FB4">
        <w:rPr>
          <w:color w:val="000000"/>
        </w:rPr>
        <w:t>mit Adalimumab behandelten Patienten gegenüber einer Rate von 6,3 (3,4; 11,8) pro 1.000</w:t>
      </w:r>
      <w:r w:rsidR="008F33DC" w:rsidRPr="004F5FB4">
        <w:rPr>
          <w:color w:val="000000"/>
        </w:rPr>
        <w:t> </w:t>
      </w:r>
      <w:r w:rsidRPr="004F5FB4">
        <w:rPr>
          <w:color w:val="000000"/>
        </w:rPr>
        <w:t>Patientenjahre bei 3.444</w:t>
      </w:r>
      <w:r w:rsidR="008F33DC" w:rsidRPr="004F5FB4">
        <w:rPr>
          <w:color w:val="000000"/>
        </w:rPr>
        <w:t> </w:t>
      </w:r>
      <w:r w:rsidRPr="004F5FB4">
        <w:rPr>
          <w:color w:val="000000"/>
        </w:rPr>
        <w:t>Kontrollpatienten (die mediane Behandlungsdauer betrug 4,0</w:t>
      </w:r>
      <w:r w:rsidR="008F33DC" w:rsidRPr="004F5FB4">
        <w:rPr>
          <w:color w:val="000000"/>
        </w:rPr>
        <w:t> </w:t>
      </w:r>
      <w:r w:rsidRPr="004F5FB4">
        <w:rPr>
          <w:color w:val="000000"/>
        </w:rPr>
        <w:t>Monate bei Patienten, die mit Adalimumab behandelt wurden und 3,8</w:t>
      </w:r>
      <w:r w:rsidR="008F33DC" w:rsidRPr="004F5FB4">
        <w:rPr>
          <w:color w:val="000000"/>
        </w:rPr>
        <w:t> </w:t>
      </w:r>
      <w:r w:rsidRPr="004F5FB4">
        <w:rPr>
          <w:color w:val="000000"/>
        </w:rPr>
        <w:t>Monate bei Patienten in der Kontrollgruppe). Die Rate (95</w:t>
      </w:r>
      <w:r w:rsidR="008F33DC" w:rsidRPr="004F5FB4">
        <w:rPr>
          <w:color w:val="000000"/>
        </w:rPr>
        <w:t> </w:t>
      </w:r>
      <w:r w:rsidRPr="004F5FB4">
        <w:rPr>
          <w:color w:val="000000"/>
        </w:rPr>
        <w:t>% Konfidenzintervall) nicht melanomartiger Hauttumoren betrug 8,8</w:t>
      </w:r>
      <w:r w:rsidR="00735C41" w:rsidRPr="004F5FB4">
        <w:rPr>
          <w:color w:val="000000"/>
        </w:rPr>
        <w:t> </w:t>
      </w:r>
      <w:r w:rsidRPr="004F5FB4">
        <w:rPr>
          <w:color w:val="000000"/>
        </w:rPr>
        <w:t>(6,0; 13,0) pro 1.000</w:t>
      </w:r>
      <w:r w:rsidR="008F33DC" w:rsidRPr="004F5FB4">
        <w:rPr>
          <w:color w:val="000000"/>
        </w:rPr>
        <w:t> </w:t>
      </w:r>
      <w:r w:rsidRPr="004F5FB4">
        <w:rPr>
          <w:color w:val="000000"/>
        </w:rPr>
        <w:t>Patientenjahre bei den mit Adalimumab behandelten Patienten und 3,2 (1,3; 7,6) pro 1.000</w:t>
      </w:r>
      <w:r w:rsidR="008F33DC" w:rsidRPr="004F5FB4">
        <w:rPr>
          <w:color w:val="000000"/>
        </w:rPr>
        <w:t> </w:t>
      </w:r>
      <w:r w:rsidRPr="004F5FB4">
        <w:rPr>
          <w:color w:val="000000"/>
        </w:rPr>
        <w:t>Patientenjahre bei Kontrollpatienten. Bei diesen Hauttumoren traten Plattenepithelkarzinome mit einer Rate (95</w:t>
      </w:r>
      <w:r w:rsidR="008F33DC" w:rsidRPr="004F5FB4">
        <w:rPr>
          <w:color w:val="000000"/>
        </w:rPr>
        <w:t> </w:t>
      </w:r>
      <w:r w:rsidRPr="004F5FB4">
        <w:rPr>
          <w:color w:val="000000"/>
        </w:rPr>
        <w:t>% Konfidenzintervall) von 2,7 (1,4; 5,4) pro 1.000</w:t>
      </w:r>
      <w:r w:rsidR="008F33DC" w:rsidRPr="004F5FB4">
        <w:rPr>
          <w:color w:val="000000"/>
        </w:rPr>
        <w:t> </w:t>
      </w:r>
      <w:r w:rsidRPr="004F5FB4">
        <w:rPr>
          <w:color w:val="000000"/>
        </w:rPr>
        <w:t>Patientenjahre bei mit Adalimumab behandelten Patienten auf und 0,6 (0,1; 4,5) pro 1.000</w:t>
      </w:r>
      <w:r w:rsidR="008F33DC" w:rsidRPr="004F5FB4">
        <w:rPr>
          <w:color w:val="000000"/>
        </w:rPr>
        <w:t> </w:t>
      </w:r>
      <w:r w:rsidRPr="004F5FB4">
        <w:rPr>
          <w:color w:val="000000"/>
        </w:rPr>
        <w:t>Patientenjahre bei Kontrollpatienten. Die Rate (95</w:t>
      </w:r>
      <w:r w:rsidR="008F33DC" w:rsidRPr="004F5FB4">
        <w:rPr>
          <w:color w:val="000000"/>
        </w:rPr>
        <w:t> </w:t>
      </w:r>
      <w:r w:rsidRPr="004F5FB4">
        <w:rPr>
          <w:color w:val="000000"/>
        </w:rPr>
        <w:t>% Konfidenzintervall) für Lymphome betrug 0,7 (0,2; 2,7) pro 1.000</w:t>
      </w:r>
      <w:r w:rsidR="008F33DC" w:rsidRPr="004F5FB4">
        <w:rPr>
          <w:color w:val="000000"/>
        </w:rPr>
        <w:t> </w:t>
      </w:r>
      <w:r w:rsidRPr="004F5FB4">
        <w:rPr>
          <w:color w:val="000000"/>
        </w:rPr>
        <w:t>Patientenjahre bei mit Adalimumab behandelten Patienten und 0,6 (0,1; 4,5) pro 1.000</w:t>
      </w:r>
      <w:r w:rsidR="008F33DC" w:rsidRPr="004F5FB4">
        <w:rPr>
          <w:color w:val="000000"/>
        </w:rPr>
        <w:t> </w:t>
      </w:r>
      <w:r w:rsidRPr="004F5FB4">
        <w:rPr>
          <w:color w:val="000000"/>
        </w:rPr>
        <w:t>Patientenjahre bei Kontrollpatienten.</w:t>
      </w:r>
    </w:p>
    <w:p w14:paraId="178A6B40" w14:textId="77777777" w:rsidR="00452285" w:rsidRPr="004F5FB4" w:rsidRDefault="00452285" w:rsidP="0009685B">
      <w:pPr>
        <w:pStyle w:val="BodyText"/>
        <w:widowControl/>
        <w:kinsoku w:val="0"/>
        <w:overflowPunct w:val="0"/>
        <w:ind w:left="0"/>
        <w:rPr>
          <w:color w:val="000000"/>
        </w:rPr>
      </w:pPr>
    </w:p>
    <w:p w14:paraId="34412E5F" w14:textId="77777777" w:rsidR="00452285" w:rsidRPr="004F5FB4" w:rsidRDefault="00452285" w:rsidP="0009685B">
      <w:pPr>
        <w:pStyle w:val="BodyText"/>
        <w:widowControl/>
        <w:kinsoku w:val="0"/>
        <w:overflowPunct w:val="0"/>
        <w:ind w:left="0"/>
        <w:rPr>
          <w:color w:val="000000"/>
        </w:rPr>
      </w:pPr>
      <w:r w:rsidRPr="004F5FB4">
        <w:rPr>
          <w:color w:val="000000"/>
        </w:rPr>
        <w:t xml:space="preserve">Fasst man die kontrollierten Phasen dieser Studien und die noch andauernden und abgeschlossenen offenen </w:t>
      </w:r>
      <w:r w:rsidR="00326420" w:rsidRPr="004F5FB4">
        <w:rPr>
          <w:color w:val="000000"/>
        </w:rPr>
        <w:t>Fortsetz</w:t>
      </w:r>
      <w:r w:rsidRPr="004F5FB4">
        <w:rPr>
          <w:color w:val="000000"/>
        </w:rPr>
        <w:t>ungsstudien mit einer medianen Therapiedauer von annähernd 3,3 Jahren, 6.427</w:t>
      </w:r>
      <w:r w:rsidR="00C75B4A" w:rsidRPr="004F5FB4">
        <w:rPr>
          <w:color w:val="000000"/>
        </w:rPr>
        <w:t> </w:t>
      </w:r>
      <w:r w:rsidRPr="004F5FB4">
        <w:rPr>
          <w:color w:val="000000"/>
        </w:rPr>
        <w:t>eingeschlossenen Patienten und über 26.439 Patientenjahren zusammen, beträgt die beobachtete Rate maligner Erkrankungen, die keine Lymphome oder nicht melanomartige Hauttumoren waren, ungefähr 8,5 pro 1.000</w:t>
      </w:r>
      <w:r w:rsidR="008F33DC" w:rsidRPr="004F5FB4">
        <w:rPr>
          <w:color w:val="000000"/>
        </w:rPr>
        <w:t> </w:t>
      </w:r>
      <w:r w:rsidRPr="004F5FB4">
        <w:rPr>
          <w:color w:val="000000"/>
        </w:rPr>
        <w:t>Patientenjahre. Die beobachtete Rate nicht melanomartiger Hauttumoren beträgt annähernd 9,6 pro 1.000 Patientenjahre, und die beobachtete Rate für Lymphome beträgt annähernd 1,3 pro 1.000</w:t>
      </w:r>
      <w:r w:rsidR="008F33DC" w:rsidRPr="004F5FB4">
        <w:rPr>
          <w:color w:val="000000"/>
        </w:rPr>
        <w:t> </w:t>
      </w:r>
      <w:r w:rsidRPr="004F5FB4">
        <w:rPr>
          <w:color w:val="000000"/>
        </w:rPr>
        <w:t>Patientenjahre.</w:t>
      </w:r>
    </w:p>
    <w:p w14:paraId="439CCE39" w14:textId="77777777" w:rsidR="00452285" w:rsidRPr="004F5FB4" w:rsidRDefault="00452285" w:rsidP="0009685B">
      <w:pPr>
        <w:pStyle w:val="BodyText"/>
        <w:widowControl/>
        <w:kinsoku w:val="0"/>
        <w:overflowPunct w:val="0"/>
        <w:ind w:left="0"/>
        <w:rPr>
          <w:color w:val="000000"/>
        </w:rPr>
      </w:pPr>
    </w:p>
    <w:p w14:paraId="71A04722" w14:textId="21E432FD" w:rsidR="00452285" w:rsidRPr="004F5FB4" w:rsidRDefault="00452285" w:rsidP="0009685B">
      <w:pPr>
        <w:pStyle w:val="BodyText"/>
        <w:widowControl/>
        <w:kinsoku w:val="0"/>
        <w:overflowPunct w:val="0"/>
        <w:ind w:left="0"/>
        <w:rPr>
          <w:color w:val="000000"/>
        </w:rPr>
      </w:pPr>
      <w:r w:rsidRPr="004F5FB4">
        <w:rPr>
          <w:color w:val="000000"/>
        </w:rPr>
        <w:t>In der Zeit nach Markteinführung seit Januar</w:t>
      </w:r>
      <w:r w:rsidR="00735C41" w:rsidRPr="004F5FB4">
        <w:rPr>
          <w:color w:val="000000"/>
        </w:rPr>
        <w:t> </w:t>
      </w:r>
      <w:r w:rsidRPr="004F5FB4">
        <w:rPr>
          <w:color w:val="000000"/>
        </w:rPr>
        <w:t>2003 bis Dezember</w:t>
      </w:r>
      <w:r w:rsidR="00735C41" w:rsidRPr="004F5FB4">
        <w:rPr>
          <w:color w:val="000000"/>
        </w:rPr>
        <w:t> </w:t>
      </w:r>
      <w:r w:rsidRPr="004F5FB4">
        <w:rPr>
          <w:color w:val="000000"/>
        </w:rPr>
        <w:t xml:space="preserve">2010, vorwiegend aus Erfahrungen bei Patienten mit rheumatoider Arthritis, beträgt die </w:t>
      </w:r>
      <w:r w:rsidR="0056121D">
        <w:rPr>
          <w:color w:val="000000"/>
        </w:rPr>
        <w:t xml:space="preserve">spontan </w:t>
      </w:r>
      <w:r w:rsidRPr="004F5FB4">
        <w:rPr>
          <w:color w:val="000000"/>
        </w:rPr>
        <w:t>gemeldete Rate maligner Erkrankungen annähernd 2,7</w:t>
      </w:r>
      <w:r w:rsidR="00735C41" w:rsidRPr="004F5FB4">
        <w:rPr>
          <w:color w:val="000000"/>
        </w:rPr>
        <w:t> </w:t>
      </w:r>
      <w:r w:rsidRPr="004F5FB4">
        <w:rPr>
          <w:color w:val="000000"/>
        </w:rPr>
        <w:t>pro 1.000</w:t>
      </w:r>
      <w:r w:rsidR="008F33DC" w:rsidRPr="004F5FB4">
        <w:rPr>
          <w:color w:val="000000"/>
        </w:rPr>
        <w:t> </w:t>
      </w:r>
      <w:r w:rsidRPr="004F5FB4">
        <w:rPr>
          <w:color w:val="000000"/>
        </w:rPr>
        <w:t xml:space="preserve">Patientenjahre mit Behandlung. Für nicht melanomartige Hauttumoren und für Lymphome wurden </w:t>
      </w:r>
      <w:r w:rsidR="0056121D">
        <w:rPr>
          <w:color w:val="000000"/>
        </w:rPr>
        <w:t xml:space="preserve">spontan </w:t>
      </w:r>
      <w:r w:rsidRPr="004F5FB4">
        <w:rPr>
          <w:color w:val="000000"/>
        </w:rPr>
        <w:t>Raten von annähernd 0,2 bzw. 0,3</w:t>
      </w:r>
      <w:r w:rsidR="00735C41" w:rsidRPr="004F5FB4">
        <w:rPr>
          <w:color w:val="000000"/>
        </w:rPr>
        <w:t> </w:t>
      </w:r>
      <w:r w:rsidRPr="004F5FB4">
        <w:rPr>
          <w:color w:val="000000"/>
        </w:rPr>
        <w:t>pro 1.000</w:t>
      </w:r>
      <w:r w:rsidR="008F33DC" w:rsidRPr="004F5FB4">
        <w:rPr>
          <w:color w:val="000000"/>
        </w:rPr>
        <w:t> </w:t>
      </w:r>
      <w:r w:rsidRPr="004F5FB4">
        <w:rPr>
          <w:color w:val="000000"/>
        </w:rPr>
        <w:t>Patientenjahre mit Behandlung gemeldet (siehe Abschnitt</w:t>
      </w:r>
      <w:r w:rsidR="00735C41" w:rsidRPr="004F5FB4">
        <w:rPr>
          <w:color w:val="000000"/>
        </w:rPr>
        <w:t> </w:t>
      </w:r>
      <w:r w:rsidRPr="004F5FB4">
        <w:rPr>
          <w:color w:val="000000"/>
        </w:rPr>
        <w:t>4.4).</w:t>
      </w:r>
    </w:p>
    <w:p w14:paraId="2CD5C8CE" w14:textId="77777777" w:rsidR="00452285" w:rsidRPr="004F5FB4" w:rsidRDefault="00452285" w:rsidP="0009685B">
      <w:pPr>
        <w:pStyle w:val="BodyText"/>
        <w:widowControl/>
        <w:kinsoku w:val="0"/>
        <w:overflowPunct w:val="0"/>
        <w:ind w:left="0"/>
        <w:rPr>
          <w:color w:val="000000"/>
        </w:rPr>
      </w:pPr>
    </w:p>
    <w:p w14:paraId="20855E94" w14:textId="77777777" w:rsidR="00452285" w:rsidRPr="004F5FB4" w:rsidRDefault="00452285" w:rsidP="0009685B">
      <w:pPr>
        <w:pStyle w:val="BodyText"/>
        <w:widowControl/>
        <w:kinsoku w:val="0"/>
        <w:overflowPunct w:val="0"/>
        <w:ind w:left="0" w:hanging="1"/>
        <w:rPr>
          <w:color w:val="000000"/>
        </w:rPr>
      </w:pPr>
      <w:r w:rsidRPr="004F5FB4">
        <w:rPr>
          <w:color w:val="000000"/>
        </w:rPr>
        <w:t>Nach Markteinführung wurden bei Patienten, die mit Adalimumab behandelt wurden, seltene Fälle von hepatosplenalen T-Zell-Lymphomen berichtet (siehe Abschnitt</w:t>
      </w:r>
      <w:r w:rsidR="008F33DC" w:rsidRPr="004F5FB4">
        <w:rPr>
          <w:color w:val="000000"/>
        </w:rPr>
        <w:t> </w:t>
      </w:r>
      <w:r w:rsidRPr="004F5FB4">
        <w:rPr>
          <w:color w:val="000000"/>
        </w:rPr>
        <w:t>4.4).</w:t>
      </w:r>
    </w:p>
    <w:p w14:paraId="378A2224" w14:textId="77777777" w:rsidR="00452285" w:rsidRPr="004F5FB4" w:rsidRDefault="00452285" w:rsidP="0009685B">
      <w:pPr>
        <w:pStyle w:val="BodyText"/>
        <w:widowControl/>
        <w:kinsoku w:val="0"/>
        <w:overflowPunct w:val="0"/>
        <w:ind w:left="0"/>
        <w:rPr>
          <w:color w:val="000000"/>
        </w:rPr>
      </w:pPr>
    </w:p>
    <w:p w14:paraId="494C98C4" w14:textId="77777777" w:rsidR="00452285" w:rsidRPr="004F5FB4" w:rsidRDefault="00452285" w:rsidP="0009685B">
      <w:pPr>
        <w:pStyle w:val="BodyText"/>
        <w:keepNext/>
        <w:widowControl/>
        <w:kinsoku w:val="0"/>
        <w:overflowPunct w:val="0"/>
        <w:ind w:left="0"/>
        <w:rPr>
          <w:color w:val="000000"/>
        </w:rPr>
      </w:pPr>
      <w:r w:rsidRPr="004F5FB4">
        <w:rPr>
          <w:i/>
          <w:iCs/>
          <w:color w:val="000000"/>
        </w:rPr>
        <w:t>Autoantikörper</w:t>
      </w:r>
    </w:p>
    <w:p w14:paraId="1A8D814E" w14:textId="77777777" w:rsidR="00452285" w:rsidRPr="004F5FB4" w:rsidRDefault="00452285" w:rsidP="0009685B">
      <w:pPr>
        <w:pStyle w:val="BodyText"/>
        <w:keepNext/>
        <w:widowControl/>
        <w:kinsoku w:val="0"/>
        <w:overflowPunct w:val="0"/>
        <w:ind w:left="0"/>
        <w:rPr>
          <w:i/>
          <w:iCs/>
          <w:color w:val="000000"/>
          <w:szCs w:val="21"/>
        </w:rPr>
      </w:pPr>
    </w:p>
    <w:p w14:paraId="41A6489B" w14:textId="77777777" w:rsidR="00452285" w:rsidRPr="004F5FB4" w:rsidRDefault="00452285" w:rsidP="0009685B">
      <w:pPr>
        <w:pStyle w:val="BodyText"/>
        <w:widowControl/>
        <w:kinsoku w:val="0"/>
        <w:overflowPunct w:val="0"/>
        <w:ind w:left="0"/>
        <w:rPr>
          <w:color w:val="000000"/>
        </w:rPr>
      </w:pPr>
      <w:r w:rsidRPr="004F5FB4">
        <w:rPr>
          <w:color w:val="000000"/>
        </w:rPr>
        <w:t xml:space="preserve">In den Studien I – V bei rheumatoider Arthritis wurden zu mehreren Zeitpunkten Serumproben von Patienten auf Autoantikörper untersucht. Von denjenigen Patienten, die in diesen Studien bei </w:t>
      </w:r>
      <w:r w:rsidRPr="004F5FB4">
        <w:rPr>
          <w:color w:val="000000"/>
        </w:rPr>
        <w:lastRenderedPageBreak/>
        <w:t>Behandlungsbeginn negative Titer für antinukleäre Antikörper hatten, wiesen 11,9</w:t>
      </w:r>
      <w:r w:rsidR="008455FE" w:rsidRPr="004F5FB4">
        <w:rPr>
          <w:color w:val="000000"/>
        </w:rPr>
        <w:t> </w:t>
      </w:r>
      <w:r w:rsidRPr="004F5FB4">
        <w:rPr>
          <w:color w:val="000000"/>
        </w:rPr>
        <w:t>% der mit Adalimumab behandelten Patienten und 8,1 % der Patienten unter Placebo und aktiver Kontrolle in Woche</w:t>
      </w:r>
      <w:r w:rsidR="00735C41" w:rsidRPr="004F5FB4">
        <w:rPr>
          <w:color w:val="000000"/>
        </w:rPr>
        <w:t> </w:t>
      </w:r>
      <w:r w:rsidRPr="004F5FB4">
        <w:rPr>
          <w:color w:val="000000"/>
        </w:rPr>
        <w:t>24 positive Titer auf. Zwei von 3.441</w:t>
      </w:r>
      <w:r w:rsidR="00735C41" w:rsidRPr="004F5FB4">
        <w:rPr>
          <w:color w:val="000000"/>
        </w:rPr>
        <w:t> </w:t>
      </w:r>
      <w:r w:rsidRPr="004F5FB4">
        <w:rPr>
          <w:color w:val="000000"/>
        </w:rPr>
        <w:t>mit Adalimumab behandelte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233C2FC9" w14:textId="77777777" w:rsidR="00452285" w:rsidRPr="004F5FB4" w:rsidRDefault="00452285" w:rsidP="0009685B">
      <w:pPr>
        <w:pStyle w:val="BodyText"/>
        <w:widowControl/>
        <w:kinsoku w:val="0"/>
        <w:overflowPunct w:val="0"/>
        <w:ind w:left="0"/>
        <w:rPr>
          <w:color w:val="000000"/>
        </w:rPr>
      </w:pPr>
    </w:p>
    <w:p w14:paraId="570204D0" w14:textId="77777777" w:rsidR="00452285" w:rsidRPr="004F5FB4" w:rsidRDefault="00452285" w:rsidP="0009685B">
      <w:pPr>
        <w:pStyle w:val="BodyText"/>
        <w:keepNext/>
        <w:widowControl/>
        <w:kinsoku w:val="0"/>
        <w:overflowPunct w:val="0"/>
        <w:ind w:left="0"/>
        <w:rPr>
          <w:color w:val="000000"/>
        </w:rPr>
      </w:pPr>
      <w:r w:rsidRPr="004F5FB4">
        <w:rPr>
          <w:i/>
          <w:iCs/>
          <w:color w:val="000000"/>
        </w:rPr>
        <w:t>Hepatobiliäre Ereignisse</w:t>
      </w:r>
    </w:p>
    <w:p w14:paraId="037F94C1" w14:textId="77777777" w:rsidR="00452285" w:rsidRPr="004F5FB4" w:rsidRDefault="00452285" w:rsidP="0009685B">
      <w:pPr>
        <w:pStyle w:val="BodyText"/>
        <w:keepNext/>
        <w:widowControl/>
        <w:kinsoku w:val="0"/>
        <w:overflowPunct w:val="0"/>
        <w:ind w:left="0"/>
        <w:rPr>
          <w:i/>
          <w:iCs/>
          <w:color w:val="000000"/>
          <w:szCs w:val="21"/>
        </w:rPr>
      </w:pPr>
    </w:p>
    <w:p w14:paraId="507A66E3" w14:textId="77777777" w:rsidR="00452285" w:rsidRPr="004F5FB4" w:rsidRDefault="00452285" w:rsidP="0009685B">
      <w:pPr>
        <w:pStyle w:val="BodyText"/>
        <w:widowControl/>
        <w:kinsoku w:val="0"/>
        <w:overflowPunct w:val="0"/>
        <w:ind w:left="0"/>
        <w:rPr>
          <w:color w:val="000000"/>
        </w:rPr>
      </w:pPr>
      <w:r w:rsidRPr="004F5FB4">
        <w:rPr>
          <w:color w:val="000000"/>
        </w:rPr>
        <w:t>In den kontrollierten klinischen Phase-III-Studien zu Adalimumab bei Patienten mit rheumatoider Arthritis bzw. Psoriasis-Arthritis ergaben sich in einem Überwachungszeitraum von 4 bis 104</w:t>
      </w:r>
      <w:r w:rsidR="00735C41" w:rsidRPr="004F5FB4">
        <w:rPr>
          <w:color w:val="000000"/>
        </w:rPr>
        <w:t> </w:t>
      </w:r>
      <w:r w:rsidRPr="004F5FB4">
        <w:rPr>
          <w:color w:val="000000"/>
        </w:rPr>
        <w:t>Wochen Erhöhungen der ALT-Werte um ≥</w:t>
      </w:r>
      <w:r w:rsidR="00735C41" w:rsidRPr="004F5FB4">
        <w:rPr>
          <w:color w:val="000000"/>
        </w:rPr>
        <w:t> </w:t>
      </w:r>
      <w:r w:rsidRPr="004F5FB4">
        <w:rPr>
          <w:color w:val="000000"/>
        </w:rPr>
        <w:t>3</w:t>
      </w:r>
      <w:r w:rsidR="00735C41" w:rsidRPr="004F5FB4">
        <w:rPr>
          <w:color w:val="000000"/>
        </w:rPr>
        <w:t> </w:t>
      </w:r>
      <w:r w:rsidRPr="004F5FB4">
        <w:rPr>
          <w:color w:val="000000"/>
        </w:rPr>
        <w:t>x</w:t>
      </w:r>
      <w:r w:rsidR="00735C41" w:rsidRPr="004F5FB4">
        <w:rPr>
          <w:color w:val="000000"/>
        </w:rPr>
        <w:t> </w:t>
      </w:r>
      <w:r w:rsidRPr="004F5FB4">
        <w:rPr>
          <w:color w:val="000000"/>
        </w:rPr>
        <w:t>ULN (oberer Normbereich) bei 3,7 % der mit Adalimumab behandelten Patienten und bei 1,6 % der Patienten der Kontrollgruppe.</w:t>
      </w:r>
    </w:p>
    <w:p w14:paraId="02C9E3D7" w14:textId="77777777" w:rsidR="00452285" w:rsidRPr="004F5FB4" w:rsidRDefault="00452285" w:rsidP="0009685B">
      <w:pPr>
        <w:pStyle w:val="BodyText"/>
        <w:widowControl/>
        <w:kinsoku w:val="0"/>
        <w:overflowPunct w:val="0"/>
        <w:ind w:left="0"/>
        <w:rPr>
          <w:color w:val="000000"/>
          <w:szCs w:val="21"/>
        </w:rPr>
      </w:pPr>
    </w:p>
    <w:p w14:paraId="16366CA0" w14:textId="77777777" w:rsidR="00452285" w:rsidRPr="004F5FB4" w:rsidRDefault="00452285" w:rsidP="0009685B">
      <w:pPr>
        <w:pStyle w:val="BodyText"/>
        <w:widowControl/>
        <w:kinsoku w:val="0"/>
        <w:overflowPunct w:val="0"/>
        <w:ind w:left="0"/>
        <w:rPr>
          <w:color w:val="000000"/>
        </w:rPr>
      </w:pPr>
      <w:r w:rsidRPr="004F5FB4">
        <w:rPr>
          <w:color w:val="000000"/>
        </w:rPr>
        <w:t>In den kontrollierten klinischen Phase-III-Studien zu Adalimumab ergaben sich bei Patienten mit polyartikulärer juveniler idiopathischer Arthritis, die zwischen 4 und 17 Jahren alt waren, und bei Patienten mit Enthesitis-assoziierter Arthritis, die zwischen 6 und 17 Jahren alt waren, Erhöhungen der ALT-Werte um ≥</w:t>
      </w:r>
      <w:r w:rsidR="00402F33" w:rsidRPr="004F5FB4">
        <w:rPr>
          <w:color w:val="000000"/>
        </w:rPr>
        <w:t> </w:t>
      </w:r>
      <w:r w:rsidRPr="004F5FB4">
        <w:rPr>
          <w:color w:val="000000"/>
        </w:rPr>
        <w:t>3</w:t>
      </w:r>
      <w:r w:rsidR="00402F33" w:rsidRPr="004F5FB4">
        <w:rPr>
          <w:color w:val="000000"/>
        </w:rPr>
        <w:t> </w:t>
      </w:r>
      <w:r w:rsidRPr="004F5FB4">
        <w:rPr>
          <w:color w:val="000000"/>
        </w:rPr>
        <w:t>x</w:t>
      </w:r>
      <w:r w:rsidR="00402F33" w:rsidRPr="004F5FB4">
        <w:rPr>
          <w:color w:val="000000"/>
        </w:rPr>
        <w:t> </w:t>
      </w:r>
      <w:r w:rsidRPr="004F5FB4">
        <w:rPr>
          <w:color w:val="000000"/>
        </w:rPr>
        <w:t>ULN bei 6,1 % der mit Adalimumab behandelten Patienten und bei 1,3 % der Patienten der Kontrollgruppe. Die meisten ALT-Erhöhungen traten bei gleichzeitiger Anwendung von Methotrexat auf. In der Phase-III-Studie zu Adalimumab kamen keine ALT-Erhöhungen ≥ 3</w:t>
      </w:r>
      <w:r w:rsidR="00735C41" w:rsidRPr="004F5FB4">
        <w:rPr>
          <w:color w:val="000000"/>
        </w:rPr>
        <w:t> </w:t>
      </w:r>
      <w:r w:rsidRPr="004F5FB4">
        <w:rPr>
          <w:color w:val="000000"/>
        </w:rPr>
        <w:t>x</w:t>
      </w:r>
      <w:r w:rsidR="00735C41" w:rsidRPr="004F5FB4">
        <w:rPr>
          <w:color w:val="000000"/>
        </w:rPr>
        <w:t> </w:t>
      </w:r>
      <w:r w:rsidRPr="004F5FB4">
        <w:rPr>
          <w:color w:val="000000"/>
        </w:rPr>
        <w:t>ULN bei Patienten mit polyartikulärer juveniler idiopathischer Arthritis vor, die zwischen 2 und &lt; 4 Jahre alt waren.</w:t>
      </w:r>
    </w:p>
    <w:p w14:paraId="40F1EE79" w14:textId="77777777" w:rsidR="00452285" w:rsidRPr="004F5FB4" w:rsidRDefault="00452285" w:rsidP="0009685B">
      <w:pPr>
        <w:pStyle w:val="BodyText"/>
        <w:widowControl/>
        <w:kinsoku w:val="0"/>
        <w:overflowPunct w:val="0"/>
        <w:ind w:left="0"/>
        <w:rPr>
          <w:color w:val="000000"/>
        </w:rPr>
      </w:pPr>
    </w:p>
    <w:p w14:paraId="1C567937" w14:textId="77777777" w:rsidR="00452285" w:rsidRPr="004F5FB4" w:rsidRDefault="00452285" w:rsidP="0009685B">
      <w:pPr>
        <w:pStyle w:val="BodyText"/>
        <w:widowControl/>
        <w:kinsoku w:val="0"/>
        <w:overflowPunct w:val="0"/>
        <w:ind w:left="0"/>
        <w:rPr>
          <w:color w:val="000000"/>
        </w:rPr>
      </w:pPr>
      <w:r w:rsidRPr="004F5FB4">
        <w:rPr>
          <w:color w:val="000000"/>
        </w:rPr>
        <w:t>In den kontrollierten klinischen Phase-III-Studien zu Adalimumab bei Patienten mit Morbus Crohn bzw. Colitis ulcerosa ergaben sich in einem Überwachungszeitraum von 4 bis 52</w:t>
      </w:r>
      <w:r w:rsidR="00705B16" w:rsidRPr="004F5FB4">
        <w:rPr>
          <w:color w:val="000000"/>
        </w:rPr>
        <w:t> </w:t>
      </w:r>
      <w:r w:rsidRPr="004F5FB4">
        <w:rPr>
          <w:color w:val="000000"/>
        </w:rPr>
        <w:t>Wochen Erhöhungen der ALT-Werte um ≥ 3 x ULN bei 0,9 % der mit Adalimumab behandelten Patienten und bei 0,9 % der Patienten der Kontrollgruppe.</w:t>
      </w:r>
    </w:p>
    <w:p w14:paraId="3C7503FA" w14:textId="77777777" w:rsidR="00B60C60" w:rsidRPr="004F5FB4" w:rsidRDefault="00B60C60" w:rsidP="0009685B">
      <w:pPr>
        <w:pStyle w:val="BodyText"/>
        <w:widowControl/>
        <w:kinsoku w:val="0"/>
        <w:overflowPunct w:val="0"/>
        <w:ind w:left="0"/>
        <w:rPr>
          <w:color w:val="000000"/>
        </w:rPr>
      </w:pPr>
    </w:p>
    <w:p w14:paraId="70267538" w14:textId="77777777" w:rsidR="00452285" w:rsidRPr="004F5FB4" w:rsidRDefault="00452285" w:rsidP="0009685B">
      <w:pPr>
        <w:pStyle w:val="BodyText"/>
        <w:widowControl/>
        <w:kinsoku w:val="0"/>
        <w:overflowPunct w:val="0"/>
        <w:ind w:left="0"/>
        <w:rPr>
          <w:color w:val="000000"/>
        </w:rPr>
      </w:pPr>
      <w:r w:rsidRPr="004F5FB4">
        <w:rPr>
          <w:color w:val="000000"/>
        </w:rPr>
        <w:t>In der klinischen Phase-III-Studie zu Adalimumab bei Kindern und Jugendlichen mit Morbus Crohn wurden Wirksamkeit und Sicherheit von zwei körpergewichtsadaptierten remissionserhaltenden Therapien nach erfolgter körpergewichtsadaptierter Induktionstherapie über 52 Behandlungswochen untersucht. Es ergaben sich Erhöhungen der ALT-Werte ≥ 3</w:t>
      </w:r>
      <w:r w:rsidR="00705B16" w:rsidRPr="004F5FB4">
        <w:rPr>
          <w:color w:val="000000"/>
        </w:rPr>
        <w:t> </w:t>
      </w:r>
      <w:r w:rsidRPr="004F5FB4">
        <w:rPr>
          <w:color w:val="000000"/>
        </w:rPr>
        <w:t>x</w:t>
      </w:r>
      <w:r w:rsidR="00705B16" w:rsidRPr="004F5FB4">
        <w:rPr>
          <w:color w:val="000000"/>
        </w:rPr>
        <w:t> </w:t>
      </w:r>
      <w:r w:rsidRPr="004F5FB4">
        <w:rPr>
          <w:color w:val="000000"/>
        </w:rPr>
        <w:t>ULN bei 2,6 % (5 von 192) der Patienten. 4</w:t>
      </w:r>
      <w:r w:rsidR="00705B16" w:rsidRPr="004F5FB4">
        <w:rPr>
          <w:color w:val="000000"/>
        </w:rPr>
        <w:t> </w:t>
      </w:r>
      <w:r w:rsidRPr="004F5FB4">
        <w:rPr>
          <w:color w:val="000000"/>
        </w:rPr>
        <w:t>der Patienten erhielten zu Therapiebeginn begleitend Immunsuppressiva.</w:t>
      </w:r>
    </w:p>
    <w:p w14:paraId="0E6BD8A9" w14:textId="77777777" w:rsidR="00452285" w:rsidRPr="004F5FB4" w:rsidRDefault="00452285" w:rsidP="0009685B">
      <w:pPr>
        <w:pStyle w:val="BodyText"/>
        <w:widowControl/>
        <w:kinsoku w:val="0"/>
        <w:overflowPunct w:val="0"/>
        <w:ind w:left="0"/>
        <w:rPr>
          <w:color w:val="000000"/>
          <w:szCs w:val="21"/>
        </w:rPr>
      </w:pPr>
    </w:p>
    <w:p w14:paraId="5A6393D9" w14:textId="77777777" w:rsidR="00452285" w:rsidRPr="004F5FB4" w:rsidRDefault="00452285" w:rsidP="0009685B">
      <w:pPr>
        <w:pStyle w:val="BodyText"/>
        <w:widowControl/>
        <w:kinsoku w:val="0"/>
        <w:overflowPunct w:val="0"/>
        <w:ind w:left="0"/>
        <w:rPr>
          <w:color w:val="000000"/>
        </w:rPr>
      </w:pPr>
      <w:r w:rsidRPr="004F5FB4">
        <w:rPr>
          <w:color w:val="000000"/>
        </w:rPr>
        <w:t>In den kontrollierten klinischen Phase-III-Studien zu Adalimumab bei Patienten mit Plaque-Psoriasis ergaben sich in einem Überwachungszeitraum von 12 bis 24</w:t>
      </w:r>
      <w:r w:rsidR="00705B16" w:rsidRPr="004F5FB4">
        <w:rPr>
          <w:color w:val="000000"/>
        </w:rPr>
        <w:t> </w:t>
      </w:r>
      <w:r w:rsidRPr="004F5FB4">
        <w:rPr>
          <w:color w:val="000000"/>
        </w:rPr>
        <w:t>Wochen Erhöhungen der ALT-Werte um ≥</w:t>
      </w:r>
      <w:r w:rsidR="00402F33" w:rsidRPr="004F5FB4">
        <w:rPr>
          <w:color w:val="000000"/>
        </w:rPr>
        <w:t> </w:t>
      </w:r>
      <w:r w:rsidRPr="004F5FB4">
        <w:rPr>
          <w:color w:val="000000"/>
        </w:rPr>
        <w:t>3</w:t>
      </w:r>
      <w:r w:rsidR="00402F33" w:rsidRPr="004F5FB4">
        <w:rPr>
          <w:color w:val="000000"/>
        </w:rPr>
        <w:t> </w:t>
      </w:r>
      <w:r w:rsidRPr="004F5FB4">
        <w:rPr>
          <w:color w:val="000000"/>
        </w:rPr>
        <w:t>x</w:t>
      </w:r>
      <w:r w:rsidR="00402F33" w:rsidRPr="004F5FB4">
        <w:rPr>
          <w:color w:val="000000"/>
        </w:rPr>
        <w:t> </w:t>
      </w:r>
      <w:r w:rsidRPr="004F5FB4">
        <w:rPr>
          <w:color w:val="000000"/>
        </w:rPr>
        <w:t>ULN bei 1,8 % der mit Adalimumab behandelten Patienten und bei 1,8 % der Patienten der Kontrollgruppe.</w:t>
      </w:r>
    </w:p>
    <w:p w14:paraId="392BDE79" w14:textId="77777777" w:rsidR="00452285" w:rsidRPr="004F5FB4" w:rsidRDefault="00452285" w:rsidP="0009685B">
      <w:pPr>
        <w:pStyle w:val="BodyText"/>
        <w:widowControl/>
        <w:kinsoku w:val="0"/>
        <w:overflowPunct w:val="0"/>
        <w:ind w:left="0"/>
        <w:rPr>
          <w:color w:val="000000"/>
          <w:szCs w:val="21"/>
        </w:rPr>
      </w:pPr>
    </w:p>
    <w:p w14:paraId="63029E59" w14:textId="77777777" w:rsidR="00452285" w:rsidRPr="004F5FB4" w:rsidRDefault="00452285" w:rsidP="0009685B">
      <w:pPr>
        <w:pStyle w:val="BodyText"/>
        <w:widowControl/>
        <w:kinsoku w:val="0"/>
        <w:overflowPunct w:val="0"/>
        <w:ind w:left="0"/>
        <w:rPr>
          <w:color w:val="000000"/>
        </w:rPr>
      </w:pPr>
      <w:r w:rsidRPr="004F5FB4">
        <w:rPr>
          <w:color w:val="000000"/>
        </w:rPr>
        <w:t xml:space="preserve">In der Phase-III-Studie zu Adalimumab bei </w:t>
      </w:r>
      <w:r w:rsidR="004664CA" w:rsidRPr="004F5FB4">
        <w:rPr>
          <w:color w:val="000000"/>
        </w:rPr>
        <w:t xml:space="preserve">Kindern und Jugendlichen </w:t>
      </w:r>
      <w:r w:rsidRPr="004F5FB4">
        <w:rPr>
          <w:color w:val="000000"/>
        </w:rPr>
        <w:t>mit Plaque-Psoriasis kam es zu keinen ALT-Erhöhungen ≥ 3x</w:t>
      </w:r>
      <w:r w:rsidR="00402F33" w:rsidRPr="004F5FB4">
        <w:rPr>
          <w:color w:val="000000"/>
        </w:rPr>
        <w:t> </w:t>
      </w:r>
      <w:r w:rsidRPr="004F5FB4">
        <w:rPr>
          <w:color w:val="000000"/>
        </w:rPr>
        <w:t>ULN.</w:t>
      </w:r>
    </w:p>
    <w:p w14:paraId="7681A6BA" w14:textId="77777777" w:rsidR="00452285" w:rsidRPr="004F5FB4" w:rsidRDefault="00452285" w:rsidP="0009685B">
      <w:pPr>
        <w:pStyle w:val="BodyText"/>
        <w:widowControl/>
        <w:kinsoku w:val="0"/>
        <w:overflowPunct w:val="0"/>
        <w:ind w:left="0"/>
        <w:rPr>
          <w:color w:val="000000"/>
        </w:rPr>
      </w:pPr>
    </w:p>
    <w:p w14:paraId="66E62B13" w14:textId="77777777" w:rsidR="00452285" w:rsidRPr="004F5FB4" w:rsidRDefault="00452285" w:rsidP="0009685B">
      <w:pPr>
        <w:pStyle w:val="BodyText"/>
        <w:widowControl/>
        <w:kinsoku w:val="0"/>
        <w:overflowPunct w:val="0"/>
        <w:ind w:left="0"/>
        <w:rPr>
          <w:color w:val="000000"/>
        </w:rPr>
      </w:pPr>
      <w:r w:rsidRPr="004F5FB4">
        <w:rPr>
          <w:color w:val="000000"/>
        </w:rPr>
        <w:t>In kontrollierten Studien zu Adalimumab (Anfangsdosen von 80 mg in Woche 0, gefolgt von 40 mg alle zwei Wochen ab Woche 1) bei erwachsenen Patienten mit Uveitis ergaben sich in einem Überwachungszeitraum von bis zu 80</w:t>
      </w:r>
      <w:r w:rsidR="008455FE" w:rsidRPr="004F5FB4">
        <w:rPr>
          <w:color w:val="000000"/>
        </w:rPr>
        <w:t> </w:t>
      </w:r>
      <w:r w:rsidRPr="004F5FB4">
        <w:rPr>
          <w:color w:val="000000"/>
        </w:rPr>
        <w:t>Wochen mit einer Behandlungszeit im Median von 166,5</w:t>
      </w:r>
      <w:r w:rsidR="00402F33" w:rsidRPr="004F5FB4">
        <w:rPr>
          <w:color w:val="000000"/>
        </w:rPr>
        <w:t> </w:t>
      </w:r>
      <w:r w:rsidRPr="004F5FB4">
        <w:rPr>
          <w:color w:val="000000"/>
        </w:rPr>
        <w:t>Tagen bei den mit Adalimumab behandelten Patienten bzw. 105,0</w:t>
      </w:r>
      <w:r w:rsidR="00402F33" w:rsidRPr="004F5FB4">
        <w:rPr>
          <w:color w:val="000000"/>
        </w:rPr>
        <w:t> </w:t>
      </w:r>
      <w:r w:rsidRPr="004F5FB4">
        <w:rPr>
          <w:color w:val="000000"/>
        </w:rPr>
        <w:t>Tagen bei den Patienten der Kontrollgruppe ALT-Erhöhungen um ≥</w:t>
      </w:r>
      <w:r w:rsidR="00402F33" w:rsidRPr="004F5FB4">
        <w:rPr>
          <w:color w:val="000000"/>
        </w:rPr>
        <w:t> </w:t>
      </w:r>
      <w:r w:rsidRPr="004F5FB4">
        <w:rPr>
          <w:color w:val="000000"/>
        </w:rPr>
        <w:t>3</w:t>
      </w:r>
      <w:r w:rsidR="00402F33" w:rsidRPr="004F5FB4">
        <w:rPr>
          <w:color w:val="000000"/>
        </w:rPr>
        <w:t> </w:t>
      </w:r>
      <w:r w:rsidRPr="004F5FB4">
        <w:rPr>
          <w:color w:val="000000"/>
        </w:rPr>
        <w:t>x</w:t>
      </w:r>
      <w:r w:rsidR="00402F33" w:rsidRPr="004F5FB4">
        <w:rPr>
          <w:color w:val="000000"/>
        </w:rPr>
        <w:t> </w:t>
      </w:r>
      <w:r w:rsidRPr="004F5FB4">
        <w:rPr>
          <w:color w:val="000000"/>
        </w:rPr>
        <w:t>ULN bei 2,4 % der mit Adalimumab behandelten Patienten und bei 2,4 % der Kontrollgruppe.</w:t>
      </w:r>
    </w:p>
    <w:p w14:paraId="270F5B56" w14:textId="77777777" w:rsidR="00452285" w:rsidRPr="004F5FB4" w:rsidRDefault="00452285" w:rsidP="0009685B">
      <w:pPr>
        <w:pStyle w:val="BodyText"/>
        <w:widowControl/>
        <w:kinsoku w:val="0"/>
        <w:overflowPunct w:val="0"/>
        <w:ind w:left="0"/>
        <w:rPr>
          <w:color w:val="000000"/>
        </w:rPr>
      </w:pPr>
    </w:p>
    <w:p w14:paraId="132FA725" w14:textId="77777777" w:rsidR="00452285" w:rsidRPr="004F5FB4" w:rsidRDefault="00452285" w:rsidP="0009685B">
      <w:pPr>
        <w:pStyle w:val="BodyText"/>
        <w:widowControl/>
        <w:kinsoku w:val="0"/>
        <w:overflowPunct w:val="0"/>
        <w:ind w:left="0"/>
        <w:rPr>
          <w:color w:val="000000"/>
        </w:rPr>
      </w:pPr>
      <w:r w:rsidRPr="004F5FB4">
        <w:rPr>
          <w:color w:val="000000"/>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262BF30F" w14:textId="77777777" w:rsidR="00452285" w:rsidRPr="004F5FB4" w:rsidRDefault="00452285" w:rsidP="0009685B">
      <w:pPr>
        <w:pStyle w:val="BodyText"/>
        <w:widowControl/>
        <w:kinsoku w:val="0"/>
        <w:overflowPunct w:val="0"/>
        <w:ind w:left="0"/>
        <w:rPr>
          <w:color w:val="000000"/>
        </w:rPr>
      </w:pPr>
    </w:p>
    <w:p w14:paraId="7F185E43" w14:textId="77777777" w:rsidR="00452285" w:rsidRPr="004F5FB4" w:rsidRDefault="00452285" w:rsidP="0009685B">
      <w:pPr>
        <w:pStyle w:val="BodyText"/>
        <w:keepNext/>
        <w:widowControl/>
        <w:kinsoku w:val="0"/>
        <w:overflowPunct w:val="0"/>
        <w:ind w:left="0"/>
        <w:rPr>
          <w:color w:val="000000"/>
        </w:rPr>
      </w:pPr>
      <w:r w:rsidRPr="004F5FB4">
        <w:rPr>
          <w:color w:val="000000"/>
          <w:u w:val="single"/>
        </w:rPr>
        <w:lastRenderedPageBreak/>
        <w:t>Kombinationstherapie mit Azathioprin/</w:t>
      </w:r>
      <w:r w:rsidR="008455FE" w:rsidRPr="004F5FB4">
        <w:rPr>
          <w:color w:val="000000"/>
          <w:u w:val="single"/>
        </w:rPr>
        <w:t xml:space="preserve"> </w:t>
      </w:r>
      <w:r w:rsidRPr="004F5FB4">
        <w:rPr>
          <w:color w:val="000000"/>
          <w:u w:val="single"/>
        </w:rPr>
        <w:t>6-Mercaptopurin</w:t>
      </w:r>
    </w:p>
    <w:p w14:paraId="64E52C0B" w14:textId="77777777" w:rsidR="00452285" w:rsidRPr="004F5FB4" w:rsidRDefault="00452285" w:rsidP="0009685B">
      <w:pPr>
        <w:pStyle w:val="BodyText"/>
        <w:keepNext/>
        <w:widowControl/>
        <w:kinsoku w:val="0"/>
        <w:overflowPunct w:val="0"/>
        <w:ind w:left="0"/>
        <w:rPr>
          <w:color w:val="000000"/>
        </w:rPr>
      </w:pPr>
    </w:p>
    <w:p w14:paraId="46D79E01" w14:textId="77777777" w:rsidR="00452285" w:rsidRPr="004F5FB4" w:rsidRDefault="00452285" w:rsidP="00054A92">
      <w:pPr>
        <w:pStyle w:val="BodyText"/>
        <w:widowControl/>
        <w:kinsoku w:val="0"/>
        <w:overflowPunct w:val="0"/>
        <w:ind w:left="0"/>
        <w:rPr>
          <w:color w:val="000000"/>
        </w:rPr>
      </w:pPr>
      <w:r w:rsidRPr="004F5FB4">
        <w:rPr>
          <w:color w:val="000000"/>
        </w:rPr>
        <w:t>In den Studien mit erwachsenen Morbus-Crohn-Patienten war bei Kombination von Adalimumab mit Azathioprin/</w:t>
      </w:r>
      <w:r w:rsidR="008455FE" w:rsidRPr="004F5FB4">
        <w:rPr>
          <w:color w:val="000000"/>
        </w:rPr>
        <w:t xml:space="preserve"> </w:t>
      </w:r>
      <w:r w:rsidRPr="004F5FB4">
        <w:rPr>
          <w:color w:val="000000"/>
        </w:rPr>
        <w:t>6-Mercaptopurin die Inzidenz maligner und schwerwiegender infektiöser Nebenwirkungen im Vergleich zur Adalimumab-Monotherapie höher.</w:t>
      </w:r>
    </w:p>
    <w:p w14:paraId="58D55771" w14:textId="77777777" w:rsidR="00452285" w:rsidRPr="004F5FB4" w:rsidRDefault="00452285" w:rsidP="0009685B">
      <w:pPr>
        <w:pStyle w:val="BodyText"/>
        <w:widowControl/>
        <w:kinsoku w:val="0"/>
        <w:overflowPunct w:val="0"/>
        <w:ind w:left="0"/>
        <w:rPr>
          <w:color w:val="000000"/>
        </w:rPr>
      </w:pPr>
    </w:p>
    <w:p w14:paraId="0B88640B" w14:textId="77777777" w:rsidR="00452285" w:rsidRPr="004F5FB4" w:rsidRDefault="00452285" w:rsidP="0009685B">
      <w:pPr>
        <w:pStyle w:val="BodyText"/>
        <w:keepNext/>
        <w:widowControl/>
        <w:kinsoku w:val="0"/>
        <w:overflowPunct w:val="0"/>
        <w:ind w:left="0"/>
        <w:rPr>
          <w:color w:val="000000"/>
          <w:u w:val="single"/>
        </w:rPr>
      </w:pPr>
      <w:r w:rsidRPr="004F5FB4">
        <w:rPr>
          <w:color w:val="000000"/>
          <w:u w:val="single"/>
        </w:rPr>
        <w:t>Meldung des Verdachts auf Nebenwirkungen</w:t>
      </w:r>
    </w:p>
    <w:p w14:paraId="0A72B33F" w14:textId="77777777" w:rsidR="0055646D" w:rsidRPr="004F5FB4" w:rsidRDefault="0055646D" w:rsidP="0009685B">
      <w:pPr>
        <w:pStyle w:val="BodyText"/>
        <w:keepNext/>
        <w:widowControl/>
        <w:kinsoku w:val="0"/>
        <w:overflowPunct w:val="0"/>
        <w:ind w:left="0"/>
        <w:rPr>
          <w:color w:val="000000"/>
        </w:rPr>
      </w:pPr>
    </w:p>
    <w:p w14:paraId="6D5322AB" w14:textId="153AE53C" w:rsidR="00452285" w:rsidRPr="004F5FB4" w:rsidRDefault="00452285" w:rsidP="0009685B">
      <w:pPr>
        <w:pStyle w:val="BodyText"/>
        <w:widowControl/>
        <w:kinsoku w:val="0"/>
        <w:overflowPunct w:val="0"/>
        <w:ind w:left="0"/>
        <w:rPr>
          <w:color w:val="000000"/>
        </w:rPr>
      </w:pPr>
      <w:r w:rsidRPr="004F5FB4">
        <w:rPr>
          <w:color w:val="000000"/>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A242C3">
        <w:rPr>
          <w:color w:val="000000"/>
          <w:highlight w:val="lightGray"/>
        </w:rPr>
        <w:t xml:space="preserve">das in </w:t>
      </w:r>
      <w:bookmarkStart w:id="0" w:name="_Hlk161149512"/>
      <w:r w:rsidR="00A242C3" w:rsidRPr="00A242C3">
        <w:rPr>
          <w:color w:val="000000" w:themeColor="text1"/>
          <w:highlight w:val="lightGray"/>
        </w:rPr>
        <w:fldChar w:fldCharType="begin"/>
      </w:r>
      <w:r w:rsidR="00A242C3" w:rsidRPr="00A242C3">
        <w:rPr>
          <w:color w:val="000000" w:themeColor="text1"/>
          <w:highlight w:val="lightGray"/>
        </w:rPr>
        <w:instrText>HYPERLINK "https://www.ema.europa.eu/documents/template-form/qrd-appendix-v-adverse-drug-reaction-reporting-details_en.docx"</w:instrText>
      </w:r>
      <w:r w:rsidR="00A242C3" w:rsidRPr="00A242C3">
        <w:rPr>
          <w:color w:val="000000" w:themeColor="text1"/>
          <w:highlight w:val="lightGray"/>
        </w:rPr>
      </w:r>
      <w:r w:rsidR="00A242C3" w:rsidRPr="00A242C3">
        <w:rPr>
          <w:color w:val="000000" w:themeColor="text1"/>
          <w:highlight w:val="lightGray"/>
        </w:rPr>
        <w:fldChar w:fldCharType="separate"/>
      </w:r>
      <w:r w:rsidR="00E5512F" w:rsidRPr="00A242C3">
        <w:rPr>
          <w:rStyle w:val="Hyperlink"/>
          <w:highlight w:val="lightGray"/>
        </w:rPr>
        <w:t>Anhang V</w:t>
      </w:r>
      <w:bookmarkEnd w:id="0"/>
      <w:r w:rsidR="00A242C3" w:rsidRPr="00A242C3">
        <w:rPr>
          <w:color w:val="000000" w:themeColor="text1"/>
          <w:highlight w:val="lightGray"/>
        </w:rPr>
        <w:fldChar w:fldCharType="end"/>
      </w:r>
      <w:r w:rsidR="00E5512F" w:rsidRPr="00A242C3">
        <w:rPr>
          <w:color w:val="000000" w:themeColor="text1"/>
          <w:highlight w:val="lightGray"/>
        </w:rPr>
        <w:t xml:space="preserve"> </w:t>
      </w:r>
      <w:r w:rsidRPr="00A242C3">
        <w:rPr>
          <w:color w:val="000000"/>
          <w:highlight w:val="lightGray"/>
        </w:rPr>
        <w:t>aufgeführte nationale Meldesystem</w:t>
      </w:r>
      <w:r w:rsidRPr="004F5FB4">
        <w:rPr>
          <w:color w:val="000000"/>
        </w:rPr>
        <w:t xml:space="preserve"> anzuzeigen.</w:t>
      </w:r>
    </w:p>
    <w:p w14:paraId="2965EF76" w14:textId="77777777" w:rsidR="00452285" w:rsidRPr="004F5FB4" w:rsidRDefault="00452285" w:rsidP="0009685B">
      <w:pPr>
        <w:pStyle w:val="BodyText"/>
        <w:widowControl/>
        <w:kinsoku w:val="0"/>
        <w:overflowPunct w:val="0"/>
        <w:ind w:left="0"/>
        <w:rPr>
          <w:color w:val="000000"/>
        </w:rPr>
      </w:pPr>
    </w:p>
    <w:p w14:paraId="46A046BA" w14:textId="77777777" w:rsidR="00452285" w:rsidRPr="004F5FB4" w:rsidRDefault="00452285" w:rsidP="00CA7719">
      <w:pPr>
        <w:pStyle w:val="BodyText"/>
        <w:keepNext/>
        <w:widowControl/>
        <w:numPr>
          <w:ilvl w:val="1"/>
          <w:numId w:val="21"/>
        </w:numPr>
        <w:kinsoku w:val="0"/>
        <w:overflowPunct w:val="0"/>
        <w:spacing w:before="8"/>
        <w:ind w:left="561" w:hanging="561"/>
        <w:rPr>
          <w:b/>
          <w:bCs/>
          <w:color w:val="000000"/>
        </w:rPr>
      </w:pPr>
      <w:r w:rsidRPr="00CA7719">
        <w:rPr>
          <w:b/>
          <w:bCs/>
          <w:color w:val="000000"/>
        </w:rPr>
        <w:t>Überdosierung</w:t>
      </w:r>
    </w:p>
    <w:p w14:paraId="0DC624A4" w14:textId="77777777" w:rsidR="00452285" w:rsidRPr="004F5FB4" w:rsidRDefault="00452285" w:rsidP="0009685B">
      <w:pPr>
        <w:pStyle w:val="BodyText"/>
        <w:keepNext/>
        <w:widowControl/>
        <w:kinsoku w:val="0"/>
        <w:overflowPunct w:val="0"/>
        <w:ind w:left="0"/>
        <w:rPr>
          <w:b/>
          <w:bCs/>
          <w:color w:val="000000"/>
          <w:szCs w:val="23"/>
        </w:rPr>
      </w:pPr>
    </w:p>
    <w:p w14:paraId="05785D9B" w14:textId="77777777" w:rsidR="00452285" w:rsidRPr="004F5FB4" w:rsidRDefault="00452285" w:rsidP="0009685B">
      <w:pPr>
        <w:pStyle w:val="BodyText"/>
        <w:widowControl/>
        <w:kinsoku w:val="0"/>
        <w:overflowPunct w:val="0"/>
        <w:ind w:left="0"/>
        <w:rPr>
          <w:color w:val="000000"/>
        </w:rPr>
      </w:pPr>
      <w:r w:rsidRPr="004F5FB4">
        <w:rPr>
          <w:color w:val="000000"/>
        </w:rPr>
        <w:t>Während der klinischen Studien wurde keine dosisbegrenzende Toxizität beobachtet. Die höchste untersuchte Dosierung lag bei intravenösen Mehrfachdosen von 10 mg/kg. Dies ist ungefähr 15-mal höher als die empfohlene Dosis.</w:t>
      </w:r>
    </w:p>
    <w:p w14:paraId="75ABB55C" w14:textId="77777777" w:rsidR="00452285" w:rsidRPr="004F5FB4" w:rsidRDefault="00452285" w:rsidP="0009685B">
      <w:pPr>
        <w:pStyle w:val="BodyText"/>
        <w:widowControl/>
        <w:kinsoku w:val="0"/>
        <w:overflowPunct w:val="0"/>
        <w:ind w:left="0"/>
        <w:rPr>
          <w:color w:val="000000"/>
          <w:lang w:val="en-GB"/>
        </w:rPr>
      </w:pPr>
    </w:p>
    <w:p w14:paraId="57597126" w14:textId="77777777" w:rsidR="00D51DC6" w:rsidRPr="004F5FB4" w:rsidRDefault="00D51DC6" w:rsidP="0009685B">
      <w:pPr>
        <w:pStyle w:val="BodyText"/>
        <w:widowControl/>
        <w:kinsoku w:val="0"/>
        <w:overflowPunct w:val="0"/>
        <w:ind w:left="0"/>
        <w:rPr>
          <w:color w:val="000000"/>
          <w:lang w:val="en-GB"/>
        </w:rPr>
      </w:pPr>
    </w:p>
    <w:p w14:paraId="1D5699D8" w14:textId="77777777" w:rsidR="00264096" w:rsidRPr="004F5FB4" w:rsidRDefault="00264096" w:rsidP="00CA7719">
      <w:pPr>
        <w:pStyle w:val="BodyText"/>
        <w:keepNext/>
        <w:widowControl/>
        <w:numPr>
          <w:ilvl w:val="0"/>
          <w:numId w:val="21"/>
        </w:numPr>
        <w:kinsoku w:val="0"/>
        <w:overflowPunct w:val="0"/>
        <w:autoSpaceDE w:val="0"/>
        <w:autoSpaceDN w:val="0"/>
        <w:adjustRightInd w:val="0"/>
        <w:ind w:left="0" w:firstLine="0"/>
        <w:rPr>
          <w:b/>
          <w:bCs/>
          <w:color w:val="000000"/>
        </w:rPr>
      </w:pPr>
      <w:r w:rsidRPr="00CA7719">
        <w:rPr>
          <w:b/>
          <w:bCs/>
          <w:color w:val="000000"/>
        </w:rPr>
        <w:t>PHARMAKOLOGISCHE EIGENSCHAFTEN</w:t>
      </w:r>
    </w:p>
    <w:p w14:paraId="1E58C18C" w14:textId="77777777" w:rsidR="00264096" w:rsidRPr="004F5FB4" w:rsidRDefault="00264096" w:rsidP="006271A6">
      <w:pPr>
        <w:pStyle w:val="BodyText"/>
        <w:keepNext/>
        <w:widowControl/>
        <w:kinsoku w:val="0"/>
        <w:overflowPunct w:val="0"/>
        <w:ind w:left="0"/>
        <w:rPr>
          <w:b/>
          <w:bCs/>
          <w:color w:val="000000"/>
          <w:lang w:val="en-GB"/>
        </w:rPr>
      </w:pPr>
    </w:p>
    <w:p w14:paraId="4E05D5AD" w14:textId="77777777" w:rsidR="00264096" w:rsidRPr="004F5FB4" w:rsidRDefault="00264096" w:rsidP="006271A6">
      <w:pPr>
        <w:pStyle w:val="BodyText"/>
        <w:keepNext/>
        <w:widowControl/>
        <w:numPr>
          <w:ilvl w:val="1"/>
          <w:numId w:val="21"/>
        </w:numPr>
        <w:kinsoku w:val="0"/>
        <w:overflowPunct w:val="0"/>
        <w:autoSpaceDE w:val="0"/>
        <w:autoSpaceDN w:val="0"/>
        <w:adjustRightInd w:val="0"/>
        <w:ind w:left="0" w:firstLine="0"/>
        <w:rPr>
          <w:color w:val="000000"/>
        </w:rPr>
      </w:pPr>
      <w:r w:rsidRPr="004F5FB4">
        <w:rPr>
          <w:b/>
          <w:bCs/>
          <w:color w:val="000000"/>
        </w:rPr>
        <w:t>Pharmakodynamische Eigenschaften</w:t>
      </w:r>
    </w:p>
    <w:p w14:paraId="50E32211" w14:textId="77777777" w:rsidR="00264096" w:rsidRPr="004F5FB4" w:rsidRDefault="00264096" w:rsidP="006271A6">
      <w:pPr>
        <w:pStyle w:val="BodyText"/>
        <w:keepNext/>
        <w:widowControl/>
        <w:kinsoku w:val="0"/>
        <w:overflowPunct w:val="0"/>
        <w:ind w:left="0"/>
        <w:rPr>
          <w:b/>
          <w:bCs/>
          <w:color w:val="000000"/>
          <w:lang w:val="en-GB"/>
        </w:rPr>
      </w:pPr>
    </w:p>
    <w:p w14:paraId="349EC64F" w14:textId="77777777" w:rsidR="00264096" w:rsidRPr="004F5FB4" w:rsidRDefault="00264096" w:rsidP="006271A6">
      <w:pPr>
        <w:pStyle w:val="BodyText"/>
        <w:keepNext/>
        <w:widowControl/>
        <w:kinsoku w:val="0"/>
        <w:overflowPunct w:val="0"/>
        <w:ind w:left="0"/>
        <w:rPr>
          <w:color w:val="000000"/>
        </w:rPr>
      </w:pPr>
      <w:proofErr w:type="spellStart"/>
      <w:r w:rsidRPr="00DC0D9F">
        <w:rPr>
          <w:color w:val="000000"/>
          <w:lang w:val="en-GB"/>
        </w:rPr>
        <w:t>Pharmakotherapeutische</w:t>
      </w:r>
      <w:proofErr w:type="spellEnd"/>
      <w:r w:rsidRPr="00DC0D9F">
        <w:rPr>
          <w:color w:val="000000"/>
          <w:lang w:val="en-GB"/>
        </w:rPr>
        <w:t xml:space="preserve"> Gruppe: </w:t>
      </w:r>
      <w:proofErr w:type="spellStart"/>
      <w:r w:rsidRPr="00DC0D9F">
        <w:rPr>
          <w:color w:val="000000"/>
          <w:lang w:val="en-GB"/>
        </w:rPr>
        <w:t>Immunsuppressiva</w:t>
      </w:r>
      <w:proofErr w:type="spellEnd"/>
      <w:r w:rsidRPr="00DC0D9F">
        <w:rPr>
          <w:color w:val="000000"/>
          <w:lang w:val="en-GB"/>
        </w:rPr>
        <w:t xml:space="preserve">, </w:t>
      </w:r>
      <w:proofErr w:type="spellStart"/>
      <w:r w:rsidRPr="00DC0D9F">
        <w:rPr>
          <w:color w:val="000000"/>
          <w:lang w:val="en-GB"/>
        </w:rPr>
        <w:t>Tumornekrosefaktor</w:t>
      </w:r>
      <w:proofErr w:type="spellEnd"/>
      <w:r w:rsidRPr="00DC0D9F">
        <w:rPr>
          <w:color w:val="000000"/>
          <w:lang w:val="en-GB"/>
        </w:rPr>
        <w:t>-alpha</w:t>
      </w:r>
      <w:r w:rsidR="003E71CE" w:rsidRPr="00DC0D9F">
        <w:rPr>
          <w:color w:val="000000"/>
          <w:lang w:val="en-GB"/>
        </w:rPr>
        <w:t xml:space="preserve"> </w:t>
      </w:r>
      <w:r w:rsidRPr="00DC0D9F">
        <w:rPr>
          <w:color w:val="000000"/>
          <w:lang w:val="en-GB"/>
        </w:rPr>
        <w:t>(TNF-alpha)-</w:t>
      </w:r>
      <w:proofErr w:type="spellStart"/>
      <w:r w:rsidRPr="00DC0D9F">
        <w:rPr>
          <w:color w:val="000000"/>
          <w:lang w:val="en-GB"/>
        </w:rPr>
        <w:t>Inhibitoren</w:t>
      </w:r>
      <w:proofErr w:type="spellEnd"/>
      <w:r w:rsidRPr="00DC0D9F">
        <w:rPr>
          <w:color w:val="000000"/>
          <w:lang w:val="en-GB"/>
        </w:rPr>
        <w:t xml:space="preserve">. </w:t>
      </w:r>
      <w:r w:rsidRPr="004F5FB4">
        <w:rPr>
          <w:color w:val="000000"/>
        </w:rPr>
        <w:t>ATC-Code: L04AB04</w:t>
      </w:r>
    </w:p>
    <w:p w14:paraId="4A2AA043" w14:textId="77777777" w:rsidR="00E56A72" w:rsidRPr="004F5FB4" w:rsidRDefault="00E56A72" w:rsidP="0009685B">
      <w:pPr>
        <w:pStyle w:val="BodyText"/>
        <w:widowControl/>
        <w:kinsoku w:val="0"/>
        <w:overflowPunct w:val="0"/>
        <w:ind w:left="0"/>
        <w:rPr>
          <w:color w:val="000000"/>
        </w:rPr>
      </w:pPr>
    </w:p>
    <w:p w14:paraId="605302D4" w14:textId="2AC9F1E6" w:rsidR="00264096" w:rsidRPr="004F5FB4" w:rsidRDefault="006A1144" w:rsidP="0009685B">
      <w:pPr>
        <w:pStyle w:val="BodyText"/>
        <w:widowControl/>
        <w:kinsoku w:val="0"/>
        <w:overflowPunct w:val="0"/>
        <w:ind w:left="0"/>
        <w:rPr>
          <w:color w:val="000000"/>
        </w:rPr>
      </w:pPr>
      <w:r w:rsidRPr="004F5FB4">
        <w:rPr>
          <w:color w:val="000000"/>
        </w:rPr>
        <w:t xml:space="preserve">Amsparity ist ein biologisch/ biotechnologisch hergestelltes Arzneimittel, das im Wesentlichen einem bereits zugelassenen Arzneimittel gleicht. Ausführliche Informationen sind auf den Internetseiten der Europäischen Arzneimittel-Agentur </w:t>
      </w:r>
      <w:r w:rsidR="00E5512F">
        <w:fldChar w:fldCharType="begin"/>
      </w:r>
      <w:r w:rsidR="00E5512F">
        <w:instrText>HYPERLINK "https://www.ema.europa.eu"</w:instrText>
      </w:r>
      <w:r w:rsidR="00E5512F">
        <w:fldChar w:fldCharType="separate"/>
      </w:r>
      <w:r w:rsidR="00E5512F" w:rsidRPr="00A242C3">
        <w:rPr>
          <w:rStyle w:val="Hyperlink"/>
        </w:rPr>
        <w:t>https://www.ema.europa.eu</w:t>
      </w:r>
      <w:r w:rsidR="00E5512F">
        <w:fldChar w:fldCharType="end"/>
      </w:r>
      <w:r w:rsidR="00E5512F" w:rsidRPr="00000C6C">
        <w:rPr>
          <w:rStyle w:val="Hyperlink"/>
          <w:color w:val="000000" w:themeColor="text1"/>
        </w:rPr>
        <w:t xml:space="preserve"> </w:t>
      </w:r>
      <w:r w:rsidRPr="00000C6C">
        <w:rPr>
          <w:color w:val="000000" w:themeColor="text1"/>
        </w:rPr>
        <w:t>v</w:t>
      </w:r>
      <w:r w:rsidRPr="004F5FB4">
        <w:rPr>
          <w:color w:val="000000"/>
        </w:rPr>
        <w:t>erfügbar.</w:t>
      </w:r>
    </w:p>
    <w:p w14:paraId="6BA06CB5" w14:textId="77777777" w:rsidR="00E56A72" w:rsidRPr="004F5FB4" w:rsidRDefault="00E56A72" w:rsidP="0009685B">
      <w:pPr>
        <w:pStyle w:val="BodyText"/>
        <w:widowControl/>
        <w:kinsoku w:val="0"/>
        <w:overflowPunct w:val="0"/>
        <w:ind w:left="0"/>
        <w:rPr>
          <w:color w:val="000000"/>
        </w:rPr>
      </w:pPr>
    </w:p>
    <w:p w14:paraId="047758F7" w14:textId="77777777" w:rsidR="00264096" w:rsidRPr="004F5FB4" w:rsidRDefault="00264096" w:rsidP="00D51DC6">
      <w:pPr>
        <w:pStyle w:val="BodyText"/>
        <w:keepNext/>
        <w:widowControl/>
        <w:kinsoku w:val="0"/>
        <w:overflowPunct w:val="0"/>
        <w:ind w:left="0"/>
        <w:rPr>
          <w:color w:val="000000"/>
        </w:rPr>
      </w:pPr>
      <w:r w:rsidRPr="004F5FB4">
        <w:rPr>
          <w:color w:val="000000"/>
          <w:u w:val="single"/>
        </w:rPr>
        <w:t>Wirkmechanismus</w:t>
      </w:r>
    </w:p>
    <w:p w14:paraId="719C9CEC" w14:textId="77777777" w:rsidR="00264096" w:rsidRPr="004F5FB4" w:rsidRDefault="00264096" w:rsidP="00687087">
      <w:pPr>
        <w:pStyle w:val="BodyText"/>
        <w:keepNext/>
        <w:widowControl/>
        <w:kinsoku w:val="0"/>
        <w:overflowPunct w:val="0"/>
        <w:ind w:left="0"/>
        <w:rPr>
          <w:color w:val="000000"/>
        </w:rPr>
      </w:pPr>
    </w:p>
    <w:p w14:paraId="203CF57C" w14:textId="77777777" w:rsidR="00264096" w:rsidRPr="004F5FB4" w:rsidRDefault="00264096" w:rsidP="0009685B">
      <w:pPr>
        <w:pStyle w:val="BodyText"/>
        <w:widowControl/>
        <w:kinsoku w:val="0"/>
        <w:overflowPunct w:val="0"/>
        <w:ind w:left="0"/>
        <w:rPr>
          <w:color w:val="000000"/>
        </w:rPr>
      </w:pPr>
      <w:r w:rsidRPr="004F5FB4">
        <w:rPr>
          <w:color w:val="000000"/>
        </w:rPr>
        <w:t>Adalimumab bindet spezifisch an TNF und neutralisiert dessen biologische Funktion, indem es die Interaktion mit den zellständigen p55- und p75-TNF-Rezeptoren blockiert.</w:t>
      </w:r>
    </w:p>
    <w:p w14:paraId="5DA25150" w14:textId="77777777" w:rsidR="00264096" w:rsidRPr="004F5FB4" w:rsidRDefault="00264096" w:rsidP="00687087">
      <w:pPr>
        <w:pStyle w:val="BodyText"/>
        <w:widowControl/>
        <w:kinsoku w:val="0"/>
        <w:overflowPunct w:val="0"/>
        <w:ind w:left="0"/>
        <w:rPr>
          <w:color w:val="000000"/>
        </w:rPr>
      </w:pPr>
    </w:p>
    <w:p w14:paraId="37165DE7" w14:textId="77777777" w:rsidR="00264096" w:rsidRPr="004F5FB4" w:rsidRDefault="00264096" w:rsidP="00771BD7">
      <w:pPr>
        <w:pStyle w:val="BodyText"/>
        <w:widowControl/>
        <w:kinsoku w:val="0"/>
        <w:overflowPunct w:val="0"/>
        <w:ind w:left="0"/>
        <w:rPr>
          <w:color w:val="000000"/>
        </w:rPr>
      </w:pPr>
      <w:r w:rsidRPr="004F5FB4">
        <w:rPr>
          <w:color w:val="000000"/>
        </w:rPr>
        <w:t>Adalimumab beeinflusst weiterhin biologische Reaktionen, die durch TNF ausgelöst oder gesteuert werden, einschließlich der Veränderungen der Konzentrationen von für die Leukozytenmigration verantwortlichen Adhäsionsmolekülen (ELAM-1, VCAM-1 und ICAM-1 mit einer IC</w:t>
      </w:r>
      <w:r w:rsidRPr="004F5FB4">
        <w:rPr>
          <w:color w:val="000000"/>
          <w:vertAlign w:val="subscript"/>
        </w:rPr>
        <w:t>50</w:t>
      </w:r>
      <w:r w:rsidRPr="004F5FB4">
        <w:rPr>
          <w:color w:val="000000"/>
        </w:rPr>
        <w:t xml:space="preserve"> von 0,1 – 0,2</w:t>
      </w:r>
      <w:r w:rsidR="00C75B4A" w:rsidRPr="004F5FB4">
        <w:rPr>
          <w:color w:val="000000"/>
        </w:rPr>
        <w:t> </w:t>
      </w:r>
      <w:r w:rsidRPr="004F5FB4">
        <w:rPr>
          <w:color w:val="000000"/>
        </w:rPr>
        <w:t>nM).</w:t>
      </w:r>
    </w:p>
    <w:p w14:paraId="701D39B6" w14:textId="77777777" w:rsidR="00264096" w:rsidRPr="004F5FB4" w:rsidRDefault="00264096" w:rsidP="00687087">
      <w:pPr>
        <w:pStyle w:val="BodyText"/>
        <w:widowControl/>
        <w:kinsoku w:val="0"/>
        <w:overflowPunct w:val="0"/>
        <w:ind w:left="0"/>
        <w:rPr>
          <w:color w:val="000000"/>
        </w:rPr>
      </w:pPr>
    </w:p>
    <w:p w14:paraId="2C3BF04E" w14:textId="77777777" w:rsidR="00264096" w:rsidRPr="004F5FB4" w:rsidRDefault="00264096" w:rsidP="00771BD7">
      <w:pPr>
        <w:pStyle w:val="BodyText"/>
        <w:keepNext/>
        <w:widowControl/>
        <w:kinsoku w:val="0"/>
        <w:overflowPunct w:val="0"/>
        <w:ind w:left="0"/>
        <w:rPr>
          <w:color w:val="000000"/>
        </w:rPr>
      </w:pPr>
      <w:r w:rsidRPr="004F5FB4">
        <w:rPr>
          <w:color w:val="000000"/>
          <w:u w:val="single"/>
        </w:rPr>
        <w:t>Pharmakodynamische Wirkungen</w:t>
      </w:r>
    </w:p>
    <w:p w14:paraId="127EBD7A" w14:textId="77777777" w:rsidR="00264096" w:rsidRPr="004F5FB4" w:rsidRDefault="00264096" w:rsidP="00687087">
      <w:pPr>
        <w:pStyle w:val="BodyText"/>
        <w:keepNext/>
        <w:widowControl/>
        <w:kinsoku w:val="0"/>
        <w:overflowPunct w:val="0"/>
        <w:ind w:left="0"/>
        <w:rPr>
          <w:color w:val="000000"/>
        </w:rPr>
      </w:pPr>
    </w:p>
    <w:p w14:paraId="23379C55" w14:textId="77777777" w:rsidR="00264096" w:rsidRPr="004F5FB4" w:rsidRDefault="00264096" w:rsidP="00687087">
      <w:pPr>
        <w:pStyle w:val="BodyText"/>
        <w:widowControl/>
        <w:kinsoku w:val="0"/>
        <w:overflowPunct w:val="0"/>
        <w:ind w:left="0"/>
        <w:rPr>
          <w:color w:val="000000"/>
        </w:rPr>
      </w:pPr>
      <w:r w:rsidRPr="004F5FB4">
        <w:rPr>
          <w:color w:val="000000"/>
        </w:rPr>
        <w:t xml:space="preserve">Nach Behandlung mit Adalimumab wurde bei Patienten mit rheumatoider Arthritis eine im Vergleich zu den Ausgangswerten rasche Konzentrationsabnahme der Akute-Phase-Entzündungsparameter (C-reaktives Protein </w:t>
      </w:r>
      <w:r w:rsidR="006F08BA" w:rsidRPr="004F5FB4">
        <w:rPr>
          <w:color w:val="000000"/>
        </w:rPr>
        <w:t>[</w:t>
      </w:r>
      <w:r w:rsidRPr="004F5FB4">
        <w:rPr>
          <w:color w:val="000000"/>
        </w:rPr>
        <w:t>CRP</w:t>
      </w:r>
      <w:r w:rsidR="006F08BA" w:rsidRPr="004F5FB4">
        <w:rPr>
          <w:color w:val="000000"/>
        </w:rPr>
        <w:t>]</w:t>
      </w:r>
      <w:r w:rsidRPr="004F5FB4">
        <w:rPr>
          <w:color w:val="000000"/>
        </w:rPr>
        <w:t xml:space="preserve"> und Blutsenkungsgeschwindigkeit </w:t>
      </w:r>
      <w:r w:rsidR="006F08BA" w:rsidRPr="004F5FB4">
        <w:rPr>
          <w:color w:val="000000"/>
        </w:rPr>
        <w:t>[</w:t>
      </w:r>
      <w:r w:rsidRPr="004F5FB4">
        <w:rPr>
          <w:color w:val="000000"/>
        </w:rPr>
        <w:t>BSG</w:t>
      </w:r>
      <w:r w:rsidR="006F08BA" w:rsidRPr="004F5FB4">
        <w:rPr>
          <w:color w:val="000000"/>
        </w:rPr>
        <w:t>]</w:t>
      </w:r>
      <w:r w:rsidRPr="004F5FB4">
        <w:rPr>
          <w:color w:val="000000"/>
        </w:rPr>
        <w:t>) und der Serumzytokine (IL-6) beobachtet. Die Serumspiegel von Matrixmetalloproteinasen (MMP-1 und MMP-3), die die für die Knorpelzerstörung verantwortliche Gewebsumwandlung hervorrufen, waren nach der Verabreichung von Adalimumab ebenfalls vermindert. Bei mit Adalimumab behandelten Patienten besserte sich i</w:t>
      </w:r>
      <w:r w:rsidR="005E7573" w:rsidRPr="004F5FB4">
        <w:rPr>
          <w:color w:val="000000"/>
        </w:rPr>
        <w:t>m Allgemeinen</w:t>
      </w:r>
      <w:r w:rsidRPr="004F5FB4">
        <w:rPr>
          <w:color w:val="000000"/>
        </w:rPr>
        <w:t xml:space="preserve"> die mit einer chronischen Entzündung einhergehende Veränderung der Blutwerte.</w:t>
      </w:r>
    </w:p>
    <w:p w14:paraId="27752666" w14:textId="77777777" w:rsidR="00264096" w:rsidRPr="004F5FB4" w:rsidRDefault="00264096" w:rsidP="0009685B">
      <w:pPr>
        <w:pStyle w:val="BodyText"/>
        <w:widowControl/>
        <w:kinsoku w:val="0"/>
        <w:overflowPunct w:val="0"/>
        <w:ind w:left="0"/>
        <w:rPr>
          <w:color w:val="000000"/>
        </w:rPr>
      </w:pPr>
    </w:p>
    <w:p w14:paraId="544ECF66" w14:textId="77777777" w:rsidR="00264096" w:rsidRPr="004F5FB4" w:rsidRDefault="00264096" w:rsidP="0009685B">
      <w:pPr>
        <w:pStyle w:val="BodyText"/>
        <w:widowControl/>
        <w:kinsoku w:val="0"/>
        <w:overflowPunct w:val="0"/>
        <w:ind w:left="0"/>
        <w:rPr>
          <w:color w:val="000000"/>
        </w:rPr>
      </w:pPr>
      <w:r w:rsidRPr="004F5FB4">
        <w:rPr>
          <w:color w:val="000000"/>
        </w:rPr>
        <w:t>Ein schneller Rückgang der CRP-Werte wurde auch bei Patienten mit polyartikulärer juveniler idiopathischer Arthritis, Morbus Crohn, Colitis ulcerosa und Hidradenitis suppurativa nach Behandlung mit Adalimumab beobachtet. Bei Morbus-Crohn-Patienten wurde die Zahl der Zellen, die Entzündungsmarker im Kolon exprimieren, reduziert (einschließlich einer signifikanten Reduzierung der TNF-alpha-Expression). Endoskopiestudien an intestinaler Mukosa zeigten, dass die Mukosa bei Patienten, die mit Adalimumab behandelt wurden, abheilte.</w:t>
      </w:r>
    </w:p>
    <w:p w14:paraId="6E776CAB" w14:textId="77777777" w:rsidR="00452285" w:rsidRPr="004F5FB4" w:rsidRDefault="00452285" w:rsidP="0009685B">
      <w:pPr>
        <w:rPr>
          <w:color w:val="000000"/>
        </w:rPr>
      </w:pPr>
    </w:p>
    <w:p w14:paraId="7690DC8C" w14:textId="77777777" w:rsidR="00264096" w:rsidRPr="004F5FB4" w:rsidRDefault="00264096" w:rsidP="0009685B">
      <w:pPr>
        <w:pStyle w:val="BodyText"/>
        <w:keepNext/>
        <w:widowControl/>
        <w:kinsoku w:val="0"/>
        <w:overflowPunct w:val="0"/>
        <w:ind w:left="0"/>
        <w:rPr>
          <w:color w:val="000000"/>
        </w:rPr>
      </w:pPr>
      <w:r w:rsidRPr="004F5FB4">
        <w:rPr>
          <w:color w:val="000000"/>
          <w:u w:val="single"/>
        </w:rPr>
        <w:t>Klinische Wirksamkeit und Sicherheit</w:t>
      </w:r>
    </w:p>
    <w:p w14:paraId="2E69CD96" w14:textId="77777777" w:rsidR="00264096" w:rsidRPr="004F5FB4" w:rsidRDefault="00264096" w:rsidP="0009685B">
      <w:pPr>
        <w:pStyle w:val="BodyText"/>
        <w:keepNext/>
        <w:widowControl/>
        <w:kinsoku w:val="0"/>
        <w:overflowPunct w:val="0"/>
        <w:ind w:left="0"/>
        <w:rPr>
          <w:color w:val="000000"/>
        </w:rPr>
      </w:pPr>
    </w:p>
    <w:p w14:paraId="2C00CE88" w14:textId="77777777" w:rsidR="00D2772B" w:rsidRPr="004F5FB4" w:rsidRDefault="00D2772B" w:rsidP="0009685B">
      <w:pPr>
        <w:pStyle w:val="BodyText"/>
        <w:keepNext/>
        <w:widowControl/>
        <w:kinsoku w:val="0"/>
        <w:overflowPunct w:val="0"/>
        <w:ind w:left="0"/>
        <w:rPr>
          <w:color w:val="000000"/>
        </w:rPr>
      </w:pPr>
      <w:r w:rsidRPr="004F5FB4">
        <w:rPr>
          <w:i/>
          <w:iCs/>
          <w:color w:val="000000"/>
        </w:rPr>
        <w:t>Rheumatoide Arthritis bei Erwachsenen</w:t>
      </w:r>
    </w:p>
    <w:p w14:paraId="3600057C" w14:textId="77777777" w:rsidR="00D2772B" w:rsidRPr="004F5FB4" w:rsidRDefault="00D2772B" w:rsidP="0009685B">
      <w:pPr>
        <w:pStyle w:val="BodyText"/>
        <w:keepNext/>
        <w:widowControl/>
        <w:kinsoku w:val="0"/>
        <w:overflowPunct w:val="0"/>
        <w:ind w:left="0"/>
        <w:rPr>
          <w:i/>
          <w:iCs/>
          <w:color w:val="000000"/>
          <w:szCs w:val="21"/>
        </w:rPr>
      </w:pPr>
    </w:p>
    <w:p w14:paraId="39DF23DD" w14:textId="77777777" w:rsidR="00D2772B" w:rsidRPr="004F5FB4" w:rsidRDefault="00E56A72" w:rsidP="0009685B">
      <w:pPr>
        <w:pStyle w:val="BodyText"/>
        <w:widowControl/>
        <w:kinsoku w:val="0"/>
        <w:overflowPunct w:val="0"/>
        <w:ind w:left="0"/>
        <w:rPr>
          <w:color w:val="000000"/>
        </w:rPr>
      </w:pPr>
      <w:r w:rsidRPr="004F5FB4">
        <w:rPr>
          <w:color w:val="000000"/>
        </w:rPr>
        <w:t>Im Rahmen aller klinischen Studien bei rheumatoider Arthritis wurde Adalimumab bei mehr als 3.000</w:t>
      </w:r>
      <w:r w:rsidR="00C75B4A" w:rsidRPr="004F5FB4">
        <w:rPr>
          <w:color w:val="000000"/>
        </w:rPr>
        <w:t> </w:t>
      </w:r>
      <w:r w:rsidRPr="004F5FB4">
        <w:rPr>
          <w:color w:val="000000"/>
        </w:rPr>
        <w:t>Patienten untersucht. Die Wirksamkeit und Sicherheit von Adalimumab wurden in fünf randomisierten, doppelblinden und gut kontrollierten Studien untersucht. Einige Patienten wurden über einen Zeitraum von bis zu 120 Monaten behandelt.</w:t>
      </w:r>
    </w:p>
    <w:p w14:paraId="406FA981" w14:textId="77777777" w:rsidR="00D2772B" w:rsidRPr="004F5FB4" w:rsidRDefault="00D2772B" w:rsidP="0009685B">
      <w:pPr>
        <w:pStyle w:val="BodyText"/>
        <w:widowControl/>
        <w:kinsoku w:val="0"/>
        <w:overflowPunct w:val="0"/>
        <w:ind w:left="0"/>
        <w:rPr>
          <w:color w:val="000000"/>
        </w:rPr>
      </w:pPr>
    </w:p>
    <w:p w14:paraId="16C69A00" w14:textId="77777777" w:rsidR="00D2772B" w:rsidRPr="004F5FB4" w:rsidRDefault="00D2772B" w:rsidP="0009685B">
      <w:pPr>
        <w:pStyle w:val="BodyText"/>
        <w:widowControl/>
        <w:kinsoku w:val="0"/>
        <w:overflowPunct w:val="0"/>
        <w:ind w:left="0"/>
        <w:rPr>
          <w:color w:val="000000"/>
        </w:rPr>
      </w:pPr>
      <w:r w:rsidRPr="004F5FB4">
        <w:rPr>
          <w:color w:val="000000"/>
        </w:rPr>
        <w:t>In der RA-Studie</w:t>
      </w:r>
      <w:r w:rsidR="00752E5E" w:rsidRPr="004F5FB4">
        <w:rPr>
          <w:color w:val="000000"/>
        </w:rPr>
        <w:t> </w:t>
      </w:r>
      <w:r w:rsidRPr="004F5FB4">
        <w:rPr>
          <w:color w:val="000000"/>
        </w:rPr>
        <w:t>I wurden 271 Patienten mit mäßiger bis schwerer, aktiver rheumatoider Arthritis untersucht. Die Patienten waren ≥</w:t>
      </w:r>
      <w:r w:rsidR="00F7455A" w:rsidRPr="004F5FB4">
        <w:rPr>
          <w:color w:val="000000"/>
        </w:rPr>
        <w:t> </w:t>
      </w:r>
      <w:r w:rsidRPr="004F5FB4">
        <w:rPr>
          <w:color w:val="000000"/>
        </w:rPr>
        <w:t>18</w:t>
      </w:r>
      <w:r w:rsidR="00F7455A" w:rsidRPr="004F5FB4">
        <w:rPr>
          <w:color w:val="000000"/>
        </w:rPr>
        <w:t> </w:t>
      </w:r>
      <w:r w:rsidRPr="004F5FB4">
        <w:rPr>
          <w:color w:val="000000"/>
        </w:rPr>
        <w:t>Jahre alt, die Behandlung mit mindestens einem krankheitsmodifizierenden Antirheumatikum war fehlgeschlagen, Methotrexat in Dosen von 12,5 bis 25 mg (10</w:t>
      </w:r>
      <w:r w:rsidR="00F7455A" w:rsidRPr="004F5FB4">
        <w:rPr>
          <w:color w:val="000000"/>
        </w:rPr>
        <w:t> </w:t>
      </w:r>
      <w:r w:rsidRPr="004F5FB4">
        <w:rPr>
          <w:color w:val="000000"/>
        </w:rPr>
        <w:t>mg bei Methotrexat-Intoleranz) pro Woche zeigte eine unzureichende Wirkung und die Methotrexat-Dosis lag gleichbleibend bei 10 bis 25 mg pro Woche. Während eines Zeitraums von 24 Wochen wurden jede zweite Woche Dosen von 20, 40 oder 80</w:t>
      </w:r>
      <w:r w:rsidR="00F7455A" w:rsidRPr="004F5FB4">
        <w:rPr>
          <w:color w:val="000000"/>
        </w:rPr>
        <w:t> </w:t>
      </w:r>
      <w:r w:rsidRPr="004F5FB4">
        <w:rPr>
          <w:color w:val="000000"/>
        </w:rPr>
        <w:t>mg Adalimumab oder Placebo verabreicht.</w:t>
      </w:r>
    </w:p>
    <w:p w14:paraId="5C0EA733" w14:textId="77777777" w:rsidR="00D2772B" w:rsidRPr="004F5FB4" w:rsidRDefault="00D2772B" w:rsidP="0009685B">
      <w:pPr>
        <w:pStyle w:val="BodyText"/>
        <w:widowControl/>
        <w:kinsoku w:val="0"/>
        <w:overflowPunct w:val="0"/>
        <w:ind w:left="0"/>
        <w:rPr>
          <w:color w:val="000000"/>
        </w:rPr>
      </w:pPr>
    </w:p>
    <w:p w14:paraId="39312805" w14:textId="77777777" w:rsidR="00D2772B" w:rsidRPr="004F5FB4" w:rsidRDefault="00D2772B" w:rsidP="0009685B">
      <w:pPr>
        <w:pStyle w:val="BodyText"/>
        <w:widowControl/>
        <w:kinsoku w:val="0"/>
        <w:overflowPunct w:val="0"/>
        <w:ind w:left="0"/>
        <w:rPr>
          <w:color w:val="000000"/>
        </w:rPr>
      </w:pPr>
      <w:r w:rsidRPr="004F5FB4">
        <w:rPr>
          <w:color w:val="000000"/>
        </w:rPr>
        <w:t>An der RA-Studie</w:t>
      </w:r>
      <w:r w:rsidR="00752E5E" w:rsidRPr="004F5FB4">
        <w:rPr>
          <w:color w:val="000000"/>
        </w:rPr>
        <w:t> </w:t>
      </w:r>
      <w:r w:rsidRPr="004F5FB4">
        <w:rPr>
          <w:color w:val="000000"/>
        </w:rPr>
        <w:t>II nahmen 544 Patienten mit mäßiger bis schwerer, aktiver rheumatoider Arthritis teil. Die Patienten waren ≥ 18</w:t>
      </w:r>
      <w:r w:rsidR="00F7455A" w:rsidRPr="004F5FB4">
        <w:rPr>
          <w:color w:val="000000"/>
        </w:rPr>
        <w:t> </w:t>
      </w:r>
      <w:r w:rsidRPr="004F5FB4">
        <w:rPr>
          <w:color w:val="000000"/>
        </w:rPr>
        <w:t>Jahre alt und die Behandlung mit mindestens einem krankheitsmodifizierenden Antirheumatikum war fehlgeschlagen. Adalimumab wurde über 26 Wochen als subkutane Injektion in Dosen von 20 mg oder 40</w:t>
      </w:r>
      <w:r w:rsidR="00F7455A" w:rsidRPr="004F5FB4">
        <w:rPr>
          <w:color w:val="000000"/>
        </w:rPr>
        <w:t> </w:t>
      </w:r>
      <w:r w:rsidRPr="004F5FB4">
        <w:rPr>
          <w:color w:val="000000"/>
        </w:rPr>
        <w:t>mg jede zweite Woche mit Placeboinjektion in den dazwischen liegenden Wochen oder in Dosen von 20</w:t>
      </w:r>
      <w:r w:rsidR="009F6D71" w:rsidRPr="004F5FB4">
        <w:rPr>
          <w:color w:val="000000"/>
        </w:rPr>
        <w:t> </w:t>
      </w:r>
      <w:r w:rsidRPr="004F5FB4">
        <w:rPr>
          <w:color w:val="000000"/>
        </w:rPr>
        <w:t>mg oder 40</w:t>
      </w:r>
      <w:r w:rsidR="009F6D71" w:rsidRPr="004F5FB4">
        <w:rPr>
          <w:color w:val="000000"/>
        </w:rPr>
        <w:t> </w:t>
      </w:r>
      <w:r w:rsidRPr="004F5FB4">
        <w:rPr>
          <w:color w:val="000000"/>
        </w:rPr>
        <w:t>mg wöchentlich verabreicht; Placebo wurde während desselben Zeitraums wöchentlich verabreicht. Andere krankheitsmodifizierende Antirheumatika waren nicht erlaubt.</w:t>
      </w:r>
    </w:p>
    <w:p w14:paraId="2DD90F26" w14:textId="77777777" w:rsidR="00D2772B" w:rsidRPr="004F5FB4" w:rsidRDefault="00D2772B" w:rsidP="0009685B">
      <w:pPr>
        <w:pStyle w:val="BodyText"/>
        <w:widowControl/>
        <w:kinsoku w:val="0"/>
        <w:overflowPunct w:val="0"/>
        <w:ind w:left="0"/>
        <w:rPr>
          <w:color w:val="000000"/>
          <w:szCs w:val="21"/>
        </w:rPr>
      </w:pPr>
    </w:p>
    <w:p w14:paraId="7B26FBA5" w14:textId="77777777" w:rsidR="00D2772B" w:rsidRPr="004F5FB4" w:rsidRDefault="00D2772B" w:rsidP="0009685B">
      <w:pPr>
        <w:pStyle w:val="BodyText"/>
        <w:widowControl/>
        <w:kinsoku w:val="0"/>
        <w:overflowPunct w:val="0"/>
        <w:ind w:left="0"/>
        <w:rPr>
          <w:color w:val="000000"/>
        </w:rPr>
      </w:pPr>
      <w:r w:rsidRPr="004F5FB4">
        <w:rPr>
          <w:color w:val="000000"/>
        </w:rPr>
        <w:t>Die RA-Studie</w:t>
      </w:r>
      <w:r w:rsidR="00752E5E" w:rsidRPr="004F5FB4">
        <w:rPr>
          <w:color w:val="000000"/>
        </w:rPr>
        <w:t> </w:t>
      </w:r>
      <w:r w:rsidRPr="004F5FB4">
        <w:rPr>
          <w:color w:val="000000"/>
        </w:rPr>
        <w:t>III wurde bei 619 Patienten mit mäßiger bis schwerer, aktiver rheumatoider Arthritis durchgeführt, die ≥ 18 Jahre alt waren und die ein unzureichendes Ansprechen auf Methotrexat in Dosen von 12,5 bis 25</w:t>
      </w:r>
      <w:r w:rsidR="00F7455A" w:rsidRPr="004F5FB4">
        <w:rPr>
          <w:color w:val="000000"/>
        </w:rPr>
        <w:t> </w:t>
      </w:r>
      <w:r w:rsidRPr="004F5FB4">
        <w:rPr>
          <w:color w:val="000000"/>
        </w:rPr>
        <w:t>mg pro Woche oder eine Unverträglichkeit gegenüber 10 mg Methotrexat pro Woche aufwiesen. Es gab in dieser Studie drei Behandlungsgruppen. Die erste Gruppe erhielt über einen Zeitraum von 52</w:t>
      </w:r>
      <w:r w:rsidR="00F7455A" w:rsidRPr="004F5FB4">
        <w:rPr>
          <w:color w:val="000000"/>
        </w:rPr>
        <w:t> </w:t>
      </w:r>
      <w:r w:rsidRPr="004F5FB4">
        <w:rPr>
          <w:color w:val="000000"/>
        </w:rPr>
        <w:t xml:space="preserve">Wochen wöchentlich eine Placeboinjektion. Die zweite Gruppe wurde 52 Wochen lang mit wöchentlich 20 mg Adalimumab behandelt. Die dritte Gruppe erhielt jede zweite Woche 40 mg Adalimumab mit Placeboinjektionen in den dazwischen liegenden Wochen. Nach Abschluss der ersten 52 Wochen wurden 457 Patienten in eine offene </w:t>
      </w:r>
      <w:r w:rsidR="007B71B9" w:rsidRPr="004F5FB4">
        <w:rPr>
          <w:color w:val="000000"/>
        </w:rPr>
        <w:t>Fortsetz</w:t>
      </w:r>
      <w:r w:rsidRPr="004F5FB4">
        <w:rPr>
          <w:color w:val="000000"/>
        </w:rPr>
        <w:t>ungsphase überführt und erhielten bis zu 10</w:t>
      </w:r>
      <w:r w:rsidR="00752E5E" w:rsidRPr="004F5FB4">
        <w:rPr>
          <w:color w:val="000000"/>
        </w:rPr>
        <w:t> </w:t>
      </w:r>
      <w:r w:rsidRPr="004F5FB4">
        <w:rPr>
          <w:color w:val="000000"/>
        </w:rPr>
        <w:t>Jahre lang jede zweite Woche 40</w:t>
      </w:r>
      <w:r w:rsidR="00752E5E" w:rsidRPr="004F5FB4">
        <w:rPr>
          <w:color w:val="000000"/>
        </w:rPr>
        <w:t> </w:t>
      </w:r>
      <w:r w:rsidRPr="004F5FB4">
        <w:rPr>
          <w:color w:val="000000"/>
        </w:rPr>
        <w:t>mg Adalimumab/</w:t>
      </w:r>
      <w:r w:rsidR="00752E5E" w:rsidRPr="004F5FB4">
        <w:rPr>
          <w:color w:val="000000"/>
        </w:rPr>
        <w:t xml:space="preserve"> </w:t>
      </w:r>
      <w:r w:rsidRPr="004F5FB4">
        <w:rPr>
          <w:color w:val="000000"/>
        </w:rPr>
        <w:t>MTX.</w:t>
      </w:r>
    </w:p>
    <w:p w14:paraId="2190D6CA" w14:textId="77777777" w:rsidR="00D2772B" w:rsidRPr="004F5FB4" w:rsidRDefault="00D2772B" w:rsidP="0009685B">
      <w:pPr>
        <w:pStyle w:val="BodyText"/>
        <w:widowControl/>
        <w:kinsoku w:val="0"/>
        <w:overflowPunct w:val="0"/>
        <w:ind w:left="0"/>
        <w:rPr>
          <w:color w:val="000000"/>
        </w:rPr>
      </w:pPr>
    </w:p>
    <w:p w14:paraId="4C8CC1F3" w14:textId="77777777" w:rsidR="00D2772B" w:rsidRPr="004F5FB4" w:rsidRDefault="00D2772B" w:rsidP="0009685B">
      <w:pPr>
        <w:pStyle w:val="BodyText"/>
        <w:widowControl/>
        <w:kinsoku w:val="0"/>
        <w:overflowPunct w:val="0"/>
        <w:ind w:left="0"/>
        <w:rPr>
          <w:color w:val="000000"/>
        </w:rPr>
      </w:pPr>
      <w:r w:rsidRPr="004F5FB4">
        <w:rPr>
          <w:color w:val="000000"/>
        </w:rPr>
        <w:t>In der RA-Studie</w:t>
      </w:r>
      <w:r w:rsidR="00752E5E" w:rsidRPr="004F5FB4">
        <w:rPr>
          <w:color w:val="000000"/>
        </w:rPr>
        <w:t> </w:t>
      </w:r>
      <w:r w:rsidRPr="004F5FB4">
        <w:rPr>
          <w:color w:val="000000"/>
        </w:rPr>
        <w:t>IV wurde die Sicherheit bei 636 Patienten mit mäßiger bis schwerer, aktiver rheumatoider Arthritis untersucht. Die Patienten waren ≥ 18</w:t>
      </w:r>
      <w:r w:rsidR="00247EF8" w:rsidRPr="004F5FB4">
        <w:rPr>
          <w:color w:val="000000"/>
        </w:rPr>
        <w:t> </w:t>
      </w:r>
      <w:r w:rsidRPr="004F5FB4">
        <w:rPr>
          <w:color w:val="000000"/>
        </w:rPr>
        <w:t>Jahre alt. Die Patienten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w:t>
      </w:r>
      <w:r w:rsidR="00752E5E" w:rsidRPr="004F5FB4">
        <w:rPr>
          <w:color w:val="000000"/>
        </w:rPr>
        <w:t xml:space="preserve"> </w:t>
      </w:r>
      <w:r w:rsidRPr="004F5FB4">
        <w:rPr>
          <w:color w:val="000000"/>
        </w:rPr>
        <w:t>oder Goldsalze ein. Nach Randomisierung erhielten die Patienten über einen Zeitraum von 24</w:t>
      </w:r>
      <w:r w:rsidR="00C75B4A" w:rsidRPr="004F5FB4">
        <w:rPr>
          <w:color w:val="000000"/>
        </w:rPr>
        <w:t> </w:t>
      </w:r>
      <w:r w:rsidRPr="004F5FB4">
        <w:rPr>
          <w:color w:val="000000"/>
        </w:rPr>
        <w:t>Wochen jede zweite Woche 40</w:t>
      </w:r>
      <w:r w:rsidR="00752E5E" w:rsidRPr="004F5FB4">
        <w:rPr>
          <w:color w:val="000000"/>
        </w:rPr>
        <w:t> </w:t>
      </w:r>
      <w:r w:rsidRPr="004F5FB4">
        <w:rPr>
          <w:color w:val="000000"/>
        </w:rPr>
        <w:t>mg Adalimumab oder Placebo.</w:t>
      </w:r>
    </w:p>
    <w:p w14:paraId="4EF95474" w14:textId="77777777" w:rsidR="00D2772B" w:rsidRPr="004F5FB4" w:rsidRDefault="00D2772B" w:rsidP="0009685B">
      <w:pPr>
        <w:pStyle w:val="BodyText"/>
        <w:widowControl/>
        <w:kinsoku w:val="0"/>
        <w:overflowPunct w:val="0"/>
        <w:ind w:left="0"/>
        <w:rPr>
          <w:color w:val="000000"/>
          <w:szCs w:val="21"/>
        </w:rPr>
      </w:pPr>
    </w:p>
    <w:p w14:paraId="4E29C36D" w14:textId="77777777" w:rsidR="00D2772B" w:rsidRPr="004F5FB4" w:rsidRDefault="00D2772B" w:rsidP="00971955">
      <w:pPr>
        <w:pStyle w:val="BodyText"/>
        <w:widowControl/>
        <w:kinsoku w:val="0"/>
        <w:overflowPunct w:val="0"/>
        <w:ind w:left="0"/>
        <w:rPr>
          <w:color w:val="000000"/>
        </w:rPr>
      </w:pPr>
      <w:r w:rsidRPr="004F5FB4">
        <w:rPr>
          <w:color w:val="000000"/>
        </w:rPr>
        <w:t>In die RA-Studie</w:t>
      </w:r>
      <w:r w:rsidR="00752E5E" w:rsidRPr="004F5FB4">
        <w:rPr>
          <w:color w:val="000000"/>
        </w:rPr>
        <w:t> </w:t>
      </w:r>
      <w:r w:rsidRPr="004F5FB4">
        <w:rPr>
          <w:color w:val="000000"/>
        </w:rPr>
        <w:t>V wurden 799</w:t>
      </w:r>
      <w:r w:rsidR="00247EF8" w:rsidRPr="004F5FB4">
        <w:rPr>
          <w:color w:val="000000"/>
        </w:rPr>
        <w:t> </w:t>
      </w:r>
      <w:r w:rsidRPr="004F5FB4">
        <w:rPr>
          <w:color w:val="000000"/>
        </w:rPr>
        <w:t>erwachsene Methotrexat-naive Patienten mit mäßiger bis schwerer aktiver früher rheumatoider Arthritis (mittlere Erkrankungsdauer weniger als 9</w:t>
      </w:r>
      <w:r w:rsidR="00752E5E" w:rsidRPr="004F5FB4">
        <w:rPr>
          <w:color w:val="000000"/>
        </w:rPr>
        <w:t> </w:t>
      </w:r>
      <w:r w:rsidRPr="004F5FB4">
        <w:rPr>
          <w:color w:val="000000"/>
        </w:rPr>
        <w:t>Monate) eingeschlossen. Diese Studie untersuchte die Wirksamkeit von 40 mg Adalimumab jede zweite Woche in Kombination mit Methotrexat, von 40 mg Adalimumab jede zweite Woche als Monotherapie und von Methotrexat als Monotherapie im Hinblick auf die Verringerung der</w:t>
      </w:r>
      <w:r w:rsidR="00634E59" w:rsidRPr="004F5FB4">
        <w:rPr>
          <w:color w:val="000000"/>
        </w:rPr>
        <w:t xml:space="preserve"> klinischen</w:t>
      </w:r>
      <w:r w:rsidRPr="004F5FB4">
        <w:rPr>
          <w:color w:val="000000"/>
        </w:rPr>
        <w:t xml:space="preserve"> Anzeichen und Symptome sowie des Fortschreitens der Gelenkschädigung bei rheumatoider Arthritis über einen Zeitraum von 104 Wochen. Nach Abschluss der ersten 104</w:t>
      </w:r>
      <w:r w:rsidR="00752E5E" w:rsidRPr="004F5FB4">
        <w:rPr>
          <w:color w:val="000000"/>
        </w:rPr>
        <w:t> </w:t>
      </w:r>
      <w:r w:rsidRPr="004F5FB4">
        <w:rPr>
          <w:color w:val="000000"/>
        </w:rPr>
        <w:t>Wochen wurden 497</w:t>
      </w:r>
      <w:r w:rsidR="00752E5E" w:rsidRPr="004F5FB4">
        <w:rPr>
          <w:color w:val="000000"/>
        </w:rPr>
        <w:t> </w:t>
      </w:r>
      <w:r w:rsidRPr="004F5FB4">
        <w:rPr>
          <w:color w:val="000000"/>
        </w:rPr>
        <w:t xml:space="preserve">Patienten in eine bis zu 10-jährige offene </w:t>
      </w:r>
      <w:r w:rsidR="00634E59" w:rsidRPr="004F5FB4">
        <w:rPr>
          <w:color w:val="000000"/>
        </w:rPr>
        <w:t>Fortsetz</w:t>
      </w:r>
      <w:r w:rsidRPr="004F5FB4">
        <w:rPr>
          <w:color w:val="000000"/>
        </w:rPr>
        <w:t>ungsphase überführt, in der sie alle zwei Wochen 40</w:t>
      </w:r>
      <w:r w:rsidR="00752E5E" w:rsidRPr="004F5FB4">
        <w:rPr>
          <w:color w:val="000000"/>
        </w:rPr>
        <w:t> </w:t>
      </w:r>
      <w:r w:rsidRPr="004F5FB4">
        <w:rPr>
          <w:color w:val="000000"/>
        </w:rPr>
        <w:t>mg Adalimumab erhielten.</w:t>
      </w:r>
    </w:p>
    <w:p w14:paraId="333B0BE8" w14:textId="77777777" w:rsidR="00D2772B" w:rsidRPr="004F5FB4" w:rsidRDefault="00D2772B" w:rsidP="0009685B">
      <w:pPr>
        <w:pStyle w:val="BodyText"/>
        <w:widowControl/>
        <w:kinsoku w:val="0"/>
        <w:overflowPunct w:val="0"/>
        <w:ind w:left="0"/>
        <w:rPr>
          <w:color w:val="000000"/>
          <w:szCs w:val="21"/>
        </w:rPr>
      </w:pPr>
    </w:p>
    <w:p w14:paraId="7B449EEA" w14:textId="77777777" w:rsidR="00D2772B" w:rsidRPr="004F5FB4" w:rsidRDefault="00D2772B" w:rsidP="0009685B">
      <w:pPr>
        <w:pStyle w:val="BodyText"/>
        <w:widowControl/>
        <w:kinsoku w:val="0"/>
        <w:overflowPunct w:val="0"/>
        <w:ind w:left="0"/>
        <w:rPr>
          <w:color w:val="000000"/>
        </w:rPr>
      </w:pPr>
      <w:r w:rsidRPr="004F5FB4">
        <w:rPr>
          <w:color w:val="000000"/>
        </w:rPr>
        <w:t>Der primäre Endpunkt der RA-Studien</w:t>
      </w:r>
      <w:r w:rsidR="00752E5E" w:rsidRPr="004F5FB4">
        <w:rPr>
          <w:color w:val="000000"/>
        </w:rPr>
        <w:t> </w:t>
      </w:r>
      <w:r w:rsidRPr="004F5FB4">
        <w:rPr>
          <w:color w:val="000000"/>
        </w:rPr>
        <w:t>I, II und III und der sekundäre Endpunkt der RA-Studie</w:t>
      </w:r>
      <w:r w:rsidR="00752E5E" w:rsidRPr="004F5FB4">
        <w:rPr>
          <w:color w:val="000000"/>
        </w:rPr>
        <w:t> </w:t>
      </w:r>
      <w:r w:rsidRPr="004F5FB4">
        <w:rPr>
          <w:color w:val="000000"/>
        </w:rPr>
        <w:t>IV war der prozentuale Anteil derjenigen Patienten, die nach 24 bzw. 26</w:t>
      </w:r>
      <w:r w:rsidR="00752E5E" w:rsidRPr="004F5FB4">
        <w:rPr>
          <w:color w:val="000000"/>
        </w:rPr>
        <w:t> </w:t>
      </w:r>
      <w:r w:rsidRPr="004F5FB4">
        <w:rPr>
          <w:color w:val="000000"/>
        </w:rPr>
        <w:t>Wochen ein ACR-20-Ansprech</w:t>
      </w:r>
      <w:r w:rsidR="00634E59" w:rsidRPr="004F5FB4">
        <w:rPr>
          <w:color w:val="000000"/>
        </w:rPr>
        <w:t>raten</w:t>
      </w:r>
      <w:r w:rsidRPr="004F5FB4">
        <w:rPr>
          <w:color w:val="000000"/>
        </w:rPr>
        <w:t xml:space="preserve"> erreichten. Der primäre Endpunkt in der RA-Studie</w:t>
      </w:r>
      <w:r w:rsidR="00752E5E" w:rsidRPr="004F5FB4">
        <w:rPr>
          <w:color w:val="000000"/>
        </w:rPr>
        <w:t> </w:t>
      </w:r>
      <w:r w:rsidRPr="004F5FB4">
        <w:rPr>
          <w:color w:val="000000"/>
        </w:rPr>
        <w:t xml:space="preserve">V war der prozentuale Anteil derjenigen Patienten, </w:t>
      </w:r>
      <w:r w:rsidRPr="004F5FB4">
        <w:rPr>
          <w:color w:val="000000"/>
        </w:rPr>
        <w:lastRenderedPageBreak/>
        <w:t>die nach 52</w:t>
      </w:r>
      <w:r w:rsidR="00752E5E" w:rsidRPr="004F5FB4">
        <w:rPr>
          <w:color w:val="000000"/>
        </w:rPr>
        <w:t> </w:t>
      </w:r>
      <w:r w:rsidRPr="004F5FB4">
        <w:rPr>
          <w:color w:val="000000"/>
        </w:rPr>
        <w:t>Wochen ein ACR-50-Ansprechen erreichten. Ein weiterer primärer Endpunkt in den RA-Studien</w:t>
      </w:r>
      <w:r w:rsidR="00752E5E" w:rsidRPr="004F5FB4">
        <w:rPr>
          <w:color w:val="000000"/>
        </w:rPr>
        <w:t> </w:t>
      </w:r>
      <w:r w:rsidRPr="004F5FB4">
        <w:rPr>
          <w:color w:val="000000"/>
        </w:rPr>
        <w:t>III und V nach 52</w:t>
      </w:r>
      <w:r w:rsidR="00752E5E" w:rsidRPr="004F5FB4">
        <w:rPr>
          <w:color w:val="000000"/>
        </w:rPr>
        <w:t> </w:t>
      </w:r>
      <w:r w:rsidRPr="004F5FB4">
        <w:rPr>
          <w:color w:val="000000"/>
        </w:rPr>
        <w:t>Wochen war die Verzögerung des Fortschreitens der Krankheit (ermittelt durch Röntgenergebnisse). In der RA-Studie III wurde darüber hinaus die Veränderung der Lebensqualität als primärer Endpunkt erfasst.</w:t>
      </w:r>
    </w:p>
    <w:p w14:paraId="12917CD5" w14:textId="77777777" w:rsidR="00D2772B" w:rsidRPr="004F5FB4" w:rsidRDefault="00D2772B" w:rsidP="0009685B">
      <w:pPr>
        <w:pStyle w:val="BodyText"/>
        <w:widowControl/>
        <w:kinsoku w:val="0"/>
        <w:overflowPunct w:val="0"/>
        <w:ind w:left="0"/>
        <w:rPr>
          <w:color w:val="000000"/>
        </w:rPr>
      </w:pPr>
    </w:p>
    <w:p w14:paraId="726EBABD" w14:textId="77777777" w:rsidR="00D2772B" w:rsidRPr="004F5FB4" w:rsidRDefault="00D2772B" w:rsidP="00D51DC6">
      <w:pPr>
        <w:pStyle w:val="BodyText"/>
        <w:keepNext/>
        <w:widowControl/>
        <w:kinsoku w:val="0"/>
        <w:overflowPunct w:val="0"/>
        <w:ind w:left="0"/>
        <w:rPr>
          <w:color w:val="000000"/>
        </w:rPr>
      </w:pPr>
      <w:r w:rsidRPr="004F5FB4">
        <w:rPr>
          <w:i/>
          <w:iCs/>
          <w:color w:val="000000"/>
          <w:u w:val="single"/>
        </w:rPr>
        <w:t>ACR-Ansprechraten</w:t>
      </w:r>
    </w:p>
    <w:p w14:paraId="1CFEC9D1" w14:textId="77777777" w:rsidR="00D2772B" w:rsidRPr="004F5FB4" w:rsidRDefault="00D2772B" w:rsidP="00D51DC6">
      <w:pPr>
        <w:pStyle w:val="BodyText"/>
        <w:keepNext/>
        <w:widowControl/>
        <w:kinsoku w:val="0"/>
        <w:overflowPunct w:val="0"/>
        <w:ind w:left="0"/>
        <w:rPr>
          <w:i/>
          <w:iCs/>
          <w:color w:val="000000"/>
        </w:rPr>
      </w:pPr>
    </w:p>
    <w:p w14:paraId="759112CA" w14:textId="77777777" w:rsidR="00D2772B" w:rsidRPr="004F5FB4" w:rsidRDefault="00D2772B" w:rsidP="0009685B">
      <w:pPr>
        <w:pStyle w:val="BodyText"/>
        <w:widowControl/>
        <w:kinsoku w:val="0"/>
        <w:overflowPunct w:val="0"/>
        <w:ind w:left="0"/>
        <w:rPr>
          <w:color w:val="000000"/>
        </w:rPr>
      </w:pPr>
      <w:r w:rsidRPr="004F5FB4">
        <w:rPr>
          <w:color w:val="000000"/>
        </w:rPr>
        <w:t>Der prozentuale Anteil der mit Adalimumab behandelten Patienten, die ACR-20-, ACR-50- oder ACR-70-Ansprechraten erreichten, war in den RA-Studien</w:t>
      </w:r>
      <w:r w:rsidR="00752E5E" w:rsidRPr="004F5FB4">
        <w:rPr>
          <w:color w:val="000000"/>
        </w:rPr>
        <w:t> </w:t>
      </w:r>
      <w:r w:rsidRPr="004F5FB4">
        <w:rPr>
          <w:color w:val="000000"/>
        </w:rPr>
        <w:t>I, II und III vergleichbar. Die Behandlungsergebnisse mit 40</w:t>
      </w:r>
      <w:r w:rsidR="00752E5E" w:rsidRPr="004F5FB4">
        <w:rPr>
          <w:color w:val="000000"/>
        </w:rPr>
        <w:t> </w:t>
      </w:r>
      <w:r w:rsidRPr="004F5FB4">
        <w:rPr>
          <w:color w:val="000000"/>
        </w:rPr>
        <w:t>mg jede zweite Woche sind in Tabelle</w:t>
      </w:r>
      <w:r w:rsidR="00752E5E" w:rsidRPr="004F5FB4">
        <w:rPr>
          <w:color w:val="000000"/>
        </w:rPr>
        <w:t> </w:t>
      </w:r>
      <w:r w:rsidR="007004B8">
        <w:rPr>
          <w:color w:val="000000"/>
        </w:rPr>
        <w:t>7</w:t>
      </w:r>
      <w:r w:rsidRPr="004F5FB4">
        <w:rPr>
          <w:color w:val="000000"/>
        </w:rPr>
        <w:t xml:space="preserve"> zusammengefasst.</w:t>
      </w:r>
    </w:p>
    <w:p w14:paraId="598AD49B" w14:textId="77777777" w:rsidR="00264096" w:rsidRPr="004F5FB4" w:rsidRDefault="00264096" w:rsidP="0009685B">
      <w:pPr>
        <w:rPr>
          <w:color w:val="000000"/>
        </w:rPr>
      </w:pPr>
    </w:p>
    <w:p w14:paraId="3E0B16A6" w14:textId="77777777" w:rsidR="00005C27" w:rsidRPr="00CA7719" w:rsidRDefault="00D2772B" w:rsidP="00CA7719">
      <w:pPr>
        <w:pStyle w:val="BodyText"/>
        <w:widowControl/>
        <w:kinsoku w:val="0"/>
        <w:overflowPunct w:val="0"/>
        <w:ind w:left="0"/>
        <w:rPr>
          <w:b/>
          <w:color w:val="000000"/>
        </w:rPr>
      </w:pPr>
      <w:r w:rsidRPr="00CA7719">
        <w:rPr>
          <w:b/>
          <w:color w:val="000000"/>
        </w:rPr>
        <w:t xml:space="preserve">Tabelle </w:t>
      </w:r>
      <w:r w:rsidR="007004B8">
        <w:rPr>
          <w:b/>
          <w:color w:val="000000"/>
        </w:rPr>
        <w:t>7</w:t>
      </w:r>
    </w:p>
    <w:p w14:paraId="4A70BE10" w14:textId="77777777" w:rsidR="00FB15B9" w:rsidRPr="00CA7719" w:rsidRDefault="00FB15B9" w:rsidP="00CA7719">
      <w:pPr>
        <w:pStyle w:val="BodyText"/>
        <w:widowControl/>
        <w:kinsoku w:val="0"/>
        <w:overflowPunct w:val="0"/>
        <w:ind w:left="0"/>
        <w:rPr>
          <w:b/>
          <w:color w:val="000000"/>
        </w:rPr>
      </w:pPr>
      <w:r w:rsidRPr="00CA7719">
        <w:rPr>
          <w:b/>
          <w:color w:val="000000"/>
        </w:rPr>
        <w:t>ACR</w:t>
      </w:r>
      <w:r w:rsidRPr="00CA7719">
        <w:rPr>
          <w:b/>
          <w:color w:val="000000"/>
        </w:rPr>
        <w:noBreakHyphen/>
        <w:t>Ansprechraten in placebokontrollierten Studien (prozentualer Anteil der Patienten)</w:t>
      </w:r>
    </w:p>
    <w:p w14:paraId="62384AE5" w14:textId="77777777" w:rsidR="00FB15B9" w:rsidRPr="004F5FB4" w:rsidRDefault="00FB15B9" w:rsidP="00FB15B9">
      <w:pPr>
        <w:pStyle w:val="BodyText"/>
        <w:keepNext/>
        <w:widowControl/>
        <w:kinsoku w:val="0"/>
        <w:overflowPunct w:val="0"/>
        <w:ind w:left="0"/>
        <w:rPr>
          <w:bCs/>
          <w:color w:val="000000"/>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1034"/>
        <w:gridCol w:w="1494"/>
        <w:gridCol w:w="1033"/>
        <w:gridCol w:w="1686"/>
        <w:gridCol w:w="1000"/>
        <w:gridCol w:w="1544"/>
      </w:tblGrid>
      <w:tr w:rsidR="00FB15B9" w:rsidRPr="004F5FB4" w14:paraId="29136010" w14:textId="77777777" w:rsidTr="00687087">
        <w:trPr>
          <w:tblHeader/>
        </w:trPr>
        <w:tc>
          <w:tcPr>
            <w:tcW w:w="1384" w:type="dxa"/>
            <w:vMerge w:val="restart"/>
            <w:shd w:val="clear" w:color="auto" w:fill="auto"/>
          </w:tcPr>
          <w:p w14:paraId="249E204A" w14:textId="77777777" w:rsidR="00FB15B9" w:rsidRPr="004F5FB4" w:rsidRDefault="00FB15B9" w:rsidP="00D67346">
            <w:pPr>
              <w:pStyle w:val="TableParagraph"/>
              <w:keepNext/>
              <w:keepLines/>
              <w:widowControl/>
              <w:kinsoku w:val="0"/>
              <w:overflowPunct w:val="0"/>
              <w:spacing w:before="7"/>
              <w:ind w:left="-2"/>
              <w:rPr>
                <w:rFonts w:ascii="Times New Roman" w:hAnsi="Times New Roman"/>
                <w:b/>
                <w:color w:val="000000"/>
              </w:rPr>
            </w:pPr>
            <w:r w:rsidRPr="004F5FB4">
              <w:rPr>
                <w:rFonts w:ascii="Times New Roman" w:hAnsi="Times New Roman"/>
                <w:b/>
                <w:color w:val="000000"/>
              </w:rPr>
              <w:t>Ansprechen</w:t>
            </w:r>
          </w:p>
        </w:tc>
        <w:tc>
          <w:tcPr>
            <w:tcW w:w="2593" w:type="dxa"/>
            <w:gridSpan w:val="2"/>
            <w:shd w:val="clear" w:color="auto" w:fill="auto"/>
            <w:vAlign w:val="center"/>
          </w:tcPr>
          <w:p w14:paraId="61497C57" w14:textId="77777777" w:rsidR="00FB15B9" w:rsidRPr="004F5FB4"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rPr>
            </w:pPr>
            <w:r w:rsidRPr="004F5FB4">
              <w:rPr>
                <w:rFonts w:ascii="Times New Roman" w:hAnsi="Times New Roman"/>
                <w:b/>
                <w:color w:val="000000"/>
              </w:rPr>
              <w:t>RA-Studie I</w:t>
            </w:r>
            <w:r w:rsidRPr="004F5FB4">
              <w:rPr>
                <w:rFonts w:ascii="Times New Roman" w:hAnsi="Times New Roman"/>
                <w:b/>
                <w:color w:val="000000"/>
                <w:vertAlign w:val="superscript"/>
              </w:rPr>
              <w:t>a</w:t>
            </w:r>
            <w:r w:rsidRPr="004F5FB4">
              <w:rPr>
                <w:rFonts w:ascii="Times New Roman" w:hAnsi="Times New Roman"/>
                <w:b/>
                <w:color w:val="000000"/>
              </w:rPr>
              <w:t>**</w:t>
            </w:r>
          </w:p>
        </w:tc>
        <w:tc>
          <w:tcPr>
            <w:tcW w:w="2790" w:type="dxa"/>
            <w:gridSpan w:val="2"/>
            <w:shd w:val="clear" w:color="auto" w:fill="auto"/>
            <w:vAlign w:val="center"/>
          </w:tcPr>
          <w:p w14:paraId="5B33FE0E" w14:textId="77777777" w:rsidR="00FB15B9" w:rsidRPr="004F5FB4"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rPr>
            </w:pPr>
            <w:r w:rsidRPr="004F5FB4">
              <w:rPr>
                <w:rFonts w:ascii="Times New Roman" w:hAnsi="Times New Roman"/>
                <w:b/>
                <w:color w:val="000000"/>
              </w:rPr>
              <w:t>RA-Studie II</w:t>
            </w:r>
            <w:r w:rsidRPr="004F5FB4">
              <w:rPr>
                <w:rFonts w:ascii="Times New Roman" w:hAnsi="Times New Roman"/>
                <w:b/>
                <w:color w:val="000000"/>
                <w:vertAlign w:val="superscript"/>
              </w:rPr>
              <w:t>a</w:t>
            </w:r>
            <w:r w:rsidRPr="004F5FB4">
              <w:rPr>
                <w:rFonts w:ascii="Times New Roman" w:hAnsi="Times New Roman"/>
                <w:b/>
                <w:color w:val="000000"/>
              </w:rPr>
              <w:t>**</w:t>
            </w:r>
          </w:p>
        </w:tc>
        <w:tc>
          <w:tcPr>
            <w:tcW w:w="2610" w:type="dxa"/>
            <w:gridSpan w:val="2"/>
            <w:shd w:val="clear" w:color="auto" w:fill="auto"/>
            <w:vAlign w:val="center"/>
          </w:tcPr>
          <w:p w14:paraId="74A640DD" w14:textId="77777777" w:rsidR="00FB15B9" w:rsidRPr="004F5FB4" w:rsidRDefault="00FB15B9" w:rsidP="00D67346">
            <w:pPr>
              <w:pStyle w:val="TableParagraph"/>
              <w:keepNext/>
              <w:keepLines/>
              <w:widowControl/>
              <w:kinsoku w:val="0"/>
              <w:overflowPunct w:val="0"/>
              <w:spacing w:line="260" w:lineRule="exact"/>
              <w:jc w:val="center"/>
              <w:rPr>
                <w:rFonts w:ascii="Times New Roman" w:hAnsi="Times New Roman"/>
                <w:b/>
                <w:color w:val="000000"/>
              </w:rPr>
            </w:pPr>
            <w:r w:rsidRPr="004F5FB4">
              <w:rPr>
                <w:rFonts w:ascii="Times New Roman" w:hAnsi="Times New Roman"/>
                <w:b/>
                <w:color w:val="000000"/>
              </w:rPr>
              <w:t>RA-Studie III</w:t>
            </w:r>
            <w:r w:rsidRPr="004F5FB4">
              <w:rPr>
                <w:rFonts w:ascii="Times New Roman" w:hAnsi="Times New Roman"/>
                <w:b/>
                <w:color w:val="000000"/>
                <w:vertAlign w:val="superscript"/>
              </w:rPr>
              <w:t>a</w:t>
            </w:r>
            <w:r w:rsidRPr="004F5FB4">
              <w:rPr>
                <w:rFonts w:ascii="Times New Roman" w:hAnsi="Times New Roman"/>
                <w:b/>
                <w:color w:val="000000"/>
              </w:rPr>
              <w:t>**</w:t>
            </w:r>
          </w:p>
        </w:tc>
      </w:tr>
      <w:tr w:rsidR="00FB15B9" w:rsidRPr="004F5FB4" w14:paraId="729A5BA0" w14:textId="77777777" w:rsidTr="00687087">
        <w:trPr>
          <w:tblHeader/>
        </w:trPr>
        <w:tc>
          <w:tcPr>
            <w:tcW w:w="1384" w:type="dxa"/>
            <w:vMerge/>
            <w:shd w:val="clear" w:color="auto" w:fill="auto"/>
          </w:tcPr>
          <w:p w14:paraId="6759105D" w14:textId="77777777" w:rsidR="00FB15B9" w:rsidRPr="004F5FB4" w:rsidRDefault="00FB15B9" w:rsidP="00D67346">
            <w:pPr>
              <w:pStyle w:val="TableParagraph"/>
              <w:keepNext/>
              <w:keepLines/>
              <w:widowControl/>
              <w:kinsoku w:val="0"/>
              <w:overflowPunct w:val="0"/>
              <w:spacing w:line="260" w:lineRule="exact"/>
              <w:ind w:left="626"/>
              <w:rPr>
                <w:rFonts w:ascii="Times New Roman" w:hAnsi="Times New Roman"/>
                <w:b/>
                <w:color w:val="000000"/>
                <w:lang w:val="en-GB"/>
              </w:rPr>
            </w:pPr>
          </w:p>
        </w:tc>
        <w:tc>
          <w:tcPr>
            <w:tcW w:w="1059" w:type="dxa"/>
            <w:shd w:val="clear" w:color="auto" w:fill="auto"/>
          </w:tcPr>
          <w:p w14:paraId="5ED5B5B9" w14:textId="77777777" w:rsidR="00FB15B9" w:rsidRPr="004F5FB4" w:rsidRDefault="00FB15B9" w:rsidP="00D67346">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c</w:t>
            </w:r>
          </w:p>
          <w:p w14:paraId="47A9504D" w14:textId="77777777" w:rsidR="00FB15B9" w:rsidRPr="004F5FB4" w:rsidRDefault="00FB15B9" w:rsidP="00247EF8">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86183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60</w:t>
            </w:r>
          </w:p>
        </w:tc>
        <w:tc>
          <w:tcPr>
            <w:tcW w:w="1534" w:type="dxa"/>
            <w:shd w:val="clear" w:color="auto" w:fill="auto"/>
            <w:vAlign w:val="center"/>
          </w:tcPr>
          <w:p w14:paraId="457A687F" w14:textId="77777777" w:rsidR="00FB15B9" w:rsidRPr="004F5FB4" w:rsidRDefault="00FB15B9" w:rsidP="00D67346">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r w:rsidRPr="004F5FB4">
              <w:rPr>
                <w:rFonts w:ascii="Times New Roman" w:hAnsi="Times New Roman"/>
                <w:b/>
                <w:color w:val="000000"/>
              </w:rPr>
              <w:t>/MTX</w:t>
            </w:r>
            <w:r w:rsidRPr="004F5FB4">
              <w:rPr>
                <w:rFonts w:ascii="Times New Roman" w:hAnsi="Times New Roman"/>
                <w:b/>
                <w:color w:val="000000"/>
                <w:vertAlign w:val="superscript"/>
              </w:rPr>
              <w:t>c</w:t>
            </w:r>
          </w:p>
          <w:p w14:paraId="0407B7C4" w14:textId="77777777" w:rsidR="00FB15B9" w:rsidRPr="004F5FB4" w:rsidRDefault="00FB15B9" w:rsidP="00247EF8">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63</w:t>
            </w:r>
          </w:p>
        </w:tc>
        <w:tc>
          <w:tcPr>
            <w:tcW w:w="1058" w:type="dxa"/>
            <w:shd w:val="clear" w:color="auto" w:fill="auto"/>
            <w:vAlign w:val="center"/>
          </w:tcPr>
          <w:p w14:paraId="372195B2" w14:textId="77777777" w:rsidR="00FB15B9" w:rsidRPr="004F5FB4" w:rsidRDefault="00FB15B9" w:rsidP="00D67346">
            <w:pPr>
              <w:pStyle w:val="TableParagraph"/>
              <w:keepNext/>
              <w:keepLines/>
              <w:widowControl/>
              <w:kinsoku w:val="0"/>
              <w:overflowPunct w:val="0"/>
              <w:ind w:hanging="66"/>
              <w:jc w:val="center"/>
              <w:rPr>
                <w:rFonts w:ascii="Times New Roman" w:hAnsi="Times New Roman"/>
                <w:b/>
                <w:color w:val="000000"/>
              </w:rPr>
            </w:pPr>
            <w:r w:rsidRPr="004F5FB4">
              <w:rPr>
                <w:rFonts w:ascii="Times New Roman" w:hAnsi="Times New Roman"/>
                <w:b/>
                <w:color w:val="000000"/>
              </w:rPr>
              <w:t>Placebo</w:t>
            </w:r>
          </w:p>
          <w:p w14:paraId="1E78B00C" w14:textId="77777777" w:rsidR="00FB15B9" w:rsidRPr="004F5FB4" w:rsidRDefault="00FB15B9" w:rsidP="00247EF8">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110</w:t>
            </w:r>
          </w:p>
        </w:tc>
        <w:tc>
          <w:tcPr>
            <w:tcW w:w="1732" w:type="dxa"/>
            <w:shd w:val="clear" w:color="auto" w:fill="auto"/>
            <w:vAlign w:val="center"/>
          </w:tcPr>
          <w:p w14:paraId="170682CB" w14:textId="77777777" w:rsidR="00FB15B9" w:rsidRPr="004F5FB4" w:rsidRDefault="00FB15B9" w:rsidP="00D67346">
            <w:pPr>
              <w:pStyle w:val="TableParagraph"/>
              <w:keepNext/>
              <w:keepLines/>
              <w:widowControl/>
              <w:kinsoku w:val="0"/>
              <w:overflowPunct w:val="0"/>
              <w:ind w:left="59" w:right="9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p>
          <w:p w14:paraId="6FD475B1" w14:textId="77777777" w:rsidR="00FB15B9" w:rsidRPr="004F5FB4" w:rsidRDefault="00FB15B9" w:rsidP="00247EF8">
            <w:pPr>
              <w:pStyle w:val="TableParagraph"/>
              <w:keepNext/>
              <w:keepLines/>
              <w:widowControl/>
              <w:kinsoku w:val="0"/>
              <w:overflowPunct w:val="0"/>
              <w:ind w:left="59" w:right="90"/>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113</w:t>
            </w:r>
          </w:p>
        </w:tc>
        <w:tc>
          <w:tcPr>
            <w:tcW w:w="1024" w:type="dxa"/>
            <w:shd w:val="clear" w:color="auto" w:fill="auto"/>
            <w:vAlign w:val="center"/>
          </w:tcPr>
          <w:p w14:paraId="44B4003C" w14:textId="77777777" w:rsidR="00FB15B9" w:rsidRPr="004F5FB4" w:rsidRDefault="00FB15B9" w:rsidP="00D67346">
            <w:pPr>
              <w:pStyle w:val="TableParagraph"/>
              <w:keepNext/>
              <w:keepLines/>
              <w:widowControl/>
              <w:kinsoku w:val="0"/>
              <w:overflowPunct w:val="0"/>
              <w:ind w:hanging="3"/>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c</w:t>
            </w:r>
          </w:p>
          <w:p w14:paraId="4879DE3B" w14:textId="77777777" w:rsidR="00FB15B9" w:rsidRPr="004F5FB4" w:rsidRDefault="00FB15B9" w:rsidP="00247EF8">
            <w:pPr>
              <w:pStyle w:val="TableParagraph"/>
              <w:keepNext/>
              <w:keepLines/>
              <w:widowControl/>
              <w:kinsoku w:val="0"/>
              <w:overflowPunct w:val="0"/>
              <w:ind w:hanging="3"/>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200</w:t>
            </w:r>
          </w:p>
        </w:tc>
        <w:tc>
          <w:tcPr>
            <w:tcW w:w="1586" w:type="dxa"/>
            <w:shd w:val="clear" w:color="auto" w:fill="auto"/>
            <w:vAlign w:val="center"/>
          </w:tcPr>
          <w:p w14:paraId="064F4E83" w14:textId="77777777" w:rsidR="00FB15B9" w:rsidRPr="004F5FB4" w:rsidRDefault="00FB15B9" w:rsidP="00D67346">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r w:rsidRPr="004F5FB4">
              <w:rPr>
                <w:rFonts w:ascii="Times New Roman" w:hAnsi="Times New Roman"/>
                <w:b/>
                <w:color w:val="000000"/>
              </w:rPr>
              <w:t>/MTX</w:t>
            </w:r>
            <w:r w:rsidRPr="004F5FB4">
              <w:rPr>
                <w:rFonts w:ascii="Times New Roman" w:hAnsi="Times New Roman"/>
                <w:b/>
                <w:color w:val="000000"/>
                <w:vertAlign w:val="superscript"/>
              </w:rPr>
              <w:t>c</w:t>
            </w:r>
          </w:p>
          <w:p w14:paraId="2B83993C" w14:textId="77777777" w:rsidR="00FB15B9" w:rsidRPr="004F5FB4" w:rsidRDefault="00FB15B9" w:rsidP="00247EF8">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207</w:t>
            </w:r>
          </w:p>
        </w:tc>
      </w:tr>
      <w:tr w:rsidR="00FB15B9" w:rsidRPr="004F5FB4" w14:paraId="327EEB30" w14:textId="77777777" w:rsidTr="00687087">
        <w:tc>
          <w:tcPr>
            <w:tcW w:w="1384" w:type="dxa"/>
            <w:shd w:val="clear" w:color="auto" w:fill="auto"/>
          </w:tcPr>
          <w:p w14:paraId="26B9F83F" w14:textId="77777777" w:rsidR="00FB15B9" w:rsidRPr="004F5FB4" w:rsidRDefault="00FB15B9" w:rsidP="00D67346">
            <w:pPr>
              <w:pStyle w:val="TableParagraph"/>
              <w:keepNext/>
              <w:keepLines/>
              <w:widowControl/>
              <w:kinsoku w:val="0"/>
              <w:overflowPunct w:val="0"/>
              <w:spacing w:before="6"/>
              <w:ind w:left="-2"/>
              <w:rPr>
                <w:rFonts w:ascii="Times New Roman" w:hAnsi="Times New Roman"/>
                <w:color w:val="000000"/>
              </w:rPr>
            </w:pPr>
            <w:r w:rsidRPr="004F5FB4">
              <w:rPr>
                <w:rFonts w:ascii="Times New Roman" w:hAnsi="Times New Roman"/>
                <w:color w:val="000000"/>
              </w:rPr>
              <w:t>ACR-20</w:t>
            </w:r>
          </w:p>
        </w:tc>
        <w:tc>
          <w:tcPr>
            <w:tcW w:w="1059" w:type="dxa"/>
            <w:shd w:val="clear" w:color="auto" w:fill="auto"/>
          </w:tcPr>
          <w:p w14:paraId="47754AC0"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534" w:type="dxa"/>
            <w:shd w:val="clear" w:color="auto" w:fill="auto"/>
          </w:tcPr>
          <w:p w14:paraId="79C174A0"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058" w:type="dxa"/>
            <w:shd w:val="clear" w:color="auto" w:fill="auto"/>
          </w:tcPr>
          <w:p w14:paraId="0DA405E7"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732" w:type="dxa"/>
            <w:shd w:val="clear" w:color="auto" w:fill="auto"/>
          </w:tcPr>
          <w:p w14:paraId="6883386C"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024" w:type="dxa"/>
            <w:shd w:val="clear" w:color="auto" w:fill="auto"/>
          </w:tcPr>
          <w:p w14:paraId="0D186858"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586" w:type="dxa"/>
            <w:shd w:val="clear" w:color="auto" w:fill="auto"/>
          </w:tcPr>
          <w:p w14:paraId="7C67BB07"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r>
      <w:tr w:rsidR="00FB15B9" w:rsidRPr="004F5FB4" w14:paraId="76EAA1F6" w14:textId="77777777" w:rsidTr="00687087">
        <w:tc>
          <w:tcPr>
            <w:tcW w:w="1384" w:type="dxa"/>
            <w:shd w:val="clear" w:color="auto" w:fill="auto"/>
          </w:tcPr>
          <w:p w14:paraId="4A115CCA" w14:textId="77777777" w:rsidR="00FB15B9" w:rsidRPr="004F5FB4" w:rsidRDefault="00FB15B9" w:rsidP="00D67346">
            <w:pPr>
              <w:pStyle w:val="TableParagraph"/>
              <w:keepNext/>
              <w:keepLines/>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6</w:t>
            </w:r>
            <w:r w:rsidR="0055646D"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17218EBF"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13,3</w:t>
            </w:r>
            <w:r w:rsidR="00752E5E" w:rsidRPr="004F5FB4">
              <w:rPr>
                <w:rFonts w:ascii="Times New Roman" w:hAnsi="Times New Roman"/>
                <w:color w:val="000000"/>
              </w:rPr>
              <w:t> </w:t>
            </w:r>
            <w:r w:rsidRPr="004F5FB4">
              <w:rPr>
                <w:rFonts w:ascii="Times New Roman" w:hAnsi="Times New Roman"/>
                <w:color w:val="000000"/>
              </w:rPr>
              <w:t>%</w:t>
            </w:r>
          </w:p>
        </w:tc>
        <w:tc>
          <w:tcPr>
            <w:tcW w:w="1534" w:type="dxa"/>
            <w:shd w:val="clear" w:color="auto" w:fill="auto"/>
          </w:tcPr>
          <w:p w14:paraId="7D6DF54C"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65,1 %</w:t>
            </w:r>
          </w:p>
        </w:tc>
        <w:tc>
          <w:tcPr>
            <w:tcW w:w="1058" w:type="dxa"/>
            <w:shd w:val="clear" w:color="auto" w:fill="auto"/>
          </w:tcPr>
          <w:p w14:paraId="7E68627C"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19,1 %</w:t>
            </w:r>
          </w:p>
        </w:tc>
        <w:tc>
          <w:tcPr>
            <w:tcW w:w="1732" w:type="dxa"/>
            <w:shd w:val="clear" w:color="auto" w:fill="auto"/>
          </w:tcPr>
          <w:p w14:paraId="0597353F"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46,0 %</w:t>
            </w:r>
          </w:p>
        </w:tc>
        <w:tc>
          <w:tcPr>
            <w:tcW w:w="1024" w:type="dxa"/>
            <w:shd w:val="clear" w:color="auto" w:fill="auto"/>
          </w:tcPr>
          <w:p w14:paraId="14E271A7"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29,5 %</w:t>
            </w:r>
          </w:p>
        </w:tc>
        <w:tc>
          <w:tcPr>
            <w:tcW w:w="1586" w:type="dxa"/>
            <w:shd w:val="clear" w:color="auto" w:fill="auto"/>
          </w:tcPr>
          <w:p w14:paraId="4E2EDD3F"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63,3 %</w:t>
            </w:r>
          </w:p>
        </w:tc>
      </w:tr>
      <w:tr w:rsidR="00FB15B9" w:rsidRPr="004F5FB4" w14:paraId="1AD329FE" w14:textId="77777777" w:rsidTr="00687087">
        <w:tc>
          <w:tcPr>
            <w:tcW w:w="1384" w:type="dxa"/>
            <w:shd w:val="clear" w:color="auto" w:fill="auto"/>
          </w:tcPr>
          <w:p w14:paraId="22543FAC" w14:textId="77777777" w:rsidR="00FB15B9" w:rsidRPr="004F5FB4" w:rsidRDefault="00FB15B9" w:rsidP="00247EF8">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w:t>
            </w:r>
            <w:r w:rsidR="00247EF8"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151B7324"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shd w:val="clear" w:color="auto" w:fill="auto"/>
          </w:tcPr>
          <w:p w14:paraId="591CF4C2"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58" w:type="dxa"/>
            <w:shd w:val="clear" w:color="auto" w:fill="auto"/>
          </w:tcPr>
          <w:p w14:paraId="46E697A9"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32" w:type="dxa"/>
            <w:shd w:val="clear" w:color="auto" w:fill="auto"/>
          </w:tcPr>
          <w:p w14:paraId="1754F86D"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24" w:type="dxa"/>
            <w:shd w:val="clear" w:color="auto" w:fill="auto"/>
          </w:tcPr>
          <w:p w14:paraId="31CB32C2"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24,0 %</w:t>
            </w:r>
          </w:p>
        </w:tc>
        <w:tc>
          <w:tcPr>
            <w:tcW w:w="1586" w:type="dxa"/>
            <w:shd w:val="clear" w:color="auto" w:fill="auto"/>
          </w:tcPr>
          <w:p w14:paraId="5B67090D"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58,9 %</w:t>
            </w:r>
          </w:p>
        </w:tc>
      </w:tr>
      <w:tr w:rsidR="00FB15B9" w:rsidRPr="004F5FB4" w14:paraId="74F6F213" w14:textId="77777777" w:rsidTr="00687087">
        <w:tc>
          <w:tcPr>
            <w:tcW w:w="1384" w:type="dxa"/>
            <w:shd w:val="clear" w:color="auto" w:fill="auto"/>
          </w:tcPr>
          <w:p w14:paraId="31FEA8D3" w14:textId="77777777" w:rsidR="00FB15B9" w:rsidRPr="004F5FB4" w:rsidRDefault="00FB15B9" w:rsidP="00D67346">
            <w:pPr>
              <w:pStyle w:val="TableParagraph"/>
              <w:keepNext/>
              <w:keepLines/>
              <w:widowControl/>
              <w:kinsoku w:val="0"/>
              <w:overflowPunct w:val="0"/>
              <w:spacing w:line="252" w:lineRule="exact"/>
              <w:ind w:left="-2"/>
              <w:rPr>
                <w:rFonts w:ascii="Times New Roman" w:hAnsi="Times New Roman"/>
                <w:color w:val="000000"/>
              </w:rPr>
            </w:pPr>
            <w:r w:rsidRPr="004F5FB4">
              <w:rPr>
                <w:rFonts w:ascii="Times New Roman" w:hAnsi="Times New Roman"/>
                <w:color w:val="000000"/>
              </w:rPr>
              <w:t>ACR-50</w:t>
            </w:r>
          </w:p>
        </w:tc>
        <w:tc>
          <w:tcPr>
            <w:tcW w:w="1059" w:type="dxa"/>
            <w:shd w:val="clear" w:color="auto" w:fill="auto"/>
          </w:tcPr>
          <w:p w14:paraId="119F7F4C" w14:textId="77777777" w:rsidR="00FB15B9" w:rsidRPr="004F5FB4" w:rsidRDefault="00FB15B9" w:rsidP="00D67346">
            <w:pPr>
              <w:keepNext/>
              <w:keepLines/>
              <w:jc w:val="center"/>
              <w:rPr>
                <w:rFonts w:eastAsia="Calibri"/>
                <w:color w:val="000000"/>
                <w:lang w:val="en-GB"/>
              </w:rPr>
            </w:pPr>
          </w:p>
        </w:tc>
        <w:tc>
          <w:tcPr>
            <w:tcW w:w="1534" w:type="dxa"/>
            <w:shd w:val="clear" w:color="auto" w:fill="auto"/>
          </w:tcPr>
          <w:p w14:paraId="2EE33584" w14:textId="77777777" w:rsidR="00FB15B9" w:rsidRPr="004F5FB4" w:rsidRDefault="00FB15B9" w:rsidP="00D67346">
            <w:pPr>
              <w:keepNext/>
              <w:keepLines/>
              <w:jc w:val="center"/>
              <w:rPr>
                <w:rFonts w:eastAsia="Calibri"/>
                <w:color w:val="000000"/>
                <w:lang w:val="en-GB"/>
              </w:rPr>
            </w:pPr>
          </w:p>
        </w:tc>
        <w:tc>
          <w:tcPr>
            <w:tcW w:w="1058" w:type="dxa"/>
            <w:shd w:val="clear" w:color="auto" w:fill="auto"/>
          </w:tcPr>
          <w:p w14:paraId="5D88D78D" w14:textId="77777777" w:rsidR="00FB15B9" w:rsidRPr="004F5FB4" w:rsidRDefault="00FB15B9" w:rsidP="00D67346">
            <w:pPr>
              <w:keepNext/>
              <w:keepLines/>
              <w:jc w:val="center"/>
              <w:rPr>
                <w:rFonts w:eastAsia="Calibri"/>
                <w:color w:val="000000"/>
                <w:lang w:val="en-GB"/>
              </w:rPr>
            </w:pPr>
          </w:p>
        </w:tc>
        <w:tc>
          <w:tcPr>
            <w:tcW w:w="1732" w:type="dxa"/>
            <w:shd w:val="clear" w:color="auto" w:fill="auto"/>
          </w:tcPr>
          <w:p w14:paraId="65C22AD1" w14:textId="77777777" w:rsidR="00FB15B9" w:rsidRPr="004F5FB4" w:rsidRDefault="00FB15B9" w:rsidP="00D67346">
            <w:pPr>
              <w:keepNext/>
              <w:keepLines/>
              <w:jc w:val="center"/>
              <w:rPr>
                <w:rFonts w:eastAsia="Calibri"/>
                <w:color w:val="000000"/>
                <w:lang w:val="en-GB"/>
              </w:rPr>
            </w:pPr>
          </w:p>
        </w:tc>
        <w:tc>
          <w:tcPr>
            <w:tcW w:w="1024" w:type="dxa"/>
            <w:shd w:val="clear" w:color="auto" w:fill="auto"/>
          </w:tcPr>
          <w:p w14:paraId="64F171A9" w14:textId="77777777" w:rsidR="00FB15B9" w:rsidRPr="004F5FB4" w:rsidRDefault="00FB15B9" w:rsidP="00D67346">
            <w:pPr>
              <w:keepNext/>
              <w:keepLines/>
              <w:jc w:val="center"/>
              <w:rPr>
                <w:rFonts w:eastAsia="Calibri"/>
                <w:color w:val="000000"/>
                <w:lang w:val="en-GB"/>
              </w:rPr>
            </w:pPr>
          </w:p>
        </w:tc>
        <w:tc>
          <w:tcPr>
            <w:tcW w:w="1586" w:type="dxa"/>
            <w:shd w:val="clear" w:color="auto" w:fill="auto"/>
          </w:tcPr>
          <w:p w14:paraId="1DA24327" w14:textId="77777777" w:rsidR="00FB15B9" w:rsidRPr="004F5FB4" w:rsidRDefault="00FB15B9" w:rsidP="00D67346">
            <w:pPr>
              <w:keepNext/>
              <w:keepLines/>
              <w:jc w:val="center"/>
              <w:rPr>
                <w:rFonts w:eastAsia="Calibri"/>
                <w:color w:val="000000"/>
                <w:lang w:val="en-GB"/>
              </w:rPr>
            </w:pPr>
          </w:p>
        </w:tc>
      </w:tr>
      <w:tr w:rsidR="00FB15B9" w:rsidRPr="004F5FB4" w14:paraId="3AEA1F49" w14:textId="77777777" w:rsidTr="00687087">
        <w:tc>
          <w:tcPr>
            <w:tcW w:w="1384" w:type="dxa"/>
            <w:shd w:val="clear" w:color="auto" w:fill="auto"/>
          </w:tcPr>
          <w:p w14:paraId="40B1CAF9" w14:textId="77777777" w:rsidR="00FB15B9" w:rsidRPr="004F5FB4" w:rsidRDefault="00FB15B9" w:rsidP="00D67346">
            <w:pPr>
              <w:pStyle w:val="TableParagraph"/>
              <w:keepNext/>
              <w:keepLines/>
              <w:widowControl/>
              <w:kinsoku w:val="0"/>
              <w:overflowPunct w:val="0"/>
              <w:spacing w:line="251" w:lineRule="exact"/>
              <w:ind w:left="142"/>
              <w:rPr>
                <w:rFonts w:ascii="Times New Roman" w:hAnsi="Times New Roman"/>
                <w:color w:val="000000"/>
              </w:rPr>
            </w:pPr>
            <w:r w:rsidRPr="004F5FB4">
              <w:rPr>
                <w:rFonts w:ascii="Times New Roman" w:hAnsi="Times New Roman"/>
                <w:color w:val="000000"/>
              </w:rPr>
              <w:t>6</w:t>
            </w:r>
            <w:r w:rsidR="0055646D"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7FC486E6" w14:textId="77777777" w:rsidR="00FB15B9" w:rsidRPr="004F5FB4"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6,7 %</w:t>
            </w:r>
          </w:p>
        </w:tc>
        <w:tc>
          <w:tcPr>
            <w:tcW w:w="1534" w:type="dxa"/>
            <w:shd w:val="clear" w:color="auto" w:fill="auto"/>
          </w:tcPr>
          <w:p w14:paraId="31781A98" w14:textId="77777777" w:rsidR="00FB15B9" w:rsidRPr="004F5FB4"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52,4 %</w:t>
            </w:r>
          </w:p>
        </w:tc>
        <w:tc>
          <w:tcPr>
            <w:tcW w:w="1058" w:type="dxa"/>
            <w:shd w:val="clear" w:color="auto" w:fill="auto"/>
          </w:tcPr>
          <w:p w14:paraId="67A10891" w14:textId="77777777" w:rsidR="00FB15B9" w:rsidRPr="004F5FB4"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8,2 %</w:t>
            </w:r>
          </w:p>
        </w:tc>
        <w:tc>
          <w:tcPr>
            <w:tcW w:w="1732" w:type="dxa"/>
            <w:shd w:val="clear" w:color="auto" w:fill="auto"/>
          </w:tcPr>
          <w:p w14:paraId="27D28A3A" w14:textId="77777777" w:rsidR="00FB15B9" w:rsidRPr="004F5FB4"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22,1 %</w:t>
            </w:r>
          </w:p>
        </w:tc>
        <w:tc>
          <w:tcPr>
            <w:tcW w:w="1024" w:type="dxa"/>
            <w:shd w:val="clear" w:color="auto" w:fill="auto"/>
          </w:tcPr>
          <w:p w14:paraId="530DADF5" w14:textId="77777777" w:rsidR="00FB15B9" w:rsidRPr="004F5FB4"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9,5 %</w:t>
            </w:r>
          </w:p>
        </w:tc>
        <w:tc>
          <w:tcPr>
            <w:tcW w:w="1586" w:type="dxa"/>
            <w:shd w:val="clear" w:color="auto" w:fill="auto"/>
          </w:tcPr>
          <w:p w14:paraId="4ED77681" w14:textId="77777777" w:rsidR="00FB15B9" w:rsidRPr="004F5FB4"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39,1 %</w:t>
            </w:r>
          </w:p>
        </w:tc>
      </w:tr>
      <w:tr w:rsidR="00FB15B9" w:rsidRPr="004F5FB4" w14:paraId="49D38FB1" w14:textId="77777777" w:rsidTr="00687087">
        <w:tc>
          <w:tcPr>
            <w:tcW w:w="1384" w:type="dxa"/>
            <w:shd w:val="clear" w:color="auto" w:fill="auto"/>
          </w:tcPr>
          <w:p w14:paraId="42BF06FD" w14:textId="77777777" w:rsidR="00FB15B9" w:rsidRPr="004F5FB4" w:rsidRDefault="00FB15B9" w:rsidP="00247EF8">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w:t>
            </w:r>
            <w:r w:rsidR="00247EF8"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357BFF16"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shd w:val="clear" w:color="auto" w:fill="auto"/>
          </w:tcPr>
          <w:p w14:paraId="70F5CD66"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58" w:type="dxa"/>
            <w:shd w:val="clear" w:color="auto" w:fill="auto"/>
          </w:tcPr>
          <w:p w14:paraId="20D5BD2A"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32" w:type="dxa"/>
            <w:shd w:val="clear" w:color="auto" w:fill="auto"/>
          </w:tcPr>
          <w:p w14:paraId="42C6B885"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24" w:type="dxa"/>
            <w:shd w:val="clear" w:color="auto" w:fill="auto"/>
          </w:tcPr>
          <w:p w14:paraId="5CA18C00"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9,5 %</w:t>
            </w:r>
          </w:p>
        </w:tc>
        <w:tc>
          <w:tcPr>
            <w:tcW w:w="1586" w:type="dxa"/>
            <w:shd w:val="clear" w:color="auto" w:fill="auto"/>
          </w:tcPr>
          <w:p w14:paraId="3C84B2FE"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41,5 %</w:t>
            </w:r>
          </w:p>
        </w:tc>
      </w:tr>
      <w:tr w:rsidR="00FB15B9" w:rsidRPr="004F5FB4" w14:paraId="44C52C68" w14:textId="77777777" w:rsidTr="00687087">
        <w:tc>
          <w:tcPr>
            <w:tcW w:w="1384" w:type="dxa"/>
            <w:shd w:val="clear" w:color="auto" w:fill="auto"/>
          </w:tcPr>
          <w:p w14:paraId="543C55D6" w14:textId="77777777" w:rsidR="00FB15B9" w:rsidRPr="004F5FB4" w:rsidRDefault="00FB15B9" w:rsidP="00D67346">
            <w:pPr>
              <w:pStyle w:val="TableParagraph"/>
              <w:keepNext/>
              <w:keepLines/>
              <w:widowControl/>
              <w:kinsoku w:val="0"/>
              <w:overflowPunct w:val="0"/>
              <w:spacing w:line="252" w:lineRule="exact"/>
              <w:ind w:left="-2"/>
              <w:rPr>
                <w:rFonts w:ascii="Times New Roman" w:hAnsi="Times New Roman"/>
                <w:color w:val="000000"/>
              </w:rPr>
            </w:pPr>
            <w:r w:rsidRPr="004F5FB4">
              <w:rPr>
                <w:rFonts w:ascii="Times New Roman" w:hAnsi="Times New Roman"/>
                <w:color w:val="000000"/>
              </w:rPr>
              <w:t>ACR-70</w:t>
            </w:r>
          </w:p>
        </w:tc>
        <w:tc>
          <w:tcPr>
            <w:tcW w:w="1059" w:type="dxa"/>
            <w:shd w:val="clear" w:color="auto" w:fill="auto"/>
          </w:tcPr>
          <w:p w14:paraId="29B5D919" w14:textId="77777777" w:rsidR="00FB15B9" w:rsidRPr="004F5FB4" w:rsidRDefault="00FB15B9" w:rsidP="00D67346">
            <w:pPr>
              <w:keepNext/>
              <w:keepLines/>
              <w:jc w:val="center"/>
              <w:rPr>
                <w:rFonts w:eastAsia="Calibri"/>
                <w:color w:val="000000"/>
                <w:lang w:val="en-GB"/>
              </w:rPr>
            </w:pPr>
          </w:p>
        </w:tc>
        <w:tc>
          <w:tcPr>
            <w:tcW w:w="1534" w:type="dxa"/>
            <w:shd w:val="clear" w:color="auto" w:fill="auto"/>
          </w:tcPr>
          <w:p w14:paraId="40564C34" w14:textId="77777777" w:rsidR="00FB15B9" w:rsidRPr="004F5FB4" w:rsidRDefault="00FB15B9" w:rsidP="00D67346">
            <w:pPr>
              <w:keepNext/>
              <w:keepLines/>
              <w:jc w:val="center"/>
              <w:rPr>
                <w:rFonts w:eastAsia="Calibri"/>
                <w:color w:val="000000"/>
                <w:lang w:val="en-GB"/>
              </w:rPr>
            </w:pPr>
          </w:p>
        </w:tc>
        <w:tc>
          <w:tcPr>
            <w:tcW w:w="1058" w:type="dxa"/>
            <w:shd w:val="clear" w:color="auto" w:fill="auto"/>
          </w:tcPr>
          <w:p w14:paraId="49B6429A" w14:textId="77777777" w:rsidR="00FB15B9" w:rsidRPr="004F5FB4" w:rsidRDefault="00FB15B9" w:rsidP="00D67346">
            <w:pPr>
              <w:keepNext/>
              <w:keepLines/>
              <w:jc w:val="center"/>
              <w:rPr>
                <w:rFonts w:eastAsia="Calibri"/>
                <w:color w:val="000000"/>
                <w:lang w:val="en-GB"/>
              </w:rPr>
            </w:pPr>
          </w:p>
        </w:tc>
        <w:tc>
          <w:tcPr>
            <w:tcW w:w="1732" w:type="dxa"/>
            <w:shd w:val="clear" w:color="auto" w:fill="auto"/>
          </w:tcPr>
          <w:p w14:paraId="7025F45F" w14:textId="77777777" w:rsidR="00FB15B9" w:rsidRPr="004F5FB4" w:rsidRDefault="00FB15B9" w:rsidP="00D67346">
            <w:pPr>
              <w:keepNext/>
              <w:keepLines/>
              <w:jc w:val="center"/>
              <w:rPr>
                <w:rFonts w:eastAsia="Calibri"/>
                <w:color w:val="000000"/>
                <w:lang w:val="en-GB"/>
              </w:rPr>
            </w:pPr>
          </w:p>
        </w:tc>
        <w:tc>
          <w:tcPr>
            <w:tcW w:w="1024" w:type="dxa"/>
            <w:shd w:val="clear" w:color="auto" w:fill="auto"/>
          </w:tcPr>
          <w:p w14:paraId="7B1CC5F6" w14:textId="77777777" w:rsidR="00FB15B9" w:rsidRPr="004F5FB4" w:rsidRDefault="00FB15B9" w:rsidP="00D67346">
            <w:pPr>
              <w:keepNext/>
              <w:keepLines/>
              <w:jc w:val="center"/>
              <w:rPr>
                <w:rFonts w:eastAsia="Calibri"/>
                <w:color w:val="000000"/>
                <w:lang w:val="en-GB"/>
              </w:rPr>
            </w:pPr>
          </w:p>
        </w:tc>
        <w:tc>
          <w:tcPr>
            <w:tcW w:w="1586" w:type="dxa"/>
            <w:shd w:val="clear" w:color="auto" w:fill="auto"/>
          </w:tcPr>
          <w:p w14:paraId="19E36C79" w14:textId="77777777" w:rsidR="00FB15B9" w:rsidRPr="004F5FB4" w:rsidRDefault="00FB15B9" w:rsidP="00D67346">
            <w:pPr>
              <w:keepNext/>
              <w:keepLines/>
              <w:jc w:val="center"/>
              <w:rPr>
                <w:rFonts w:eastAsia="Calibri"/>
                <w:color w:val="000000"/>
                <w:lang w:val="en-GB"/>
              </w:rPr>
            </w:pPr>
          </w:p>
        </w:tc>
      </w:tr>
      <w:tr w:rsidR="00FB15B9" w:rsidRPr="004F5FB4" w14:paraId="37EA8A74" w14:textId="77777777" w:rsidTr="00687087">
        <w:tc>
          <w:tcPr>
            <w:tcW w:w="1384" w:type="dxa"/>
            <w:shd w:val="clear" w:color="auto" w:fill="auto"/>
          </w:tcPr>
          <w:p w14:paraId="5B457270" w14:textId="77777777" w:rsidR="00FB15B9" w:rsidRPr="004F5FB4" w:rsidRDefault="00FB15B9" w:rsidP="00D67346">
            <w:pPr>
              <w:pStyle w:val="TableParagraph"/>
              <w:keepNext/>
              <w:keepLines/>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6</w:t>
            </w:r>
            <w:r w:rsidR="0055646D"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124418AB"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3,3 %</w:t>
            </w:r>
          </w:p>
        </w:tc>
        <w:tc>
          <w:tcPr>
            <w:tcW w:w="1534" w:type="dxa"/>
            <w:shd w:val="clear" w:color="auto" w:fill="auto"/>
          </w:tcPr>
          <w:p w14:paraId="597313C3"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23,8 %</w:t>
            </w:r>
          </w:p>
        </w:tc>
        <w:tc>
          <w:tcPr>
            <w:tcW w:w="1058" w:type="dxa"/>
            <w:shd w:val="clear" w:color="auto" w:fill="auto"/>
          </w:tcPr>
          <w:p w14:paraId="2ECA1029"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1,8 %</w:t>
            </w:r>
          </w:p>
        </w:tc>
        <w:tc>
          <w:tcPr>
            <w:tcW w:w="1732" w:type="dxa"/>
            <w:shd w:val="clear" w:color="auto" w:fill="auto"/>
          </w:tcPr>
          <w:p w14:paraId="18DAB316"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12,4 %</w:t>
            </w:r>
          </w:p>
        </w:tc>
        <w:tc>
          <w:tcPr>
            <w:tcW w:w="1024" w:type="dxa"/>
            <w:shd w:val="clear" w:color="auto" w:fill="auto"/>
          </w:tcPr>
          <w:p w14:paraId="191523B1"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2,5 %</w:t>
            </w:r>
          </w:p>
        </w:tc>
        <w:tc>
          <w:tcPr>
            <w:tcW w:w="1586" w:type="dxa"/>
            <w:shd w:val="clear" w:color="auto" w:fill="auto"/>
          </w:tcPr>
          <w:p w14:paraId="5B0708D4" w14:textId="77777777" w:rsidR="00FB15B9" w:rsidRPr="004F5FB4"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20,8 %</w:t>
            </w:r>
          </w:p>
        </w:tc>
      </w:tr>
      <w:tr w:rsidR="00FB15B9" w:rsidRPr="004F5FB4" w14:paraId="72E07273" w14:textId="77777777" w:rsidTr="00687087">
        <w:tc>
          <w:tcPr>
            <w:tcW w:w="1384" w:type="dxa"/>
            <w:tcBorders>
              <w:bottom w:val="single" w:sz="4" w:space="0" w:color="auto"/>
            </w:tcBorders>
            <w:shd w:val="clear" w:color="auto" w:fill="auto"/>
          </w:tcPr>
          <w:p w14:paraId="3BCE4B06" w14:textId="77777777" w:rsidR="00FB15B9" w:rsidRPr="004F5FB4" w:rsidRDefault="00FB15B9" w:rsidP="00247EF8">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w:t>
            </w:r>
            <w:r w:rsidR="00247EF8" w:rsidRPr="004F5FB4">
              <w:rPr>
                <w:rFonts w:ascii="Times New Roman" w:hAnsi="Times New Roman"/>
                <w:color w:val="000000"/>
              </w:rPr>
              <w:t> </w:t>
            </w:r>
            <w:r w:rsidRPr="004F5FB4">
              <w:rPr>
                <w:rFonts w:ascii="Times New Roman" w:hAnsi="Times New Roman"/>
                <w:color w:val="000000"/>
              </w:rPr>
              <w:t>Monate</w:t>
            </w:r>
          </w:p>
        </w:tc>
        <w:tc>
          <w:tcPr>
            <w:tcW w:w="1059" w:type="dxa"/>
            <w:tcBorders>
              <w:bottom w:val="single" w:sz="4" w:space="0" w:color="auto"/>
            </w:tcBorders>
            <w:shd w:val="clear" w:color="auto" w:fill="auto"/>
          </w:tcPr>
          <w:p w14:paraId="7420F892"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tcBorders>
              <w:bottom w:val="single" w:sz="4" w:space="0" w:color="auto"/>
            </w:tcBorders>
            <w:shd w:val="clear" w:color="auto" w:fill="auto"/>
          </w:tcPr>
          <w:p w14:paraId="2FECFF9D"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58" w:type="dxa"/>
            <w:tcBorders>
              <w:bottom w:val="single" w:sz="4" w:space="0" w:color="auto"/>
            </w:tcBorders>
            <w:shd w:val="clear" w:color="auto" w:fill="auto"/>
          </w:tcPr>
          <w:p w14:paraId="3216E634"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32" w:type="dxa"/>
            <w:tcBorders>
              <w:bottom w:val="single" w:sz="4" w:space="0" w:color="auto"/>
            </w:tcBorders>
            <w:shd w:val="clear" w:color="auto" w:fill="auto"/>
          </w:tcPr>
          <w:p w14:paraId="338A2D43"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24" w:type="dxa"/>
            <w:tcBorders>
              <w:bottom w:val="single" w:sz="4" w:space="0" w:color="auto"/>
            </w:tcBorders>
            <w:shd w:val="clear" w:color="auto" w:fill="auto"/>
          </w:tcPr>
          <w:p w14:paraId="56F72B0C"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4,5 %</w:t>
            </w:r>
          </w:p>
        </w:tc>
        <w:tc>
          <w:tcPr>
            <w:tcW w:w="1586" w:type="dxa"/>
            <w:tcBorders>
              <w:bottom w:val="single" w:sz="4" w:space="0" w:color="auto"/>
            </w:tcBorders>
            <w:shd w:val="clear" w:color="auto" w:fill="auto"/>
          </w:tcPr>
          <w:p w14:paraId="633B3EAE" w14:textId="77777777" w:rsidR="00FB15B9" w:rsidRPr="004F5FB4" w:rsidRDefault="00FB15B9"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23,2 %</w:t>
            </w:r>
          </w:p>
        </w:tc>
      </w:tr>
      <w:tr w:rsidR="00D27A26" w:rsidRPr="004F5FB4" w14:paraId="4EE08D31" w14:textId="77777777" w:rsidTr="00D27A26">
        <w:tc>
          <w:tcPr>
            <w:tcW w:w="9377" w:type="dxa"/>
            <w:gridSpan w:val="7"/>
            <w:tcBorders>
              <w:left w:val="nil"/>
              <w:bottom w:val="nil"/>
              <w:right w:val="nil"/>
            </w:tcBorders>
            <w:shd w:val="clear" w:color="auto" w:fill="auto"/>
          </w:tcPr>
          <w:p w14:paraId="27938C6E" w14:textId="77777777" w:rsidR="00D27A26" w:rsidRPr="00206AEA" w:rsidRDefault="00D27A26" w:rsidP="00D27A26">
            <w:pPr>
              <w:tabs>
                <w:tab w:val="left" w:pos="288"/>
              </w:tabs>
              <w:ind w:left="270" w:hanging="270"/>
              <w:rPr>
                <w:color w:val="000000"/>
                <w:sz w:val="20"/>
              </w:rPr>
            </w:pPr>
            <w:r w:rsidRPr="00206AEA">
              <w:rPr>
                <w:color w:val="000000"/>
                <w:sz w:val="20"/>
                <w:vertAlign w:val="superscript"/>
              </w:rPr>
              <w:t xml:space="preserve">a </w:t>
            </w:r>
            <w:r w:rsidRPr="00206AEA">
              <w:rPr>
                <w:color w:val="000000"/>
                <w:sz w:val="20"/>
                <w:vertAlign w:val="superscript"/>
              </w:rPr>
              <w:tab/>
            </w:r>
            <w:r w:rsidRPr="00206AEA">
              <w:rPr>
                <w:color w:val="000000"/>
                <w:sz w:val="20"/>
              </w:rPr>
              <w:t>RA-Studie I nach 24</w:t>
            </w:r>
            <w:r w:rsidR="00A85BE4" w:rsidRPr="00206AEA">
              <w:rPr>
                <w:color w:val="000000"/>
                <w:sz w:val="20"/>
              </w:rPr>
              <w:t> </w:t>
            </w:r>
            <w:r w:rsidRPr="00206AEA">
              <w:rPr>
                <w:color w:val="000000"/>
                <w:sz w:val="20"/>
              </w:rPr>
              <w:t>Wochen, RA-Studie II nach 26</w:t>
            </w:r>
            <w:r w:rsidR="00A85BE4" w:rsidRPr="00206AEA">
              <w:rPr>
                <w:color w:val="000000"/>
                <w:sz w:val="20"/>
              </w:rPr>
              <w:t> </w:t>
            </w:r>
            <w:r w:rsidRPr="00206AEA">
              <w:rPr>
                <w:color w:val="000000"/>
                <w:sz w:val="20"/>
              </w:rPr>
              <w:t>Wochen und RA-Studie III nach 24 und 52</w:t>
            </w:r>
            <w:r w:rsidR="00A85BE4" w:rsidRPr="00206AEA">
              <w:rPr>
                <w:color w:val="000000"/>
                <w:sz w:val="20"/>
              </w:rPr>
              <w:t> </w:t>
            </w:r>
            <w:r w:rsidRPr="00206AEA">
              <w:rPr>
                <w:color w:val="000000"/>
                <w:sz w:val="20"/>
              </w:rPr>
              <w:t>Wochen</w:t>
            </w:r>
          </w:p>
          <w:p w14:paraId="627F2C1B" w14:textId="77777777" w:rsidR="00D27A26" w:rsidRPr="00206AEA" w:rsidRDefault="00D27A26" w:rsidP="00D27A26">
            <w:pPr>
              <w:tabs>
                <w:tab w:val="left" w:pos="288"/>
              </w:tabs>
              <w:ind w:left="270" w:hanging="270"/>
              <w:rPr>
                <w:color w:val="000000"/>
                <w:sz w:val="20"/>
              </w:rPr>
            </w:pPr>
            <w:r w:rsidRPr="00206AEA">
              <w:rPr>
                <w:color w:val="000000"/>
                <w:sz w:val="20"/>
                <w:vertAlign w:val="superscript"/>
              </w:rPr>
              <w:t xml:space="preserve">b </w:t>
            </w:r>
            <w:r w:rsidRPr="00206AEA">
              <w:rPr>
                <w:color w:val="000000"/>
                <w:sz w:val="20"/>
                <w:vertAlign w:val="superscript"/>
              </w:rPr>
              <w:tab/>
            </w:r>
            <w:r w:rsidRPr="00206AEA">
              <w:rPr>
                <w:color w:val="000000"/>
                <w:sz w:val="20"/>
              </w:rPr>
              <w:t>40 mg Adalimumab jede zweite Woche</w:t>
            </w:r>
          </w:p>
          <w:p w14:paraId="43CBE0F9" w14:textId="77777777" w:rsidR="00D27A26" w:rsidRPr="00206AEA" w:rsidRDefault="00D27A26" w:rsidP="00D27A26">
            <w:pPr>
              <w:tabs>
                <w:tab w:val="left" w:pos="288"/>
              </w:tabs>
              <w:ind w:left="270" w:hanging="270"/>
              <w:rPr>
                <w:color w:val="000000"/>
                <w:sz w:val="20"/>
              </w:rPr>
            </w:pPr>
            <w:r w:rsidRPr="00206AEA">
              <w:rPr>
                <w:color w:val="000000"/>
                <w:sz w:val="20"/>
                <w:vertAlign w:val="superscript"/>
              </w:rPr>
              <w:t xml:space="preserve">c </w:t>
            </w:r>
            <w:r w:rsidRPr="00206AEA">
              <w:rPr>
                <w:color w:val="000000"/>
                <w:sz w:val="20"/>
                <w:vertAlign w:val="superscript"/>
              </w:rPr>
              <w:tab/>
            </w:r>
            <w:r w:rsidRPr="00206AEA">
              <w:rPr>
                <w:color w:val="000000"/>
                <w:sz w:val="20"/>
              </w:rPr>
              <w:t>MTX = Methotrexat</w:t>
            </w:r>
          </w:p>
          <w:p w14:paraId="7F829023" w14:textId="77777777" w:rsidR="00D27A26" w:rsidRPr="00206AEA" w:rsidRDefault="00D27A26" w:rsidP="00D27A26">
            <w:pPr>
              <w:tabs>
                <w:tab w:val="left" w:pos="288"/>
              </w:tabs>
              <w:ind w:left="270" w:hanging="270"/>
              <w:rPr>
                <w:color w:val="000000"/>
                <w:sz w:val="20"/>
              </w:rPr>
            </w:pPr>
            <w:r w:rsidRPr="00206AEA">
              <w:rPr>
                <w:color w:val="000000"/>
                <w:sz w:val="20"/>
              </w:rPr>
              <w:t>**</w:t>
            </w:r>
            <w:r w:rsidRPr="00206AEA">
              <w:rPr>
                <w:color w:val="000000"/>
                <w:sz w:val="20"/>
              </w:rPr>
              <w:tab/>
              <w:t>p &lt; 0,01; Adalimumab gegenüber Placebo</w:t>
            </w:r>
          </w:p>
        </w:tc>
      </w:tr>
    </w:tbl>
    <w:p w14:paraId="17958205" w14:textId="77777777" w:rsidR="00264096" w:rsidRPr="004F5FB4" w:rsidRDefault="00264096" w:rsidP="006B7D5A">
      <w:pPr>
        <w:rPr>
          <w:color w:val="000000"/>
        </w:rPr>
      </w:pPr>
    </w:p>
    <w:p w14:paraId="5DA9BEE6" w14:textId="77777777" w:rsidR="00D2772B" w:rsidRPr="004F5FB4" w:rsidRDefault="00D2772B" w:rsidP="006B7D5A">
      <w:pPr>
        <w:pStyle w:val="BodyText"/>
        <w:widowControl/>
        <w:kinsoku w:val="0"/>
        <w:overflowPunct w:val="0"/>
        <w:ind w:left="0"/>
        <w:rPr>
          <w:color w:val="000000"/>
        </w:rPr>
      </w:pPr>
      <w:r w:rsidRPr="004F5FB4">
        <w:rPr>
          <w:color w:val="000000"/>
        </w:rPr>
        <w:t>In den RA-Studien</w:t>
      </w:r>
      <w:r w:rsidR="0054782E" w:rsidRPr="004F5FB4">
        <w:rPr>
          <w:color w:val="000000"/>
        </w:rPr>
        <w:t> </w:t>
      </w:r>
      <w:r w:rsidRPr="004F5FB4">
        <w:rPr>
          <w:color w:val="000000"/>
        </w:rPr>
        <w:t>I – IV wurde im Vergleich zu Placebo nach 24 bzw. 26</w:t>
      </w:r>
      <w:r w:rsidR="00247EF8" w:rsidRPr="004F5FB4">
        <w:rPr>
          <w:color w:val="000000"/>
        </w:rPr>
        <w:t> </w:t>
      </w:r>
      <w:r w:rsidRPr="004F5FB4">
        <w:rPr>
          <w:color w:val="000000"/>
        </w:rPr>
        <w:t xml:space="preserve">Wochen eine Verbesserung aller individuellen ACR-Ansprechkriterien festgestellt (Anzahl der druckschmerzempfindlichen und geschwollenen Gelenke, Einstufung der Krankheitsaktivität und des Schmerzes durch Arzt und Patienten, Ausmaß der körperlichen Funktionseinschränkung </w:t>
      </w:r>
      <w:r w:rsidR="0054782E" w:rsidRPr="004F5FB4">
        <w:rPr>
          <w:color w:val="000000"/>
        </w:rPr>
        <w:t>[</w:t>
      </w:r>
      <w:r w:rsidRPr="004F5FB4">
        <w:rPr>
          <w:color w:val="000000"/>
        </w:rPr>
        <w:t>Health Assessment Questionnaire, HAQ</w:t>
      </w:r>
      <w:r w:rsidR="0054782E" w:rsidRPr="004F5FB4">
        <w:rPr>
          <w:color w:val="000000"/>
        </w:rPr>
        <w:t>]</w:t>
      </w:r>
      <w:r w:rsidRPr="004F5FB4">
        <w:rPr>
          <w:color w:val="000000"/>
        </w:rPr>
        <w:t xml:space="preserve"> und CRP-Werte </w:t>
      </w:r>
      <w:r w:rsidR="0054782E" w:rsidRPr="004F5FB4">
        <w:rPr>
          <w:color w:val="000000"/>
        </w:rPr>
        <w:t>[</w:t>
      </w:r>
      <w:r w:rsidRPr="004F5FB4">
        <w:rPr>
          <w:color w:val="000000"/>
        </w:rPr>
        <w:t>mg/dl</w:t>
      </w:r>
      <w:r w:rsidR="0054782E" w:rsidRPr="004F5FB4">
        <w:rPr>
          <w:color w:val="000000"/>
        </w:rPr>
        <w:t>]</w:t>
      </w:r>
      <w:r w:rsidRPr="004F5FB4">
        <w:rPr>
          <w:color w:val="000000"/>
        </w:rPr>
        <w:t>). In der RA-Studie</w:t>
      </w:r>
      <w:r w:rsidR="0054782E" w:rsidRPr="004F5FB4">
        <w:rPr>
          <w:color w:val="000000"/>
        </w:rPr>
        <w:t> </w:t>
      </w:r>
      <w:r w:rsidRPr="004F5FB4">
        <w:rPr>
          <w:color w:val="000000"/>
        </w:rPr>
        <w:t>III hielt diese Verbesserung bis zur Woche</w:t>
      </w:r>
      <w:r w:rsidR="0054782E" w:rsidRPr="004F5FB4">
        <w:rPr>
          <w:color w:val="000000"/>
        </w:rPr>
        <w:t> </w:t>
      </w:r>
      <w:r w:rsidRPr="004F5FB4">
        <w:rPr>
          <w:color w:val="000000"/>
        </w:rPr>
        <w:t>52 an.</w:t>
      </w:r>
    </w:p>
    <w:p w14:paraId="540D6987" w14:textId="77777777" w:rsidR="00D2772B" w:rsidRPr="004F5FB4" w:rsidRDefault="00D2772B" w:rsidP="006B7D5A">
      <w:pPr>
        <w:pStyle w:val="BodyText"/>
        <w:widowControl/>
        <w:kinsoku w:val="0"/>
        <w:overflowPunct w:val="0"/>
        <w:ind w:left="0"/>
        <w:rPr>
          <w:color w:val="000000"/>
          <w:szCs w:val="21"/>
        </w:rPr>
      </w:pPr>
    </w:p>
    <w:p w14:paraId="21963012" w14:textId="77777777" w:rsidR="00D2772B" w:rsidRPr="004F5FB4" w:rsidRDefault="00D2772B" w:rsidP="006B7D5A">
      <w:pPr>
        <w:pStyle w:val="BodyText"/>
        <w:widowControl/>
        <w:kinsoku w:val="0"/>
        <w:overflowPunct w:val="0"/>
        <w:ind w:left="0"/>
        <w:rPr>
          <w:color w:val="000000"/>
        </w:rPr>
      </w:pPr>
      <w:r w:rsidRPr="004F5FB4">
        <w:rPr>
          <w:color w:val="000000"/>
        </w:rPr>
        <w:t>In der offenen Erweiterungsphase der RA-Studie</w:t>
      </w:r>
      <w:r w:rsidR="0054782E" w:rsidRPr="004F5FB4">
        <w:rPr>
          <w:color w:val="000000"/>
        </w:rPr>
        <w:t> </w:t>
      </w:r>
      <w:r w:rsidRPr="004F5FB4">
        <w:rPr>
          <w:color w:val="000000"/>
        </w:rPr>
        <w:t>III blieb bei den meisten Patienten, die ein ACR-Ansprechen zeigten, dieses über eine Nachbeobachtung von bis zu 10 Jahren erhalten. Von 207</w:t>
      </w:r>
      <w:r w:rsidR="00C75B4A" w:rsidRPr="004F5FB4">
        <w:rPr>
          <w:color w:val="000000"/>
        </w:rPr>
        <w:t> </w:t>
      </w:r>
      <w:r w:rsidRPr="004F5FB4">
        <w:rPr>
          <w:color w:val="000000"/>
        </w:rPr>
        <w:t>Patienten, die zu Adalimumab 40</w:t>
      </w:r>
      <w:r w:rsidR="0054782E" w:rsidRPr="004F5FB4">
        <w:rPr>
          <w:color w:val="000000"/>
        </w:rPr>
        <w:t> </w:t>
      </w:r>
      <w:r w:rsidRPr="004F5FB4">
        <w:rPr>
          <w:color w:val="000000"/>
        </w:rPr>
        <w:t>mg alle 2</w:t>
      </w:r>
      <w:r w:rsidR="0054782E" w:rsidRPr="004F5FB4">
        <w:rPr>
          <w:color w:val="000000"/>
        </w:rPr>
        <w:t> </w:t>
      </w:r>
      <w:r w:rsidRPr="004F5FB4">
        <w:rPr>
          <w:color w:val="000000"/>
        </w:rPr>
        <w:t>Wochen randomisiert wurden, erhielten 114</w:t>
      </w:r>
      <w:r w:rsidR="0054782E" w:rsidRPr="004F5FB4">
        <w:rPr>
          <w:color w:val="000000"/>
        </w:rPr>
        <w:t> </w:t>
      </w:r>
      <w:r w:rsidRPr="004F5FB4">
        <w:rPr>
          <w:color w:val="000000"/>
        </w:rPr>
        <w:t>Patienten eine Dauertherapie von 40</w:t>
      </w:r>
      <w:r w:rsidR="0054782E" w:rsidRPr="004F5FB4">
        <w:rPr>
          <w:color w:val="000000"/>
        </w:rPr>
        <w:t> </w:t>
      </w:r>
      <w:r w:rsidRPr="004F5FB4">
        <w:rPr>
          <w:color w:val="000000"/>
        </w:rPr>
        <w:t>mg Adalimumab jede zweite Woche über 5</w:t>
      </w:r>
      <w:r w:rsidR="0054782E" w:rsidRPr="004F5FB4">
        <w:rPr>
          <w:color w:val="000000"/>
        </w:rPr>
        <w:t> </w:t>
      </w:r>
      <w:r w:rsidRPr="004F5FB4">
        <w:rPr>
          <w:color w:val="000000"/>
        </w:rPr>
        <w:t>Jahre. Von diesen hatten 86</w:t>
      </w:r>
      <w:r w:rsidR="00C75B4A" w:rsidRPr="004F5FB4">
        <w:rPr>
          <w:color w:val="000000"/>
        </w:rPr>
        <w:t> </w:t>
      </w:r>
      <w:r w:rsidRPr="004F5FB4">
        <w:rPr>
          <w:color w:val="000000"/>
        </w:rPr>
        <w:t>Patienten (75,4 %) ein ACR-20-Ansprechen; 72</w:t>
      </w:r>
      <w:r w:rsidR="0054782E" w:rsidRPr="004F5FB4">
        <w:rPr>
          <w:color w:val="000000"/>
        </w:rPr>
        <w:t> </w:t>
      </w:r>
      <w:r w:rsidRPr="004F5FB4">
        <w:rPr>
          <w:color w:val="000000"/>
        </w:rPr>
        <w:t>Patienten (63,2 %) ein ACR-50-Ansprechen und 41</w:t>
      </w:r>
      <w:r w:rsidR="0054782E" w:rsidRPr="004F5FB4">
        <w:rPr>
          <w:color w:val="000000"/>
        </w:rPr>
        <w:t> </w:t>
      </w:r>
      <w:r w:rsidRPr="004F5FB4">
        <w:rPr>
          <w:color w:val="000000"/>
        </w:rPr>
        <w:t>Patienten (36 %) ein ACR-70-Ansprechen. Von 207</w:t>
      </w:r>
      <w:r w:rsidR="0054782E" w:rsidRPr="004F5FB4">
        <w:rPr>
          <w:color w:val="000000"/>
        </w:rPr>
        <w:t> </w:t>
      </w:r>
      <w:r w:rsidRPr="004F5FB4">
        <w:rPr>
          <w:color w:val="000000"/>
        </w:rPr>
        <w:t>Patienten wurden 81 Patienten 10 Jahre lang mit 40</w:t>
      </w:r>
      <w:r w:rsidR="0054782E" w:rsidRPr="004F5FB4">
        <w:rPr>
          <w:color w:val="000000"/>
        </w:rPr>
        <w:t> </w:t>
      </w:r>
      <w:r w:rsidRPr="004F5FB4">
        <w:rPr>
          <w:color w:val="000000"/>
        </w:rPr>
        <w:t>mg Adalimumab jede zweite Woche weiterbehandelt. Von diesen hatten 64 Patienten (79,0 %) ein ACR-20-Ansprechen; 56 Patienten (69,1 %) ein ACR-50-Ansprechen und 43</w:t>
      </w:r>
      <w:r w:rsidR="0054782E" w:rsidRPr="004F5FB4">
        <w:rPr>
          <w:color w:val="000000"/>
        </w:rPr>
        <w:t> </w:t>
      </w:r>
      <w:r w:rsidRPr="004F5FB4">
        <w:rPr>
          <w:color w:val="000000"/>
        </w:rPr>
        <w:t>Patienten (53,1 %) ein ACR-70-Ansprechen.</w:t>
      </w:r>
    </w:p>
    <w:p w14:paraId="19BED5B8" w14:textId="77777777" w:rsidR="00D2772B" w:rsidRPr="004F5FB4" w:rsidRDefault="00D2772B" w:rsidP="006B7D5A">
      <w:pPr>
        <w:pStyle w:val="BodyText"/>
        <w:widowControl/>
        <w:kinsoku w:val="0"/>
        <w:overflowPunct w:val="0"/>
        <w:ind w:left="0"/>
        <w:rPr>
          <w:color w:val="000000"/>
        </w:rPr>
      </w:pPr>
    </w:p>
    <w:p w14:paraId="4919A9A4" w14:textId="77777777" w:rsidR="00D2772B" w:rsidRPr="004F5FB4" w:rsidRDefault="00D2772B" w:rsidP="006B7D5A">
      <w:pPr>
        <w:pStyle w:val="BodyText"/>
        <w:widowControl/>
        <w:kinsoku w:val="0"/>
        <w:overflowPunct w:val="0"/>
        <w:ind w:left="0"/>
        <w:rPr>
          <w:color w:val="000000"/>
        </w:rPr>
      </w:pPr>
      <w:r w:rsidRPr="004F5FB4">
        <w:rPr>
          <w:color w:val="000000"/>
        </w:rPr>
        <w:t>In der RA-Studie</w:t>
      </w:r>
      <w:r w:rsidR="0054782E" w:rsidRPr="004F5FB4">
        <w:rPr>
          <w:color w:val="000000"/>
        </w:rPr>
        <w:t> </w:t>
      </w:r>
      <w:r w:rsidRPr="004F5FB4">
        <w:rPr>
          <w:color w:val="000000"/>
        </w:rPr>
        <w:t>IV war die ACR-20-Ansprechrate bei Patienten, die mit Adalimumab plus Therapiestandard behandelt wurden, statistisch signifikant besser als bei Patienten, die Placebo plus Therapiestandard erhielten (p &lt; 0,001).</w:t>
      </w:r>
    </w:p>
    <w:p w14:paraId="788DE273" w14:textId="77777777" w:rsidR="00D2772B" w:rsidRPr="004F5FB4" w:rsidRDefault="00D2772B" w:rsidP="006B7D5A">
      <w:pPr>
        <w:pStyle w:val="BodyText"/>
        <w:widowControl/>
        <w:kinsoku w:val="0"/>
        <w:overflowPunct w:val="0"/>
        <w:ind w:left="0"/>
        <w:rPr>
          <w:color w:val="000000"/>
        </w:rPr>
      </w:pPr>
    </w:p>
    <w:p w14:paraId="763548DD" w14:textId="77777777" w:rsidR="00D2772B" w:rsidRPr="004F5FB4" w:rsidRDefault="00D2772B" w:rsidP="006B7D5A">
      <w:pPr>
        <w:pStyle w:val="BodyText"/>
        <w:widowControl/>
        <w:kinsoku w:val="0"/>
        <w:overflowPunct w:val="0"/>
        <w:ind w:left="0"/>
        <w:rPr>
          <w:color w:val="000000"/>
        </w:rPr>
      </w:pPr>
      <w:r w:rsidRPr="004F5FB4">
        <w:rPr>
          <w:color w:val="000000"/>
        </w:rPr>
        <w:t>Im Vergleich zu Placebo erreichten die mit Adalimumab behandelten Patienten in den RA-Studien</w:t>
      </w:r>
      <w:r w:rsidR="0054782E" w:rsidRPr="004F5FB4">
        <w:rPr>
          <w:color w:val="000000"/>
        </w:rPr>
        <w:t> </w:t>
      </w:r>
      <w:r w:rsidRPr="004F5FB4">
        <w:rPr>
          <w:color w:val="000000"/>
        </w:rPr>
        <w:t>I – IV bereits ein bis zwei Wochen nach Behandlungsbeginn statistisch signifikante ACR-20- und ACR-50-Ansprechraten.</w:t>
      </w:r>
    </w:p>
    <w:p w14:paraId="7539467C" w14:textId="77777777" w:rsidR="00D2772B" w:rsidRPr="004F5FB4" w:rsidRDefault="00D2772B" w:rsidP="006B7D5A">
      <w:pPr>
        <w:pStyle w:val="BodyText"/>
        <w:widowControl/>
        <w:kinsoku w:val="0"/>
        <w:overflowPunct w:val="0"/>
        <w:ind w:left="0"/>
        <w:rPr>
          <w:color w:val="000000"/>
          <w:szCs w:val="21"/>
        </w:rPr>
      </w:pPr>
    </w:p>
    <w:p w14:paraId="3151FB28" w14:textId="77777777" w:rsidR="00D2772B" w:rsidRPr="004F5FB4" w:rsidRDefault="00D2772B" w:rsidP="006B7D5A">
      <w:pPr>
        <w:pStyle w:val="BodyText"/>
        <w:widowControl/>
        <w:kinsoku w:val="0"/>
        <w:overflowPunct w:val="0"/>
        <w:ind w:left="0"/>
        <w:rPr>
          <w:color w:val="000000"/>
        </w:rPr>
      </w:pPr>
      <w:r w:rsidRPr="004F5FB4">
        <w:rPr>
          <w:color w:val="000000"/>
        </w:rPr>
        <w:lastRenderedPageBreak/>
        <w:t>In der RA-Studie</w:t>
      </w:r>
      <w:r w:rsidR="0054782E" w:rsidRPr="004F5FB4">
        <w:rPr>
          <w:color w:val="000000"/>
        </w:rPr>
        <w:t> </w:t>
      </w:r>
      <w:r w:rsidRPr="004F5FB4">
        <w:rPr>
          <w:color w:val="000000"/>
        </w:rPr>
        <w:t>V führte die Kombinationstherapie mit Adalimumab und Methotrexat bei Methotrexat-naiven Patienten mit früher rheumatoider Arthritis nach 52 Wochen zu einem schnelleren und signifikant größeren ACR-Ansprechen als unter Methotrexat-Monotherapie und Adalimumab-Monotherapie. Das Ansprechen wurde bis Woche</w:t>
      </w:r>
      <w:r w:rsidR="0054782E" w:rsidRPr="004F5FB4">
        <w:rPr>
          <w:color w:val="000000"/>
        </w:rPr>
        <w:t> </w:t>
      </w:r>
      <w:r w:rsidRPr="004F5FB4">
        <w:rPr>
          <w:color w:val="000000"/>
        </w:rPr>
        <w:t>104 aufrechterhalten (siehe Tabelle</w:t>
      </w:r>
      <w:r w:rsidR="0054782E" w:rsidRPr="004F5FB4">
        <w:rPr>
          <w:color w:val="000000"/>
        </w:rPr>
        <w:t> </w:t>
      </w:r>
      <w:r w:rsidR="007004B8">
        <w:rPr>
          <w:color w:val="000000"/>
        </w:rPr>
        <w:t>8</w:t>
      </w:r>
      <w:r w:rsidRPr="004F5FB4">
        <w:rPr>
          <w:color w:val="000000"/>
        </w:rPr>
        <w:t>).</w:t>
      </w:r>
    </w:p>
    <w:p w14:paraId="311D0DF7" w14:textId="77777777" w:rsidR="00264096" w:rsidRPr="004F5FB4" w:rsidRDefault="00264096" w:rsidP="006B7D5A">
      <w:pPr>
        <w:rPr>
          <w:color w:val="000000"/>
        </w:rPr>
      </w:pPr>
    </w:p>
    <w:p w14:paraId="42AD8DCE" w14:textId="77777777" w:rsidR="00005C27" w:rsidRPr="00CA7719" w:rsidRDefault="00D2772B" w:rsidP="00CA7719">
      <w:pPr>
        <w:pStyle w:val="BodyText"/>
        <w:widowControl/>
        <w:kinsoku w:val="0"/>
        <w:overflowPunct w:val="0"/>
        <w:ind w:left="0"/>
        <w:rPr>
          <w:b/>
          <w:color w:val="000000"/>
        </w:rPr>
      </w:pPr>
      <w:r w:rsidRPr="00CA7719">
        <w:rPr>
          <w:b/>
          <w:color w:val="000000"/>
        </w:rPr>
        <w:t xml:space="preserve">Tabelle </w:t>
      </w:r>
      <w:r w:rsidR="007004B8">
        <w:rPr>
          <w:b/>
          <w:color w:val="000000"/>
        </w:rPr>
        <w:t>8</w:t>
      </w:r>
    </w:p>
    <w:p w14:paraId="1725DFD8" w14:textId="77777777" w:rsidR="003716CB" w:rsidRPr="00CA7719" w:rsidRDefault="003716CB" w:rsidP="00CA7719">
      <w:pPr>
        <w:pStyle w:val="BodyText"/>
        <w:widowControl/>
        <w:kinsoku w:val="0"/>
        <w:overflowPunct w:val="0"/>
        <w:ind w:left="0"/>
        <w:rPr>
          <w:b/>
          <w:color w:val="000000"/>
        </w:rPr>
      </w:pPr>
      <w:r w:rsidRPr="00CA7719">
        <w:rPr>
          <w:b/>
          <w:color w:val="000000"/>
        </w:rPr>
        <w:t>ACR-Ansprechraten in der RA-Studie</w:t>
      </w:r>
      <w:r w:rsidR="0054782E" w:rsidRPr="00CA7719">
        <w:rPr>
          <w:b/>
          <w:color w:val="000000"/>
        </w:rPr>
        <w:t> </w:t>
      </w:r>
      <w:r w:rsidRPr="00CA7719">
        <w:rPr>
          <w:b/>
          <w:color w:val="000000"/>
        </w:rPr>
        <w:t>V (prozentualer Anteil der Patienten)</w:t>
      </w:r>
    </w:p>
    <w:p w14:paraId="23092A4D" w14:textId="77777777" w:rsidR="003716CB" w:rsidRPr="004F5FB4" w:rsidRDefault="003716CB" w:rsidP="003716CB">
      <w:pPr>
        <w:keepNext/>
        <w:rPr>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022"/>
        <w:gridCol w:w="1588"/>
        <w:gridCol w:w="2070"/>
        <w:gridCol w:w="1110"/>
        <w:gridCol w:w="1110"/>
        <w:gridCol w:w="1110"/>
      </w:tblGrid>
      <w:tr w:rsidR="003716CB" w:rsidRPr="004F5FB4" w14:paraId="09F877C1" w14:textId="77777777" w:rsidTr="00687087">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31A894BB" w14:textId="77777777" w:rsidR="003716CB" w:rsidRPr="004F5FB4" w:rsidRDefault="003716CB" w:rsidP="00E9681E">
            <w:pPr>
              <w:keepNext/>
              <w:jc w:val="center"/>
              <w:rPr>
                <w:b/>
                <w:color w:val="000000"/>
              </w:rPr>
            </w:pPr>
            <w:r w:rsidRPr="004F5FB4">
              <w:rPr>
                <w:b/>
                <w:color w:val="000000"/>
              </w:rPr>
              <w:t>Ansprechen</w:t>
            </w:r>
          </w:p>
        </w:tc>
        <w:tc>
          <w:tcPr>
            <w:tcW w:w="1022" w:type="dxa"/>
            <w:tcBorders>
              <w:top w:val="single" w:sz="4" w:space="0" w:color="auto"/>
              <w:left w:val="single" w:sz="4" w:space="0" w:color="auto"/>
              <w:bottom w:val="single" w:sz="4" w:space="0" w:color="auto"/>
              <w:right w:val="single" w:sz="4" w:space="0" w:color="auto"/>
            </w:tcBorders>
            <w:hideMark/>
          </w:tcPr>
          <w:p w14:paraId="2B5E8BB9" w14:textId="77777777" w:rsidR="003716CB" w:rsidRPr="004F5FB4" w:rsidRDefault="003716CB" w:rsidP="00E9681E">
            <w:pPr>
              <w:keepNext/>
              <w:jc w:val="center"/>
              <w:rPr>
                <w:b/>
                <w:color w:val="000000"/>
              </w:rPr>
            </w:pPr>
            <w:r w:rsidRPr="004F5FB4">
              <w:rPr>
                <w:b/>
                <w:color w:val="000000"/>
              </w:rPr>
              <w:t>Methotrexat (MTX)</w:t>
            </w:r>
          </w:p>
          <w:p w14:paraId="6522FE1D" w14:textId="77777777" w:rsidR="003716CB" w:rsidRPr="004F5FB4" w:rsidRDefault="003716CB" w:rsidP="00247EF8">
            <w:pPr>
              <w:keepNext/>
              <w:jc w:val="center"/>
              <w:rPr>
                <w:b/>
                <w:color w:val="000000"/>
              </w:rPr>
            </w:pPr>
            <w:r w:rsidRPr="004F5FB4">
              <w:rPr>
                <w:b/>
                <w:color w:val="000000"/>
              </w:rPr>
              <w:t>n</w:t>
            </w:r>
            <w:r w:rsidR="00861838" w:rsidRPr="004F5FB4">
              <w:rPr>
                <w:b/>
                <w:color w:val="000000"/>
              </w:rPr>
              <w:t> </w:t>
            </w:r>
            <w:r w:rsidRPr="004F5FB4">
              <w:rPr>
                <w:b/>
                <w:color w:val="000000"/>
              </w:rPr>
              <w:t>=</w:t>
            </w:r>
            <w:r w:rsidR="00247EF8" w:rsidRPr="004F5FB4">
              <w:rPr>
                <w:b/>
                <w:color w:val="000000"/>
              </w:rPr>
              <w:t> </w:t>
            </w:r>
            <w:r w:rsidRPr="004F5FB4">
              <w:rPr>
                <w:b/>
                <w:color w:val="000000"/>
              </w:rPr>
              <w:t>257</w:t>
            </w:r>
          </w:p>
        </w:tc>
        <w:tc>
          <w:tcPr>
            <w:tcW w:w="1588" w:type="dxa"/>
            <w:tcBorders>
              <w:top w:val="single" w:sz="4" w:space="0" w:color="auto"/>
              <w:left w:val="single" w:sz="4" w:space="0" w:color="auto"/>
              <w:bottom w:val="single" w:sz="4" w:space="0" w:color="auto"/>
              <w:right w:val="single" w:sz="4" w:space="0" w:color="auto"/>
            </w:tcBorders>
            <w:hideMark/>
          </w:tcPr>
          <w:p w14:paraId="0A7B8A6F" w14:textId="77777777" w:rsidR="003716CB" w:rsidRPr="004F5FB4" w:rsidRDefault="003716CB" w:rsidP="00E9681E">
            <w:pPr>
              <w:keepNext/>
              <w:jc w:val="center"/>
              <w:rPr>
                <w:b/>
                <w:color w:val="000000"/>
              </w:rPr>
            </w:pPr>
            <w:r w:rsidRPr="004F5FB4">
              <w:rPr>
                <w:b/>
                <w:color w:val="000000"/>
              </w:rPr>
              <w:t>Adalimumab</w:t>
            </w:r>
          </w:p>
          <w:p w14:paraId="407A8D61" w14:textId="77777777" w:rsidR="003716CB" w:rsidRPr="004F5FB4" w:rsidRDefault="003716CB" w:rsidP="00247EF8">
            <w:pPr>
              <w:keepNext/>
              <w:jc w:val="center"/>
              <w:rPr>
                <w:b/>
                <w:color w:val="000000"/>
              </w:rPr>
            </w:pPr>
            <w:r w:rsidRPr="004F5FB4">
              <w:rPr>
                <w:b/>
                <w:color w:val="000000"/>
              </w:rPr>
              <w:t>n</w:t>
            </w:r>
            <w:r w:rsidR="00247EF8" w:rsidRPr="004F5FB4">
              <w:rPr>
                <w:b/>
                <w:color w:val="000000"/>
              </w:rPr>
              <w:t> </w:t>
            </w:r>
            <w:r w:rsidRPr="004F5FB4">
              <w:rPr>
                <w:b/>
                <w:color w:val="000000"/>
              </w:rPr>
              <w:t>=</w:t>
            </w:r>
            <w:r w:rsidR="00247EF8" w:rsidRPr="004F5FB4">
              <w:rPr>
                <w:b/>
                <w:color w:val="000000"/>
              </w:rPr>
              <w:t> </w:t>
            </w:r>
            <w:r w:rsidRPr="004F5FB4">
              <w:rPr>
                <w:b/>
                <w:color w:val="000000"/>
              </w:rPr>
              <w:t>274</w:t>
            </w:r>
          </w:p>
        </w:tc>
        <w:tc>
          <w:tcPr>
            <w:tcW w:w="2070" w:type="dxa"/>
            <w:tcBorders>
              <w:top w:val="single" w:sz="4" w:space="0" w:color="auto"/>
              <w:left w:val="single" w:sz="4" w:space="0" w:color="auto"/>
              <w:bottom w:val="single" w:sz="4" w:space="0" w:color="auto"/>
              <w:right w:val="single" w:sz="4" w:space="0" w:color="auto"/>
            </w:tcBorders>
            <w:hideMark/>
          </w:tcPr>
          <w:p w14:paraId="388E9FE6" w14:textId="77777777" w:rsidR="003716CB" w:rsidRPr="004F5FB4" w:rsidRDefault="003716CB" w:rsidP="00E9681E">
            <w:pPr>
              <w:keepNext/>
              <w:jc w:val="center"/>
              <w:rPr>
                <w:b/>
                <w:color w:val="000000"/>
              </w:rPr>
            </w:pPr>
            <w:r w:rsidRPr="004F5FB4">
              <w:rPr>
                <w:b/>
                <w:color w:val="000000"/>
              </w:rPr>
              <w:t>Adalimumab/MTX</w:t>
            </w:r>
          </w:p>
          <w:p w14:paraId="52991657" w14:textId="77777777" w:rsidR="003716CB" w:rsidRPr="004F5FB4" w:rsidRDefault="003716CB" w:rsidP="00247EF8">
            <w:pPr>
              <w:keepNext/>
              <w:jc w:val="center"/>
              <w:rPr>
                <w:b/>
                <w:color w:val="000000"/>
              </w:rPr>
            </w:pPr>
            <w:r w:rsidRPr="004F5FB4">
              <w:rPr>
                <w:b/>
                <w:color w:val="000000"/>
              </w:rPr>
              <w:t>n</w:t>
            </w:r>
            <w:r w:rsidR="00247EF8" w:rsidRPr="004F5FB4">
              <w:rPr>
                <w:b/>
                <w:color w:val="000000"/>
              </w:rPr>
              <w:t> </w:t>
            </w:r>
            <w:r w:rsidRPr="004F5FB4">
              <w:rPr>
                <w:b/>
                <w:color w:val="000000"/>
              </w:rPr>
              <w:t>=</w:t>
            </w:r>
            <w:r w:rsidR="00247EF8" w:rsidRPr="004F5FB4">
              <w:rPr>
                <w:b/>
                <w:color w:val="000000"/>
              </w:rPr>
              <w:t> </w:t>
            </w:r>
            <w:r w:rsidRPr="004F5FB4">
              <w:rPr>
                <w:b/>
                <w:color w:val="000000"/>
              </w:rPr>
              <w:t>268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5FAF500" w14:textId="77777777" w:rsidR="003716CB" w:rsidRPr="004F5FB4" w:rsidRDefault="003716CB" w:rsidP="00E9681E">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795E256" w14:textId="77777777" w:rsidR="003716CB" w:rsidRPr="004F5FB4" w:rsidRDefault="003716CB" w:rsidP="00E9681E">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C18AED8" w14:textId="77777777" w:rsidR="003716CB" w:rsidRPr="004F5FB4" w:rsidRDefault="003716CB" w:rsidP="00E9681E">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c</w:t>
            </w:r>
          </w:p>
        </w:tc>
      </w:tr>
      <w:tr w:rsidR="003716CB" w:rsidRPr="004F5FB4" w14:paraId="039A9390"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1C16CE27" w14:textId="77777777" w:rsidR="003716CB" w:rsidRPr="004F5FB4" w:rsidRDefault="003716CB" w:rsidP="00E9681E">
            <w:pPr>
              <w:keepNext/>
              <w:rPr>
                <w:color w:val="000000"/>
              </w:rPr>
            </w:pPr>
            <w:r w:rsidRPr="004F5FB4">
              <w:rPr>
                <w:color w:val="000000"/>
              </w:rPr>
              <w:t>ACR-20</w:t>
            </w:r>
          </w:p>
        </w:tc>
        <w:tc>
          <w:tcPr>
            <w:tcW w:w="1022" w:type="dxa"/>
            <w:tcBorders>
              <w:top w:val="single" w:sz="4" w:space="0" w:color="auto"/>
              <w:left w:val="single" w:sz="4" w:space="0" w:color="auto"/>
              <w:bottom w:val="single" w:sz="4" w:space="0" w:color="auto"/>
              <w:right w:val="single" w:sz="4" w:space="0" w:color="auto"/>
            </w:tcBorders>
          </w:tcPr>
          <w:p w14:paraId="31EF79FF" w14:textId="77777777" w:rsidR="003716CB" w:rsidRPr="004F5FB4" w:rsidRDefault="003716CB" w:rsidP="00E9681E">
            <w:pPr>
              <w:keepNext/>
              <w:jc w:val="center"/>
              <w:rPr>
                <w:color w:val="000000"/>
                <w:lang w:val="en-GB"/>
              </w:rPr>
            </w:pPr>
          </w:p>
        </w:tc>
        <w:tc>
          <w:tcPr>
            <w:tcW w:w="1588" w:type="dxa"/>
            <w:tcBorders>
              <w:top w:val="single" w:sz="4" w:space="0" w:color="auto"/>
              <w:left w:val="single" w:sz="4" w:space="0" w:color="auto"/>
              <w:bottom w:val="single" w:sz="4" w:space="0" w:color="auto"/>
              <w:right w:val="single" w:sz="4" w:space="0" w:color="auto"/>
            </w:tcBorders>
          </w:tcPr>
          <w:p w14:paraId="4B27FE95" w14:textId="77777777" w:rsidR="003716CB" w:rsidRPr="004F5FB4" w:rsidRDefault="003716CB" w:rsidP="00E9681E">
            <w:pPr>
              <w:keepNext/>
              <w:jc w:val="center"/>
              <w:rPr>
                <w:color w:val="000000"/>
                <w:lang w:val="en-GB"/>
              </w:rPr>
            </w:pPr>
          </w:p>
        </w:tc>
        <w:tc>
          <w:tcPr>
            <w:tcW w:w="2070" w:type="dxa"/>
            <w:tcBorders>
              <w:top w:val="single" w:sz="4" w:space="0" w:color="auto"/>
              <w:left w:val="single" w:sz="4" w:space="0" w:color="auto"/>
              <w:bottom w:val="single" w:sz="4" w:space="0" w:color="auto"/>
              <w:right w:val="single" w:sz="4" w:space="0" w:color="auto"/>
            </w:tcBorders>
          </w:tcPr>
          <w:p w14:paraId="585E76E4" w14:textId="77777777" w:rsidR="003716CB" w:rsidRPr="004F5FB4" w:rsidRDefault="003716CB" w:rsidP="00E9681E">
            <w:pPr>
              <w:keepNext/>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3B03DDB9" w14:textId="77777777" w:rsidR="003716CB" w:rsidRPr="004F5FB4" w:rsidRDefault="003716CB" w:rsidP="00E9681E">
            <w:pPr>
              <w:keepNext/>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1E5DD455" w14:textId="77777777" w:rsidR="003716CB" w:rsidRPr="004F5FB4" w:rsidRDefault="003716CB" w:rsidP="00E9681E">
            <w:pPr>
              <w:keepNext/>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10A7775B" w14:textId="77777777" w:rsidR="003716CB" w:rsidRPr="004F5FB4" w:rsidRDefault="003716CB" w:rsidP="00E9681E">
            <w:pPr>
              <w:keepNext/>
              <w:jc w:val="center"/>
              <w:rPr>
                <w:color w:val="000000"/>
                <w:lang w:val="en-GB"/>
              </w:rPr>
            </w:pPr>
          </w:p>
        </w:tc>
      </w:tr>
      <w:tr w:rsidR="003716CB" w:rsidRPr="004F5FB4" w14:paraId="5E792020"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5C1BA2F3" w14:textId="77777777" w:rsidR="003716CB" w:rsidRPr="004F5FB4" w:rsidRDefault="003716CB" w:rsidP="00247EF8">
            <w:pPr>
              <w:keepNext/>
              <w:ind w:left="270"/>
              <w:rPr>
                <w:color w:val="000000"/>
              </w:rPr>
            </w:pPr>
            <w:r w:rsidRPr="004F5FB4">
              <w:rPr>
                <w:color w:val="000000"/>
              </w:rPr>
              <w:t>Woche</w:t>
            </w:r>
            <w:r w:rsidR="00247EF8" w:rsidRPr="004F5FB4">
              <w:rPr>
                <w:color w:val="000000"/>
              </w:rPr>
              <w:t> </w:t>
            </w:r>
            <w:r w:rsidRPr="004F5FB4">
              <w:rPr>
                <w:color w:val="000000"/>
              </w:rPr>
              <w:t>52</w:t>
            </w:r>
          </w:p>
        </w:tc>
        <w:tc>
          <w:tcPr>
            <w:tcW w:w="1022" w:type="dxa"/>
            <w:tcBorders>
              <w:top w:val="single" w:sz="4" w:space="0" w:color="auto"/>
              <w:left w:val="single" w:sz="4" w:space="0" w:color="auto"/>
              <w:bottom w:val="single" w:sz="4" w:space="0" w:color="auto"/>
              <w:right w:val="single" w:sz="4" w:space="0" w:color="auto"/>
            </w:tcBorders>
            <w:hideMark/>
          </w:tcPr>
          <w:p w14:paraId="2B47217D" w14:textId="77777777" w:rsidR="003716CB" w:rsidRPr="004F5FB4" w:rsidRDefault="003716CB" w:rsidP="00E9681E">
            <w:pPr>
              <w:keepNext/>
              <w:jc w:val="center"/>
              <w:rPr>
                <w:color w:val="000000"/>
              </w:rPr>
            </w:pPr>
            <w:r w:rsidRPr="004F5FB4">
              <w:rPr>
                <w:color w:val="000000"/>
              </w:rPr>
              <w:t>62,6 %</w:t>
            </w:r>
          </w:p>
        </w:tc>
        <w:tc>
          <w:tcPr>
            <w:tcW w:w="1588" w:type="dxa"/>
            <w:tcBorders>
              <w:top w:val="single" w:sz="4" w:space="0" w:color="auto"/>
              <w:left w:val="single" w:sz="4" w:space="0" w:color="auto"/>
              <w:bottom w:val="single" w:sz="4" w:space="0" w:color="auto"/>
              <w:right w:val="single" w:sz="4" w:space="0" w:color="auto"/>
            </w:tcBorders>
            <w:hideMark/>
          </w:tcPr>
          <w:p w14:paraId="62DC90C0" w14:textId="77777777" w:rsidR="003716CB" w:rsidRPr="004F5FB4" w:rsidRDefault="003716CB" w:rsidP="00E9681E">
            <w:pPr>
              <w:keepNext/>
              <w:jc w:val="center"/>
              <w:rPr>
                <w:color w:val="000000"/>
              </w:rPr>
            </w:pPr>
            <w:r w:rsidRPr="004F5FB4">
              <w:rPr>
                <w:color w:val="000000"/>
              </w:rPr>
              <w:t>54,4 %</w:t>
            </w:r>
          </w:p>
        </w:tc>
        <w:tc>
          <w:tcPr>
            <w:tcW w:w="2070" w:type="dxa"/>
            <w:tcBorders>
              <w:top w:val="single" w:sz="4" w:space="0" w:color="auto"/>
              <w:left w:val="single" w:sz="4" w:space="0" w:color="auto"/>
              <w:bottom w:val="single" w:sz="4" w:space="0" w:color="auto"/>
              <w:right w:val="single" w:sz="4" w:space="0" w:color="auto"/>
            </w:tcBorders>
            <w:hideMark/>
          </w:tcPr>
          <w:p w14:paraId="42A9F582" w14:textId="77777777" w:rsidR="003716CB" w:rsidRPr="004F5FB4" w:rsidRDefault="003716CB" w:rsidP="00E9681E">
            <w:pPr>
              <w:keepNext/>
              <w:jc w:val="center"/>
              <w:rPr>
                <w:color w:val="000000"/>
              </w:rPr>
            </w:pPr>
            <w:r w:rsidRPr="004F5FB4">
              <w:rPr>
                <w:color w:val="000000"/>
              </w:rPr>
              <w:t>72,8 %</w:t>
            </w:r>
          </w:p>
        </w:tc>
        <w:tc>
          <w:tcPr>
            <w:tcW w:w="1110" w:type="dxa"/>
            <w:tcBorders>
              <w:top w:val="single" w:sz="4" w:space="0" w:color="auto"/>
              <w:left w:val="single" w:sz="4" w:space="0" w:color="auto"/>
              <w:bottom w:val="single" w:sz="4" w:space="0" w:color="auto"/>
              <w:right w:val="single" w:sz="4" w:space="0" w:color="auto"/>
            </w:tcBorders>
            <w:hideMark/>
          </w:tcPr>
          <w:p w14:paraId="0D3C5B50" w14:textId="77777777" w:rsidR="003716CB" w:rsidRPr="004F5FB4" w:rsidRDefault="003716CB" w:rsidP="00E9681E">
            <w:pPr>
              <w:keepNext/>
              <w:jc w:val="center"/>
              <w:rPr>
                <w:color w:val="000000"/>
              </w:rPr>
            </w:pPr>
            <w:r w:rsidRPr="004F5FB4">
              <w:rPr>
                <w:color w:val="000000"/>
              </w:rPr>
              <w:t>0,013</w:t>
            </w:r>
          </w:p>
        </w:tc>
        <w:tc>
          <w:tcPr>
            <w:tcW w:w="1110" w:type="dxa"/>
            <w:tcBorders>
              <w:top w:val="single" w:sz="4" w:space="0" w:color="auto"/>
              <w:left w:val="single" w:sz="4" w:space="0" w:color="auto"/>
              <w:bottom w:val="single" w:sz="4" w:space="0" w:color="auto"/>
              <w:right w:val="single" w:sz="4" w:space="0" w:color="auto"/>
            </w:tcBorders>
            <w:hideMark/>
          </w:tcPr>
          <w:p w14:paraId="5F87D2CB" w14:textId="77777777" w:rsidR="003716CB" w:rsidRPr="004F5FB4" w:rsidRDefault="00247EF8" w:rsidP="00E9681E">
            <w:pPr>
              <w:keepNext/>
              <w:jc w:val="center"/>
              <w:rPr>
                <w:color w:val="000000"/>
              </w:rPr>
            </w:pPr>
            <w:r w:rsidRPr="004F5FB4">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78AEA191" w14:textId="77777777" w:rsidR="003716CB" w:rsidRPr="004F5FB4" w:rsidRDefault="003716CB" w:rsidP="00E9681E">
            <w:pPr>
              <w:keepNext/>
              <w:jc w:val="center"/>
              <w:rPr>
                <w:color w:val="000000"/>
              </w:rPr>
            </w:pPr>
            <w:r w:rsidRPr="004F5FB4">
              <w:rPr>
                <w:color w:val="000000"/>
              </w:rPr>
              <w:t>0,043</w:t>
            </w:r>
          </w:p>
        </w:tc>
      </w:tr>
      <w:tr w:rsidR="003716CB" w:rsidRPr="004F5FB4" w14:paraId="36BC8CDD"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67D24D8E" w14:textId="77777777" w:rsidR="003716CB" w:rsidRPr="004F5FB4" w:rsidRDefault="00247EF8" w:rsidP="00E9681E">
            <w:pPr>
              <w:ind w:left="270"/>
              <w:rPr>
                <w:color w:val="000000"/>
              </w:rPr>
            </w:pPr>
            <w:r w:rsidRPr="004F5FB4">
              <w:rPr>
                <w:color w:val="000000"/>
              </w:rPr>
              <w:t>Woche </w:t>
            </w:r>
            <w:r w:rsidR="003716CB" w:rsidRPr="004F5FB4">
              <w:rPr>
                <w:color w:val="000000"/>
              </w:rPr>
              <w:t>104</w:t>
            </w:r>
          </w:p>
        </w:tc>
        <w:tc>
          <w:tcPr>
            <w:tcW w:w="1022" w:type="dxa"/>
            <w:tcBorders>
              <w:top w:val="single" w:sz="4" w:space="0" w:color="auto"/>
              <w:left w:val="single" w:sz="4" w:space="0" w:color="auto"/>
              <w:bottom w:val="single" w:sz="4" w:space="0" w:color="auto"/>
              <w:right w:val="single" w:sz="4" w:space="0" w:color="auto"/>
            </w:tcBorders>
            <w:hideMark/>
          </w:tcPr>
          <w:p w14:paraId="09F629F0" w14:textId="77777777" w:rsidR="003716CB" w:rsidRPr="004F5FB4" w:rsidRDefault="003716CB" w:rsidP="00E9681E">
            <w:pPr>
              <w:jc w:val="center"/>
              <w:rPr>
                <w:color w:val="000000"/>
              </w:rPr>
            </w:pPr>
            <w:r w:rsidRPr="004F5FB4">
              <w:rPr>
                <w:color w:val="000000"/>
              </w:rPr>
              <w:t>56,0 %</w:t>
            </w:r>
          </w:p>
        </w:tc>
        <w:tc>
          <w:tcPr>
            <w:tcW w:w="1588" w:type="dxa"/>
            <w:tcBorders>
              <w:top w:val="single" w:sz="4" w:space="0" w:color="auto"/>
              <w:left w:val="single" w:sz="4" w:space="0" w:color="auto"/>
              <w:bottom w:val="single" w:sz="4" w:space="0" w:color="auto"/>
              <w:right w:val="single" w:sz="4" w:space="0" w:color="auto"/>
            </w:tcBorders>
            <w:hideMark/>
          </w:tcPr>
          <w:p w14:paraId="43B39E80" w14:textId="77777777" w:rsidR="003716CB" w:rsidRPr="004F5FB4" w:rsidRDefault="003716CB" w:rsidP="00E9681E">
            <w:pPr>
              <w:jc w:val="center"/>
              <w:rPr>
                <w:color w:val="000000"/>
              </w:rPr>
            </w:pPr>
            <w:r w:rsidRPr="004F5FB4">
              <w:rPr>
                <w:color w:val="000000"/>
              </w:rPr>
              <w:t>49,3 %</w:t>
            </w:r>
          </w:p>
        </w:tc>
        <w:tc>
          <w:tcPr>
            <w:tcW w:w="2070" w:type="dxa"/>
            <w:tcBorders>
              <w:top w:val="single" w:sz="4" w:space="0" w:color="auto"/>
              <w:left w:val="single" w:sz="4" w:space="0" w:color="auto"/>
              <w:bottom w:val="single" w:sz="4" w:space="0" w:color="auto"/>
              <w:right w:val="single" w:sz="4" w:space="0" w:color="auto"/>
            </w:tcBorders>
            <w:hideMark/>
          </w:tcPr>
          <w:p w14:paraId="5CD464D2" w14:textId="77777777" w:rsidR="003716CB" w:rsidRPr="004F5FB4" w:rsidRDefault="003716CB" w:rsidP="00E9681E">
            <w:pPr>
              <w:jc w:val="center"/>
              <w:rPr>
                <w:color w:val="000000"/>
              </w:rPr>
            </w:pPr>
            <w:r w:rsidRPr="004F5FB4">
              <w:rPr>
                <w:color w:val="000000"/>
              </w:rPr>
              <w:t>69,4 %</w:t>
            </w:r>
          </w:p>
        </w:tc>
        <w:tc>
          <w:tcPr>
            <w:tcW w:w="1110" w:type="dxa"/>
            <w:tcBorders>
              <w:top w:val="single" w:sz="4" w:space="0" w:color="auto"/>
              <w:left w:val="single" w:sz="4" w:space="0" w:color="auto"/>
              <w:bottom w:val="single" w:sz="4" w:space="0" w:color="auto"/>
              <w:right w:val="single" w:sz="4" w:space="0" w:color="auto"/>
            </w:tcBorders>
            <w:hideMark/>
          </w:tcPr>
          <w:p w14:paraId="5B2CC1B3" w14:textId="77777777" w:rsidR="003716CB" w:rsidRPr="004F5FB4" w:rsidRDefault="003716CB" w:rsidP="00E9681E">
            <w:pPr>
              <w:jc w:val="center"/>
              <w:rPr>
                <w:color w:val="000000"/>
              </w:rPr>
            </w:pPr>
            <w:r w:rsidRPr="004F5FB4">
              <w:rPr>
                <w:color w:val="000000"/>
              </w:rPr>
              <w:t>0,002</w:t>
            </w:r>
          </w:p>
        </w:tc>
        <w:tc>
          <w:tcPr>
            <w:tcW w:w="1110" w:type="dxa"/>
            <w:tcBorders>
              <w:top w:val="single" w:sz="4" w:space="0" w:color="auto"/>
              <w:left w:val="single" w:sz="4" w:space="0" w:color="auto"/>
              <w:bottom w:val="single" w:sz="4" w:space="0" w:color="auto"/>
              <w:right w:val="single" w:sz="4" w:space="0" w:color="auto"/>
            </w:tcBorders>
            <w:hideMark/>
          </w:tcPr>
          <w:p w14:paraId="5F0FE211" w14:textId="77777777" w:rsidR="003716CB" w:rsidRPr="004F5FB4" w:rsidRDefault="00247EF8" w:rsidP="00E9681E">
            <w:pPr>
              <w:jc w:val="center"/>
              <w:rPr>
                <w:color w:val="000000"/>
              </w:rPr>
            </w:pPr>
            <w:r w:rsidRPr="004F5FB4">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7F60918B" w14:textId="77777777" w:rsidR="003716CB" w:rsidRPr="004F5FB4" w:rsidRDefault="003716CB" w:rsidP="00E9681E">
            <w:pPr>
              <w:jc w:val="center"/>
              <w:rPr>
                <w:color w:val="000000"/>
              </w:rPr>
            </w:pPr>
            <w:r w:rsidRPr="004F5FB4">
              <w:rPr>
                <w:color w:val="000000"/>
              </w:rPr>
              <w:t>0,140</w:t>
            </w:r>
          </w:p>
        </w:tc>
      </w:tr>
      <w:tr w:rsidR="003716CB" w:rsidRPr="004F5FB4" w14:paraId="71C17B0E"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7A74CE6D" w14:textId="77777777" w:rsidR="003716CB" w:rsidRPr="004F5FB4" w:rsidRDefault="003716CB" w:rsidP="00E9681E">
            <w:pPr>
              <w:rPr>
                <w:color w:val="000000"/>
              </w:rPr>
            </w:pPr>
            <w:r w:rsidRPr="004F5FB4">
              <w:rPr>
                <w:color w:val="000000"/>
              </w:rPr>
              <w:t>ACR-50</w:t>
            </w:r>
          </w:p>
        </w:tc>
        <w:tc>
          <w:tcPr>
            <w:tcW w:w="1022" w:type="dxa"/>
            <w:tcBorders>
              <w:top w:val="single" w:sz="4" w:space="0" w:color="auto"/>
              <w:left w:val="single" w:sz="4" w:space="0" w:color="auto"/>
              <w:bottom w:val="single" w:sz="4" w:space="0" w:color="auto"/>
              <w:right w:val="single" w:sz="4" w:space="0" w:color="auto"/>
            </w:tcBorders>
          </w:tcPr>
          <w:p w14:paraId="6E202B20" w14:textId="77777777" w:rsidR="003716CB" w:rsidRPr="004F5FB4" w:rsidRDefault="003716CB" w:rsidP="00E9681E">
            <w:pPr>
              <w:jc w:val="center"/>
              <w:rPr>
                <w:color w:val="000000"/>
                <w:lang w:val="en-GB"/>
              </w:rPr>
            </w:pPr>
          </w:p>
        </w:tc>
        <w:tc>
          <w:tcPr>
            <w:tcW w:w="1588" w:type="dxa"/>
            <w:tcBorders>
              <w:top w:val="single" w:sz="4" w:space="0" w:color="auto"/>
              <w:left w:val="single" w:sz="4" w:space="0" w:color="auto"/>
              <w:bottom w:val="single" w:sz="4" w:space="0" w:color="auto"/>
              <w:right w:val="single" w:sz="4" w:space="0" w:color="auto"/>
            </w:tcBorders>
          </w:tcPr>
          <w:p w14:paraId="63234A75" w14:textId="77777777" w:rsidR="003716CB" w:rsidRPr="004F5FB4" w:rsidRDefault="003716CB" w:rsidP="00E9681E">
            <w:pPr>
              <w:jc w:val="center"/>
              <w:rPr>
                <w:color w:val="000000"/>
                <w:lang w:val="en-GB"/>
              </w:rPr>
            </w:pPr>
          </w:p>
        </w:tc>
        <w:tc>
          <w:tcPr>
            <w:tcW w:w="2070" w:type="dxa"/>
            <w:tcBorders>
              <w:top w:val="single" w:sz="4" w:space="0" w:color="auto"/>
              <w:left w:val="single" w:sz="4" w:space="0" w:color="auto"/>
              <w:bottom w:val="single" w:sz="4" w:space="0" w:color="auto"/>
              <w:right w:val="single" w:sz="4" w:space="0" w:color="auto"/>
            </w:tcBorders>
          </w:tcPr>
          <w:p w14:paraId="5BEC50A1" w14:textId="77777777" w:rsidR="003716CB" w:rsidRPr="004F5FB4" w:rsidRDefault="003716CB" w:rsidP="00E9681E">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13DE206F" w14:textId="77777777" w:rsidR="003716CB" w:rsidRPr="004F5FB4" w:rsidRDefault="003716CB" w:rsidP="00E9681E">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4B8F0409" w14:textId="77777777" w:rsidR="003716CB" w:rsidRPr="004F5FB4" w:rsidRDefault="003716CB" w:rsidP="00E9681E">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489AB293" w14:textId="77777777" w:rsidR="003716CB" w:rsidRPr="004F5FB4" w:rsidRDefault="003716CB" w:rsidP="00E9681E">
            <w:pPr>
              <w:jc w:val="center"/>
              <w:rPr>
                <w:color w:val="000000"/>
                <w:lang w:val="en-GB"/>
              </w:rPr>
            </w:pPr>
          </w:p>
        </w:tc>
      </w:tr>
      <w:tr w:rsidR="003716CB" w:rsidRPr="004F5FB4" w14:paraId="1895428C"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269AB722" w14:textId="77777777" w:rsidR="003716CB" w:rsidRPr="004F5FB4" w:rsidRDefault="00247EF8" w:rsidP="00E9681E">
            <w:pPr>
              <w:ind w:left="270"/>
              <w:rPr>
                <w:color w:val="000000"/>
              </w:rPr>
            </w:pPr>
            <w:r w:rsidRPr="004F5FB4">
              <w:rPr>
                <w:color w:val="000000"/>
              </w:rPr>
              <w:t>Woche </w:t>
            </w:r>
            <w:r w:rsidR="003716CB" w:rsidRPr="004F5FB4">
              <w:rPr>
                <w:color w:val="000000"/>
              </w:rPr>
              <w:t>52</w:t>
            </w:r>
          </w:p>
        </w:tc>
        <w:tc>
          <w:tcPr>
            <w:tcW w:w="1022" w:type="dxa"/>
            <w:tcBorders>
              <w:top w:val="single" w:sz="4" w:space="0" w:color="auto"/>
              <w:left w:val="single" w:sz="4" w:space="0" w:color="auto"/>
              <w:bottom w:val="single" w:sz="4" w:space="0" w:color="auto"/>
              <w:right w:val="single" w:sz="4" w:space="0" w:color="auto"/>
            </w:tcBorders>
            <w:hideMark/>
          </w:tcPr>
          <w:p w14:paraId="18704E53" w14:textId="77777777" w:rsidR="003716CB" w:rsidRPr="004F5FB4" w:rsidRDefault="003716CB" w:rsidP="00E9681E">
            <w:pPr>
              <w:jc w:val="center"/>
              <w:rPr>
                <w:color w:val="000000"/>
              </w:rPr>
            </w:pPr>
            <w:r w:rsidRPr="004F5FB4">
              <w:rPr>
                <w:color w:val="000000"/>
              </w:rPr>
              <w:t>45,9 %</w:t>
            </w:r>
          </w:p>
        </w:tc>
        <w:tc>
          <w:tcPr>
            <w:tcW w:w="1588" w:type="dxa"/>
            <w:tcBorders>
              <w:top w:val="single" w:sz="4" w:space="0" w:color="auto"/>
              <w:left w:val="single" w:sz="4" w:space="0" w:color="auto"/>
              <w:bottom w:val="single" w:sz="4" w:space="0" w:color="auto"/>
              <w:right w:val="single" w:sz="4" w:space="0" w:color="auto"/>
            </w:tcBorders>
            <w:hideMark/>
          </w:tcPr>
          <w:p w14:paraId="277977C2" w14:textId="77777777" w:rsidR="003716CB" w:rsidRPr="004F5FB4" w:rsidRDefault="003716CB" w:rsidP="00E9681E">
            <w:pPr>
              <w:jc w:val="center"/>
              <w:rPr>
                <w:color w:val="000000"/>
              </w:rPr>
            </w:pPr>
            <w:r w:rsidRPr="004F5FB4">
              <w:rPr>
                <w:color w:val="000000"/>
              </w:rPr>
              <w:t>41,2 %</w:t>
            </w:r>
          </w:p>
        </w:tc>
        <w:tc>
          <w:tcPr>
            <w:tcW w:w="2070" w:type="dxa"/>
            <w:tcBorders>
              <w:top w:val="single" w:sz="4" w:space="0" w:color="auto"/>
              <w:left w:val="single" w:sz="4" w:space="0" w:color="auto"/>
              <w:bottom w:val="single" w:sz="4" w:space="0" w:color="auto"/>
              <w:right w:val="single" w:sz="4" w:space="0" w:color="auto"/>
            </w:tcBorders>
            <w:hideMark/>
          </w:tcPr>
          <w:p w14:paraId="79F40A64" w14:textId="77777777" w:rsidR="003716CB" w:rsidRPr="004F5FB4" w:rsidRDefault="003716CB" w:rsidP="00E9681E">
            <w:pPr>
              <w:jc w:val="center"/>
              <w:rPr>
                <w:color w:val="000000"/>
              </w:rPr>
            </w:pPr>
            <w:r w:rsidRPr="004F5FB4">
              <w:rPr>
                <w:color w:val="000000"/>
              </w:rPr>
              <w:t>61,6 %</w:t>
            </w:r>
          </w:p>
        </w:tc>
        <w:tc>
          <w:tcPr>
            <w:tcW w:w="1110" w:type="dxa"/>
            <w:tcBorders>
              <w:top w:val="single" w:sz="4" w:space="0" w:color="auto"/>
              <w:left w:val="single" w:sz="4" w:space="0" w:color="auto"/>
              <w:bottom w:val="single" w:sz="4" w:space="0" w:color="auto"/>
              <w:right w:val="single" w:sz="4" w:space="0" w:color="auto"/>
            </w:tcBorders>
            <w:hideMark/>
          </w:tcPr>
          <w:p w14:paraId="223F9205" w14:textId="77777777" w:rsidR="003716CB" w:rsidRPr="004F5FB4" w:rsidRDefault="00247EF8" w:rsidP="00E9681E">
            <w:pPr>
              <w:jc w:val="center"/>
              <w:rPr>
                <w:color w:val="000000"/>
              </w:rPr>
            </w:pPr>
            <w:r w:rsidRPr="004F5FB4">
              <w:rPr>
                <w:color w:val="000000"/>
              </w:rPr>
              <w:t>&lt; </w:t>
            </w:r>
            <w:r w:rsidR="003716CB"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7BD18EAC" w14:textId="77777777" w:rsidR="003716CB" w:rsidRPr="004F5FB4" w:rsidRDefault="00247EF8" w:rsidP="00E9681E">
            <w:pPr>
              <w:jc w:val="center"/>
              <w:rPr>
                <w:color w:val="000000"/>
              </w:rPr>
            </w:pPr>
            <w:r w:rsidRPr="004F5FB4">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315B59EA" w14:textId="77777777" w:rsidR="003716CB" w:rsidRPr="004F5FB4" w:rsidRDefault="003716CB" w:rsidP="00E9681E">
            <w:pPr>
              <w:jc w:val="center"/>
              <w:rPr>
                <w:color w:val="000000"/>
              </w:rPr>
            </w:pPr>
            <w:r w:rsidRPr="004F5FB4">
              <w:rPr>
                <w:color w:val="000000"/>
              </w:rPr>
              <w:t>0,317</w:t>
            </w:r>
          </w:p>
        </w:tc>
      </w:tr>
      <w:tr w:rsidR="003716CB" w:rsidRPr="004F5FB4" w14:paraId="14D52867"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3126B4D9" w14:textId="77777777" w:rsidR="003716CB" w:rsidRPr="004F5FB4" w:rsidRDefault="00247EF8" w:rsidP="00E9681E">
            <w:pPr>
              <w:ind w:left="270"/>
              <w:rPr>
                <w:color w:val="000000"/>
              </w:rPr>
            </w:pPr>
            <w:r w:rsidRPr="004F5FB4">
              <w:rPr>
                <w:color w:val="000000"/>
              </w:rPr>
              <w:t>Woche </w:t>
            </w:r>
            <w:r w:rsidR="003716CB" w:rsidRPr="004F5FB4">
              <w:rPr>
                <w:color w:val="000000"/>
              </w:rPr>
              <w:t>104</w:t>
            </w:r>
          </w:p>
        </w:tc>
        <w:tc>
          <w:tcPr>
            <w:tcW w:w="1022" w:type="dxa"/>
            <w:tcBorders>
              <w:top w:val="single" w:sz="4" w:space="0" w:color="auto"/>
              <w:left w:val="single" w:sz="4" w:space="0" w:color="auto"/>
              <w:bottom w:val="single" w:sz="4" w:space="0" w:color="auto"/>
              <w:right w:val="single" w:sz="4" w:space="0" w:color="auto"/>
            </w:tcBorders>
            <w:hideMark/>
          </w:tcPr>
          <w:p w14:paraId="34F4C751" w14:textId="77777777" w:rsidR="003716CB" w:rsidRPr="004F5FB4" w:rsidRDefault="003716CB" w:rsidP="00E9681E">
            <w:pPr>
              <w:jc w:val="center"/>
              <w:rPr>
                <w:color w:val="000000"/>
              </w:rPr>
            </w:pPr>
            <w:r w:rsidRPr="004F5FB4">
              <w:rPr>
                <w:color w:val="000000"/>
              </w:rPr>
              <w:t>42,8 %</w:t>
            </w:r>
          </w:p>
        </w:tc>
        <w:tc>
          <w:tcPr>
            <w:tcW w:w="1588" w:type="dxa"/>
            <w:tcBorders>
              <w:top w:val="single" w:sz="4" w:space="0" w:color="auto"/>
              <w:left w:val="single" w:sz="4" w:space="0" w:color="auto"/>
              <w:bottom w:val="single" w:sz="4" w:space="0" w:color="auto"/>
              <w:right w:val="single" w:sz="4" w:space="0" w:color="auto"/>
            </w:tcBorders>
            <w:hideMark/>
          </w:tcPr>
          <w:p w14:paraId="2D8F4A24" w14:textId="77777777" w:rsidR="003716CB" w:rsidRPr="004F5FB4" w:rsidRDefault="003716CB" w:rsidP="00E9681E">
            <w:pPr>
              <w:jc w:val="center"/>
              <w:rPr>
                <w:color w:val="000000"/>
              </w:rPr>
            </w:pPr>
            <w:r w:rsidRPr="004F5FB4">
              <w:rPr>
                <w:color w:val="000000"/>
              </w:rPr>
              <w:t>36,9 %</w:t>
            </w:r>
          </w:p>
        </w:tc>
        <w:tc>
          <w:tcPr>
            <w:tcW w:w="2070" w:type="dxa"/>
            <w:tcBorders>
              <w:top w:val="single" w:sz="4" w:space="0" w:color="auto"/>
              <w:left w:val="single" w:sz="4" w:space="0" w:color="auto"/>
              <w:bottom w:val="single" w:sz="4" w:space="0" w:color="auto"/>
              <w:right w:val="single" w:sz="4" w:space="0" w:color="auto"/>
            </w:tcBorders>
            <w:hideMark/>
          </w:tcPr>
          <w:p w14:paraId="6D1C0724" w14:textId="77777777" w:rsidR="003716CB" w:rsidRPr="004F5FB4" w:rsidRDefault="003716CB" w:rsidP="00E9681E">
            <w:pPr>
              <w:jc w:val="center"/>
              <w:rPr>
                <w:color w:val="000000"/>
              </w:rPr>
            </w:pPr>
            <w:r w:rsidRPr="004F5FB4">
              <w:rPr>
                <w:color w:val="000000"/>
              </w:rPr>
              <w:t>59,0 %</w:t>
            </w:r>
          </w:p>
        </w:tc>
        <w:tc>
          <w:tcPr>
            <w:tcW w:w="1110" w:type="dxa"/>
            <w:tcBorders>
              <w:top w:val="single" w:sz="4" w:space="0" w:color="auto"/>
              <w:left w:val="single" w:sz="4" w:space="0" w:color="auto"/>
              <w:bottom w:val="single" w:sz="4" w:space="0" w:color="auto"/>
              <w:right w:val="single" w:sz="4" w:space="0" w:color="auto"/>
            </w:tcBorders>
            <w:hideMark/>
          </w:tcPr>
          <w:p w14:paraId="674AD587" w14:textId="77777777" w:rsidR="003716CB" w:rsidRPr="004F5FB4" w:rsidRDefault="00247EF8" w:rsidP="00E9681E">
            <w:pPr>
              <w:jc w:val="center"/>
              <w:rPr>
                <w:color w:val="000000"/>
              </w:rPr>
            </w:pPr>
            <w:r w:rsidRPr="004F5FB4">
              <w:rPr>
                <w:color w:val="000000"/>
              </w:rPr>
              <w:t>&lt; </w:t>
            </w:r>
            <w:r w:rsidR="003716CB"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3CEE9A26" w14:textId="77777777" w:rsidR="003716CB" w:rsidRPr="004F5FB4" w:rsidRDefault="00247EF8" w:rsidP="00E9681E">
            <w:pPr>
              <w:jc w:val="center"/>
              <w:rPr>
                <w:color w:val="000000"/>
              </w:rPr>
            </w:pPr>
            <w:r w:rsidRPr="004F5FB4">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289C722E" w14:textId="77777777" w:rsidR="003716CB" w:rsidRPr="004F5FB4" w:rsidRDefault="003716CB" w:rsidP="00E9681E">
            <w:pPr>
              <w:jc w:val="center"/>
              <w:rPr>
                <w:color w:val="000000"/>
              </w:rPr>
            </w:pPr>
            <w:r w:rsidRPr="004F5FB4">
              <w:rPr>
                <w:color w:val="000000"/>
              </w:rPr>
              <w:t>0,162</w:t>
            </w:r>
          </w:p>
        </w:tc>
      </w:tr>
      <w:tr w:rsidR="003716CB" w:rsidRPr="004F5FB4" w14:paraId="5D9E5160"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507BBB27" w14:textId="77777777" w:rsidR="003716CB" w:rsidRPr="004F5FB4" w:rsidRDefault="003716CB" w:rsidP="00E9681E">
            <w:pPr>
              <w:rPr>
                <w:color w:val="000000"/>
              </w:rPr>
            </w:pPr>
            <w:r w:rsidRPr="004F5FB4">
              <w:rPr>
                <w:color w:val="000000"/>
              </w:rPr>
              <w:t>ACR-70</w:t>
            </w:r>
          </w:p>
        </w:tc>
        <w:tc>
          <w:tcPr>
            <w:tcW w:w="1022" w:type="dxa"/>
            <w:tcBorders>
              <w:top w:val="single" w:sz="4" w:space="0" w:color="auto"/>
              <w:left w:val="single" w:sz="4" w:space="0" w:color="auto"/>
              <w:bottom w:val="single" w:sz="4" w:space="0" w:color="auto"/>
              <w:right w:val="single" w:sz="4" w:space="0" w:color="auto"/>
            </w:tcBorders>
          </w:tcPr>
          <w:p w14:paraId="35C7A8CD" w14:textId="77777777" w:rsidR="003716CB" w:rsidRPr="004F5FB4" w:rsidRDefault="003716CB" w:rsidP="00E9681E">
            <w:pPr>
              <w:jc w:val="center"/>
              <w:rPr>
                <w:color w:val="000000"/>
                <w:lang w:val="en-GB"/>
              </w:rPr>
            </w:pPr>
          </w:p>
        </w:tc>
        <w:tc>
          <w:tcPr>
            <w:tcW w:w="1588" w:type="dxa"/>
            <w:tcBorders>
              <w:top w:val="single" w:sz="4" w:space="0" w:color="auto"/>
              <w:left w:val="single" w:sz="4" w:space="0" w:color="auto"/>
              <w:bottom w:val="single" w:sz="4" w:space="0" w:color="auto"/>
              <w:right w:val="single" w:sz="4" w:space="0" w:color="auto"/>
            </w:tcBorders>
          </w:tcPr>
          <w:p w14:paraId="47A38DF3" w14:textId="77777777" w:rsidR="003716CB" w:rsidRPr="004F5FB4" w:rsidRDefault="003716CB" w:rsidP="00E9681E">
            <w:pPr>
              <w:jc w:val="center"/>
              <w:rPr>
                <w:color w:val="000000"/>
                <w:lang w:val="en-GB"/>
              </w:rPr>
            </w:pPr>
          </w:p>
        </w:tc>
        <w:tc>
          <w:tcPr>
            <w:tcW w:w="2070" w:type="dxa"/>
            <w:tcBorders>
              <w:top w:val="single" w:sz="4" w:space="0" w:color="auto"/>
              <w:left w:val="single" w:sz="4" w:space="0" w:color="auto"/>
              <w:bottom w:val="single" w:sz="4" w:space="0" w:color="auto"/>
              <w:right w:val="single" w:sz="4" w:space="0" w:color="auto"/>
            </w:tcBorders>
          </w:tcPr>
          <w:p w14:paraId="68897612" w14:textId="77777777" w:rsidR="003716CB" w:rsidRPr="004F5FB4" w:rsidRDefault="003716CB" w:rsidP="00E9681E">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7C8385B9" w14:textId="77777777" w:rsidR="003716CB" w:rsidRPr="004F5FB4" w:rsidRDefault="003716CB" w:rsidP="00E9681E">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5CAE0DB4" w14:textId="77777777" w:rsidR="003716CB" w:rsidRPr="004F5FB4" w:rsidRDefault="003716CB" w:rsidP="00E9681E">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1C50AA34" w14:textId="77777777" w:rsidR="003716CB" w:rsidRPr="004F5FB4" w:rsidRDefault="003716CB" w:rsidP="00E9681E">
            <w:pPr>
              <w:jc w:val="center"/>
              <w:rPr>
                <w:color w:val="000000"/>
                <w:lang w:val="en-GB"/>
              </w:rPr>
            </w:pPr>
          </w:p>
        </w:tc>
      </w:tr>
      <w:tr w:rsidR="003716CB" w:rsidRPr="004F5FB4" w14:paraId="31EE53A6"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1DA4AA77" w14:textId="77777777" w:rsidR="003716CB" w:rsidRPr="004F5FB4" w:rsidRDefault="00247EF8" w:rsidP="00E9681E">
            <w:pPr>
              <w:ind w:left="270"/>
              <w:rPr>
                <w:color w:val="000000"/>
              </w:rPr>
            </w:pPr>
            <w:r w:rsidRPr="004F5FB4">
              <w:rPr>
                <w:color w:val="000000"/>
              </w:rPr>
              <w:t>Woche </w:t>
            </w:r>
            <w:r w:rsidR="003716CB" w:rsidRPr="004F5FB4">
              <w:rPr>
                <w:color w:val="000000"/>
              </w:rPr>
              <w:t>52</w:t>
            </w:r>
          </w:p>
        </w:tc>
        <w:tc>
          <w:tcPr>
            <w:tcW w:w="1022" w:type="dxa"/>
            <w:tcBorders>
              <w:top w:val="single" w:sz="4" w:space="0" w:color="auto"/>
              <w:left w:val="single" w:sz="4" w:space="0" w:color="auto"/>
              <w:bottom w:val="single" w:sz="4" w:space="0" w:color="auto"/>
              <w:right w:val="single" w:sz="4" w:space="0" w:color="auto"/>
            </w:tcBorders>
            <w:hideMark/>
          </w:tcPr>
          <w:p w14:paraId="512C61DC" w14:textId="77777777" w:rsidR="003716CB" w:rsidRPr="004F5FB4" w:rsidRDefault="003716CB" w:rsidP="00E9681E">
            <w:pPr>
              <w:jc w:val="center"/>
              <w:rPr>
                <w:color w:val="000000"/>
              </w:rPr>
            </w:pPr>
            <w:r w:rsidRPr="004F5FB4">
              <w:rPr>
                <w:color w:val="000000"/>
              </w:rPr>
              <w:t>27,2 %</w:t>
            </w:r>
          </w:p>
        </w:tc>
        <w:tc>
          <w:tcPr>
            <w:tcW w:w="1588" w:type="dxa"/>
            <w:tcBorders>
              <w:top w:val="single" w:sz="4" w:space="0" w:color="auto"/>
              <w:left w:val="single" w:sz="4" w:space="0" w:color="auto"/>
              <w:bottom w:val="single" w:sz="4" w:space="0" w:color="auto"/>
              <w:right w:val="single" w:sz="4" w:space="0" w:color="auto"/>
            </w:tcBorders>
            <w:hideMark/>
          </w:tcPr>
          <w:p w14:paraId="2EB30B77" w14:textId="77777777" w:rsidR="003716CB" w:rsidRPr="004F5FB4" w:rsidRDefault="003716CB" w:rsidP="00E9681E">
            <w:pPr>
              <w:jc w:val="center"/>
              <w:rPr>
                <w:color w:val="000000"/>
              </w:rPr>
            </w:pPr>
            <w:r w:rsidRPr="004F5FB4">
              <w:rPr>
                <w:color w:val="000000"/>
              </w:rPr>
              <w:t>25,9 %</w:t>
            </w:r>
          </w:p>
        </w:tc>
        <w:tc>
          <w:tcPr>
            <w:tcW w:w="2070" w:type="dxa"/>
            <w:tcBorders>
              <w:top w:val="single" w:sz="4" w:space="0" w:color="auto"/>
              <w:left w:val="single" w:sz="4" w:space="0" w:color="auto"/>
              <w:bottom w:val="single" w:sz="4" w:space="0" w:color="auto"/>
              <w:right w:val="single" w:sz="4" w:space="0" w:color="auto"/>
            </w:tcBorders>
            <w:hideMark/>
          </w:tcPr>
          <w:p w14:paraId="25CBA634" w14:textId="77777777" w:rsidR="003716CB" w:rsidRPr="004F5FB4" w:rsidRDefault="003716CB" w:rsidP="00E9681E">
            <w:pPr>
              <w:jc w:val="center"/>
              <w:rPr>
                <w:color w:val="000000"/>
              </w:rPr>
            </w:pPr>
            <w:r w:rsidRPr="004F5FB4">
              <w:rPr>
                <w:color w:val="000000"/>
              </w:rPr>
              <w:t>45,5 %</w:t>
            </w:r>
          </w:p>
        </w:tc>
        <w:tc>
          <w:tcPr>
            <w:tcW w:w="1110" w:type="dxa"/>
            <w:tcBorders>
              <w:top w:val="single" w:sz="4" w:space="0" w:color="auto"/>
              <w:left w:val="single" w:sz="4" w:space="0" w:color="auto"/>
              <w:bottom w:val="single" w:sz="4" w:space="0" w:color="auto"/>
              <w:right w:val="single" w:sz="4" w:space="0" w:color="auto"/>
            </w:tcBorders>
            <w:hideMark/>
          </w:tcPr>
          <w:p w14:paraId="10B3E7CB" w14:textId="77777777" w:rsidR="003716CB" w:rsidRPr="004F5FB4" w:rsidRDefault="00247EF8" w:rsidP="00E9681E">
            <w:pPr>
              <w:jc w:val="center"/>
              <w:rPr>
                <w:color w:val="000000"/>
              </w:rPr>
            </w:pPr>
            <w:r w:rsidRPr="004F5FB4">
              <w:rPr>
                <w:color w:val="000000"/>
              </w:rPr>
              <w:t>&lt; </w:t>
            </w:r>
            <w:r w:rsidR="003716CB"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60D0147C" w14:textId="77777777" w:rsidR="003716CB" w:rsidRPr="004F5FB4" w:rsidRDefault="00247EF8" w:rsidP="00E9681E">
            <w:pPr>
              <w:jc w:val="center"/>
              <w:rPr>
                <w:color w:val="000000"/>
              </w:rPr>
            </w:pPr>
            <w:r w:rsidRPr="004F5FB4">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29AECCAA" w14:textId="77777777" w:rsidR="003716CB" w:rsidRPr="004F5FB4" w:rsidRDefault="003716CB" w:rsidP="00E9681E">
            <w:pPr>
              <w:jc w:val="center"/>
              <w:rPr>
                <w:color w:val="000000"/>
              </w:rPr>
            </w:pPr>
            <w:r w:rsidRPr="004F5FB4">
              <w:rPr>
                <w:color w:val="000000"/>
              </w:rPr>
              <w:t>0,656</w:t>
            </w:r>
          </w:p>
        </w:tc>
      </w:tr>
      <w:tr w:rsidR="003716CB" w:rsidRPr="004F5FB4" w14:paraId="5D96D976" w14:textId="77777777" w:rsidTr="00687087">
        <w:tc>
          <w:tcPr>
            <w:tcW w:w="1638" w:type="dxa"/>
            <w:tcBorders>
              <w:top w:val="single" w:sz="4" w:space="0" w:color="auto"/>
              <w:left w:val="single" w:sz="4" w:space="0" w:color="auto"/>
              <w:bottom w:val="single" w:sz="4" w:space="0" w:color="auto"/>
              <w:right w:val="single" w:sz="4" w:space="0" w:color="auto"/>
            </w:tcBorders>
            <w:hideMark/>
          </w:tcPr>
          <w:p w14:paraId="1F0BE27F" w14:textId="77777777" w:rsidR="003716CB" w:rsidRPr="004F5FB4" w:rsidRDefault="00247EF8" w:rsidP="00E9681E">
            <w:pPr>
              <w:ind w:left="270"/>
              <w:rPr>
                <w:color w:val="000000"/>
              </w:rPr>
            </w:pPr>
            <w:r w:rsidRPr="004F5FB4">
              <w:rPr>
                <w:color w:val="000000"/>
              </w:rPr>
              <w:t>Woche </w:t>
            </w:r>
            <w:r w:rsidR="003716CB" w:rsidRPr="004F5FB4">
              <w:rPr>
                <w:color w:val="000000"/>
              </w:rPr>
              <w:t>104</w:t>
            </w:r>
          </w:p>
        </w:tc>
        <w:tc>
          <w:tcPr>
            <w:tcW w:w="1022" w:type="dxa"/>
            <w:tcBorders>
              <w:top w:val="single" w:sz="4" w:space="0" w:color="auto"/>
              <w:left w:val="single" w:sz="4" w:space="0" w:color="auto"/>
              <w:bottom w:val="single" w:sz="4" w:space="0" w:color="auto"/>
              <w:right w:val="single" w:sz="4" w:space="0" w:color="auto"/>
            </w:tcBorders>
            <w:hideMark/>
          </w:tcPr>
          <w:p w14:paraId="25FCD7CA" w14:textId="77777777" w:rsidR="003716CB" w:rsidRPr="004F5FB4" w:rsidRDefault="003716CB" w:rsidP="00E9681E">
            <w:pPr>
              <w:jc w:val="center"/>
              <w:rPr>
                <w:color w:val="000000"/>
              </w:rPr>
            </w:pPr>
            <w:r w:rsidRPr="004F5FB4">
              <w:rPr>
                <w:color w:val="000000"/>
              </w:rPr>
              <w:t>28,4 %</w:t>
            </w:r>
          </w:p>
        </w:tc>
        <w:tc>
          <w:tcPr>
            <w:tcW w:w="1588" w:type="dxa"/>
            <w:tcBorders>
              <w:top w:val="single" w:sz="4" w:space="0" w:color="auto"/>
              <w:left w:val="single" w:sz="4" w:space="0" w:color="auto"/>
              <w:bottom w:val="single" w:sz="4" w:space="0" w:color="auto"/>
              <w:right w:val="single" w:sz="4" w:space="0" w:color="auto"/>
            </w:tcBorders>
            <w:hideMark/>
          </w:tcPr>
          <w:p w14:paraId="6FEF15F4" w14:textId="77777777" w:rsidR="003716CB" w:rsidRPr="004F5FB4" w:rsidRDefault="003716CB" w:rsidP="00E9681E">
            <w:pPr>
              <w:jc w:val="center"/>
              <w:rPr>
                <w:color w:val="000000"/>
              </w:rPr>
            </w:pPr>
            <w:r w:rsidRPr="004F5FB4">
              <w:rPr>
                <w:color w:val="000000"/>
              </w:rPr>
              <w:t>28,1 %</w:t>
            </w:r>
          </w:p>
        </w:tc>
        <w:tc>
          <w:tcPr>
            <w:tcW w:w="2070" w:type="dxa"/>
            <w:tcBorders>
              <w:top w:val="single" w:sz="4" w:space="0" w:color="auto"/>
              <w:left w:val="single" w:sz="4" w:space="0" w:color="auto"/>
              <w:bottom w:val="single" w:sz="4" w:space="0" w:color="auto"/>
              <w:right w:val="single" w:sz="4" w:space="0" w:color="auto"/>
            </w:tcBorders>
            <w:hideMark/>
          </w:tcPr>
          <w:p w14:paraId="422A2CF9" w14:textId="77777777" w:rsidR="003716CB" w:rsidRPr="004F5FB4" w:rsidRDefault="003716CB" w:rsidP="00E9681E">
            <w:pPr>
              <w:jc w:val="center"/>
              <w:rPr>
                <w:color w:val="000000"/>
              </w:rPr>
            </w:pPr>
            <w:r w:rsidRPr="004F5FB4">
              <w:rPr>
                <w:color w:val="000000"/>
              </w:rPr>
              <w:t>46,6 %</w:t>
            </w:r>
          </w:p>
        </w:tc>
        <w:tc>
          <w:tcPr>
            <w:tcW w:w="1110" w:type="dxa"/>
            <w:tcBorders>
              <w:top w:val="single" w:sz="4" w:space="0" w:color="auto"/>
              <w:left w:val="single" w:sz="4" w:space="0" w:color="auto"/>
              <w:bottom w:val="single" w:sz="4" w:space="0" w:color="auto"/>
              <w:right w:val="single" w:sz="4" w:space="0" w:color="auto"/>
            </w:tcBorders>
            <w:hideMark/>
          </w:tcPr>
          <w:p w14:paraId="670C25B2" w14:textId="77777777" w:rsidR="003716CB" w:rsidRPr="004F5FB4" w:rsidRDefault="00247EF8" w:rsidP="00E9681E">
            <w:pPr>
              <w:jc w:val="center"/>
              <w:rPr>
                <w:color w:val="000000"/>
              </w:rPr>
            </w:pPr>
            <w:r w:rsidRPr="004F5FB4">
              <w:rPr>
                <w:color w:val="000000"/>
              </w:rPr>
              <w:t>&lt; </w:t>
            </w:r>
            <w:r w:rsidR="003716CB"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580F0451" w14:textId="77777777" w:rsidR="003716CB" w:rsidRPr="004F5FB4" w:rsidRDefault="00247EF8" w:rsidP="00E9681E">
            <w:pPr>
              <w:jc w:val="center"/>
              <w:rPr>
                <w:color w:val="000000"/>
              </w:rPr>
            </w:pPr>
            <w:r w:rsidRPr="004F5FB4">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53256B6B" w14:textId="77777777" w:rsidR="003716CB" w:rsidRPr="004F5FB4" w:rsidRDefault="003716CB" w:rsidP="00E9681E">
            <w:pPr>
              <w:jc w:val="center"/>
              <w:rPr>
                <w:color w:val="000000"/>
              </w:rPr>
            </w:pPr>
            <w:r w:rsidRPr="004F5FB4">
              <w:rPr>
                <w:color w:val="000000"/>
              </w:rPr>
              <w:t>0,864</w:t>
            </w:r>
          </w:p>
        </w:tc>
      </w:tr>
      <w:tr w:rsidR="006A2129" w:rsidRPr="004F5FB4" w14:paraId="07491E00" w14:textId="77777777" w:rsidTr="006A2129">
        <w:tc>
          <w:tcPr>
            <w:tcW w:w="9648" w:type="dxa"/>
            <w:gridSpan w:val="7"/>
            <w:tcBorders>
              <w:top w:val="single" w:sz="4" w:space="0" w:color="auto"/>
              <w:left w:val="nil"/>
              <w:bottom w:val="nil"/>
              <w:right w:val="nil"/>
            </w:tcBorders>
          </w:tcPr>
          <w:p w14:paraId="7F216BCA" w14:textId="77777777" w:rsidR="006A2129" w:rsidRPr="00206AEA" w:rsidRDefault="006A2129" w:rsidP="006A2129">
            <w:pPr>
              <w:tabs>
                <w:tab w:val="left" w:pos="288"/>
              </w:tabs>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Der p</w:t>
            </w:r>
            <w:r w:rsidRPr="00206AEA">
              <w:rPr>
                <w:color w:val="000000"/>
                <w:sz w:val="20"/>
              </w:rPr>
              <w:noBreakHyphen/>
              <w:t>Wert resultiert aus dem paarweisen Vergleich der Methotrexat-Monotherapie und der Adalimumab/Methotrexat-Kombinationstherapie unter Anwendung des Mann</w:t>
            </w:r>
            <w:r w:rsidRPr="00206AEA">
              <w:rPr>
                <w:color w:val="000000"/>
                <w:sz w:val="20"/>
              </w:rPr>
              <w:noBreakHyphen/>
              <w:t xml:space="preserve">Whitney-U-Tests. </w:t>
            </w:r>
          </w:p>
          <w:p w14:paraId="4031221D" w14:textId="77777777" w:rsidR="006A2129" w:rsidRPr="00206AEA" w:rsidRDefault="006A2129" w:rsidP="006A2129">
            <w:pPr>
              <w:tabs>
                <w:tab w:val="left" w:pos="288"/>
              </w:tabs>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Der p</w:t>
            </w:r>
            <w:r w:rsidRPr="00206AEA">
              <w:rPr>
                <w:color w:val="000000"/>
                <w:sz w:val="20"/>
              </w:rPr>
              <w:noBreakHyphen/>
              <w:t>Wert resultiert aus dem paarweisen Vergleich der Adalimumab-Monotherapie und der Adalimumab/Methotrexat-Kombinationstherapie unter Anwendung des Mann</w:t>
            </w:r>
            <w:r w:rsidRPr="00206AEA">
              <w:rPr>
                <w:color w:val="000000"/>
                <w:sz w:val="20"/>
              </w:rPr>
              <w:noBreakHyphen/>
              <w:t>Whitney-U-Tests.</w:t>
            </w:r>
          </w:p>
          <w:p w14:paraId="37F68495" w14:textId="77777777" w:rsidR="006A2129" w:rsidRPr="00206AEA" w:rsidRDefault="006A2129" w:rsidP="006A2129">
            <w:pPr>
              <w:tabs>
                <w:tab w:val="left" w:pos="288"/>
              </w:tabs>
              <w:ind w:left="270" w:hanging="270"/>
              <w:rPr>
                <w:color w:val="000000"/>
                <w:sz w:val="20"/>
              </w:rPr>
            </w:pPr>
            <w:r w:rsidRPr="00206AEA">
              <w:rPr>
                <w:color w:val="000000"/>
                <w:sz w:val="20"/>
                <w:vertAlign w:val="superscript"/>
              </w:rPr>
              <w:t>c</w:t>
            </w:r>
            <w:r w:rsidRPr="00206AEA">
              <w:rPr>
                <w:color w:val="000000"/>
                <w:sz w:val="20"/>
              </w:rPr>
              <w:t xml:space="preserve"> </w:t>
            </w:r>
            <w:r w:rsidR="00C75B4A" w:rsidRPr="00206AEA">
              <w:rPr>
                <w:color w:val="000000"/>
                <w:sz w:val="20"/>
              </w:rPr>
              <w:tab/>
            </w:r>
            <w:r w:rsidRPr="00206AEA">
              <w:rPr>
                <w:color w:val="000000"/>
                <w:sz w:val="20"/>
              </w:rPr>
              <w:t>Der p</w:t>
            </w:r>
            <w:r w:rsidRPr="00206AEA">
              <w:rPr>
                <w:color w:val="000000"/>
                <w:sz w:val="20"/>
              </w:rPr>
              <w:noBreakHyphen/>
              <w:t>Wert resultiert aus dem paarweisen Vergleich der Adalimumab-Monotherapie und der Methotrexat-Monotherapie unter Anwendung des Mann</w:t>
            </w:r>
            <w:r w:rsidRPr="00206AEA">
              <w:rPr>
                <w:color w:val="000000"/>
                <w:sz w:val="20"/>
              </w:rPr>
              <w:noBreakHyphen/>
              <w:t>Whitney-U-Tests.</w:t>
            </w:r>
          </w:p>
        </w:tc>
      </w:tr>
    </w:tbl>
    <w:p w14:paraId="1B109F9F" w14:textId="77777777" w:rsidR="00D2772B" w:rsidRPr="004F5FB4" w:rsidRDefault="00D2772B" w:rsidP="00387D0C">
      <w:pPr>
        <w:rPr>
          <w:color w:val="000000"/>
        </w:rPr>
      </w:pPr>
    </w:p>
    <w:p w14:paraId="67C86463" w14:textId="77777777" w:rsidR="00D2772B" w:rsidRPr="004F5FB4" w:rsidRDefault="00D2772B" w:rsidP="00387D0C">
      <w:pPr>
        <w:pStyle w:val="BodyText"/>
        <w:widowControl/>
        <w:kinsoku w:val="0"/>
        <w:overflowPunct w:val="0"/>
        <w:ind w:left="0"/>
        <w:rPr>
          <w:color w:val="000000"/>
        </w:rPr>
      </w:pPr>
      <w:r w:rsidRPr="004F5FB4">
        <w:rPr>
          <w:color w:val="000000"/>
        </w:rPr>
        <w:t>In der offenen Erweiterungsphase der RA-Studie</w:t>
      </w:r>
      <w:r w:rsidR="0002473D" w:rsidRPr="004F5FB4">
        <w:rPr>
          <w:color w:val="000000"/>
        </w:rPr>
        <w:t> </w:t>
      </w:r>
      <w:r w:rsidRPr="004F5FB4">
        <w:rPr>
          <w:color w:val="000000"/>
        </w:rPr>
        <w:t>V wurden die ACR-Ansprechraten über einen Nachbeobachtungszeitraum von bis zu 10</w:t>
      </w:r>
      <w:r w:rsidR="0002473D" w:rsidRPr="004F5FB4">
        <w:rPr>
          <w:color w:val="000000"/>
        </w:rPr>
        <w:t> </w:t>
      </w:r>
      <w:r w:rsidRPr="004F5FB4">
        <w:rPr>
          <w:color w:val="000000"/>
        </w:rPr>
        <w:t>Jahren aufrechterhalten. Von 542 Patienten, die in die Adalimumab-40-mg-Gruppe (alle zwei Wochen) randomisiert worden waren, wendeten 170 Patienten dieses Behandlungsschema über einen Zeitraum von 10 Jahren an. Davon erreichten 154</w:t>
      </w:r>
      <w:r w:rsidR="0002473D" w:rsidRPr="004F5FB4">
        <w:rPr>
          <w:color w:val="000000"/>
        </w:rPr>
        <w:t> </w:t>
      </w:r>
      <w:r w:rsidRPr="004F5FB4">
        <w:rPr>
          <w:color w:val="000000"/>
        </w:rPr>
        <w:t>Patienten (90,6</w:t>
      </w:r>
      <w:r w:rsidR="0002473D" w:rsidRPr="004F5FB4">
        <w:rPr>
          <w:color w:val="000000"/>
        </w:rPr>
        <w:t> </w:t>
      </w:r>
      <w:r w:rsidRPr="004F5FB4">
        <w:rPr>
          <w:color w:val="000000"/>
        </w:rPr>
        <w:t>%) ein ACR-20-Ansprechen, 127</w:t>
      </w:r>
      <w:r w:rsidR="0002473D" w:rsidRPr="004F5FB4">
        <w:rPr>
          <w:color w:val="000000"/>
        </w:rPr>
        <w:t> </w:t>
      </w:r>
      <w:r w:rsidRPr="004F5FB4">
        <w:rPr>
          <w:color w:val="000000"/>
        </w:rPr>
        <w:t>Patienten (74,7</w:t>
      </w:r>
      <w:r w:rsidR="0002473D" w:rsidRPr="004F5FB4">
        <w:rPr>
          <w:color w:val="000000"/>
        </w:rPr>
        <w:t> </w:t>
      </w:r>
      <w:r w:rsidRPr="004F5FB4">
        <w:rPr>
          <w:color w:val="000000"/>
        </w:rPr>
        <w:t>%) ein ACR-50-Ansprechen und 102</w:t>
      </w:r>
      <w:r w:rsidR="0002473D" w:rsidRPr="004F5FB4">
        <w:rPr>
          <w:color w:val="000000"/>
        </w:rPr>
        <w:t> </w:t>
      </w:r>
      <w:r w:rsidRPr="004F5FB4">
        <w:rPr>
          <w:color w:val="000000"/>
        </w:rPr>
        <w:t>Patienten (60</w:t>
      </w:r>
      <w:r w:rsidR="0002473D" w:rsidRPr="004F5FB4">
        <w:rPr>
          <w:color w:val="000000"/>
        </w:rPr>
        <w:t> </w:t>
      </w:r>
      <w:r w:rsidRPr="004F5FB4">
        <w:rPr>
          <w:color w:val="000000"/>
        </w:rPr>
        <w:t>%) ein ACR-70-Ansprechen.</w:t>
      </w:r>
    </w:p>
    <w:p w14:paraId="0DC00AB3" w14:textId="77777777" w:rsidR="00D2772B" w:rsidRPr="004F5FB4" w:rsidRDefault="00D2772B" w:rsidP="00387D0C">
      <w:pPr>
        <w:pStyle w:val="BodyText"/>
        <w:widowControl/>
        <w:kinsoku w:val="0"/>
        <w:overflowPunct w:val="0"/>
        <w:ind w:left="0"/>
        <w:rPr>
          <w:color w:val="000000"/>
        </w:rPr>
      </w:pPr>
    </w:p>
    <w:p w14:paraId="1B673B9D" w14:textId="77777777" w:rsidR="00D2772B" w:rsidRPr="004F5FB4" w:rsidRDefault="00D2772B" w:rsidP="00387D0C">
      <w:pPr>
        <w:pStyle w:val="BodyText"/>
        <w:widowControl/>
        <w:kinsoku w:val="0"/>
        <w:overflowPunct w:val="0"/>
        <w:ind w:left="0"/>
        <w:rPr>
          <w:color w:val="000000"/>
        </w:rPr>
      </w:pPr>
      <w:r w:rsidRPr="004F5FB4">
        <w:rPr>
          <w:color w:val="000000"/>
        </w:rPr>
        <w:t>In Woche</w:t>
      </w:r>
      <w:r w:rsidR="0002473D" w:rsidRPr="004F5FB4">
        <w:rPr>
          <w:color w:val="000000"/>
        </w:rPr>
        <w:t> </w:t>
      </w:r>
      <w:r w:rsidRPr="004F5FB4">
        <w:rPr>
          <w:color w:val="000000"/>
        </w:rPr>
        <w:t>52 erreichten 42,9</w:t>
      </w:r>
      <w:r w:rsidR="0002473D" w:rsidRPr="004F5FB4">
        <w:rPr>
          <w:color w:val="000000"/>
        </w:rPr>
        <w:t> </w:t>
      </w:r>
      <w:r w:rsidRPr="004F5FB4">
        <w:rPr>
          <w:color w:val="000000"/>
        </w:rPr>
        <w:t xml:space="preserve">% der Patienten, die eine Kombinationstherapie aus Adalimumab und Methotrexat erhielten, eine klinische Remission (DAS28 </w:t>
      </w:r>
      <w:r w:rsidR="0002473D" w:rsidRPr="004F5FB4">
        <w:rPr>
          <w:color w:val="000000"/>
        </w:rPr>
        <w:t>[</w:t>
      </w:r>
      <w:r w:rsidRPr="004F5FB4">
        <w:rPr>
          <w:color w:val="000000"/>
        </w:rPr>
        <w:t>CRP</w:t>
      </w:r>
      <w:r w:rsidR="0002473D" w:rsidRPr="004F5FB4">
        <w:rPr>
          <w:color w:val="000000"/>
        </w:rPr>
        <w:t>]</w:t>
      </w:r>
      <w:r w:rsidRPr="004F5FB4">
        <w:rPr>
          <w:color w:val="000000"/>
        </w:rPr>
        <w:t xml:space="preserve"> &lt;</w:t>
      </w:r>
      <w:r w:rsidR="007E0855" w:rsidRPr="004F5FB4">
        <w:rPr>
          <w:color w:val="000000"/>
        </w:rPr>
        <w:t> </w:t>
      </w:r>
      <w:r w:rsidRPr="004F5FB4">
        <w:rPr>
          <w:color w:val="000000"/>
        </w:rPr>
        <w:t>2,6). Im Vergleich dazu erreichten 20,6</w:t>
      </w:r>
      <w:r w:rsidR="0002473D" w:rsidRPr="004F5FB4">
        <w:rPr>
          <w:color w:val="000000"/>
        </w:rPr>
        <w:t> </w:t>
      </w:r>
      <w:r w:rsidRPr="004F5FB4">
        <w:rPr>
          <w:color w:val="000000"/>
        </w:rPr>
        <w:t>% der Patienten unter Methotrexat- und 23,4</w:t>
      </w:r>
      <w:r w:rsidR="0002473D" w:rsidRPr="004F5FB4">
        <w:rPr>
          <w:color w:val="000000"/>
        </w:rPr>
        <w:t> </w:t>
      </w:r>
      <w:r w:rsidRPr="004F5FB4">
        <w:rPr>
          <w:color w:val="000000"/>
        </w:rPr>
        <w:t>% der Patienten unter Adalimumab-Monotherapie eine klinische Remission.</w:t>
      </w:r>
      <w:r w:rsidR="009A1B0C" w:rsidRPr="004F5FB4">
        <w:rPr>
          <w:color w:val="000000"/>
        </w:rPr>
        <w:t xml:space="preserve"> </w:t>
      </w:r>
      <w:r w:rsidRPr="004F5FB4">
        <w:rPr>
          <w:color w:val="000000"/>
        </w:rPr>
        <w:t>Die Kombinationstherapie aus Adalimumab und Methotrexat war in klinischer und statistischer Hinsicht beim Erreichen einer geringen Krankheitsaktivität bei Patienten mit kürzlich diagnostizierter mittelschwerer bis schwerer rheumatoider Arthritis gegenüber einer Monotherapie mit entweder Methotrexat (p</w:t>
      </w:r>
      <w:r w:rsidR="00402F33" w:rsidRPr="004F5FB4">
        <w:rPr>
          <w:color w:val="000000"/>
        </w:rPr>
        <w:t> </w:t>
      </w:r>
      <w:r w:rsidRPr="004F5FB4">
        <w:rPr>
          <w:color w:val="000000"/>
        </w:rPr>
        <w:t>&lt;</w:t>
      </w:r>
      <w:r w:rsidR="00402F33" w:rsidRPr="004F5FB4">
        <w:rPr>
          <w:color w:val="000000"/>
        </w:rPr>
        <w:t> </w:t>
      </w:r>
      <w:r w:rsidRPr="004F5FB4">
        <w:rPr>
          <w:color w:val="000000"/>
        </w:rPr>
        <w:t>0,001) oder Adalimumab (p</w:t>
      </w:r>
      <w:r w:rsidR="00402F33" w:rsidRPr="004F5FB4">
        <w:rPr>
          <w:color w:val="000000"/>
        </w:rPr>
        <w:t> </w:t>
      </w:r>
      <w:r w:rsidRPr="004F5FB4">
        <w:rPr>
          <w:color w:val="000000"/>
        </w:rPr>
        <w:t>&lt;</w:t>
      </w:r>
      <w:r w:rsidR="00402F33" w:rsidRPr="004F5FB4">
        <w:rPr>
          <w:color w:val="000000"/>
        </w:rPr>
        <w:t> </w:t>
      </w:r>
      <w:r w:rsidRPr="004F5FB4">
        <w:rPr>
          <w:color w:val="000000"/>
        </w:rPr>
        <w:t>0,001) überlegen. Die Ansprechraten in den beiden Behandlungsarmen unter Monotherapie waren vergleichbar (p</w:t>
      </w:r>
      <w:r w:rsidR="00402F33" w:rsidRPr="004F5FB4">
        <w:rPr>
          <w:color w:val="000000"/>
        </w:rPr>
        <w:t> </w:t>
      </w:r>
      <w:r w:rsidRPr="004F5FB4">
        <w:rPr>
          <w:color w:val="000000"/>
        </w:rPr>
        <w:t>=</w:t>
      </w:r>
      <w:r w:rsidR="00402F33" w:rsidRPr="004F5FB4">
        <w:rPr>
          <w:color w:val="000000"/>
        </w:rPr>
        <w:t> </w:t>
      </w:r>
      <w:r w:rsidRPr="004F5FB4">
        <w:rPr>
          <w:color w:val="000000"/>
        </w:rPr>
        <w:t xml:space="preserve">0,447). Von den 342 Patienten, die ursprünglich in die Gruppe unter Adalimumab-Monotherapie oder unter Kombinationstherapie aus Adalimumab und Methotrexat randomisiert worden waren und die in die offene </w:t>
      </w:r>
      <w:r w:rsidR="007C799F" w:rsidRPr="004F5FB4">
        <w:rPr>
          <w:color w:val="000000"/>
        </w:rPr>
        <w:t>Fortsetz</w:t>
      </w:r>
      <w:r w:rsidRPr="004F5FB4">
        <w:rPr>
          <w:color w:val="000000"/>
        </w:rPr>
        <w:t xml:space="preserve">ungsstudie eingeschlossen wurden, setzten 171 die Adalimumab-Behandlung über einen Zeitraum von 10 Jahren fort. Von diesen </w:t>
      </w:r>
      <w:r w:rsidR="007C799F" w:rsidRPr="004F5FB4">
        <w:rPr>
          <w:color w:val="000000"/>
        </w:rPr>
        <w:t xml:space="preserve">171 </w:t>
      </w:r>
      <w:r w:rsidRPr="004F5FB4">
        <w:rPr>
          <w:color w:val="000000"/>
        </w:rPr>
        <w:t>Patienten waren 109 (63,7</w:t>
      </w:r>
      <w:r w:rsidR="003A10ED" w:rsidRPr="004F5FB4">
        <w:rPr>
          <w:color w:val="000000"/>
        </w:rPr>
        <w:t> </w:t>
      </w:r>
      <w:r w:rsidRPr="004F5FB4">
        <w:rPr>
          <w:color w:val="000000"/>
        </w:rPr>
        <w:t>%) nach 10</w:t>
      </w:r>
      <w:r w:rsidR="00402F33" w:rsidRPr="004F5FB4">
        <w:rPr>
          <w:color w:val="000000"/>
        </w:rPr>
        <w:noBreakHyphen/>
      </w:r>
      <w:r w:rsidRPr="004F5FB4">
        <w:rPr>
          <w:color w:val="000000"/>
        </w:rPr>
        <w:t>jähriger Therapie in Remission.</w:t>
      </w:r>
    </w:p>
    <w:p w14:paraId="6266AD8E" w14:textId="77777777" w:rsidR="00D2772B" w:rsidRPr="004F5FB4" w:rsidRDefault="00D2772B" w:rsidP="00387D0C">
      <w:pPr>
        <w:pStyle w:val="BodyText"/>
        <w:widowControl/>
        <w:kinsoku w:val="0"/>
        <w:overflowPunct w:val="0"/>
        <w:ind w:left="0"/>
        <w:rPr>
          <w:color w:val="000000"/>
        </w:rPr>
      </w:pPr>
    </w:p>
    <w:p w14:paraId="181D1148" w14:textId="77777777" w:rsidR="00D2772B" w:rsidRPr="004F5FB4" w:rsidRDefault="00D2772B" w:rsidP="00ED34EF">
      <w:pPr>
        <w:pStyle w:val="BodyText"/>
        <w:keepNext/>
        <w:widowControl/>
        <w:kinsoku w:val="0"/>
        <w:overflowPunct w:val="0"/>
        <w:ind w:left="0"/>
        <w:rPr>
          <w:color w:val="000000"/>
        </w:rPr>
      </w:pPr>
      <w:r w:rsidRPr="004F5FB4">
        <w:rPr>
          <w:i/>
          <w:iCs/>
          <w:color w:val="000000"/>
          <w:u w:val="single"/>
        </w:rPr>
        <w:t>Radiologisches Ansprechen</w:t>
      </w:r>
    </w:p>
    <w:p w14:paraId="2E2CB1D4" w14:textId="77777777" w:rsidR="00D2772B" w:rsidRPr="004F5FB4" w:rsidRDefault="00D2772B" w:rsidP="00ED34EF">
      <w:pPr>
        <w:pStyle w:val="BodyText"/>
        <w:keepNext/>
        <w:widowControl/>
        <w:kinsoku w:val="0"/>
        <w:overflowPunct w:val="0"/>
        <w:ind w:left="0"/>
        <w:rPr>
          <w:i/>
          <w:iCs/>
          <w:color w:val="000000"/>
        </w:rPr>
      </w:pPr>
    </w:p>
    <w:p w14:paraId="03AECE1D" w14:textId="77777777" w:rsidR="00D2772B" w:rsidRPr="004F5FB4" w:rsidRDefault="00D2772B" w:rsidP="00387D0C">
      <w:pPr>
        <w:pStyle w:val="BodyText"/>
        <w:widowControl/>
        <w:kinsoku w:val="0"/>
        <w:overflowPunct w:val="0"/>
        <w:ind w:left="0"/>
        <w:rPr>
          <w:color w:val="000000"/>
        </w:rPr>
      </w:pPr>
      <w:r w:rsidRPr="004F5FB4">
        <w:rPr>
          <w:color w:val="000000"/>
        </w:rPr>
        <w:t>Die in der RA-Studie</w:t>
      </w:r>
      <w:r w:rsidR="008C6A4C" w:rsidRPr="004F5FB4">
        <w:rPr>
          <w:color w:val="000000"/>
        </w:rPr>
        <w:t> </w:t>
      </w:r>
      <w:r w:rsidRPr="004F5FB4">
        <w:rPr>
          <w:color w:val="000000"/>
        </w:rPr>
        <w:t>III mit Adalimumab behandelten Patienten waren im Durchschnitt ca. 11</w:t>
      </w:r>
      <w:r w:rsidR="008C6A4C" w:rsidRPr="004F5FB4">
        <w:rPr>
          <w:color w:val="000000"/>
        </w:rPr>
        <w:t> </w:t>
      </w:r>
      <w:r w:rsidRPr="004F5FB4">
        <w:rPr>
          <w:color w:val="000000"/>
        </w:rPr>
        <w:t>Jahre an rheumatoider Arthritis erkrankt. Die strukturelle Gelenkschädigung wurde radiologisch erfasst und als Veränderung des modifizierten Gesamt-Sharp-Scores (TSS) und seiner Komponenten, de</w:t>
      </w:r>
      <w:r w:rsidR="007C799F" w:rsidRPr="004F5FB4">
        <w:rPr>
          <w:color w:val="000000"/>
        </w:rPr>
        <w:t>m Ausmaß der</w:t>
      </w:r>
      <w:r w:rsidRPr="004F5FB4">
        <w:rPr>
          <w:color w:val="000000"/>
        </w:rPr>
        <w:t xml:space="preserve"> Erosion</w:t>
      </w:r>
      <w:r w:rsidR="007C799F" w:rsidRPr="004F5FB4">
        <w:rPr>
          <w:color w:val="000000"/>
        </w:rPr>
        <w:t>en</w:t>
      </w:r>
      <w:r w:rsidRPr="004F5FB4">
        <w:rPr>
          <w:color w:val="000000"/>
        </w:rPr>
        <w:t xml:space="preserve"> und der Gelenkspaltverengung (Joint Space Narrowing, JSN) ausgedrückt. Die mit Adalimumab und Methotrexat behandelten Patienten zeigten nach 6 und 12</w:t>
      </w:r>
      <w:r w:rsidR="003A10ED" w:rsidRPr="004F5FB4">
        <w:rPr>
          <w:color w:val="000000"/>
        </w:rPr>
        <w:t> </w:t>
      </w:r>
      <w:r w:rsidRPr="004F5FB4">
        <w:rPr>
          <w:color w:val="000000"/>
        </w:rPr>
        <w:t>Monaten radiologisch eine signifikant geringere Progression als Patienten, die nur Methotrexat erhielten (siehe Tabelle</w:t>
      </w:r>
      <w:r w:rsidR="003A10ED" w:rsidRPr="004F5FB4">
        <w:rPr>
          <w:color w:val="000000"/>
        </w:rPr>
        <w:t> </w:t>
      </w:r>
      <w:r w:rsidR="007004B8">
        <w:rPr>
          <w:color w:val="000000"/>
        </w:rPr>
        <w:t>9</w:t>
      </w:r>
      <w:r w:rsidRPr="004F5FB4">
        <w:rPr>
          <w:color w:val="000000"/>
        </w:rPr>
        <w:t>).</w:t>
      </w:r>
    </w:p>
    <w:p w14:paraId="6425D592" w14:textId="77777777" w:rsidR="00D2772B" w:rsidRPr="004F5FB4" w:rsidRDefault="00D2772B" w:rsidP="00387D0C">
      <w:pPr>
        <w:pStyle w:val="BodyText"/>
        <w:widowControl/>
        <w:kinsoku w:val="0"/>
        <w:overflowPunct w:val="0"/>
        <w:ind w:left="0"/>
        <w:rPr>
          <w:color w:val="000000"/>
          <w:szCs w:val="21"/>
        </w:rPr>
      </w:pPr>
    </w:p>
    <w:p w14:paraId="1A7F343B" w14:textId="77777777" w:rsidR="00D2772B" w:rsidRPr="004F5FB4" w:rsidRDefault="00D2772B" w:rsidP="00387D0C">
      <w:pPr>
        <w:pStyle w:val="BodyText"/>
        <w:widowControl/>
        <w:kinsoku w:val="0"/>
        <w:overflowPunct w:val="0"/>
        <w:ind w:left="0"/>
        <w:rPr>
          <w:color w:val="000000"/>
        </w:rPr>
      </w:pPr>
      <w:r w:rsidRPr="004F5FB4">
        <w:rPr>
          <w:color w:val="000000"/>
        </w:rPr>
        <w:t xml:space="preserve">In der offenen </w:t>
      </w:r>
      <w:r w:rsidR="007C799F" w:rsidRPr="004F5FB4">
        <w:rPr>
          <w:color w:val="000000"/>
        </w:rPr>
        <w:t>Fortsetz</w:t>
      </w:r>
      <w:r w:rsidRPr="004F5FB4">
        <w:rPr>
          <w:color w:val="000000"/>
        </w:rPr>
        <w:t>ungsphase der RA-Studie</w:t>
      </w:r>
      <w:r w:rsidR="003A10ED" w:rsidRPr="004F5FB4">
        <w:rPr>
          <w:color w:val="000000"/>
        </w:rPr>
        <w:t> </w:t>
      </w:r>
      <w:r w:rsidRPr="004F5FB4">
        <w:rPr>
          <w:color w:val="000000"/>
        </w:rPr>
        <w:t>III ist die Hemmung des Fortschreitens der strukturellen Schädigung in einer Untergruppe von Patienten 8 und 10</w:t>
      </w:r>
      <w:r w:rsidR="003A10ED" w:rsidRPr="004F5FB4">
        <w:rPr>
          <w:color w:val="000000"/>
        </w:rPr>
        <w:t> </w:t>
      </w:r>
      <w:r w:rsidRPr="004F5FB4">
        <w:rPr>
          <w:color w:val="000000"/>
        </w:rPr>
        <w:t>Jahre lang aufrechterhalten worden. Nach 8</w:t>
      </w:r>
      <w:r w:rsidR="003A10ED" w:rsidRPr="004F5FB4">
        <w:rPr>
          <w:color w:val="000000"/>
        </w:rPr>
        <w:t> </w:t>
      </w:r>
      <w:r w:rsidRPr="004F5FB4">
        <w:rPr>
          <w:color w:val="000000"/>
        </w:rPr>
        <w:t>Jahren wurden 81 von 207</w:t>
      </w:r>
      <w:r w:rsidR="003A10ED" w:rsidRPr="004F5FB4">
        <w:rPr>
          <w:color w:val="000000"/>
        </w:rPr>
        <w:t> </w:t>
      </w:r>
      <w:r w:rsidRPr="004F5FB4">
        <w:rPr>
          <w:color w:val="000000"/>
        </w:rPr>
        <w:t>Patienten, die ursprünglich jede zweite Woche mit 40</w:t>
      </w:r>
      <w:r w:rsidR="003A10ED" w:rsidRPr="004F5FB4">
        <w:rPr>
          <w:color w:val="000000"/>
        </w:rPr>
        <w:t> </w:t>
      </w:r>
      <w:r w:rsidRPr="004F5FB4">
        <w:rPr>
          <w:color w:val="000000"/>
        </w:rPr>
        <w:t>mg Adalimumab behandelt wurden, radiologisch beurteilt. Von diesen Patienten zeigten 48 kein Fortschreiten der strukturellen Schädigung, definiert als mTSS-Änderung im Vergleich zu Studienbeginn von 0,5 oder weniger. Nach 10</w:t>
      </w:r>
      <w:r w:rsidR="003A10ED" w:rsidRPr="004F5FB4">
        <w:rPr>
          <w:color w:val="000000"/>
        </w:rPr>
        <w:t> </w:t>
      </w:r>
      <w:r w:rsidRPr="004F5FB4">
        <w:rPr>
          <w:color w:val="000000"/>
        </w:rPr>
        <w:t>Jahren wurden 79 von 207</w:t>
      </w:r>
      <w:r w:rsidR="003A10ED" w:rsidRPr="004F5FB4">
        <w:rPr>
          <w:color w:val="000000"/>
        </w:rPr>
        <w:t> </w:t>
      </w:r>
      <w:r w:rsidRPr="004F5FB4">
        <w:rPr>
          <w:color w:val="000000"/>
        </w:rPr>
        <w:t>Patienten, die ursprünglich jede zweite Woche mit 40</w:t>
      </w:r>
      <w:r w:rsidR="003A10ED" w:rsidRPr="004F5FB4">
        <w:rPr>
          <w:color w:val="000000"/>
        </w:rPr>
        <w:t> </w:t>
      </w:r>
      <w:r w:rsidRPr="004F5FB4">
        <w:rPr>
          <w:color w:val="000000"/>
        </w:rPr>
        <w:t>mg Adalimumab behandelt wurden, radiologisch beurteilt. Von diesen Patienten zeigten 40 kein Fortschreiten der strukturellen Schädigung, definiert als mTSS-Änderung im Vergleich zu Studienbeginn von 0,5 oder weniger.</w:t>
      </w:r>
    </w:p>
    <w:p w14:paraId="1D038E62" w14:textId="77777777" w:rsidR="00D2772B" w:rsidRPr="004F5FB4" w:rsidRDefault="00D2772B" w:rsidP="00387D0C">
      <w:pPr>
        <w:rPr>
          <w:color w:val="000000"/>
        </w:rPr>
      </w:pPr>
    </w:p>
    <w:p w14:paraId="2C79FC00" w14:textId="77777777" w:rsidR="00005C27" w:rsidRPr="00CA7719" w:rsidRDefault="00713CC8" w:rsidP="00CA7719">
      <w:pPr>
        <w:pStyle w:val="BodyText"/>
        <w:widowControl/>
        <w:kinsoku w:val="0"/>
        <w:overflowPunct w:val="0"/>
        <w:ind w:left="0"/>
        <w:rPr>
          <w:b/>
          <w:color w:val="000000"/>
        </w:rPr>
      </w:pPr>
      <w:r w:rsidRPr="00CA7719">
        <w:rPr>
          <w:b/>
          <w:color w:val="000000"/>
        </w:rPr>
        <w:t xml:space="preserve">Tabelle </w:t>
      </w:r>
      <w:r w:rsidR="007004B8">
        <w:rPr>
          <w:b/>
          <w:color w:val="000000"/>
        </w:rPr>
        <w:t>9</w:t>
      </w:r>
    </w:p>
    <w:p w14:paraId="5EC560E4" w14:textId="77777777" w:rsidR="00713CC8" w:rsidRPr="00CA7719" w:rsidRDefault="00713CC8" w:rsidP="00CA7719">
      <w:pPr>
        <w:pStyle w:val="BodyText"/>
        <w:widowControl/>
        <w:kinsoku w:val="0"/>
        <w:overflowPunct w:val="0"/>
        <w:ind w:left="0"/>
        <w:rPr>
          <w:b/>
          <w:color w:val="000000"/>
        </w:rPr>
      </w:pPr>
      <w:r w:rsidRPr="00CA7719">
        <w:rPr>
          <w:b/>
          <w:color w:val="000000"/>
        </w:rPr>
        <w:t>Mittlere radiologische Veränderungen über 12</w:t>
      </w:r>
      <w:r w:rsidR="003A10ED" w:rsidRPr="00CA7719">
        <w:rPr>
          <w:b/>
          <w:color w:val="000000"/>
        </w:rPr>
        <w:t> </w:t>
      </w:r>
      <w:r w:rsidRPr="00CA7719">
        <w:rPr>
          <w:b/>
          <w:color w:val="000000"/>
        </w:rPr>
        <w:t>Monate in der RA-Studie</w:t>
      </w:r>
      <w:r w:rsidR="003A10ED" w:rsidRPr="00CA7719">
        <w:rPr>
          <w:b/>
          <w:color w:val="000000"/>
        </w:rPr>
        <w:t> </w:t>
      </w:r>
      <w:r w:rsidRPr="00CA7719">
        <w:rPr>
          <w:b/>
          <w:color w:val="000000"/>
        </w:rPr>
        <w:t>III</w:t>
      </w:r>
    </w:p>
    <w:p w14:paraId="55230350" w14:textId="77777777" w:rsidR="00713CC8" w:rsidRPr="004F5FB4" w:rsidRDefault="00713CC8" w:rsidP="00387D0C">
      <w:pPr>
        <w:pStyle w:val="BodyText"/>
        <w:keepNext/>
        <w:widowControl/>
        <w:kinsoku w:val="0"/>
        <w:overflowPunct w:val="0"/>
        <w:ind w:left="0"/>
        <w:rPr>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192"/>
        <w:gridCol w:w="2166"/>
        <w:gridCol w:w="2357"/>
        <w:gridCol w:w="1453"/>
      </w:tblGrid>
      <w:tr w:rsidR="00713CC8" w:rsidRPr="004F5FB4" w14:paraId="0B044C1F" w14:textId="77777777" w:rsidTr="00BF1C5A">
        <w:trPr>
          <w:cantSplit/>
        </w:trPr>
        <w:tc>
          <w:tcPr>
            <w:tcW w:w="1947" w:type="dxa"/>
            <w:shd w:val="clear" w:color="auto" w:fill="auto"/>
          </w:tcPr>
          <w:p w14:paraId="3B42F0E6" w14:textId="77777777" w:rsidR="00713CC8" w:rsidRPr="004F5FB4" w:rsidRDefault="00713CC8" w:rsidP="00982118">
            <w:pPr>
              <w:rPr>
                <w:b/>
                <w:color w:val="000000"/>
              </w:rPr>
            </w:pPr>
          </w:p>
        </w:tc>
        <w:tc>
          <w:tcPr>
            <w:tcW w:w="1221" w:type="dxa"/>
            <w:shd w:val="clear" w:color="auto" w:fill="auto"/>
          </w:tcPr>
          <w:p w14:paraId="1220836B" w14:textId="77777777" w:rsidR="00713CC8" w:rsidRPr="004F5FB4" w:rsidRDefault="00713CC8" w:rsidP="005A68B9">
            <w:pPr>
              <w:pStyle w:val="TableParagraph"/>
              <w:widowControl/>
              <w:kinsoku w:val="0"/>
              <w:overflowPunct w:val="0"/>
              <w:spacing w:before="12" w:line="252" w:lineRule="exact"/>
              <w:ind w:left="102" w:right="90"/>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a</w:t>
            </w:r>
          </w:p>
        </w:tc>
        <w:tc>
          <w:tcPr>
            <w:tcW w:w="2224" w:type="dxa"/>
            <w:shd w:val="clear" w:color="auto" w:fill="auto"/>
          </w:tcPr>
          <w:p w14:paraId="045E6DE0" w14:textId="77777777" w:rsidR="00713CC8" w:rsidRPr="004F5FB4" w:rsidRDefault="00E56A72" w:rsidP="005A68B9">
            <w:pPr>
              <w:pStyle w:val="TableParagraph"/>
              <w:widowControl/>
              <w:kinsoku w:val="0"/>
              <w:overflowPunct w:val="0"/>
              <w:spacing w:before="8"/>
              <w:ind w:left="337" w:right="277" w:hanging="60"/>
              <w:jc w:val="center"/>
              <w:rPr>
                <w:rFonts w:ascii="Times New Roman" w:hAnsi="Times New Roman"/>
                <w:b/>
                <w:color w:val="000000"/>
              </w:rPr>
            </w:pPr>
            <w:r w:rsidRPr="004F5FB4">
              <w:rPr>
                <w:rFonts w:ascii="Times New Roman" w:hAnsi="Times New Roman"/>
                <w:b/>
                <w:color w:val="000000"/>
              </w:rPr>
              <w:t>Adalimumab/MTX 40 mg alle zwei Wochen</w:t>
            </w:r>
          </w:p>
        </w:tc>
        <w:tc>
          <w:tcPr>
            <w:tcW w:w="2421" w:type="dxa"/>
            <w:shd w:val="clear" w:color="auto" w:fill="auto"/>
          </w:tcPr>
          <w:p w14:paraId="35A9E139" w14:textId="77777777" w:rsidR="00713CC8" w:rsidRPr="002B5A88" w:rsidRDefault="00713CC8" w:rsidP="005A68B9">
            <w:pPr>
              <w:pStyle w:val="TableParagraph"/>
              <w:widowControl/>
              <w:kinsoku w:val="0"/>
              <w:overflowPunct w:val="0"/>
              <w:spacing w:before="15" w:line="231" w:lineRule="auto"/>
              <w:ind w:left="117" w:right="115" w:hanging="1"/>
              <w:jc w:val="center"/>
              <w:rPr>
                <w:rFonts w:ascii="Times New Roman" w:hAnsi="Times New Roman"/>
                <w:b/>
                <w:color w:val="000000"/>
              </w:rPr>
            </w:pPr>
            <w:r w:rsidRPr="002B5A88">
              <w:rPr>
                <w:rFonts w:ascii="Times New Roman" w:hAnsi="Times New Roman"/>
                <w:b/>
                <w:color w:val="000000"/>
              </w:rPr>
              <w:t>Placebo/MTX-Adalimumab/MTX (95 % Konfidenzintervall</w:t>
            </w:r>
            <w:r w:rsidRPr="002B5A88">
              <w:rPr>
                <w:rFonts w:ascii="Times New Roman" w:hAnsi="Times New Roman"/>
                <w:b/>
                <w:color w:val="000000"/>
                <w:vertAlign w:val="superscript"/>
              </w:rPr>
              <w:t>b</w:t>
            </w:r>
            <w:r w:rsidRPr="002B5A88">
              <w:rPr>
                <w:rFonts w:ascii="Times New Roman" w:hAnsi="Times New Roman"/>
                <w:b/>
                <w:color w:val="000000"/>
              </w:rPr>
              <w:t>)</w:t>
            </w:r>
          </w:p>
        </w:tc>
        <w:tc>
          <w:tcPr>
            <w:tcW w:w="1490" w:type="dxa"/>
            <w:shd w:val="clear" w:color="auto" w:fill="auto"/>
          </w:tcPr>
          <w:p w14:paraId="5132200C" w14:textId="77777777" w:rsidR="00713CC8" w:rsidRPr="004F5FB4" w:rsidRDefault="00713CC8" w:rsidP="005A68B9">
            <w:pPr>
              <w:pStyle w:val="TableParagraph"/>
              <w:widowControl/>
              <w:kinsoku w:val="0"/>
              <w:overflowPunct w:val="0"/>
              <w:spacing w:before="8"/>
              <w:ind w:left="438" w:hanging="438"/>
              <w:jc w:val="center"/>
              <w:rPr>
                <w:rFonts w:ascii="Times New Roman" w:hAnsi="Times New Roman"/>
                <w:b/>
                <w:color w:val="000000"/>
              </w:rPr>
            </w:pPr>
            <w:r w:rsidRPr="004F5FB4">
              <w:rPr>
                <w:rFonts w:ascii="Times New Roman" w:hAnsi="Times New Roman"/>
                <w:b/>
                <w:color w:val="000000"/>
              </w:rPr>
              <w:t>p-Wert</w:t>
            </w:r>
          </w:p>
        </w:tc>
      </w:tr>
      <w:tr w:rsidR="00713CC8" w:rsidRPr="004F5FB4" w14:paraId="502D9F6D" w14:textId="77777777" w:rsidTr="00BF1C5A">
        <w:trPr>
          <w:cantSplit/>
        </w:trPr>
        <w:tc>
          <w:tcPr>
            <w:tcW w:w="1947" w:type="dxa"/>
            <w:shd w:val="clear" w:color="auto" w:fill="auto"/>
          </w:tcPr>
          <w:p w14:paraId="3EE8F9FC" w14:textId="77777777" w:rsidR="00713CC8" w:rsidRPr="004F5FB4" w:rsidRDefault="00713CC8" w:rsidP="005A68B9">
            <w:pPr>
              <w:pStyle w:val="TableParagraph"/>
              <w:widowControl/>
              <w:kinsoku w:val="0"/>
              <w:overflowPunct w:val="0"/>
              <w:spacing w:before="7"/>
              <w:rPr>
                <w:rFonts w:ascii="Times New Roman" w:hAnsi="Times New Roman"/>
                <w:color w:val="000000"/>
              </w:rPr>
            </w:pPr>
            <w:r w:rsidRPr="004F5FB4">
              <w:rPr>
                <w:rFonts w:ascii="Times New Roman" w:hAnsi="Times New Roman"/>
                <w:color w:val="000000"/>
              </w:rPr>
              <w:t>Gesamt-Sharp-Score</w:t>
            </w:r>
          </w:p>
        </w:tc>
        <w:tc>
          <w:tcPr>
            <w:tcW w:w="1221" w:type="dxa"/>
            <w:shd w:val="clear" w:color="auto" w:fill="auto"/>
          </w:tcPr>
          <w:p w14:paraId="0ACAFF48" w14:textId="77777777" w:rsidR="00713CC8" w:rsidRPr="004F5FB4" w:rsidRDefault="00713CC8"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2,7</w:t>
            </w:r>
          </w:p>
        </w:tc>
        <w:tc>
          <w:tcPr>
            <w:tcW w:w="2224" w:type="dxa"/>
            <w:shd w:val="clear" w:color="auto" w:fill="auto"/>
          </w:tcPr>
          <w:p w14:paraId="28B0329E" w14:textId="77777777" w:rsidR="00713CC8" w:rsidRPr="004F5FB4" w:rsidRDefault="00713CC8"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0,1</w:t>
            </w:r>
          </w:p>
        </w:tc>
        <w:tc>
          <w:tcPr>
            <w:tcW w:w="2421" w:type="dxa"/>
            <w:shd w:val="clear" w:color="auto" w:fill="auto"/>
          </w:tcPr>
          <w:p w14:paraId="0A92997D" w14:textId="77777777" w:rsidR="00713CC8" w:rsidRPr="004F5FB4" w:rsidRDefault="00713CC8" w:rsidP="005A68B9">
            <w:pPr>
              <w:pStyle w:val="TableParagraph"/>
              <w:widowControl/>
              <w:kinsoku w:val="0"/>
              <w:overflowPunct w:val="0"/>
              <w:spacing w:before="7"/>
              <w:ind w:left="424"/>
              <w:rPr>
                <w:rFonts w:ascii="Times New Roman" w:hAnsi="Times New Roman"/>
                <w:color w:val="000000"/>
              </w:rPr>
            </w:pPr>
            <w:r w:rsidRPr="004F5FB4">
              <w:rPr>
                <w:rFonts w:ascii="Times New Roman" w:hAnsi="Times New Roman"/>
                <w:color w:val="000000"/>
              </w:rPr>
              <w:t>2,6 (1,4; 3,8)</w:t>
            </w:r>
          </w:p>
        </w:tc>
        <w:tc>
          <w:tcPr>
            <w:tcW w:w="1490" w:type="dxa"/>
            <w:shd w:val="clear" w:color="auto" w:fill="auto"/>
          </w:tcPr>
          <w:p w14:paraId="35170BD4" w14:textId="77777777" w:rsidR="00713CC8" w:rsidRPr="004F5FB4" w:rsidRDefault="00713CC8" w:rsidP="00247EF8">
            <w:pPr>
              <w:pStyle w:val="TableParagraph"/>
              <w:widowControl/>
              <w:kinsoku w:val="0"/>
              <w:overflowPunct w:val="0"/>
              <w:spacing w:line="260" w:lineRule="exact"/>
              <w:ind w:left="399"/>
              <w:rPr>
                <w:rFonts w:ascii="Times New Roman" w:hAnsi="Times New Roman"/>
                <w:color w:val="000000"/>
              </w:rPr>
            </w:pPr>
            <w:r w:rsidRPr="004F5FB4">
              <w:rPr>
                <w:rFonts w:ascii="Times New Roman" w:hAnsi="Times New Roman"/>
                <w:color w:val="000000"/>
              </w:rPr>
              <w:t>&lt;</w:t>
            </w:r>
            <w:r w:rsidR="00247EF8" w:rsidRPr="004F5FB4">
              <w:rPr>
                <w:rFonts w:ascii="Times New Roman" w:hAnsi="Times New Roman"/>
                <w:color w:val="000000"/>
              </w:rPr>
              <w:t> </w:t>
            </w:r>
            <w:r w:rsidRPr="004F5FB4">
              <w:rPr>
                <w:rFonts w:ascii="Times New Roman" w:hAnsi="Times New Roman"/>
                <w:color w:val="000000"/>
              </w:rPr>
              <w:t>0,001</w:t>
            </w:r>
            <w:r w:rsidRPr="004F5FB4">
              <w:rPr>
                <w:rFonts w:ascii="Times New Roman" w:hAnsi="Times New Roman"/>
                <w:color w:val="000000"/>
                <w:vertAlign w:val="superscript"/>
              </w:rPr>
              <w:t>c</w:t>
            </w:r>
          </w:p>
        </w:tc>
      </w:tr>
      <w:tr w:rsidR="00713CC8" w:rsidRPr="004F5FB4" w14:paraId="4F3CA418" w14:textId="77777777" w:rsidTr="00BF1C5A">
        <w:trPr>
          <w:cantSplit/>
        </w:trPr>
        <w:tc>
          <w:tcPr>
            <w:tcW w:w="1947" w:type="dxa"/>
            <w:shd w:val="clear" w:color="auto" w:fill="auto"/>
          </w:tcPr>
          <w:p w14:paraId="014A0985" w14:textId="77777777" w:rsidR="00713CC8" w:rsidRPr="004F5FB4" w:rsidRDefault="00713CC8" w:rsidP="005A68B9">
            <w:pPr>
              <w:pStyle w:val="TableParagraph"/>
              <w:widowControl/>
              <w:kinsoku w:val="0"/>
              <w:overflowPunct w:val="0"/>
              <w:spacing w:before="7"/>
              <w:rPr>
                <w:rFonts w:ascii="Times New Roman" w:hAnsi="Times New Roman"/>
                <w:color w:val="000000"/>
              </w:rPr>
            </w:pPr>
            <w:r w:rsidRPr="004F5FB4">
              <w:rPr>
                <w:rFonts w:ascii="Times New Roman" w:hAnsi="Times New Roman"/>
                <w:color w:val="000000"/>
              </w:rPr>
              <w:t>Erosions-Score</w:t>
            </w:r>
          </w:p>
        </w:tc>
        <w:tc>
          <w:tcPr>
            <w:tcW w:w="1221" w:type="dxa"/>
            <w:shd w:val="clear" w:color="auto" w:fill="auto"/>
          </w:tcPr>
          <w:p w14:paraId="105BDC88" w14:textId="77777777" w:rsidR="00713CC8" w:rsidRPr="004F5FB4" w:rsidRDefault="00713CC8"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1,6</w:t>
            </w:r>
          </w:p>
        </w:tc>
        <w:tc>
          <w:tcPr>
            <w:tcW w:w="2224" w:type="dxa"/>
            <w:shd w:val="clear" w:color="auto" w:fill="auto"/>
          </w:tcPr>
          <w:p w14:paraId="2F27FD23" w14:textId="77777777" w:rsidR="00713CC8" w:rsidRPr="004F5FB4" w:rsidRDefault="00713CC8"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0,0</w:t>
            </w:r>
          </w:p>
        </w:tc>
        <w:tc>
          <w:tcPr>
            <w:tcW w:w="2421" w:type="dxa"/>
            <w:shd w:val="clear" w:color="auto" w:fill="auto"/>
          </w:tcPr>
          <w:p w14:paraId="2C2701BE" w14:textId="77777777" w:rsidR="00713CC8" w:rsidRPr="004F5FB4" w:rsidRDefault="00713CC8" w:rsidP="005A68B9">
            <w:pPr>
              <w:pStyle w:val="TableParagraph"/>
              <w:widowControl/>
              <w:kinsoku w:val="0"/>
              <w:overflowPunct w:val="0"/>
              <w:spacing w:before="7"/>
              <w:ind w:left="426"/>
              <w:rPr>
                <w:rFonts w:ascii="Times New Roman" w:hAnsi="Times New Roman"/>
                <w:color w:val="000000"/>
              </w:rPr>
            </w:pPr>
            <w:r w:rsidRPr="004F5FB4">
              <w:rPr>
                <w:rFonts w:ascii="Times New Roman" w:hAnsi="Times New Roman"/>
                <w:color w:val="000000"/>
              </w:rPr>
              <w:t>1,6 (0,9; 2,2)</w:t>
            </w:r>
          </w:p>
        </w:tc>
        <w:tc>
          <w:tcPr>
            <w:tcW w:w="1490" w:type="dxa"/>
            <w:shd w:val="clear" w:color="auto" w:fill="auto"/>
          </w:tcPr>
          <w:p w14:paraId="6F7AA5EF" w14:textId="77777777" w:rsidR="00713CC8" w:rsidRPr="004F5FB4" w:rsidRDefault="00713CC8" w:rsidP="005A68B9">
            <w:pPr>
              <w:pStyle w:val="TableParagraph"/>
              <w:widowControl/>
              <w:kinsoku w:val="0"/>
              <w:overflowPunct w:val="0"/>
              <w:spacing w:before="7"/>
              <w:ind w:left="430"/>
              <w:rPr>
                <w:rFonts w:ascii="Times New Roman" w:hAnsi="Times New Roman"/>
                <w:color w:val="000000"/>
              </w:rPr>
            </w:pPr>
            <w:r w:rsidRPr="004F5FB4">
              <w:rPr>
                <w:rFonts w:ascii="Times New Roman" w:hAnsi="Times New Roman"/>
                <w:color w:val="000000"/>
              </w:rPr>
              <w:t>&lt;</w:t>
            </w:r>
            <w:r w:rsidR="00247EF8" w:rsidRPr="004F5FB4">
              <w:rPr>
                <w:rFonts w:ascii="Times New Roman" w:hAnsi="Times New Roman"/>
                <w:color w:val="000000"/>
              </w:rPr>
              <w:t> </w:t>
            </w:r>
            <w:r w:rsidRPr="004F5FB4">
              <w:rPr>
                <w:rFonts w:ascii="Times New Roman" w:hAnsi="Times New Roman"/>
                <w:color w:val="000000"/>
              </w:rPr>
              <w:t>0,001</w:t>
            </w:r>
          </w:p>
        </w:tc>
      </w:tr>
      <w:tr w:rsidR="00713CC8" w:rsidRPr="004F5FB4" w14:paraId="3961AE6B" w14:textId="77777777" w:rsidTr="006A2129">
        <w:trPr>
          <w:cantSplit/>
        </w:trPr>
        <w:tc>
          <w:tcPr>
            <w:tcW w:w="1947" w:type="dxa"/>
            <w:tcBorders>
              <w:bottom w:val="single" w:sz="4" w:space="0" w:color="auto"/>
            </w:tcBorders>
            <w:shd w:val="clear" w:color="auto" w:fill="auto"/>
          </w:tcPr>
          <w:p w14:paraId="646FFBEB" w14:textId="77777777" w:rsidR="00713CC8" w:rsidRPr="004F5FB4" w:rsidRDefault="00713CC8" w:rsidP="005A68B9">
            <w:pPr>
              <w:pStyle w:val="TableParagraph"/>
              <w:widowControl/>
              <w:kinsoku w:val="0"/>
              <w:overflowPunct w:val="0"/>
              <w:spacing w:line="260" w:lineRule="exact"/>
              <w:rPr>
                <w:rFonts w:ascii="Times New Roman" w:hAnsi="Times New Roman"/>
                <w:color w:val="000000"/>
              </w:rPr>
            </w:pPr>
            <w:r w:rsidRPr="004F5FB4">
              <w:rPr>
                <w:rFonts w:ascii="Times New Roman" w:hAnsi="Times New Roman"/>
                <w:color w:val="000000"/>
              </w:rPr>
              <w:t>JSN</w:t>
            </w:r>
            <w:r w:rsidRPr="004F5FB4">
              <w:rPr>
                <w:rFonts w:ascii="Times New Roman" w:hAnsi="Times New Roman"/>
                <w:color w:val="000000"/>
                <w:vertAlign w:val="superscript"/>
              </w:rPr>
              <w:t>d</w:t>
            </w:r>
            <w:r w:rsidRPr="004F5FB4">
              <w:rPr>
                <w:rFonts w:ascii="Times New Roman" w:hAnsi="Times New Roman"/>
                <w:color w:val="000000"/>
              </w:rPr>
              <w:t xml:space="preserve"> Score</w:t>
            </w:r>
          </w:p>
        </w:tc>
        <w:tc>
          <w:tcPr>
            <w:tcW w:w="1221" w:type="dxa"/>
            <w:tcBorders>
              <w:bottom w:val="single" w:sz="4" w:space="0" w:color="auto"/>
            </w:tcBorders>
            <w:shd w:val="clear" w:color="auto" w:fill="auto"/>
          </w:tcPr>
          <w:p w14:paraId="37203FFC" w14:textId="77777777" w:rsidR="00713CC8" w:rsidRPr="004F5FB4" w:rsidRDefault="00713CC8"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1,0</w:t>
            </w:r>
          </w:p>
        </w:tc>
        <w:tc>
          <w:tcPr>
            <w:tcW w:w="2224" w:type="dxa"/>
            <w:tcBorders>
              <w:bottom w:val="single" w:sz="4" w:space="0" w:color="auto"/>
            </w:tcBorders>
            <w:shd w:val="clear" w:color="auto" w:fill="auto"/>
          </w:tcPr>
          <w:p w14:paraId="6B4389AD" w14:textId="77777777" w:rsidR="00713CC8" w:rsidRPr="004F5FB4" w:rsidRDefault="00713CC8"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0,1</w:t>
            </w:r>
          </w:p>
        </w:tc>
        <w:tc>
          <w:tcPr>
            <w:tcW w:w="2421" w:type="dxa"/>
            <w:tcBorders>
              <w:bottom w:val="single" w:sz="4" w:space="0" w:color="auto"/>
            </w:tcBorders>
            <w:shd w:val="clear" w:color="auto" w:fill="auto"/>
          </w:tcPr>
          <w:p w14:paraId="1905979A" w14:textId="77777777" w:rsidR="00713CC8" w:rsidRPr="004F5FB4" w:rsidRDefault="00713CC8" w:rsidP="005A68B9">
            <w:pPr>
              <w:pStyle w:val="TableParagraph"/>
              <w:widowControl/>
              <w:kinsoku w:val="0"/>
              <w:overflowPunct w:val="0"/>
              <w:spacing w:before="7"/>
              <w:ind w:left="426"/>
              <w:rPr>
                <w:rFonts w:ascii="Times New Roman" w:hAnsi="Times New Roman"/>
                <w:color w:val="000000"/>
              </w:rPr>
            </w:pPr>
            <w:r w:rsidRPr="004F5FB4">
              <w:rPr>
                <w:rFonts w:ascii="Times New Roman" w:hAnsi="Times New Roman"/>
                <w:color w:val="000000"/>
              </w:rPr>
              <w:t>0,9 (0,3; 1,4)</w:t>
            </w:r>
          </w:p>
        </w:tc>
        <w:tc>
          <w:tcPr>
            <w:tcW w:w="1490" w:type="dxa"/>
            <w:tcBorders>
              <w:bottom w:val="single" w:sz="4" w:space="0" w:color="auto"/>
            </w:tcBorders>
            <w:shd w:val="clear" w:color="auto" w:fill="auto"/>
          </w:tcPr>
          <w:p w14:paraId="0695BC33" w14:textId="77777777" w:rsidR="00713CC8" w:rsidRPr="004F5FB4" w:rsidRDefault="00713CC8" w:rsidP="005A68B9">
            <w:pPr>
              <w:pStyle w:val="TableParagraph"/>
              <w:widowControl/>
              <w:kinsoku w:val="0"/>
              <w:overflowPunct w:val="0"/>
              <w:spacing w:before="7"/>
              <w:ind w:left="576"/>
              <w:rPr>
                <w:rFonts w:ascii="Times New Roman" w:hAnsi="Times New Roman"/>
                <w:color w:val="000000"/>
              </w:rPr>
            </w:pPr>
            <w:r w:rsidRPr="004F5FB4">
              <w:rPr>
                <w:rFonts w:ascii="Times New Roman" w:hAnsi="Times New Roman"/>
                <w:color w:val="000000"/>
              </w:rPr>
              <w:t>0,002</w:t>
            </w:r>
          </w:p>
        </w:tc>
      </w:tr>
      <w:tr w:rsidR="006A2129" w:rsidRPr="004F5FB4" w14:paraId="3A65D9ED" w14:textId="77777777" w:rsidTr="006A2129">
        <w:trPr>
          <w:cantSplit/>
        </w:trPr>
        <w:tc>
          <w:tcPr>
            <w:tcW w:w="9303" w:type="dxa"/>
            <w:gridSpan w:val="5"/>
            <w:tcBorders>
              <w:left w:val="nil"/>
              <w:bottom w:val="nil"/>
              <w:right w:val="nil"/>
            </w:tcBorders>
            <w:shd w:val="clear" w:color="auto" w:fill="auto"/>
          </w:tcPr>
          <w:p w14:paraId="736D1A0E" w14:textId="77777777" w:rsidR="006A2129" w:rsidRPr="00206AEA" w:rsidRDefault="006A2129" w:rsidP="006A2129">
            <w:pPr>
              <w:pStyle w:val="BodyText"/>
              <w:widowControl/>
              <w:kinsoku w:val="0"/>
              <w:overflowPunct w:val="0"/>
              <w:ind w:left="270" w:hanging="270"/>
              <w:rPr>
                <w:color w:val="000000"/>
                <w:sz w:val="20"/>
              </w:rPr>
            </w:pPr>
            <w:r w:rsidRPr="00206AEA">
              <w:rPr>
                <w:bCs/>
                <w:color w:val="000000"/>
                <w:sz w:val="20"/>
                <w:szCs w:val="14"/>
                <w:vertAlign w:val="superscript"/>
              </w:rPr>
              <w:t>a</w:t>
            </w:r>
            <w:r w:rsidRPr="00206AEA">
              <w:rPr>
                <w:bCs/>
                <w:color w:val="000000"/>
                <w:sz w:val="20"/>
                <w:szCs w:val="14"/>
              </w:rPr>
              <w:t xml:space="preserve"> </w:t>
            </w:r>
            <w:r w:rsidRPr="00206AEA">
              <w:rPr>
                <w:bCs/>
                <w:color w:val="000000"/>
                <w:sz w:val="20"/>
                <w:szCs w:val="14"/>
              </w:rPr>
              <w:tab/>
            </w:r>
            <w:r w:rsidRPr="00206AEA">
              <w:rPr>
                <w:color w:val="000000"/>
                <w:sz w:val="20"/>
              </w:rPr>
              <w:t>Methotrexat</w:t>
            </w:r>
          </w:p>
          <w:p w14:paraId="3B8D8D76" w14:textId="77777777" w:rsidR="006A2129" w:rsidRPr="00206AEA" w:rsidRDefault="006A2129" w:rsidP="006A2129">
            <w:pPr>
              <w:pStyle w:val="BodyText"/>
              <w:widowControl/>
              <w:kinsoku w:val="0"/>
              <w:overflowPunct w:val="0"/>
              <w:ind w:left="270" w:hanging="270"/>
              <w:rPr>
                <w:color w:val="000000"/>
                <w:sz w:val="20"/>
              </w:rPr>
            </w:pPr>
            <w:r w:rsidRPr="00206AEA">
              <w:rPr>
                <w:color w:val="000000"/>
                <w:sz w:val="20"/>
                <w:szCs w:val="14"/>
                <w:vertAlign w:val="superscript"/>
              </w:rPr>
              <w:t>b</w:t>
            </w:r>
            <w:r w:rsidRPr="00206AEA">
              <w:rPr>
                <w:color w:val="000000"/>
                <w:sz w:val="20"/>
                <w:szCs w:val="14"/>
              </w:rPr>
              <w:t xml:space="preserve"> </w:t>
            </w:r>
            <w:r w:rsidRPr="00206AEA">
              <w:rPr>
                <w:color w:val="000000"/>
                <w:sz w:val="20"/>
                <w:szCs w:val="14"/>
              </w:rPr>
              <w:tab/>
            </w:r>
            <w:r w:rsidRPr="00206AEA">
              <w:rPr>
                <w:color w:val="000000"/>
                <w:sz w:val="20"/>
              </w:rPr>
              <w:t>95 % Konfidenzintervalle für die Unterschiede der Veränderungen der Scores zwischen Methotrexat und Adalimumab</w:t>
            </w:r>
          </w:p>
          <w:p w14:paraId="4078C3CE" w14:textId="77777777" w:rsidR="006A2129" w:rsidRPr="00206AEA" w:rsidRDefault="006A2129" w:rsidP="006A2129">
            <w:pPr>
              <w:pStyle w:val="BodyText"/>
              <w:widowControl/>
              <w:kinsoku w:val="0"/>
              <w:overflowPunct w:val="0"/>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basierend auf Rangsummentest</w:t>
            </w:r>
          </w:p>
          <w:p w14:paraId="73FC8ACD" w14:textId="77777777" w:rsidR="006A2129" w:rsidRPr="00206AEA" w:rsidRDefault="006A2129" w:rsidP="006A2129">
            <w:pPr>
              <w:pStyle w:val="BodyText"/>
              <w:widowControl/>
              <w:kinsoku w:val="0"/>
              <w:overflowPunct w:val="0"/>
              <w:ind w:left="270" w:hanging="270"/>
              <w:rPr>
                <w:color w:val="000000"/>
                <w:sz w:val="20"/>
              </w:rPr>
            </w:pPr>
            <w:r w:rsidRPr="00206AEA">
              <w:rPr>
                <w:color w:val="000000"/>
                <w:sz w:val="20"/>
                <w:szCs w:val="14"/>
                <w:vertAlign w:val="superscript"/>
              </w:rPr>
              <w:t>d</w:t>
            </w:r>
            <w:r w:rsidRPr="00206AEA">
              <w:rPr>
                <w:color w:val="000000"/>
                <w:sz w:val="20"/>
                <w:szCs w:val="14"/>
              </w:rPr>
              <w:t xml:space="preserve"> </w:t>
            </w:r>
            <w:r w:rsidRPr="00206AEA">
              <w:rPr>
                <w:color w:val="000000"/>
                <w:sz w:val="20"/>
                <w:szCs w:val="14"/>
              </w:rPr>
              <w:tab/>
            </w:r>
            <w:r w:rsidRPr="00206AEA">
              <w:rPr>
                <w:color w:val="000000"/>
                <w:sz w:val="20"/>
              </w:rPr>
              <w:t>JSN (Joint Space Narrowing): Gelenkspaltverengung</w:t>
            </w:r>
          </w:p>
        </w:tc>
      </w:tr>
    </w:tbl>
    <w:p w14:paraId="706631E3" w14:textId="77777777" w:rsidR="00713CC8" w:rsidRPr="004F5FB4" w:rsidRDefault="00713CC8" w:rsidP="00387D0C">
      <w:pPr>
        <w:pStyle w:val="BodyText"/>
        <w:widowControl/>
        <w:kinsoku w:val="0"/>
        <w:overflowPunct w:val="0"/>
        <w:ind w:left="0"/>
        <w:rPr>
          <w:color w:val="000000"/>
        </w:rPr>
      </w:pPr>
    </w:p>
    <w:p w14:paraId="1B94B4AC" w14:textId="77777777" w:rsidR="00713CC8" w:rsidRPr="004F5FB4" w:rsidRDefault="00713CC8" w:rsidP="00387D0C">
      <w:pPr>
        <w:pStyle w:val="BodyText"/>
        <w:widowControl/>
        <w:kinsoku w:val="0"/>
        <w:overflowPunct w:val="0"/>
        <w:ind w:left="0"/>
        <w:rPr>
          <w:color w:val="000000"/>
        </w:rPr>
      </w:pPr>
      <w:r w:rsidRPr="004F5FB4">
        <w:rPr>
          <w:color w:val="000000"/>
        </w:rPr>
        <w:t>In der RA-Studie</w:t>
      </w:r>
      <w:r w:rsidR="003A10ED" w:rsidRPr="004F5FB4">
        <w:rPr>
          <w:color w:val="000000"/>
        </w:rPr>
        <w:t> </w:t>
      </w:r>
      <w:r w:rsidRPr="004F5FB4">
        <w:rPr>
          <w:color w:val="000000"/>
        </w:rPr>
        <w:t>V wurde die strukturelle Gelenkschädigung radiologisch untersucht und als Veränderung des modifizierten Gesamt-Sharp-Scores ausgedrückt (siehe Tabelle</w:t>
      </w:r>
      <w:r w:rsidR="003A10ED" w:rsidRPr="004F5FB4">
        <w:rPr>
          <w:color w:val="000000"/>
        </w:rPr>
        <w:t> </w:t>
      </w:r>
      <w:r w:rsidR="007004B8">
        <w:rPr>
          <w:color w:val="000000"/>
        </w:rPr>
        <w:t>10</w:t>
      </w:r>
      <w:r w:rsidRPr="004F5FB4">
        <w:rPr>
          <w:color w:val="000000"/>
        </w:rPr>
        <w:t>).</w:t>
      </w:r>
    </w:p>
    <w:p w14:paraId="32E3F0D8" w14:textId="77777777" w:rsidR="00D2772B" w:rsidRPr="004F5FB4" w:rsidRDefault="00D2772B" w:rsidP="00387D0C">
      <w:pPr>
        <w:rPr>
          <w:color w:val="000000"/>
        </w:rPr>
      </w:pPr>
    </w:p>
    <w:p w14:paraId="6D9B5772" w14:textId="77777777" w:rsidR="00005C27" w:rsidRPr="00CA7719" w:rsidRDefault="00713CC8" w:rsidP="005D31CE">
      <w:pPr>
        <w:pStyle w:val="BodyText"/>
        <w:keepNext/>
        <w:keepLines/>
        <w:widowControl/>
        <w:kinsoku w:val="0"/>
        <w:overflowPunct w:val="0"/>
        <w:ind w:left="0"/>
        <w:rPr>
          <w:b/>
          <w:color w:val="000000"/>
        </w:rPr>
      </w:pPr>
      <w:r w:rsidRPr="00CA7719">
        <w:rPr>
          <w:b/>
          <w:color w:val="000000"/>
        </w:rPr>
        <w:t xml:space="preserve">Tabelle </w:t>
      </w:r>
      <w:r w:rsidR="007004B8">
        <w:rPr>
          <w:b/>
          <w:color w:val="000000"/>
        </w:rPr>
        <w:t>10</w:t>
      </w:r>
    </w:p>
    <w:p w14:paraId="7B76AD77" w14:textId="77777777" w:rsidR="00713CC8" w:rsidRPr="00CA7719" w:rsidRDefault="00713CC8" w:rsidP="005D31CE">
      <w:pPr>
        <w:pStyle w:val="BodyText"/>
        <w:keepNext/>
        <w:keepLines/>
        <w:widowControl/>
        <w:kinsoku w:val="0"/>
        <w:overflowPunct w:val="0"/>
        <w:ind w:left="0"/>
        <w:rPr>
          <w:b/>
          <w:color w:val="000000"/>
        </w:rPr>
      </w:pPr>
      <w:r w:rsidRPr="00CA7719">
        <w:rPr>
          <w:b/>
          <w:color w:val="000000"/>
        </w:rPr>
        <w:t>Mittlere radiologische Veränderungen nach 52 Wochen in der RA-Studie V</w:t>
      </w:r>
    </w:p>
    <w:p w14:paraId="12E9B494" w14:textId="77777777" w:rsidR="00713CC8" w:rsidRPr="004F5FB4" w:rsidRDefault="00713CC8" w:rsidP="005D31CE">
      <w:pPr>
        <w:pStyle w:val="BodyText"/>
        <w:keepNext/>
        <w:keepLines/>
        <w:widowControl/>
        <w:kinsoku w:val="0"/>
        <w:overflowPunct w:val="0"/>
        <w:ind w:left="0"/>
        <w:rPr>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713CC8" w:rsidRPr="004F5FB4" w14:paraId="49A02FEF" w14:textId="77777777" w:rsidTr="003533D2">
        <w:trPr>
          <w:trHeight w:hRule="exact" w:val="1683"/>
        </w:trPr>
        <w:tc>
          <w:tcPr>
            <w:tcW w:w="1404" w:type="dxa"/>
            <w:shd w:val="clear" w:color="auto" w:fill="auto"/>
          </w:tcPr>
          <w:p w14:paraId="2AC15F78" w14:textId="77777777" w:rsidR="00713CC8" w:rsidRPr="004F5FB4" w:rsidRDefault="00713CC8" w:rsidP="005D31CE">
            <w:pPr>
              <w:keepNext/>
              <w:keepLines/>
              <w:rPr>
                <w:b/>
                <w:color w:val="000000"/>
              </w:rPr>
            </w:pPr>
          </w:p>
        </w:tc>
        <w:tc>
          <w:tcPr>
            <w:tcW w:w="1520" w:type="dxa"/>
            <w:shd w:val="clear" w:color="auto" w:fill="auto"/>
            <w:vAlign w:val="center"/>
          </w:tcPr>
          <w:p w14:paraId="57783FEE" w14:textId="77777777" w:rsidR="00D92C61" w:rsidRPr="004F5FB4" w:rsidRDefault="00713CC8" w:rsidP="005D31CE">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Methotrexat (MTX)</w:t>
            </w:r>
          </w:p>
          <w:p w14:paraId="3B397649" w14:textId="77777777" w:rsidR="00D92C61" w:rsidRPr="004F5FB4" w:rsidRDefault="00713CC8" w:rsidP="005D31CE">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257</w:t>
            </w:r>
          </w:p>
          <w:p w14:paraId="267BACC8" w14:textId="77777777" w:rsidR="00713CC8" w:rsidRPr="004F5FB4" w:rsidRDefault="00713CC8" w:rsidP="005D31CE">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(95</w:t>
            </w:r>
            <w:r w:rsidR="007C1799" w:rsidRPr="004F5FB4">
              <w:rPr>
                <w:rFonts w:ascii="Times New Roman" w:hAnsi="Times New Roman"/>
                <w:b/>
                <w:color w:val="000000"/>
              </w:rPr>
              <w:t> </w:t>
            </w:r>
            <w:r w:rsidRPr="004F5FB4">
              <w:rPr>
                <w:rFonts w:ascii="Times New Roman" w:hAnsi="Times New Roman"/>
                <w:b/>
                <w:color w:val="000000"/>
              </w:rPr>
              <w:t>% Konfidenzintervall)</w:t>
            </w:r>
          </w:p>
        </w:tc>
        <w:tc>
          <w:tcPr>
            <w:tcW w:w="1504" w:type="dxa"/>
            <w:shd w:val="clear" w:color="auto" w:fill="auto"/>
            <w:vAlign w:val="center"/>
          </w:tcPr>
          <w:p w14:paraId="71A03B76" w14:textId="77777777" w:rsidR="00D92C61" w:rsidRPr="004F5FB4" w:rsidRDefault="00E56A72" w:rsidP="005D31CE">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Adalimumab</w:t>
            </w:r>
          </w:p>
          <w:p w14:paraId="2B1610A9" w14:textId="77777777" w:rsidR="00D92C61" w:rsidRPr="004F5FB4" w:rsidRDefault="00713CC8" w:rsidP="005D31CE">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274</w:t>
            </w:r>
          </w:p>
          <w:p w14:paraId="0889E15D" w14:textId="77777777" w:rsidR="00713CC8" w:rsidRPr="004F5FB4" w:rsidRDefault="00713CC8" w:rsidP="005D31CE">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(95</w:t>
            </w:r>
            <w:r w:rsidR="007C1799" w:rsidRPr="004F5FB4">
              <w:rPr>
                <w:rFonts w:ascii="Times New Roman" w:hAnsi="Times New Roman"/>
                <w:b/>
                <w:color w:val="000000"/>
              </w:rPr>
              <w:t> </w:t>
            </w:r>
            <w:r w:rsidRPr="004F5FB4">
              <w:rPr>
                <w:rFonts w:ascii="Times New Roman" w:hAnsi="Times New Roman"/>
                <w:b/>
                <w:color w:val="000000"/>
              </w:rPr>
              <w:t>% Konfidenzintervall)</w:t>
            </w:r>
          </w:p>
        </w:tc>
        <w:tc>
          <w:tcPr>
            <w:tcW w:w="1710" w:type="dxa"/>
            <w:shd w:val="clear" w:color="auto" w:fill="auto"/>
            <w:vAlign w:val="center"/>
          </w:tcPr>
          <w:p w14:paraId="2C976894" w14:textId="77777777" w:rsidR="00D92C61" w:rsidRPr="004F5FB4" w:rsidRDefault="00E56A72" w:rsidP="005D31CE">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Adalimumab/MTX</w:t>
            </w:r>
          </w:p>
          <w:p w14:paraId="4793CDA8" w14:textId="77777777" w:rsidR="00D92C61" w:rsidRPr="004F5FB4" w:rsidRDefault="00713CC8" w:rsidP="005D31CE">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n</w:t>
            </w:r>
            <w:r w:rsidR="00247EF8" w:rsidRPr="004F5FB4">
              <w:rPr>
                <w:rFonts w:ascii="Times New Roman" w:hAnsi="Times New Roman"/>
                <w:b/>
                <w:color w:val="000000"/>
              </w:rPr>
              <w:t> </w:t>
            </w:r>
            <w:r w:rsidRPr="004F5FB4">
              <w:rPr>
                <w:rFonts w:ascii="Times New Roman" w:hAnsi="Times New Roman"/>
                <w:b/>
                <w:color w:val="000000"/>
              </w:rPr>
              <w:t>=</w:t>
            </w:r>
            <w:r w:rsidR="00247EF8" w:rsidRPr="004F5FB4">
              <w:rPr>
                <w:rFonts w:ascii="Times New Roman" w:hAnsi="Times New Roman"/>
                <w:b/>
                <w:color w:val="000000"/>
              </w:rPr>
              <w:t> </w:t>
            </w:r>
            <w:r w:rsidRPr="004F5FB4">
              <w:rPr>
                <w:rFonts w:ascii="Times New Roman" w:hAnsi="Times New Roman"/>
                <w:b/>
                <w:color w:val="000000"/>
              </w:rPr>
              <w:t>268</w:t>
            </w:r>
          </w:p>
          <w:p w14:paraId="0C458259" w14:textId="77777777" w:rsidR="00713CC8" w:rsidRPr="004F5FB4" w:rsidRDefault="00713CC8" w:rsidP="005D31CE">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(95</w:t>
            </w:r>
            <w:r w:rsidR="007C1799" w:rsidRPr="004F5FB4">
              <w:rPr>
                <w:rFonts w:ascii="Times New Roman" w:hAnsi="Times New Roman"/>
                <w:b/>
                <w:color w:val="000000"/>
              </w:rPr>
              <w:t> </w:t>
            </w:r>
            <w:r w:rsidRPr="004F5FB4">
              <w:rPr>
                <w:rFonts w:ascii="Times New Roman" w:hAnsi="Times New Roman"/>
                <w:b/>
                <w:color w:val="000000"/>
              </w:rPr>
              <w:t>% Konfidenzintervall)</w:t>
            </w:r>
          </w:p>
        </w:tc>
        <w:tc>
          <w:tcPr>
            <w:tcW w:w="1085" w:type="dxa"/>
            <w:shd w:val="clear" w:color="auto" w:fill="auto"/>
            <w:vAlign w:val="center"/>
          </w:tcPr>
          <w:p w14:paraId="61A63B6A" w14:textId="77777777" w:rsidR="00713CC8" w:rsidRPr="004F5FB4" w:rsidRDefault="00713CC8" w:rsidP="005D31CE">
            <w:pPr>
              <w:pStyle w:val="TableParagraph"/>
              <w:keepNext/>
              <w:keepLines/>
              <w:widowControl/>
              <w:kinsoku w:val="0"/>
              <w:overflowPunct w:val="0"/>
              <w:spacing w:before="188"/>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a</w:t>
            </w:r>
          </w:p>
        </w:tc>
        <w:tc>
          <w:tcPr>
            <w:tcW w:w="1040" w:type="dxa"/>
            <w:shd w:val="clear" w:color="auto" w:fill="auto"/>
            <w:vAlign w:val="center"/>
          </w:tcPr>
          <w:p w14:paraId="41423C5B" w14:textId="77777777" w:rsidR="00713CC8" w:rsidRPr="004F5FB4" w:rsidRDefault="00713CC8" w:rsidP="005D31CE">
            <w:pPr>
              <w:pStyle w:val="TableParagraph"/>
              <w:keepNext/>
              <w:keepLines/>
              <w:widowControl/>
              <w:kinsoku w:val="0"/>
              <w:overflowPunct w:val="0"/>
              <w:spacing w:before="188"/>
              <w:ind w:left="2"/>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b</w:t>
            </w:r>
          </w:p>
        </w:tc>
        <w:tc>
          <w:tcPr>
            <w:tcW w:w="1040" w:type="dxa"/>
            <w:shd w:val="clear" w:color="auto" w:fill="auto"/>
            <w:vAlign w:val="center"/>
          </w:tcPr>
          <w:p w14:paraId="251249A6" w14:textId="77777777" w:rsidR="00713CC8" w:rsidRPr="004F5FB4" w:rsidRDefault="00713CC8" w:rsidP="005D31CE">
            <w:pPr>
              <w:pStyle w:val="TableParagraph"/>
              <w:keepNext/>
              <w:keepLines/>
              <w:widowControl/>
              <w:kinsoku w:val="0"/>
              <w:overflowPunct w:val="0"/>
              <w:spacing w:before="188"/>
              <w:ind w:left="31"/>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c</w:t>
            </w:r>
          </w:p>
        </w:tc>
      </w:tr>
      <w:tr w:rsidR="00713CC8" w:rsidRPr="004F5FB4" w14:paraId="0E4C79BD" w14:textId="77777777" w:rsidTr="00257CFF">
        <w:trPr>
          <w:trHeight w:hRule="exact" w:val="516"/>
        </w:trPr>
        <w:tc>
          <w:tcPr>
            <w:tcW w:w="1404" w:type="dxa"/>
            <w:shd w:val="clear" w:color="auto" w:fill="auto"/>
          </w:tcPr>
          <w:p w14:paraId="215BBA5E" w14:textId="77777777" w:rsidR="00713CC8" w:rsidRPr="004F5FB4" w:rsidRDefault="00713CC8" w:rsidP="005D31CE">
            <w:pPr>
              <w:pStyle w:val="TableParagraph"/>
              <w:keepNext/>
              <w:keepLines/>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Gesamt-Sharp-Score</w:t>
            </w:r>
          </w:p>
        </w:tc>
        <w:tc>
          <w:tcPr>
            <w:tcW w:w="1520" w:type="dxa"/>
            <w:shd w:val="clear" w:color="auto" w:fill="auto"/>
            <w:vAlign w:val="center"/>
          </w:tcPr>
          <w:p w14:paraId="57097A1E" w14:textId="77777777" w:rsidR="00713CC8" w:rsidRPr="004F5FB4" w:rsidRDefault="00713CC8" w:rsidP="005D31CE">
            <w:pPr>
              <w:pStyle w:val="TableParagraph"/>
              <w:keepNext/>
              <w:keepLines/>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5,7 (4,2 - 7,3)</w:t>
            </w:r>
          </w:p>
        </w:tc>
        <w:tc>
          <w:tcPr>
            <w:tcW w:w="1504" w:type="dxa"/>
            <w:shd w:val="clear" w:color="auto" w:fill="auto"/>
            <w:vAlign w:val="center"/>
          </w:tcPr>
          <w:p w14:paraId="219EC62A" w14:textId="77777777" w:rsidR="00713CC8" w:rsidRPr="004F5FB4" w:rsidRDefault="00713CC8" w:rsidP="005D31CE">
            <w:pPr>
              <w:pStyle w:val="TableParagraph"/>
              <w:keepNext/>
              <w:keepLines/>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3,0 (1,7 - 4,3)</w:t>
            </w:r>
          </w:p>
        </w:tc>
        <w:tc>
          <w:tcPr>
            <w:tcW w:w="1710" w:type="dxa"/>
            <w:shd w:val="clear" w:color="auto" w:fill="auto"/>
            <w:vAlign w:val="center"/>
          </w:tcPr>
          <w:p w14:paraId="6324F6FF" w14:textId="77777777" w:rsidR="00713CC8" w:rsidRPr="004F5FB4" w:rsidRDefault="00713CC8" w:rsidP="005D31CE">
            <w:pPr>
              <w:pStyle w:val="TableParagraph"/>
              <w:keepNext/>
              <w:keepLines/>
              <w:widowControl/>
              <w:kinsoku w:val="0"/>
              <w:overflowPunct w:val="0"/>
              <w:spacing w:before="6"/>
              <w:jc w:val="center"/>
              <w:rPr>
                <w:rFonts w:ascii="Times New Roman" w:hAnsi="Times New Roman"/>
                <w:color w:val="000000"/>
              </w:rPr>
            </w:pPr>
            <w:r w:rsidRPr="004F5FB4">
              <w:rPr>
                <w:rFonts w:ascii="Times New Roman" w:hAnsi="Times New Roman"/>
                <w:color w:val="000000"/>
              </w:rPr>
              <w:t>1,3 (0,5 - 2,1)</w:t>
            </w:r>
          </w:p>
        </w:tc>
        <w:tc>
          <w:tcPr>
            <w:tcW w:w="1085" w:type="dxa"/>
            <w:shd w:val="clear" w:color="auto" w:fill="auto"/>
            <w:vAlign w:val="center"/>
          </w:tcPr>
          <w:p w14:paraId="1C248841" w14:textId="77777777" w:rsidR="00713CC8" w:rsidRPr="004F5FB4" w:rsidRDefault="00713CC8" w:rsidP="005D31CE">
            <w:pPr>
              <w:pStyle w:val="TableParagraph"/>
              <w:keepNext/>
              <w:keepLines/>
              <w:widowControl/>
              <w:kinsoku w:val="0"/>
              <w:overflowPunct w:val="0"/>
              <w:spacing w:before="6"/>
              <w:jc w:val="center"/>
              <w:rPr>
                <w:rFonts w:ascii="Times New Roman" w:hAnsi="Times New Roman"/>
                <w:color w:val="000000"/>
              </w:rPr>
            </w:pPr>
            <w:r w:rsidRPr="004F5FB4">
              <w:rPr>
                <w:rFonts w:ascii="Times New Roman" w:hAnsi="Times New Roman"/>
                <w:color w:val="000000"/>
              </w:rPr>
              <w:t>&lt;</w:t>
            </w:r>
            <w:r w:rsidR="00247EF8" w:rsidRPr="004F5FB4">
              <w:rPr>
                <w:rFonts w:ascii="Times New Roman" w:hAnsi="Times New Roman"/>
                <w:color w:val="000000"/>
              </w:rPr>
              <w:t> </w:t>
            </w:r>
            <w:r w:rsidRPr="004F5FB4">
              <w:rPr>
                <w:rFonts w:ascii="Times New Roman" w:hAnsi="Times New Roman"/>
                <w:color w:val="000000"/>
              </w:rPr>
              <w:t>0,001</w:t>
            </w:r>
          </w:p>
        </w:tc>
        <w:tc>
          <w:tcPr>
            <w:tcW w:w="1040" w:type="dxa"/>
            <w:shd w:val="clear" w:color="auto" w:fill="auto"/>
            <w:vAlign w:val="center"/>
          </w:tcPr>
          <w:p w14:paraId="408BE381" w14:textId="77777777" w:rsidR="00713CC8" w:rsidRPr="004F5FB4" w:rsidRDefault="00713CC8" w:rsidP="005D31CE">
            <w:pPr>
              <w:pStyle w:val="TableParagraph"/>
              <w:keepNext/>
              <w:keepLines/>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0,0020</w:t>
            </w:r>
          </w:p>
        </w:tc>
        <w:tc>
          <w:tcPr>
            <w:tcW w:w="1040" w:type="dxa"/>
            <w:shd w:val="clear" w:color="auto" w:fill="auto"/>
            <w:vAlign w:val="center"/>
          </w:tcPr>
          <w:p w14:paraId="51A3A70D" w14:textId="77777777" w:rsidR="00713CC8" w:rsidRPr="004F5FB4" w:rsidRDefault="00713CC8" w:rsidP="005D31CE">
            <w:pPr>
              <w:pStyle w:val="TableParagraph"/>
              <w:keepNext/>
              <w:keepLines/>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&lt;</w:t>
            </w:r>
            <w:r w:rsidR="00247EF8" w:rsidRPr="004F5FB4">
              <w:rPr>
                <w:rFonts w:ascii="Times New Roman" w:hAnsi="Times New Roman"/>
                <w:color w:val="000000"/>
              </w:rPr>
              <w:t> </w:t>
            </w:r>
            <w:r w:rsidRPr="004F5FB4">
              <w:rPr>
                <w:rFonts w:ascii="Times New Roman" w:hAnsi="Times New Roman"/>
                <w:color w:val="000000"/>
              </w:rPr>
              <w:t>0,001</w:t>
            </w:r>
          </w:p>
        </w:tc>
      </w:tr>
      <w:tr w:rsidR="00713CC8" w:rsidRPr="004F5FB4" w14:paraId="34997E20" w14:textId="77777777" w:rsidTr="003533D2">
        <w:trPr>
          <w:trHeight w:hRule="exact" w:val="599"/>
        </w:trPr>
        <w:tc>
          <w:tcPr>
            <w:tcW w:w="1404" w:type="dxa"/>
            <w:shd w:val="clear" w:color="auto" w:fill="auto"/>
          </w:tcPr>
          <w:p w14:paraId="26E6FD3C" w14:textId="77777777" w:rsidR="00713CC8" w:rsidRPr="004F5FB4" w:rsidRDefault="00713CC8" w:rsidP="005D31CE">
            <w:pPr>
              <w:pStyle w:val="TableParagraph"/>
              <w:keepNext/>
              <w:keepLines/>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Erosions-Score</w:t>
            </w:r>
          </w:p>
        </w:tc>
        <w:tc>
          <w:tcPr>
            <w:tcW w:w="1520" w:type="dxa"/>
            <w:shd w:val="clear" w:color="auto" w:fill="auto"/>
            <w:vAlign w:val="center"/>
          </w:tcPr>
          <w:p w14:paraId="068DBBC5" w14:textId="77777777" w:rsidR="00713CC8" w:rsidRPr="004F5FB4" w:rsidRDefault="00713CC8" w:rsidP="005D31CE">
            <w:pPr>
              <w:pStyle w:val="TableParagraph"/>
              <w:keepNext/>
              <w:keepLines/>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3,7 (2,7 - 4,7)</w:t>
            </w:r>
          </w:p>
        </w:tc>
        <w:tc>
          <w:tcPr>
            <w:tcW w:w="1504" w:type="dxa"/>
            <w:shd w:val="clear" w:color="auto" w:fill="auto"/>
            <w:vAlign w:val="center"/>
          </w:tcPr>
          <w:p w14:paraId="0669274C" w14:textId="77777777" w:rsidR="00713CC8" w:rsidRPr="004F5FB4" w:rsidRDefault="00713CC8" w:rsidP="005D31CE">
            <w:pPr>
              <w:pStyle w:val="TableParagraph"/>
              <w:keepNext/>
              <w:keepLines/>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1,7 (1,0 - 2,4)</w:t>
            </w:r>
          </w:p>
        </w:tc>
        <w:tc>
          <w:tcPr>
            <w:tcW w:w="1710" w:type="dxa"/>
            <w:shd w:val="clear" w:color="auto" w:fill="auto"/>
            <w:vAlign w:val="center"/>
          </w:tcPr>
          <w:p w14:paraId="0B1540F7" w14:textId="77777777" w:rsidR="00713CC8" w:rsidRPr="004F5FB4" w:rsidRDefault="00713CC8" w:rsidP="005D31CE">
            <w:pPr>
              <w:pStyle w:val="TableParagraph"/>
              <w:keepNext/>
              <w:keepLines/>
              <w:widowControl/>
              <w:kinsoku w:val="0"/>
              <w:overflowPunct w:val="0"/>
              <w:spacing w:before="6"/>
              <w:jc w:val="center"/>
              <w:rPr>
                <w:rFonts w:ascii="Times New Roman" w:hAnsi="Times New Roman"/>
                <w:color w:val="000000"/>
              </w:rPr>
            </w:pPr>
            <w:r w:rsidRPr="004F5FB4">
              <w:rPr>
                <w:rFonts w:ascii="Times New Roman" w:hAnsi="Times New Roman"/>
                <w:color w:val="000000"/>
              </w:rPr>
              <w:t>0,8 (0,4 - 1,2)</w:t>
            </w:r>
          </w:p>
        </w:tc>
        <w:tc>
          <w:tcPr>
            <w:tcW w:w="1085" w:type="dxa"/>
            <w:shd w:val="clear" w:color="auto" w:fill="auto"/>
            <w:vAlign w:val="center"/>
          </w:tcPr>
          <w:p w14:paraId="4969F99B" w14:textId="77777777" w:rsidR="00713CC8" w:rsidRPr="004F5FB4" w:rsidRDefault="00713CC8" w:rsidP="005D31CE">
            <w:pPr>
              <w:pStyle w:val="TableParagraph"/>
              <w:keepNext/>
              <w:keepLines/>
              <w:widowControl/>
              <w:kinsoku w:val="0"/>
              <w:overflowPunct w:val="0"/>
              <w:spacing w:before="6"/>
              <w:jc w:val="center"/>
              <w:rPr>
                <w:rFonts w:ascii="Times New Roman" w:hAnsi="Times New Roman"/>
                <w:color w:val="000000"/>
              </w:rPr>
            </w:pPr>
            <w:r w:rsidRPr="004F5FB4">
              <w:rPr>
                <w:rFonts w:ascii="Times New Roman" w:hAnsi="Times New Roman"/>
                <w:color w:val="000000"/>
              </w:rPr>
              <w:t>&lt;</w:t>
            </w:r>
            <w:r w:rsidR="00247EF8" w:rsidRPr="004F5FB4">
              <w:rPr>
                <w:rFonts w:ascii="Times New Roman" w:hAnsi="Times New Roman"/>
                <w:color w:val="000000"/>
              </w:rPr>
              <w:t> </w:t>
            </w:r>
            <w:r w:rsidRPr="004F5FB4">
              <w:rPr>
                <w:rFonts w:ascii="Times New Roman" w:hAnsi="Times New Roman"/>
                <w:color w:val="000000"/>
              </w:rPr>
              <w:t>0,001</w:t>
            </w:r>
          </w:p>
        </w:tc>
        <w:tc>
          <w:tcPr>
            <w:tcW w:w="1040" w:type="dxa"/>
            <w:shd w:val="clear" w:color="auto" w:fill="auto"/>
            <w:vAlign w:val="center"/>
          </w:tcPr>
          <w:p w14:paraId="019979CB" w14:textId="77777777" w:rsidR="00713CC8" w:rsidRPr="004F5FB4" w:rsidRDefault="00713CC8" w:rsidP="005D31CE">
            <w:pPr>
              <w:pStyle w:val="TableParagraph"/>
              <w:keepNext/>
              <w:keepLines/>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0,0082</w:t>
            </w:r>
          </w:p>
        </w:tc>
        <w:tc>
          <w:tcPr>
            <w:tcW w:w="1040" w:type="dxa"/>
            <w:shd w:val="clear" w:color="auto" w:fill="auto"/>
            <w:vAlign w:val="center"/>
          </w:tcPr>
          <w:p w14:paraId="77E202FC" w14:textId="77777777" w:rsidR="00713CC8" w:rsidRPr="004F5FB4" w:rsidRDefault="00713CC8" w:rsidP="005D31CE">
            <w:pPr>
              <w:pStyle w:val="TableParagraph"/>
              <w:keepNext/>
              <w:keepLines/>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&lt;</w:t>
            </w:r>
            <w:r w:rsidR="00247EF8" w:rsidRPr="004F5FB4">
              <w:rPr>
                <w:rFonts w:ascii="Times New Roman" w:hAnsi="Times New Roman"/>
                <w:color w:val="000000"/>
              </w:rPr>
              <w:t> </w:t>
            </w:r>
            <w:r w:rsidRPr="004F5FB4">
              <w:rPr>
                <w:rFonts w:ascii="Times New Roman" w:hAnsi="Times New Roman"/>
                <w:color w:val="000000"/>
              </w:rPr>
              <w:t>0,001</w:t>
            </w:r>
          </w:p>
        </w:tc>
      </w:tr>
      <w:tr w:rsidR="00713CC8" w:rsidRPr="004F5FB4" w14:paraId="1DAB5D53" w14:textId="77777777" w:rsidTr="006A2129">
        <w:trPr>
          <w:trHeight w:hRule="exact" w:val="263"/>
        </w:trPr>
        <w:tc>
          <w:tcPr>
            <w:tcW w:w="1404" w:type="dxa"/>
            <w:tcBorders>
              <w:bottom w:val="single" w:sz="4" w:space="0" w:color="auto"/>
            </w:tcBorders>
            <w:shd w:val="clear" w:color="auto" w:fill="auto"/>
          </w:tcPr>
          <w:p w14:paraId="7F886B50" w14:textId="77777777" w:rsidR="00713CC8" w:rsidRPr="004F5FB4" w:rsidRDefault="00713CC8" w:rsidP="005D31CE">
            <w:pPr>
              <w:pStyle w:val="TableParagraph"/>
              <w:keepNext/>
              <w:keepLines/>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JSN Score</w:t>
            </w:r>
          </w:p>
        </w:tc>
        <w:tc>
          <w:tcPr>
            <w:tcW w:w="1520" w:type="dxa"/>
            <w:tcBorders>
              <w:bottom w:val="single" w:sz="4" w:space="0" w:color="auto"/>
            </w:tcBorders>
            <w:shd w:val="clear" w:color="auto" w:fill="auto"/>
            <w:vAlign w:val="center"/>
          </w:tcPr>
          <w:p w14:paraId="2F89C62A" w14:textId="77777777" w:rsidR="00713CC8" w:rsidRPr="004F5FB4" w:rsidRDefault="00713CC8" w:rsidP="005D31CE">
            <w:pPr>
              <w:pStyle w:val="TableParagraph"/>
              <w:keepNext/>
              <w:keepLines/>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2,0 (1,2 - 2,8)</w:t>
            </w:r>
          </w:p>
        </w:tc>
        <w:tc>
          <w:tcPr>
            <w:tcW w:w="1504" w:type="dxa"/>
            <w:tcBorders>
              <w:bottom w:val="single" w:sz="4" w:space="0" w:color="auto"/>
            </w:tcBorders>
            <w:shd w:val="clear" w:color="auto" w:fill="auto"/>
            <w:vAlign w:val="center"/>
          </w:tcPr>
          <w:p w14:paraId="5383F486" w14:textId="77777777" w:rsidR="00713CC8" w:rsidRPr="004F5FB4" w:rsidRDefault="00713CC8" w:rsidP="005D31CE">
            <w:pPr>
              <w:pStyle w:val="TableParagraph"/>
              <w:keepNext/>
              <w:keepLines/>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1,3 (0,5 - 2,1)</w:t>
            </w:r>
          </w:p>
        </w:tc>
        <w:tc>
          <w:tcPr>
            <w:tcW w:w="1710" w:type="dxa"/>
            <w:tcBorders>
              <w:bottom w:val="single" w:sz="4" w:space="0" w:color="auto"/>
            </w:tcBorders>
            <w:shd w:val="clear" w:color="auto" w:fill="auto"/>
            <w:vAlign w:val="center"/>
          </w:tcPr>
          <w:p w14:paraId="0848AC86" w14:textId="77777777" w:rsidR="00713CC8" w:rsidRPr="004F5FB4" w:rsidRDefault="00713CC8" w:rsidP="005D31CE">
            <w:pPr>
              <w:pStyle w:val="TableParagraph"/>
              <w:keepNext/>
              <w:keepLines/>
              <w:widowControl/>
              <w:kinsoku w:val="0"/>
              <w:overflowPunct w:val="0"/>
              <w:spacing w:before="6"/>
              <w:jc w:val="center"/>
              <w:rPr>
                <w:rFonts w:ascii="Times New Roman" w:hAnsi="Times New Roman"/>
                <w:color w:val="000000"/>
              </w:rPr>
            </w:pPr>
            <w:r w:rsidRPr="004F5FB4">
              <w:rPr>
                <w:rFonts w:ascii="Times New Roman" w:hAnsi="Times New Roman"/>
                <w:color w:val="000000"/>
              </w:rPr>
              <w:t>0,5 (0 - 1,0)</w:t>
            </w:r>
          </w:p>
        </w:tc>
        <w:tc>
          <w:tcPr>
            <w:tcW w:w="1085" w:type="dxa"/>
            <w:tcBorders>
              <w:bottom w:val="single" w:sz="4" w:space="0" w:color="auto"/>
            </w:tcBorders>
            <w:shd w:val="clear" w:color="auto" w:fill="auto"/>
            <w:vAlign w:val="center"/>
          </w:tcPr>
          <w:p w14:paraId="670F3D1C" w14:textId="77777777" w:rsidR="00713CC8" w:rsidRPr="004F5FB4" w:rsidRDefault="00713CC8" w:rsidP="005D31CE">
            <w:pPr>
              <w:pStyle w:val="TableParagraph"/>
              <w:keepNext/>
              <w:keepLines/>
              <w:widowControl/>
              <w:kinsoku w:val="0"/>
              <w:overflowPunct w:val="0"/>
              <w:spacing w:before="6"/>
              <w:jc w:val="center"/>
              <w:rPr>
                <w:rFonts w:ascii="Times New Roman" w:hAnsi="Times New Roman"/>
                <w:color w:val="000000"/>
              </w:rPr>
            </w:pPr>
            <w:r w:rsidRPr="004F5FB4">
              <w:rPr>
                <w:rFonts w:ascii="Times New Roman" w:hAnsi="Times New Roman"/>
                <w:color w:val="000000"/>
              </w:rPr>
              <w:t>&lt;</w:t>
            </w:r>
            <w:r w:rsidR="00247EF8" w:rsidRPr="004F5FB4">
              <w:rPr>
                <w:rFonts w:ascii="Times New Roman" w:hAnsi="Times New Roman"/>
                <w:color w:val="000000"/>
              </w:rPr>
              <w:t> </w:t>
            </w:r>
            <w:r w:rsidRPr="004F5FB4">
              <w:rPr>
                <w:rFonts w:ascii="Times New Roman" w:hAnsi="Times New Roman"/>
                <w:color w:val="000000"/>
              </w:rPr>
              <w:t>0,001</w:t>
            </w:r>
          </w:p>
        </w:tc>
        <w:tc>
          <w:tcPr>
            <w:tcW w:w="1040" w:type="dxa"/>
            <w:tcBorders>
              <w:bottom w:val="single" w:sz="4" w:space="0" w:color="auto"/>
            </w:tcBorders>
            <w:shd w:val="clear" w:color="auto" w:fill="auto"/>
            <w:vAlign w:val="center"/>
          </w:tcPr>
          <w:p w14:paraId="4EA8505C" w14:textId="77777777" w:rsidR="00713CC8" w:rsidRPr="004F5FB4" w:rsidRDefault="00713CC8" w:rsidP="005D31CE">
            <w:pPr>
              <w:pStyle w:val="TableParagraph"/>
              <w:keepNext/>
              <w:keepLines/>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0,0037</w:t>
            </w:r>
          </w:p>
        </w:tc>
        <w:tc>
          <w:tcPr>
            <w:tcW w:w="1040" w:type="dxa"/>
            <w:tcBorders>
              <w:bottom w:val="single" w:sz="4" w:space="0" w:color="auto"/>
            </w:tcBorders>
            <w:shd w:val="clear" w:color="auto" w:fill="auto"/>
            <w:vAlign w:val="center"/>
          </w:tcPr>
          <w:p w14:paraId="2A1FB68F" w14:textId="77777777" w:rsidR="00713CC8" w:rsidRPr="004F5FB4" w:rsidRDefault="00713CC8" w:rsidP="005D31CE">
            <w:pPr>
              <w:pStyle w:val="TableParagraph"/>
              <w:keepNext/>
              <w:keepLines/>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0,151</w:t>
            </w:r>
          </w:p>
        </w:tc>
      </w:tr>
      <w:tr w:rsidR="006A2129" w:rsidRPr="004F5FB4" w14:paraId="70779DEA" w14:textId="77777777" w:rsidTr="006A2129">
        <w:tc>
          <w:tcPr>
            <w:tcW w:w="9303" w:type="dxa"/>
            <w:gridSpan w:val="7"/>
            <w:tcBorders>
              <w:left w:val="nil"/>
              <w:bottom w:val="nil"/>
              <w:right w:val="nil"/>
            </w:tcBorders>
            <w:shd w:val="clear" w:color="auto" w:fill="auto"/>
          </w:tcPr>
          <w:p w14:paraId="5227F6AB" w14:textId="77777777" w:rsidR="006A2129" w:rsidRPr="00206AEA" w:rsidRDefault="006A2129" w:rsidP="005D31CE">
            <w:pPr>
              <w:pStyle w:val="BodyText"/>
              <w:keepNext/>
              <w:keepLines/>
              <w:widowControl/>
              <w:kinsoku w:val="0"/>
              <w:overflowPunct w:val="0"/>
              <w:ind w:left="274" w:hanging="274"/>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Der p-Wert resultiert aus dem paarweisen Vergleich der Methotrexat-Monotherapie und der Adalimumab/Methotrexat-Kombinationstherapie unter Anwendung des Mann-Whitney-U-Tests.</w:t>
            </w:r>
          </w:p>
          <w:p w14:paraId="622EDCD4" w14:textId="77777777" w:rsidR="006A2129" w:rsidRPr="00206AEA" w:rsidRDefault="006A2129" w:rsidP="005D31CE">
            <w:pPr>
              <w:pStyle w:val="BodyText"/>
              <w:keepNext/>
              <w:keepLines/>
              <w:widowControl/>
              <w:kinsoku w:val="0"/>
              <w:overflowPunct w:val="0"/>
              <w:ind w:left="274" w:hanging="274"/>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Der p-Wert resultiert aus dem paarweisen Vergleich der Adalimumab-Monotherapie und der Adalimumab/Methotrexat-Kombinationstherapie unter Anwendung des Mann-Whitney-U-Tests.</w:t>
            </w:r>
          </w:p>
          <w:p w14:paraId="3ADAA1A2" w14:textId="77777777" w:rsidR="006A2129" w:rsidRPr="00206AEA" w:rsidRDefault="006A2129" w:rsidP="005D31CE">
            <w:pPr>
              <w:pStyle w:val="BodyText"/>
              <w:keepNext/>
              <w:keepLines/>
              <w:widowControl/>
              <w:kinsoku w:val="0"/>
              <w:overflowPunct w:val="0"/>
              <w:ind w:left="274" w:hanging="274"/>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 Der p-Wert resultiert aus dem paarweisen Vergleich der Adalimumab-Monotherapie und der Methotrexat-Monotherapie unter Anwendung des Mann-Whitney-U-Tests.</w:t>
            </w:r>
          </w:p>
        </w:tc>
      </w:tr>
    </w:tbl>
    <w:p w14:paraId="37F20096" w14:textId="77777777" w:rsidR="00D2772B" w:rsidRPr="004F5FB4" w:rsidRDefault="00D2772B" w:rsidP="00387D0C">
      <w:pPr>
        <w:rPr>
          <w:color w:val="000000"/>
        </w:rPr>
      </w:pPr>
    </w:p>
    <w:p w14:paraId="5A0D4798" w14:textId="77777777" w:rsidR="00713CC8" w:rsidRPr="004F5FB4" w:rsidRDefault="00713CC8" w:rsidP="00387D0C">
      <w:pPr>
        <w:pStyle w:val="BodyText"/>
        <w:widowControl/>
        <w:kinsoku w:val="0"/>
        <w:overflowPunct w:val="0"/>
        <w:ind w:left="0"/>
        <w:rPr>
          <w:color w:val="000000"/>
        </w:rPr>
      </w:pPr>
      <w:r w:rsidRPr="004F5FB4">
        <w:rPr>
          <w:color w:val="000000"/>
        </w:rPr>
        <w:t>Der prozentuale Anteil der Patienten ohne</w:t>
      </w:r>
      <w:r w:rsidR="008359B0" w:rsidRPr="004F5FB4">
        <w:rPr>
          <w:color w:val="000000"/>
        </w:rPr>
        <w:t xml:space="preserve"> radiologische</w:t>
      </w:r>
      <w:r w:rsidRPr="004F5FB4">
        <w:rPr>
          <w:color w:val="000000"/>
        </w:rPr>
        <w:t xml:space="preserve"> Progression (Veränderung des modifizierten Gesamt-Sharp-Scores gegenüber dem Ausgangswert ≤</w:t>
      </w:r>
      <w:r w:rsidR="007C1799" w:rsidRPr="004F5FB4">
        <w:rPr>
          <w:color w:val="000000"/>
        </w:rPr>
        <w:t> </w:t>
      </w:r>
      <w:r w:rsidRPr="004F5FB4">
        <w:rPr>
          <w:color w:val="000000"/>
        </w:rPr>
        <w:t>0,5) war nach 52 bzw. 104</w:t>
      </w:r>
      <w:r w:rsidR="003A10ED" w:rsidRPr="004F5FB4">
        <w:rPr>
          <w:color w:val="000000"/>
        </w:rPr>
        <w:t> </w:t>
      </w:r>
      <w:r w:rsidRPr="004F5FB4">
        <w:rPr>
          <w:color w:val="000000"/>
        </w:rPr>
        <w:t xml:space="preserve">Behandlungswochen unter der Kombinationstherapie mit Adalimumab und Methotrexat (63,8 % </w:t>
      </w:r>
      <w:r w:rsidRPr="004F5FB4">
        <w:rPr>
          <w:color w:val="000000"/>
        </w:rPr>
        <w:lastRenderedPageBreak/>
        <w:t>bzw. 61,2 %) signifikant höher als unter der Methotrexat-Monotherapie (37,4</w:t>
      </w:r>
      <w:r w:rsidR="007C1799" w:rsidRPr="004F5FB4">
        <w:rPr>
          <w:color w:val="000000"/>
        </w:rPr>
        <w:t> </w:t>
      </w:r>
      <w:r w:rsidRPr="004F5FB4">
        <w:rPr>
          <w:color w:val="000000"/>
        </w:rPr>
        <w:t>% bzw. 33,5</w:t>
      </w:r>
      <w:r w:rsidR="007C1799" w:rsidRPr="004F5FB4">
        <w:rPr>
          <w:color w:val="000000"/>
        </w:rPr>
        <w:t> </w:t>
      </w:r>
      <w:r w:rsidRPr="004F5FB4">
        <w:rPr>
          <w:color w:val="000000"/>
        </w:rPr>
        <w:t>%; p</w:t>
      </w:r>
      <w:r w:rsidR="007C1799" w:rsidRPr="004F5FB4">
        <w:rPr>
          <w:color w:val="000000"/>
        </w:rPr>
        <w:t> </w:t>
      </w:r>
      <w:r w:rsidRPr="004F5FB4">
        <w:rPr>
          <w:color w:val="000000"/>
        </w:rPr>
        <w:t>&lt;</w:t>
      </w:r>
      <w:r w:rsidR="007C1799" w:rsidRPr="004F5FB4">
        <w:rPr>
          <w:color w:val="000000"/>
        </w:rPr>
        <w:t> </w:t>
      </w:r>
      <w:r w:rsidRPr="004F5FB4">
        <w:rPr>
          <w:color w:val="000000"/>
        </w:rPr>
        <w:t>0,001) und der Adalimumab-Monotherapie (50,7 %; p</w:t>
      </w:r>
      <w:r w:rsidR="00247EF8" w:rsidRPr="004F5FB4">
        <w:rPr>
          <w:color w:val="000000"/>
        </w:rPr>
        <w:t> </w:t>
      </w:r>
      <w:r w:rsidRPr="004F5FB4">
        <w:rPr>
          <w:color w:val="000000"/>
        </w:rPr>
        <w:t>&lt;</w:t>
      </w:r>
      <w:r w:rsidR="007C1799" w:rsidRPr="004F5FB4">
        <w:rPr>
          <w:color w:val="000000"/>
        </w:rPr>
        <w:t> </w:t>
      </w:r>
      <w:r w:rsidRPr="004F5FB4">
        <w:rPr>
          <w:color w:val="000000"/>
        </w:rPr>
        <w:t>0,002 bzw. 44,5 %; p</w:t>
      </w:r>
      <w:r w:rsidR="007C1799" w:rsidRPr="004F5FB4">
        <w:rPr>
          <w:color w:val="000000"/>
        </w:rPr>
        <w:t> </w:t>
      </w:r>
      <w:r w:rsidRPr="004F5FB4">
        <w:rPr>
          <w:color w:val="000000"/>
        </w:rPr>
        <w:t>&lt;</w:t>
      </w:r>
      <w:r w:rsidR="007C1799" w:rsidRPr="004F5FB4">
        <w:rPr>
          <w:color w:val="000000"/>
        </w:rPr>
        <w:t> </w:t>
      </w:r>
      <w:r w:rsidRPr="004F5FB4">
        <w:rPr>
          <w:color w:val="000000"/>
        </w:rPr>
        <w:t>0,001).</w:t>
      </w:r>
    </w:p>
    <w:p w14:paraId="4A806889" w14:textId="77777777" w:rsidR="00713CC8" w:rsidRPr="004F5FB4" w:rsidRDefault="00713CC8" w:rsidP="00387D0C">
      <w:pPr>
        <w:pStyle w:val="BodyText"/>
        <w:widowControl/>
        <w:kinsoku w:val="0"/>
        <w:overflowPunct w:val="0"/>
        <w:ind w:left="0"/>
        <w:rPr>
          <w:color w:val="000000"/>
        </w:rPr>
      </w:pPr>
    </w:p>
    <w:p w14:paraId="3B373333" w14:textId="77777777" w:rsidR="00713CC8" w:rsidRPr="004F5FB4" w:rsidRDefault="00713CC8" w:rsidP="00387D0C">
      <w:pPr>
        <w:pStyle w:val="BodyText"/>
        <w:widowControl/>
        <w:kinsoku w:val="0"/>
        <w:overflowPunct w:val="0"/>
        <w:ind w:left="0"/>
        <w:rPr>
          <w:color w:val="000000"/>
        </w:rPr>
      </w:pPr>
      <w:r w:rsidRPr="004F5FB4">
        <w:rPr>
          <w:color w:val="000000"/>
        </w:rPr>
        <w:t xml:space="preserve">In der offenen </w:t>
      </w:r>
      <w:r w:rsidR="008359B0" w:rsidRPr="004F5FB4">
        <w:rPr>
          <w:color w:val="000000"/>
        </w:rPr>
        <w:t>Fortsetz</w:t>
      </w:r>
      <w:r w:rsidRPr="004F5FB4">
        <w:rPr>
          <w:color w:val="000000"/>
        </w:rPr>
        <w:t>ungsphase der RA-Studie</w:t>
      </w:r>
      <w:r w:rsidR="003A10ED" w:rsidRPr="004F5FB4">
        <w:rPr>
          <w:color w:val="000000"/>
        </w:rPr>
        <w:t> </w:t>
      </w:r>
      <w:r w:rsidRPr="004F5FB4">
        <w:rPr>
          <w:color w:val="000000"/>
        </w:rPr>
        <w:t>V betrug die mittlere Veränderung gegenüber Baseline nach 10</w:t>
      </w:r>
      <w:r w:rsidR="003A10ED" w:rsidRPr="004F5FB4">
        <w:rPr>
          <w:color w:val="000000"/>
        </w:rPr>
        <w:t> </w:t>
      </w:r>
      <w:r w:rsidRPr="004F5FB4">
        <w:rPr>
          <w:color w:val="000000"/>
        </w:rPr>
        <w:t>Jahren beim modifizierten Gesamt-Sharp-Score 10,8 bei Patienten, die ursprünglich in die Gruppe unter Methotrexat-Monotherapie randomisiert worden waren, 9,2 bei Patienten unter Adalimumab-Monotherapie und 3,9 bei Patienten unter Kombinationstherapie aus Adalimumab und Methotrexat. Die entsprechenden Anteile der Patienten ohne röntgenologisch nachweisbare Progression waren 31,3 %, 23,7 % und 36,7 %.</w:t>
      </w:r>
    </w:p>
    <w:p w14:paraId="4FB406CA" w14:textId="77777777" w:rsidR="00713CC8" w:rsidRPr="004F5FB4" w:rsidRDefault="00713CC8" w:rsidP="00387D0C">
      <w:pPr>
        <w:pStyle w:val="BodyText"/>
        <w:widowControl/>
        <w:kinsoku w:val="0"/>
        <w:overflowPunct w:val="0"/>
        <w:ind w:left="0"/>
        <w:rPr>
          <w:color w:val="000000"/>
        </w:rPr>
      </w:pPr>
    </w:p>
    <w:p w14:paraId="4875565D" w14:textId="77777777" w:rsidR="00713CC8" w:rsidRPr="004F5FB4" w:rsidRDefault="00713CC8" w:rsidP="00ED34EF">
      <w:pPr>
        <w:pStyle w:val="BodyText"/>
        <w:keepNext/>
        <w:widowControl/>
        <w:kinsoku w:val="0"/>
        <w:overflowPunct w:val="0"/>
        <w:ind w:left="0"/>
        <w:rPr>
          <w:color w:val="000000"/>
        </w:rPr>
      </w:pPr>
      <w:r w:rsidRPr="004F5FB4">
        <w:rPr>
          <w:i/>
          <w:iCs/>
          <w:color w:val="000000"/>
          <w:u w:val="single"/>
        </w:rPr>
        <w:t>Lebensqualität und körperliche Funktionsfähigkeit</w:t>
      </w:r>
    </w:p>
    <w:p w14:paraId="587F059A" w14:textId="77777777" w:rsidR="00713CC8" w:rsidRPr="004F5FB4" w:rsidRDefault="00713CC8" w:rsidP="00ED34EF">
      <w:pPr>
        <w:pStyle w:val="BodyText"/>
        <w:keepNext/>
        <w:widowControl/>
        <w:kinsoku w:val="0"/>
        <w:overflowPunct w:val="0"/>
        <w:ind w:left="0"/>
        <w:rPr>
          <w:i/>
          <w:iCs/>
          <w:color w:val="000000"/>
        </w:rPr>
      </w:pPr>
    </w:p>
    <w:p w14:paraId="1C06BA4B" w14:textId="77777777" w:rsidR="00713CC8" w:rsidRPr="004F5FB4" w:rsidRDefault="00713CC8" w:rsidP="00387D0C">
      <w:pPr>
        <w:pStyle w:val="BodyText"/>
        <w:widowControl/>
        <w:kinsoku w:val="0"/>
        <w:overflowPunct w:val="0"/>
        <w:ind w:left="0"/>
        <w:rPr>
          <w:color w:val="000000"/>
        </w:rPr>
      </w:pPr>
      <w:r w:rsidRPr="004F5FB4">
        <w:rPr>
          <w:color w:val="000000"/>
        </w:rPr>
        <w:t>In den vier ursprünglichen, gut kontrollierten Studien wurden die gesundheitsbezogene Lebensqualität und die körperliche Funktionsfähigkeit anhand des Index zur körperlichen Funktionseinschränkung (Health Assessment Questionnaire, HAQ) bewertet. In der RA-Studie</w:t>
      </w:r>
      <w:r w:rsidR="00D85E07" w:rsidRPr="004F5FB4">
        <w:rPr>
          <w:color w:val="000000"/>
        </w:rPr>
        <w:t> </w:t>
      </w:r>
      <w:r w:rsidRPr="004F5FB4">
        <w:rPr>
          <w:color w:val="000000"/>
        </w:rPr>
        <w:t>III bildete die</w:t>
      </w:r>
      <w:r w:rsidR="003C3DF2" w:rsidRPr="004F5FB4">
        <w:rPr>
          <w:color w:val="000000"/>
        </w:rPr>
        <w:t xml:space="preserve"> gesundheitsbezogene Lebensqualität</w:t>
      </w:r>
      <w:r w:rsidRPr="004F5FB4">
        <w:rPr>
          <w:color w:val="000000"/>
        </w:rPr>
        <w:t xml:space="preserve"> nach 52</w:t>
      </w:r>
      <w:r w:rsidR="00D85E07" w:rsidRPr="004F5FB4">
        <w:rPr>
          <w:color w:val="000000"/>
        </w:rPr>
        <w:t> </w:t>
      </w:r>
      <w:r w:rsidRPr="004F5FB4">
        <w:rPr>
          <w:color w:val="000000"/>
        </w:rPr>
        <w:t>Wochen einen vor Studienbeginn festgelegten, primären Endpunkt. Vom Studienbeginn bis Monat</w:t>
      </w:r>
      <w:r w:rsidR="00D85E07" w:rsidRPr="004F5FB4">
        <w:rPr>
          <w:color w:val="000000"/>
        </w:rPr>
        <w:t> </w:t>
      </w:r>
      <w:r w:rsidRPr="004F5FB4">
        <w:rPr>
          <w:color w:val="000000"/>
        </w:rPr>
        <w:t>6 zeigte sich in allen vier Studien und bei allen Dosen/</w:t>
      </w:r>
      <w:r w:rsidR="00D85E07" w:rsidRPr="004F5FB4">
        <w:rPr>
          <w:color w:val="000000"/>
        </w:rPr>
        <w:t xml:space="preserve"> </w:t>
      </w:r>
      <w:r w:rsidRPr="004F5FB4">
        <w:rPr>
          <w:color w:val="000000"/>
        </w:rPr>
        <w:t>Behandlungsschemen von Adalimumab eine im Vergleich zu Placebo statistisch signifikant größere Verbesserung der körperlichen Funktionseinschränkung (HAQ). In der RA-Studie III wurde nach 52</w:t>
      </w:r>
      <w:r w:rsidR="00D85E07" w:rsidRPr="004F5FB4">
        <w:rPr>
          <w:color w:val="000000"/>
        </w:rPr>
        <w:t> </w:t>
      </w:r>
      <w:r w:rsidRPr="004F5FB4">
        <w:rPr>
          <w:color w:val="000000"/>
        </w:rPr>
        <w:t>Wochen dasselbe beobachtet. Die in den vier Studien für alle Dosen/</w:t>
      </w:r>
      <w:r w:rsidR="00D85E07" w:rsidRPr="004F5FB4">
        <w:rPr>
          <w:color w:val="000000"/>
        </w:rPr>
        <w:t xml:space="preserve"> </w:t>
      </w:r>
      <w:r w:rsidRPr="004F5FB4">
        <w:rPr>
          <w:color w:val="000000"/>
        </w:rPr>
        <w:t>Behandlungsschemen gefundenen Ergebnisse des Gesundheitsfragebogens Short Form Health Survey (SF 36) unterstützen diese Befunde. Statistisch signifikante Werte wurden unter Behandlung mit 40</w:t>
      </w:r>
      <w:r w:rsidR="00D85E07" w:rsidRPr="004F5FB4">
        <w:rPr>
          <w:color w:val="000000"/>
        </w:rPr>
        <w:t> </w:t>
      </w:r>
      <w:r w:rsidRPr="004F5FB4">
        <w:rPr>
          <w:color w:val="000000"/>
        </w:rPr>
        <w:t>mg Adalimumab jede zweite Woche für die körperliche Funktionsfähigkeit (Physical Component Summary, PCS) sowie für den Bereich Schmerz und Vitalität (Pain and Vitality Scores) gefunden. Eine statistisch signifikante Verringerung der Abgeschlagenheit, gemessen anhand des Functional-Assessment-of-Chronic-Illness-Therapy</w:t>
      </w:r>
      <w:r w:rsidR="009F2EB6" w:rsidRPr="004F5FB4">
        <w:rPr>
          <w:color w:val="000000"/>
        </w:rPr>
        <w:t> </w:t>
      </w:r>
      <w:r w:rsidRPr="004F5FB4">
        <w:rPr>
          <w:color w:val="000000"/>
        </w:rPr>
        <w:t>(FACIT)-Scores, wurde in allen drei Studien beobachtet, in denen dieser Punkt bewertet wurde (RA-Studien I, III, IV).</w:t>
      </w:r>
    </w:p>
    <w:p w14:paraId="49257E73" w14:textId="77777777" w:rsidR="00713CC8" w:rsidRPr="004F5FB4" w:rsidRDefault="00713CC8" w:rsidP="00387D0C">
      <w:pPr>
        <w:pStyle w:val="BodyText"/>
        <w:widowControl/>
        <w:kinsoku w:val="0"/>
        <w:overflowPunct w:val="0"/>
        <w:ind w:left="0"/>
        <w:rPr>
          <w:color w:val="000000"/>
        </w:rPr>
      </w:pPr>
    </w:p>
    <w:p w14:paraId="3E70EC40" w14:textId="77777777" w:rsidR="00713CC8" w:rsidRPr="004F5FB4" w:rsidRDefault="00713CC8" w:rsidP="00387D0C">
      <w:pPr>
        <w:pStyle w:val="BodyText"/>
        <w:widowControl/>
        <w:kinsoku w:val="0"/>
        <w:overflowPunct w:val="0"/>
        <w:ind w:left="0"/>
        <w:rPr>
          <w:color w:val="000000"/>
        </w:rPr>
      </w:pPr>
      <w:r w:rsidRPr="004F5FB4">
        <w:rPr>
          <w:color w:val="000000"/>
        </w:rPr>
        <w:t>In der RA-Studie</w:t>
      </w:r>
      <w:r w:rsidR="00A92FC9" w:rsidRPr="004F5FB4">
        <w:rPr>
          <w:color w:val="000000"/>
        </w:rPr>
        <w:t> </w:t>
      </w:r>
      <w:r w:rsidRPr="004F5FB4">
        <w:rPr>
          <w:color w:val="000000"/>
        </w:rPr>
        <w:t xml:space="preserve">III wurde bei den meisten Patienten, bei denen sich die körperliche Funktionsfähigkeit verbesserte und die die Therapie fortsetzten, im Rahmen der offenen </w:t>
      </w:r>
      <w:r w:rsidR="003C3DF2" w:rsidRPr="004F5FB4">
        <w:rPr>
          <w:color w:val="000000"/>
        </w:rPr>
        <w:t>Fortsetzungsphase</w:t>
      </w:r>
      <w:r w:rsidRPr="004F5FB4">
        <w:rPr>
          <w:color w:val="000000"/>
        </w:rPr>
        <w:t xml:space="preserve"> die Verbesserung über den Behandlungszeitraum von 520</w:t>
      </w:r>
      <w:r w:rsidR="00D85E07" w:rsidRPr="004F5FB4">
        <w:rPr>
          <w:color w:val="000000"/>
        </w:rPr>
        <w:t> </w:t>
      </w:r>
      <w:r w:rsidRPr="004F5FB4">
        <w:rPr>
          <w:color w:val="000000"/>
        </w:rPr>
        <w:t>Wochen (120</w:t>
      </w:r>
      <w:r w:rsidR="00D85E07" w:rsidRPr="004F5FB4">
        <w:rPr>
          <w:color w:val="000000"/>
        </w:rPr>
        <w:t> </w:t>
      </w:r>
      <w:r w:rsidRPr="004F5FB4">
        <w:rPr>
          <w:color w:val="000000"/>
        </w:rPr>
        <w:t>Monate) aufrechterhalten. Die Verbesserung der Lebensqualität wurde bis zu 156</w:t>
      </w:r>
      <w:r w:rsidR="00D85E07" w:rsidRPr="004F5FB4">
        <w:rPr>
          <w:color w:val="000000"/>
        </w:rPr>
        <w:t> </w:t>
      </w:r>
      <w:r w:rsidRPr="004F5FB4">
        <w:rPr>
          <w:color w:val="000000"/>
        </w:rPr>
        <w:t>Wochen (36</w:t>
      </w:r>
      <w:r w:rsidR="00A92FC9" w:rsidRPr="004F5FB4">
        <w:rPr>
          <w:color w:val="000000"/>
        </w:rPr>
        <w:t> </w:t>
      </w:r>
      <w:r w:rsidRPr="004F5FB4">
        <w:rPr>
          <w:color w:val="000000"/>
        </w:rPr>
        <w:t>Monate) bestimmt und die Verbesserung hielt über diesen Zeitraum an.</w:t>
      </w:r>
    </w:p>
    <w:p w14:paraId="0D24315D" w14:textId="77777777" w:rsidR="00713CC8" w:rsidRPr="004F5FB4" w:rsidRDefault="00713CC8" w:rsidP="00387D0C">
      <w:pPr>
        <w:pStyle w:val="BodyText"/>
        <w:widowControl/>
        <w:kinsoku w:val="0"/>
        <w:overflowPunct w:val="0"/>
        <w:ind w:left="0"/>
        <w:rPr>
          <w:color w:val="000000"/>
        </w:rPr>
      </w:pPr>
    </w:p>
    <w:p w14:paraId="408675A8" w14:textId="77777777" w:rsidR="00713CC8" w:rsidRPr="004F5FB4" w:rsidRDefault="00713CC8" w:rsidP="00387D0C">
      <w:pPr>
        <w:pStyle w:val="BodyText"/>
        <w:widowControl/>
        <w:kinsoku w:val="0"/>
        <w:overflowPunct w:val="0"/>
        <w:ind w:left="0"/>
        <w:rPr>
          <w:color w:val="000000"/>
        </w:rPr>
      </w:pPr>
      <w:r w:rsidRPr="004F5FB4">
        <w:rPr>
          <w:color w:val="000000"/>
        </w:rPr>
        <w:t>In der RA-Studie</w:t>
      </w:r>
      <w:r w:rsidR="00A92FC9" w:rsidRPr="004F5FB4">
        <w:rPr>
          <w:color w:val="000000"/>
        </w:rPr>
        <w:t> </w:t>
      </w:r>
      <w:r w:rsidRPr="004F5FB4">
        <w:rPr>
          <w:color w:val="000000"/>
        </w:rPr>
        <w:t>V zeigten die Patienten unter der Kombinationstherapie mit Adalimumab und Methotrexat nach 52</w:t>
      </w:r>
      <w:r w:rsidR="00A92FC9" w:rsidRPr="004F5FB4">
        <w:rPr>
          <w:color w:val="000000"/>
        </w:rPr>
        <w:t> </w:t>
      </w:r>
      <w:r w:rsidRPr="004F5FB4">
        <w:rPr>
          <w:color w:val="000000"/>
        </w:rPr>
        <w:t>Wochen eine im Vergleich zur Methotrexat- und Adalimumab -Monotherapie stärkere Verbesserung (p</w:t>
      </w:r>
      <w:r w:rsidR="00247EF8" w:rsidRPr="004F5FB4">
        <w:rPr>
          <w:color w:val="000000"/>
        </w:rPr>
        <w:t> </w:t>
      </w:r>
      <w:r w:rsidRPr="004F5FB4">
        <w:rPr>
          <w:color w:val="000000"/>
        </w:rPr>
        <w:t>&lt;</w:t>
      </w:r>
      <w:r w:rsidR="00247EF8" w:rsidRPr="004F5FB4">
        <w:rPr>
          <w:color w:val="000000"/>
        </w:rPr>
        <w:t> </w:t>
      </w:r>
      <w:r w:rsidRPr="004F5FB4">
        <w:rPr>
          <w:color w:val="000000"/>
        </w:rPr>
        <w:t>0,001) des Index zur körperlichen Funktionseinschränkung (HAQ) und der physischen Komponente des SF 36, die über 104</w:t>
      </w:r>
      <w:r w:rsidR="00A92FC9" w:rsidRPr="004F5FB4">
        <w:rPr>
          <w:color w:val="000000"/>
        </w:rPr>
        <w:t> </w:t>
      </w:r>
      <w:r w:rsidRPr="004F5FB4">
        <w:rPr>
          <w:color w:val="000000"/>
        </w:rPr>
        <w:t>Wochen anhielt. Bei den 250</w:t>
      </w:r>
      <w:r w:rsidR="00A92FC9" w:rsidRPr="004F5FB4">
        <w:rPr>
          <w:color w:val="000000"/>
        </w:rPr>
        <w:t> </w:t>
      </w:r>
      <w:r w:rsidRPr="004F5FB4">
        <w:rPr>
          <w:color w:val="000000"/>
        </w:rPr>
        <w:t xml:space="preserve">Patienten, die die offene </w:t>
      </w:r>
      <w:r w:rsidR="003C3DF2" w:rsidRPr="004F5FB4">
        <w:rPr>
          <w:color w:val="000000"/>
        </w:rPr>
        <w:t>Fortsetz</w:t>
      </w:r>
      <w:r w:rsidRPr="004F5FB4">
        <w:rPr>
          <w:color w:val="000000"/>
        </w:rPr>
        <w:t>ungsstudie abschlossen, konnten die Verbesserungen hinsichtlich der körperlichen Funktionsfähigkeit über den 10-jährigen Behandlungszeitraum aufrechterhalten werden.</w:t>
      </w:r>
    </w:p>
    <w:p w14:paraId="015C82B4" w14:textId="77777777" w:rsidR="00713CC8" w:rsidRPr="004F5FB4" w:rsidRDefault="00713CC8" w:rsidP="00387D0C">
      <w:pPr>
        <w:pStyle w:val="BodyText"/>
        <w:widowControl/>
        <w:kinsoku w:val="0"/>
        <w:overflowPunct w:val="0"/>
        <w:ind w:left="0"/>
        <w:rPr>
          <w:color w:val="000000"/>
        </w:rPr>
      </w:pPr>
    </w:p>
    <w:p w14:paraId="550EF09B" w14:textId="77777777" w:rsidR="00713CC8" w:rsidRPr="004F5FB4" w:rsidRDefault="00713CC8" w:rsidP="00971955">
      <w:pPr>
        <w:pStyle w:val="BodyText"/>
        <w:keepNext/>
        <w:widowControl/>
        <w:kinsoku w:val="0"/>
        <w:overflowPunct w:val="0"/>
        <w:ind w:left="0"/>
        <w:rPr>
          <w:color w:val="000000"/>
        </w:rPr>
      </w:pPr>
      <w:r w:rsidRPr="004F5FB4">
        <w:rPr>
          <w:i/>
          <w:iCs/>
          <w:color w:val="000000"/>
        </w:rPr>
        <w:t>Plaque-Psoriasis bei Erwachsenen</w:t>
      </w:r>
    </w:p>
    <w:p w14:paraId="39315383" w14:textId="77777777" w:rsidR="00713CC8" w:rsidRPr="004F5FB4" w:rsidRDefault="00713CC8" w:rsidP="00971955">
      <w:pPr>
        <w:pStyle w:val="BodyText"/>
        <w:keepNext/>
        <w:widowControl/>
        <w:kinsoku w:val="0"/>
        <w:overflowPunct w:val="0"/>
        <w:ind w:left="0"/>
        <w:rPr>
          <w:i/>
          <w:iCs/>
          <w:color w:val="000000"/>
        </w:rPr>
      </w:pPr>
    </w:p>
    <w:p w14:paraId="345D886E" w14:textId="77777777" w:rsidR="00713CC8" w:rsidRPr="004F5FB4" w:rsidRDefault="00713CC8" w:rsidP="00387D0C">
      <w:pPr>
        <w:pStyle w:val="BodyText"/>
        <w:widowControl/>
        <w:kinsoku w:val="0"/>
        <w:overflowPunct w:val="0"/>
        <w:ind w:left="0"/>
        <w:rPr>
          <w:color w:val="000000"/>
        </w:rPr>
      </w:pPr>
      <w:r w:rsidRPr="004F5FB4">
        <w:rPr>
          <w:color w:val="000000"/>
        </w:rPr>
        <w:t>Die Sicherheit und Wirksamkeit von Adalimumab wurden bei erwachsenen Patienten mit chronischer Plaque-Psoriasis (≥</w:t>
      </w:r>
      <w:r w:rsidR="00104090" w:rsidRPr="004F5FB4">
        <w:rPr>
          <w:color w:val="000000"/>
        </w:rPr>
        <w:t> </w:t>
      </w:r>
      <w:r w:rsidRPr="004F5FB4">
        <w:rPr>
          <w:color w:val="000000"/>
        </w:rPr>
        <w:t>10</w:t>
      </w:r>
      <w:r w:rsidR="007C1799" w:rsidRPr="004F5FB4">
        <w:rPr>
          <w:color w:val="000000"/>
        </w:rPr>
        <w:t> </w:t>
      </w:r>
      <w:r w:rsidRPr="004F5FB4">
        <w:rPr>
          <w:color w:val="000000"/>
        </w:rPr>
        <w:t>%</w:t>
      </w:r>
      <w:r w:rsidR="00104090" w:rsidRPr="004F5FB4">
        <w:rPr>
          <w:color w:val="000000"/>
        </w:rPr>
        <w:t> </w:t>
      </w:r>
      <w:r w:rsidRPr="004F5FB4">
        <w:rPr>
          <w:color w:val="000000"/>
        </w:rPr>
        <w:t>KOF-Beteiligung und PASI ≥</w:t>
      </w:r>
      <w:r w:rsidR="00104090" w:rsidRPr="004F5FB4">
        <w:rPr>
          <w:color w:val="000000"/>
        </w:rPr>
        <w:t> </w:t>
      </w:r>
      <w:r w:rsidRPr="004F5FB4">
        <w:rPr>
          <w:color w:val="000000"/>
        </w:rPr>
        <w:t>12 oder ≥</w:t>
      </w:r>
      <w:r w:rsidR="00104090" w:rsidRPr="004F5FB4">
        <w:rPr>
          <w:color w:val="000000"/>
        </w:rPr>
        <w:t> </w:t>
      </w:r>
      <w:r w:rsidRPr="004F5FB4">
        <w:rPr>
          <w:color w:val="000000"/>
        </w:rPr>
        <w:t>10) untersucht, die Kandidaten für eine systemische Therapie oder Phototherapie in randomisierten Doppelblindstudien waren. Von den in die Psoriasis</w:t>
      </w:r>
      <w:r w:rsidR="00744285" w:rsidRPr="004F5FB4">
        <w:rPr>
          <w:color w:val="000000"/>
        </w:rPr>
        <w:t>-S</w:t>
      </w:r>
      <w:r w:rsidRPr="004F5FB4">
        <w:rPr>
          <w:color w:val="000000"/>
        </w:rPr>
        <w:t>tudien</w:t>
      </w:r>
      <w:r w:rsidR="00744285" w:rsidRPr="004F5FB4">
        <w:rPr>
          <w:color w:val="000000"/>
        </w:rPr>
        <w:t> </w:t>
      </w:r>
      <w:r w:rsidRPr="004F5FB4">
        <w:rPr>
          <w:color w:val="000000"/>
        </w:rPr>
        <w:t>I und II aufgenommenen Patienten hatten 73</w:t>
      </w:r>
      <w:r w:rsidR="00744285" w:rsidRPr="004F5FB4">
        <w:rPr>
          <w:color w:val="000000"/>
        </w:rPr>
        <w:t> </w:t>
      </w:r>
      <w:r w:rsidRPr="004F5FB4">
        <w:rPr>
          <w:color w:val="000000"/>
        </w:rPr>
        <w:t>% zuvor schon eine systemische Therapie oder Phototherapie erhalten. Die Sicherheit und Wirksamkeit von Adalimumab wurden in einer randomisierten Doppelblindstudie (Psoriasis</w:t>
      </w:r>
      <w:r w:rsidR="00744285" w:rsidRPr="004F5FB4">
        <w:rPr>
          <w:color w:val="000000"/>
        </w:rPr>
        <w:t>-S</w:t>
      </w:r>
      <w:r w:rsidRPr="004F5FB4">
        <w:rPr>
          <w:color w:val="000000"/>
        </w:rPr>
        <w:t>tudie</w:t>
      </w:r>
      <w:r w:rsidR="00744285" w:rsidRPr="004F5FB4">
        <w:rPr>
          <w:color w:val="000000"/>
        </w:rPr>
        <w:t> </w:t>
      </w:r>
      <w:r w:rsidRPr="004F5FB4">
        <w:rPr>
          <w:color w:val="000000"/>
        </w:rPr>
        <w:t>III) auch an erwachsenen Patienten mit mittelschwerer bis schwerer chronischer Plaque-Psoriasis mit gleichzeitiger Hand- und/</w:t>
      </w:r>
      <w:r w:rsidR="00744285" w:rsidRPr="004F5FB4">
        <w:rPr>
          <w:color w:val="000000"/>
        </w:rPr>
        <w:t xml:space="preserve"> </w:t>
      </w:r>
      <w:r w:rsidRPr="004F5FB4">
        <w:rPr>
          <w:color w:val="000000"/>
        </w:rPr>
        <w:t>oder Fußpsoriasis untersucht, die Kandidaten für eine systemische Therapie waren.</w:t>
      </w:r>
    </w:p>
    <w:p w14:paraId="0347B483" w14:textId="77777777" w:rsidR="00713CC8" w:rsidRPr="004F5FB4" w:rsidRDefault="00713CC8" w:rsidP="00387D0C">
      <w:pPr>
        <w:pStyle w:val="BodyText"/>
        <w:widowControl/>
        <w:kinsoku w:val="0"/>
        <w:overflowPunct w:val="0"/>
        <w:ind w:left="0"/>
        <w:rPr>
          <w:color w:val="000000"/>
          <w:szCs w:val="20"/>
        </w:rPr>
      </w:pPr>
    </w:p>
    <w:p w14:paraId="70E4C32E" w14:textId="77777777" w:rsidR="00713CC8" w:rsidRPr="004F5FB4" w:rsidRDefault="00713CC8" w:rsidP="00387D0C">
      <w:pPr>
        <w:pStyle w:val="BodyText"/>
        <w:widowControl/>
        <w:kinsoku w:val="0"/>
        <w:overflowPunct w:val="0"/>
        <w:ind w:left="0"/>
        <w:rPr>
          <w:color w:val="000000"/>
        </w:rPr>
      </w:pPr>
      <w:r w:rsidRPr="004F5FB4">
        <w:rPr>
          <w:color w:val="000000"/>
        </w:rPr>
        <w:t>In der Psoriasis</w:t>
      </w:r>
      <w:r w:rsidR="00744285" w:rsidRPr="004F5FB4">
        <w:rPr>
          <w:color w:val="000000"/>
        </w:rPr>
        <w:t>-S</w:t>
      </w:r>
      <w:r w:rsidRPr="004F5FB4">
        <w:rPr>
          <w:color w:val="000000"/>
        </w:rPr>
        <w:t>tudie</w:t>
      </w:r>
      <w:r w:rsidR="00744285" w:rsidRPr="004F5FB4">
        <w:rPr>
          <w:color w:val="000000"/>
        </w:rPr>
        <w:t> </w:t>
      </w:r>
      <w:r w:rsidRPr="004F5FB4">
        <w:rPr>
          <w:color w:val="000000"/>
        </w:rPr>
        <w:t>I (REVEAL) wurden 1.212</w:t>
      </w:r>
      <w:r w:rsidR="00744285" w:rsidRPr="004F5FB4">
        <w:rPr>
          <w:color w:val="000000"/>
        </w:rPr>
        <w:t> </w:t>
      </w:r>
      <w:r w:rsidRPr="004F5FB4">
        <w:rPr>
          <w:color w:val="000000"/>
        </w:rPr>
        <w:t>Patienten innerhalb von drei Behandlungsperioden untersucht. In Periode</w:t>
      </w:r>
      <w:r w:rsidR="00744285" w:rsidRPr="004F5FB4">
        <w:rPr>
          <w:color w:val="000000"/>
        </w:rPr>
        <w:t> </w:t>
      </w:r>
      <w:r w:rsidRPr="004F5FB4">
        <w:rPr>
          <w:color w:val="000000"/>
        </w:rPr>
        <w:t>A erhielten die Patienten Placebo oder eine Induktionsdosis von 80</w:t>
      </w:r>
      <w:r w:rsidR="00744285" w:rsidRPr="004F5FB4">
        <w:rPr>
          <w:color w:val="000000"/>
        </w:rPr>
        <w:t> </w:t>
      </w:r>
      <w:r w:rsidRPr="004F5FB4">
        <w:rPr>
          <w:color w:val="000000"/>
        </w:rPr>
        <w:t>mg Adalimumab, danach 40</w:t>
      </w:r>
      <w:r w:rsidR="00744285" w:rsidRPr="004F5FB4">
        <w:rPr>
          <w:color w:val="000000"/>
        </w:rPr>
        <w:t> </w:t>
      </w:r>
      <w:r w:rsidRPr="004F5FB4">
        <w:rPr>
          <w:color w:val="000000"/>
        </w:rPr>
        <w:t>mg jede zweite Woche, beginnend eine Woche nach der Induktionsdosis. Nach 16 Behandlungswochen traten Patienten mit mindestens PASI-75-Ansprechen (Verbesserung des PASI-Wertes um mindestens 75</w:t>
      </w:r>
      <w:r w:rsidR="00744285" w:rsidRPr="004F5FB4">
        <w:rPr>
          <w:color w:val="000000"/>
        </w:rPr>
        <w:t> </w:t>
      </w:r>
      <w:r w:rsidRPr="004F5FB4">
        <w:rPr>
          <w:color w:val="000000"/>
        </w:rPr>
        <w:t>% im Vergleich zum Ausgangswert) in Periode</w:t>
      </w:r>
      <w:r w:rsidR="00744285" w:rsidRPr="004F5FB4">
        <w:rPr>
          <w:color w:val="000000"/>
        </w:rPr>
        <w:t> </w:t>
      </w:r>
      <w:r w:rsidRPr="004F5FB4">
        <w:rPr>
          <w:color w:val="000000"/>
        </w:rPr>
        <w:t xml:space="preserve">B ein und </w:t>
      </w:r>
      <w:r w:rsidRPr="004F5FB4">
        <w:rPr>
          <w:color w:val="000000"/>
        </w:rPr>
        <w:lastRenderedPageBreak/>
        <w:t>erhielten 40</w:t>
      </w:r>
      <w:r w:rsidR="008F58BB" w:rsidRPr="004F5FB4">
        <w:rPr>
          <w:color w:val="000000"/>
        </w:rPr>
        <w:t> </w:t>
      </w:r>
      <w:r w:rsidRPr="004F5FB4">
        <w:rPr>
          <w:color w:val="000000"/>
        </w:rPr>
        <w:t>mg Adalimumab unverblindet jede zweite Woche. Patienten, die bis Woche</w:t>
      </w:r>
      <w:r w:rsidR="00D13410" w:rsidRPr="004F5FB4">
        <w:rPr>
          <w:color w:val="000000"/>
        </w:rPr>
        <w:t> </w:t>
      </w:r>
      <w:r w:rsidRPr="004F5FB4">
        <w:rPr>
          <w:color w:val="000000"/>
        </w:rPr>
        <w:t>33 mindestens ein PASI-75-Ansprechen aufrechterhielten und ursprünglich in Periode</w:t>
      </w:r>
      <w:r w:rsidR="00744285" w:rsidRPr="004F5FB4">
        <w:rPr>
          <w:color w:val="000000"/>
        </w:rPr>
        <w:t> </w:t>
      </w:r>
      <w:r w:rsidRPr="004F5FB4">
        <w:rPr>
          <w:color w:val="000000"/>
        </w:rPr>
        <w:t>A randomisiert der aktiven Therapie zugeteilt worden waren, wurden in Periode</w:t>
      </w:r>
      <w:r w:rsidR="00744285" w:rsidRPr="004F5FB4">
        <w:rPr>
          <w:color w:val="000000"/>
        </w:rPr>
        <w:t> </w:t>
      </w:r>
      <w:r w:rsidRPr="004F5FB4">
        <w:rPr>
          <w:color w:val="000000"/>
        </w:rPr>
        <w:t>C erneut randomisiert und erhielten 40</w:t>
      </w:r>
      <w:r w:rsidR="00744285" w:rsidRPr="004F5FB4">
        <w:rPr>
          <w:color w:val="000000"/>
        </w:rPr>
        <w:t> </w:t>
      </w:r>
      <w:r w:rsidRPr="004F5FB4">
        <w:rPr>
          <w:color w:val="000000"/>
        </w:rPr>
        <w:t>mg Adalimumab jede zweite Woche oder Placebo für weitere 19</w:t>
      </w:r>
      <w:r w:rsidR="00744285" w:rsidRPr="004F5FB4">
        <w:rPr>
          <w:color w:val="000000"/>
        </w:rPr>
        <w:t> </w:t>
      </w:r>
      <w:r w:rsidRPr="004F5FB4">
        <w:rPr>
          <w:color w:val="000000"/>
        </w:rPr>
        <w:t>Wochen. Für alle Behandlungsgruppen zusammen betrug der durchschnittliche Ausgangswert des PASI-Scores</w:t>
      </w:r>
      <w:r w:rsidR="00744285" w:rsidRPr="004F5FB4">
        <w:rPr>
          <w:color w:val="000000"/>
        </w:rPr>
        <w:t> </w:t>
      </w:r>
      <w:r w:rsidRPr="004F5FB4">
        <w:rPr>
          <w:color w:val="000000"/>
        </w:rPr>
        <w:t>18,9, und der Ausgangswert im PGA lag im Bereich zwischen „mittelschwer” (53</w:t>
      </w:r>
      <w:r w:rsidR="00744285" w:rsidRPr="004F5FB4">
        <w:rPr>
          <w:color w:val="000000"/>
        </w:rPr>
        <w:t> </w:t>
      </w:r>
      <w:r w:rsidRPr="004F5FB4">
        <w:rPr>
          <w:color w:val="000000"/>
        </w:rPr>
        <w:t>% der Studienteilnehmer), „schwer” (41</w:t>
      </w:r>
      <w:r w:rsidR="00744285" w:rsidRPr="004F5FB4">
        <w:rPr>
          <w:color w:val="000000"/>
        </w:rPr>
        <w:t> </w:t>
      </w:r>
      <w:r w:rsidRPr="004F5FB4">
        <w:rPr>
          <w:color w:val="000000"/>
        </w:rPr>
        <w:t>%) und „sehr schwer” (6</w:t>
      </w:r>
      <w:r w:rsidR="00744285" w:rsidRPr="004F5FB4">
        <w:rPr>
          <w:color w:val="000000"/>
        </w:rPr>
        <w:t> </w:t>
      </w:r>
      <w:r w:rsidRPr="004F5FB4">
        <w:rPr>
          <w:color w:val="000000"/>
        </w:rPr>
        <w:t>%).</w:t>
      </w:r>
    </w:p>
    <w:p w14:paraId="1320A165" w14:textId="77777777" w:rsidR="00713CC8" w:rsidRPr="004F5FB4" w:rsidRDefault="00713CC8" w:rsidP="00387D0C">
      <w:pPr>
        <w:pStyle w:val="BodyText"/>
        <w:widowControl/>
        <w:kinsoku w:val="0"/>
        <w:overflowPunct w:val="0"/>
        <w:ind w:left="0"/>
        <w:rPr>
          <w:color w:val="000000"/>
        </w:rPr>
      </w:pPr>
    </w:p>
    <w:p w14:paraId="65DC5676" w14:textId="77777777" w:rsidR="00713CC8" w:rsidRPr="004F5FB4" w:rsidRDefault="00713CC8" w:rsidP="00387D0C">
      <w:pPr>
        <w:pStyle w:val="BodyText"/>
        <w:widowControl/>
        <w:kinsoku w:val="0"/>
        <w:overflowPunct w:val="0"/>
        <w:ind w:left="0"/>
        <w:rPr>
          <w:color w:val="000000"/>
        </w:rPr>
      </w:pPr>
      <w:r w:rsidRPr="004F5FB4">
        <w:rPr>
          <w:color w:val="000000"/>
        </w:rPr>
        <w:t>In der Psoriasis</w:t>
      </w:r>
      <w:r w:rsidR="008A73B5" w:rsidRPr="004F5FB4">
        <w:rPr>
          <w:color w:val="000000"/>
        </w:rPr>
        <w:t>-S</w:t>
      </w:r>
      <w:r w:rsidRPr="004F5FB4">
        <w:rPr>
          <w:color w:val="000000"/>
        </w:rPr>
        <w:t>tudie</w:t>
      </w:r>
      <w:r w:rsidR="00744285" w:rsidRPr="004F5FB4">
        <w:rPr>
          <w:color w:val="000000"/>
        </w:rPr>
        <w:t> </w:t>
      </w:r>
      <w:r w:rsidRPr="004F5FB4">
        <w:rPr>
          <w:color w:val="000000"/>
        </w:rPr>
        <w:t>II (CHAMPION) wurden die Wirksamkeit und Sicherheit von Adalimumab im Vergleich zu Methotrexat und Placebo bei 271</w:t>
      </w:r>
      <w:r w:rsidR="00744285" w:rsidRPr="004F5FB4">
        <w:rPr>
          <w:color w:val="000000"/>
        </w:rPr>
        <w:t> </w:t>
      </w:r>
      <w:r w:rsidRPr="004F5FB4">
        <w:rPr>
          <w:color w:val="000000"/>
        </w:rPr>
        <w:t>Patienten untersucht. Die Patienten erhielten über einen Zeitraum von 16</w:t>
      </w:r>
      <w:r w:rsidR="00744285" w:rsidRPr="004F5FB4">
        <w:rPr>
          <w:color w:val="000000"/>
        </w:rPr>
        <w:t> </w:t>
      </w:r>
      <w:r w:rsidRPr="004F5FB4">
        <w:rPr>
          <w:color w:val="000000"/>
        </w:rPr>
        <w:t xml:space="preserve">Wochen entweder Placebo oder Methotrexat in einer </w:t>
      </w:r>
      <w:r w:rsidR="001A33A9" w:rsidRPr="004F5FB4">
        <w:rPr>
          <w:color w:val="000000"/>
        </w:rPr>
        <w:t>Anfang</w:t>
      </w:r>
      <w:r w:rsidRPr="004F5FB4">
        <w:rPr>
          <w:color w:val="000000"/>
        </w:rPr>
        <w:t>sdosis von 7,5</w:t>
      </w:r>
      <w:r w:rsidR="00744285" w:rsidRPr="004F5FB4">
        <w:rPr>
          <w:color w:val="000000"/>
        </w:rPr>
        <w:t> </w:t>
      </w:r>
      <w:r w:rsidRPr="004F5FB4">
        <w:rPr>
          <w:color w:val="000000"/>
        </w:rPr>
        <w:t>mg mit nachfolgender Dosiseskalation auf eine Maximaldosis von bis zu 25</w:t>
      </w:r>
      <w:r w:rsidR="00744285" w:rsidRPr="004F5FB4">
        <w:rPr>
          <w:color w:val="000000"/>
        </w:rPr>
        <w:t> </w:t>
      </w:r>
      <w:r w:rsidRPr="004F5FB4">
        <w:rPr>
          <w:color w:val="000000"/>
        </w:rPr>
        <w:t>mg bis Woche</w:t>
      </w:r>
      <w:r w:rsidR="00744285" w:rsidRPr="004F5FB4">
        <w:rPr>
          <w:color w:val="000000"/>
        </w:rPr>
        <w:t> </w:t>
      </w:r>
      <w:r w:rsidRPr="004F5FB4">
        <w:rPr>
          <w:color w:val="000000"/>
        </w:rPr>
        <w:t xml:space="preserve">12 oder eine Adalimumab-Induktionsdosis von 80 mg, </w:t>
      </w:r>
      <w:r w:rsidR="001A33A9" w:rsidRPr="004F5FB4">
        <w:rPr>
          <w:color w:val="000000"/>
        </w:rPr>
        <w:t>danach</w:t>
      </w:r>
      <w:r w:rsidRPr="004F5FB4">
        <w:rPr>
          <w:color w:val="000000"/>
        </w:rPr>
        <w:t xml:space="preserve"> 40 mg jede zweite Woche (beginnend eine Woche nach der Induktionsdosis). Es liegen keine Daten eines Vergleichs von Adalimumab und Methotrexat über einen Behandlungszeitraum von mehr als 16</w:t>
      </w:r>
      <w:r w:rsidR="00744285" w:rsidRPr="004F5FB4">
        <w:rPr>
          <w:color w:val="000000"/>
        </w:rPr>
        <w:t> </w:t>
      </w:r>
      <w:r w:rsidRPr="004F5FB4">
        <w:rPr>
          <w:color w:val="000000"/>
        </w:rPr>
        <w:t>Wochen vor. Patienten, die Methotrexat erhielten und nach 8 und/</w:t>
      </w:r>
      <w:r w:rsidR="00744285" w:rsidRPr="004F5FB4">
        <w:rPr>
          <w:color w:val="000000"/>
        </w:rPr>
        <w:t xml:space="preserve"> </w:t>
      </w:r>
      <w:r w:rsidRPr="004F5FB4">
        <w:rPr>
          <w:color w:val="000000"/>
        </w:rPr>
        <w:t>oder 12</w:t>
      </w:r>
      <w:r w:rsidR="008A73B5" w:rsidRPr="004F5FB4">
        <w:rPr>
          <w:color w:val="000000"/>
        </w:rPr>
        <w:t> </w:t>
      </w:r>
      <w:r w:rsidRPr="004F5FB4">
        <w:rPr>
          <w:color w:val="000000"/>
        </w:rPr>
        <w:t>Wochen mindestens ein PASI-50-Ansprechen erreicht hatten, erhielten keine weitere Dosiseskalation. Für alle Behandlungsgruppen zusammen betrug der durchschnittliche Ausgangswert des PASI-Scores</w:t>
      </w:r>
      <w:r w:rsidR="008A73B5" w:rsidRPr="004F5FB4">
        <w:rPr>
          <w:color w:val="000000"/>
        </w:rPr>
        <w:t> </w:t>
      </w:r>
      <w:r w:rsidRPr="004F5FB4">
        <w:rPr>
          <w:color w:val="000000"/>
        </w:rPr>
        <w:t>19,7, und der Ausgangswert des PGA lag im Bereich zwischen „leicht” (&lt;</w:t>
      </w:r>
      <w:r w:rsidR="008A73B5" w:rsidRPr="004F5FB4">
        <w:rPr>
          <w:color w:val="000000"/>
        </w:rPr>
        <w:t> </w:t>
      </w:r>
      <w:r w:rsidRPr="004F5FB4">
        <w:rPr>
          <w:color w:val="000000"/>
        </w:rPr>
        <w:t>1</w:t>
      </w:r>
      <w:r w:rsidR="008A73B5" w:rsidRPr="004F5FB4">
        <w:rPr>
          <w:color w:val="000000"/>
        </w:rPr>
        <w:t> </w:t>
      </w:r>
      <w:r w:rsidRPr="004F5FB4">
        <w:rPr>
          <w:color w:val="000000"/>
        </w:rPr>
        <w:t>%), „mittelschwer” (48</w:t>
      </w:r>
      <w:r w:rsidR="008A73B5" w:rsidRPr="004F5FB4">
        <w:rPr>
          <w:color w:val="000000"/>
        </w:rPr>
        <w:t> </w:t>
      </w:r>
      <w:r w:rsidRPr="004F5FB4">
        <w:rPr>
          <w:color w:val="000000"/>
        </w:rPr>
        <w:t>%), „schwer” (46</w:t>
      </w:r>
      <w:r w:rsidR="008A73B5" w:rsidRPr="004F5FB4">
        <w:rPr>
          <w:color w:val="000000"/>
        </w:rPr>
        <w:t> </w:t>
      </w:r>
      <w:r w:rsidRPr="004F5FB4">
        <w:rPr>
          <w:color w:val="000000"/>
        </w:rPr>
        <w:t>%) und „sehr schwer” (6</w:t>
      </w:r>
      <w:r w:rsidR="008A73B5" w:rsidRPr="004F5FB4">
        <w:rPr>
          <w:color w:val="000000"/>
        </w:rPr>
        <w:t> </w:t>
      </w:r>
      <w:r w:rsidRPr="004F5FB4">
        <w:rPr>
          <w:color w:val="000000"/>
        </w:rPr>
        <w:t>%).</w:t>
      </w:r>
    </w:p>
    <w:p w14:paraId="50EDE49A" w14:textId="77777777" w:rsidR="00713CC8" w:rsidRPr="004F5FB4" w:rsidRDefault="00713CC8" w:rsidP="00387D0C">
      <w:pPr>
        <w:pStyle w:val="BodyText"/>
        <w:widowControl/>
        <w:kinsoku w:val="0"/>
        <w:overflowPunct w:val="0"/>
        <w:ind w:left="0"/>
        <w:rPr>
          <w:color w:val="000000"/>
          <w:szCs w:val="21"/>
        </w:rPr>
      </w:pPr>
    </w:p>
    <w:p w14:paraId="5167CBD3" w14:textId="77777777" w:rsidR="00713CC8" w:rsidRPr="004F5FB4" w:rsidRDefault="00713CC8" w:rsidP="00387D0C">
      <w:pPr>
        <w:pStyle w:val="BodyText"/>
        <w:widowControl/>
        <w:kinsoku w:val="0"/>
        <w:overflowPunct w:val="0"/>
        <w:ind w:left="0"/>
        <w:rPr>
          <w:color w:val="000000"/>
        </w:rPr>
      </w:pPr>
      <w:r w:rsidRPr="004F5FB4">
        <w:rPr>
          <w:color w:val="000000"/>
        </w:rPr>
        <w:t>Patienten, die an allen Phase-II- und Phase-III-Psoriasis</w:t>
      </w:r>
      <w:r w:rsidR="008A73B5" w:rsidRPr="004F5FB4">
        <w:rPr>
          <w:color w:val="000000"/>
        </w:rPr>
        <w:t>-S</w:t>
      </w:r>
      <w:r w:rsidRPr="004F5FB4">
        <w:rPr>
          <w:color w:val="000000"/>
        </w:rPr>
        <w:t xml:space="preserve">tudien teilnahmen, konnten in eine offene </w:t>
      </w:r>
      <w:r w:rsidR="001A33A9" w:rsidRPr="004F5FB4">
        <w:rPr>
          <w:color w:val="000000"/>
        </w:rPr>
        <w:t>Fortsetz</w:t>
      </w:r>
      <w:r w:rsidRPr="004F5FB4">
        <w:rPr>
          <w:color w:val="000000"/>
        </w:rPr>
        <w:t>ungsstudie aufgenommen werden, in der Adalimumab mindestens weitere 108</w:t>
      </w:r>
      <w:r w:rsidR="008A73B5" w:rsidRPr="004F5FB4">
        <w:rPr>
          <w:color w:val="000000"/>
        </w:rPr>
        <w:t> </w:t>
      </w:r>
      <w:r w:rsidRPr="004F5FB4">
        <w:rPr>
          <w:color w:val="000000"/>
        </w:rPr>
        <w:t>Wochen verabreicht wurde.</w:t>
      </w:r>
    </w:p>
    <w:p w14:paraId="16033C5D" w14:textId="77777777" w:rsidR="00713CC8" w:rsidRPr="004F5FB4" w:rsidRDefault="00713CC8" w:rsidP="00387D0C">
      <w:pPr>
        <w:pStyle w:val="BodyText"/>
        <w:widowControl/>
        <w:kinsoku w:val="0"/>
        <w:overflowPunct w:val="0"/>
        <w:ind w:left="0"/>
        <w:rPr>
          <w:color w:val="000000"/>
        </w:rPr>
      </w:pPr>
    </w:p>
    <w:p w14:paraId="152F860B" w14:textId="77777777" w:rsidR="00713CC8" w:rsidRPr="004F5FB4" w:rsidRDefault="00713CC8" w:rsidP="00387D0C">
      <w:pPr>
        <w:pStyle w:val="BodyText"/>
        <w:widowControl/>
        <w:kinsoku w:val="0"/>
        <w:overflowPunct w:val="0"/>
        <w:ind w:left="0"/>
        <w:rPr>
          <w:color w:val="000000"/>
        </w:rPr>
      </w:pPr>
      <w:r w:rsidRPr="004F5FB4">
        <w:rPr>
          <w:color w:val="000000"/>
        </w:rPr>
        <w:t>Ein primärer Endpunkt der Psoriasis</w:t>
      </w:r>
      <w:r w:rsidR="008A73B5" w:rsidRPr="004F5FB4">
        <w:rPr>
          <w:color w:val="000000"/>
        </w:rPr>
        <w:t>-S</w:t>
      </w:r>
      <w:r w:rsidRPr="004F5FB4">
        <w:rPr>
          <w:color w:val="000000"/>
        </w:rPr>
        <w:t>tudien</w:t>
      </w:r>
      <w:r w:rsidR="008A73B5" w:rsidRPr="004F5FB4">
        <w:rPr>
          <w:color w:val="000000"/>
        </w:rPr>
        <w:t> </w:t>
      </w:r>
      <w:r w:rsidRPr="004F5FB4">
        <w:rPr>
          <w:color w:val="000000"/>
        </w:rPr>
        <w:t>I und II war der Anteil der Patienten, die nach 16</w:t>
      </w:r>
      <w:r w:rsidR="008A73B5" w:rsidRPr="004F5FB4">
        <w:rPr>
          <w:color w:val="000000"/>
        </w:rPr>
        <w:t> </w:t>
      </w:r>
      <w:r w:rsidRPr="004F5FB4">
        <w:rPr>
          <w:color w:val="000000"/>
        </w:rPr>
        <w:t>Wochen im Vergleich zum Ausgangswert ein PASI-75-Ansprechen erzielten (siehe Tabellen</w:t>
      </w:r>
      <w:r w:rsidR="008A73B5" w:rsidRPr="004F5FB4">
        <w:rPr>
          <w:color w:val="000000"/>
        </w:rPr>
        <w:t> </w:t>
      </w:r>
      <w:r w:rsidR="007004B8">
        <w:rPr>
          <w:color w:val="000000"/>
        </w:rPr>
        <w:t>11</w:t>
      </w:r>
      <w:r w:rsidRPr="004F5FB4">
        <w:rPr>
          <w:color w:val="000000"/>
        </w:rPr>
        <w:t xml:space="preserve"> und </w:t>
      </w:r>
      <w:r w:rsidR="007004B8">
        <w:rPr>
          <w:color w:val="000000"/>
        </w:rPr>
        <w:t>12</w:t>
      </w:r>
      <w:r w:rsidRPr="004F5FB4">
        <w:rPr>
          <w:color w:val="000000"/>
        </w:rPr>
        <w:t>).</w:t>
      </w:r>
    </w:p>
    <w:p w14:paraId="5B3607B2" w14:textId="77777777" w:rsidR="00713CC8" w:rsidRPr="004F5FB4" w:rsidRDefault="00713CC8" w:rsidP="00387D0C">
      <w:pPr>
        <w:rPr>
          <w:color w:val="000000"/>
        </w:rPr>
      </w:pPr>
    </w:p>
    <w:p w14:paraId="42D21E3E" w14:textId="77777777" w:rsidR="00005C27" w:rsidRPr="00CA7719" w:rsidRDefault="000230EA" w:rsidP="00CA7719">
      <w:pPr>
        <w:pStyle w:val="BodyText"/>
        <w:widowControl/>
        <w:kinsoku w:val="0"/>
        <w:overflowPunct w:val="0"/>
        <w:ind w:left="0"/>
        <w:rPr>
          <w:b/>
          <w:color w:val="000000"/>
        </w:rPr>
      </w:pPr>
      <w:r w:rsidRPr="00CA7719">
        <w:rPr>
          <w:b/>
          <w:color w:val="000000"/>
        </w:rPr>
        <w:t xml:space="preserve">Tabelle </w:t>
      </w:r>
      <w:r w:rsidR="007004B8">
        <w:rPr>
          <w:b/>
          <w:color w:val="000000"/>
        </w:rPr>
        <w:t>11</w:t>
      </w:r>
    </w:p>
    <w:p w14:paraId="11DEFD8E" w14:textId="77777777" w:rsidR="000230EA" w:rsidRPr="00CA7719" w:rsidRDefault="000230EA" w:rsidP="00CA7719">
      <w:pPr>
        <w:pStyle w:val="BodyText"/>
        <w:widowControl/>
        <w:kinsoku w:val="0"/>
        <w:overflowPunct w:val="0"/>
        <w:ind w:left="0"/>
        <w:rPr>
          <w:b/>
          <w:color w:val="000000"/>
        </w:rPr>
      </w:pPr>
      <w:r w:rsidRPr="00CA7719">
        <w:rPr>
          <w:b/>
          <w:color w:val="000000"/>
        </w:rPr>
        <w:t>Psoriasis</w:t>
      </w:r>
      <w:r w:rsidR="008A73B5" w:rsidRPr="00CA7719">
        <w:rPr>
          <w:b/>
          <w:color w:val="000000"/>
        </w:rPr>
        <w:t>-S</w:t>
      </w:r>
      <w:r w:rsidRPr="00CA7719">
        <w:rPr>
          <w:b/>
          <w:color w:val="000000"/>
        </w:rPr>
        <w:t>tudie I (REVEAL) Wirksamkeitsergebnisse nach 16</w:t>
      </w:r>
      <w:r w:rsidR="008A73B5" w:rsidRPr="00CA7719">
        <w:rPr>
          <w:b/>
          <w:color w:val="000000"/>
        </w:rPr>
        <w:t> </w:t>
      </w:r>
      <w:r w:rsidRPr="00CA7719">
        <w:rPr>
          <w:b/>
          <w:color w:val="000000"/>
        </w:rPr>
        <w:t>Wochen</w:t>
      </w:r>
    </w:p>
    <w:p w14:paraId="32B1D993" w14:textId="77777777" w:rsidR="00DD002D" w:rsidRPr="004F5FB4" w:rsidRDefault="00DD002D" w:rsidP="00DD002D">
      <w:pPr>
        <w:pStyle w:val="BodyText"/>
        <w:keepNext/>
        <w:widowControl/>
        <w:kinsoku w:val="0"/>
        <w:overflowPunct w:val="0"/>
        <w:ind w:left="0"/>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0230EA" w:rsidRPr="004F5FB4" w14:paraId="19A930DF" w14:textId="77777777" w:rsidTr="006A2129">
        <w:trPr>
          <w:tblHeader/>
        </w:trPr>
        <w:tc>
          <w:tcPr>
            <w:tcW w:w="3193" w:type="dxa"/>
            <w:shd w:val="clear" w:color="auto" w:fill="auto"/>
          </w:tcPr>
          <w:p w14:paraId="6BF49D96" w14:textId="77777777" w:rsidR="000230EA" w:rsidRPr="004F5FB4" w:rsidRDefault="000230EA" w:rsidP="00AA5839">
            <w:pPr>
              <w:rPr>
                <w:rFonts w:eastAsia="Calibri"/>
                <w:color w:val="000000"/>
              </w:rPr>
            </w:pPr>
          </w:p>
        </w:tc>
        <w:tc>
          <w:tcPr>
            <w:tcW w:w="3055" w:type="dxa"/>
            <w:shd w:val="clear" w:color="auto" w:fill="auto"/>
          </w:tcPr>
          <w:p w14:paraId="224E84BF" w14:textId="77777777" w:rsidR="00DD002D" w:rsidRPr="004F5FB4" w:rsidRDefault="000230EA" w:rsidP="00AA5839">
            <w:pPr>
              <w:pStyle w:val="TableParagraph"/>
              <w:widowControl/>
              <w:kinsoku w:val="0"/>
              <w:overflowPunct w:val="0"/>
              <w:ind w:hanging="60"/>
              <w:jc w:val="center"/>
              <w:rPr>
                <w:rFonts w:ascii="Times New Roman" w:hAnsi="Times New Roman"/>
                <w:b/>
                <w:bCs/>
                <w:color w:val="000000"/>
              </w:rPr>
            </w:pPr>
            <w:r w:rsidRPr="004F5FB4">
              <w:rPr>
                <w:rFonts w:ascii="Times New Roman" w:hAnsi="Times New Roman"/>
                <w:b/>
                <w:bCs/>
                <w:color w:val="000000"/>
              </w:rPr>
              <w:t>Placebo</w:t>
            </w:r>
          </w:p>
          <w:p w14:paraId="3947539A" w14:textId="77777777" w:rsidR="00DD002D" w:rsidRPr="004F5FB4" w:rsidRDefault="000230EA" w:rsidP="00AA5839">
            <w:pPr>
              <w:pStyle w:val="TableParagraph"/>
              <w:widowControl/>
              <w:kinsoku w:val="0"/>
              <w:overflowPunct w:val="0"/>
              <w:ind w:hanging="60"/>
              <w:jc w:val="center"/>
              <w:rPr>
                <w:rFonts w:ascii="Times New Roman" w:hAnsi="Times New Roman"/>
                <w:b/>
                <w:bCs/>
                <w:color w:val="000000"/>
              </w:rPr>
            </w:pPr>
            <w:r w:rsidRPr="004F5FB4">
              <w:rPr>
                <w:rFonts w:ascii="Times New Roman" w:hAnsi="Times New Roman"/>
                <w:b/>
                <w:bCs/>
                <w:color w:val="000000"/>
              </w:rPr>
              <w:t>n</w:t>
            </w:r>
            <w:r w:rsidR="00C37955" w:rsidRPr="004F5FB4">
              <w:rPr>
                <w:rFonts w:ascii="Times New Roman" w:hAnsi="Times New Roman"/>
                <w:b/>
                <w:bCs/>
                <w:color w:val="000000"/>
              </w:rPr>
              <w:t> </w:t>
            </w:r>
            <w:r w:rsidRPr="004F5FB4">
              <w:rPr>
                <w:rFonts w:ascii="Times New Roman" w:hAnsi="Times New Roman"/>
                <w:b/>
                <w:bCs/>
                <w:color w:val="000000"/>
              </w:rPr>
              <w:t>=</w:t>
            </w:r>
            <w:r w:rsidR="00C37955" w:rsidRPr="004F5FB4">
              <w:rPr>
                <w:rFonts w:ascii="Times New Roman" w:hAnsi="Times New Roman"/>
                <w:b/>
                <w:bCs/>
                <w:color w:val="000000"/>
              </w:rPr>
              <w:t> </w:t>
            </w:r>
            <w:r w:rsidRPr="004F5FB4">
              <w:rPr>
                <w:rFonts w:ascii="Times New Roman" w:hAnsi="Times New Roman"/>
                <w:b/>
                <w:bCs/>
                <w:color w:val="000000"/>
              </w:rPr>
              <w:t>398</w:t>
            </w:r>
          </w:p>
          <w:p w14:paraId="005F07FA" w14:textId="77777777" w:rsidR="000230EA" w:rsidRPr="004F5FB4" w:rsidRDefault="000230EA" w:rsidP="00AA5839">
            <w:pPr>
              <w:pStyle w:val="TableParagraph"/>
              <w:widowControl/>
              <w:kinsoku w:val="0"/>
              <w:overflowPunct w:val="0"/>
              <w:ind w:hanging="60"/>
              <w:jc w:val="center"/>
              <w:rPr>
                <w:rFonts w:ascii="Times New Roman" w:hAnsi="Times New Roman"/>
                <w:color w:val="000000"/>
              </w:rPr>
            </w:pPr>
            <w:r w:rsidRPr="004F5FB4">
              <w:rPr>
                <w:rFonts w:ascii="Times New Roman" w:hAnsi="Times New Roman"/>
                <w:b/>
                <w:bCs/>
                <w:color w:val="000000"/>
              </w:rPr>
              <w:t>n (%)</w:t>
            </w:r>
          </w:p>
        </w:tc>
        <w:tc>
          <w:tcPr>
            <w:tcW w:w="3055" w:type="dxa"/>
            <w:shd w:val="clear" w:color="auto" w:fill="auto"/>
          </w:tcPr>
          <w:p w14:paraId="58C1AACE" w14:textId="77777777" w:rsidR="00D92C61" w:rsidRPr="004F5FB4" w:rsidRDefault="00E56A72" w:rsidP="00AA5839">
            <w:pPr>
              <w:pStyle w:val="TableParagraph"/>
              <w:widowControl/>
              <w:kinsoku w:val="0"/>
              <w:overflowPunct w:val="0"/>
              <w:jc w:val="center"/>
              <w:rPr>
                <w:rFonts w:ascii="Times New Roman" w:hAnsi="Times New Roman"/>
                <w:b/>
                <w:bCs/>
                <w:color w:val="000000"/>
              </w:rPr>
            </w:pPr>
            <w:r w:rsidRPr="004F5FB4">
              <w:rPr>
                <w:rFonts w:ascii="Times New Roman" w:hAnsi="Times New Roman"/>
                <w:b/>
                <w:color w:val="000000"/>
              </w:rPr>
              <w:t>Adalimumab</w:t>
            </w:r>
            <w:r w:rsidRPr="004F5FB4">
              <w:rPr>
                <w:rFonts w:ascii="Times New Roman" w:hAnsi="Times New Roman"/>
                <w:b/>
                <w:bCs/>
                <w:color w:val="000000"/>
              </w:rPr>
              <w:t xml:space="preserve"> 40</w:t>
            </w:r>
            <w:r w:rsidRPr="004F5FB4">
              <w:rPr>
                <w:rFonts w:ascii="Times New Roman" w:hAnsi="Times New Roman"/>
                <w:b/>
                <w:color w:val="000000"/>
              </w:rPr>
              <w:t> </w:t>
            </w:r>
            <w:r w:rsidRPr="004F5FB4">
              <w:rPr>
                <w:rFonts w:ascii="Times New Roman" w:hAnsi="Times New Roman"/>
                <w:b/>
                <w:bCs/>
                <w:color w:val="000000"/>
              </w:rPr>
              <w:t>mg jede zweite Woche</w:t>
            </w:r>
          </w:p>
          <w:p w14:paraId="18C28864"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b/>
                <w:bCs/>
                <w:color w:val="000000"/>
              </w:rPr>
              <w:t>n</w:t>
            </w:r>
            <w:r w:rsidR="00C37955" w:rsidRPr="004F5FB4">
              <w:rPr>
                <w:rFonts w:ascii="Times New Roman" w:hAnsi="Times New Roman"/>
                <w:b/>
                <w:bCs/>
                <w:color w:val="000000"/>
              </w:rPr>
              <w:t> </w:t>
            </w:r>
            <w:r w:rsidRPr="004F5FB4">
              <w:rPr>
                <w:rFonts w:ascii="Times New Roman" w:hAnsi="Times New Roman"/>
                <w:b/>
                <w:bCs/>
                <w:color w:val="000000"/>
              </w:rPr>
              <w:t>=</w:t>
            </w:r>
            <w:r w:rsidR="00C37955" w:rsidRPr="004F5FB4">
              <w:rPr>
                <w:rFonts w:ascii="Times New Roman" w:hAnsi="Times New Roman"/>
                <w:b/>
                <w:bCs/>
                <w:color w:val="000000"/>
              </w:rPr>
              <w:t> </w:t>
            </w:r>
            <w:r w:rsidRPr="004F5FB4">
              <w:rPr>
                <w:rFonts w:ascii="Times New Roman" w:hAnsi="Times New Roman"/>
                <w:b/>
                <w:bCs/>
                <w:color w:val="000000"/>
              </w:rPr>
              <w:t>814</w:t>
            </w:r>
          </w:p>
          <w:p w14:paraId="79F7273C"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b/>
                <w:bCs/>
                <w:color w:val="000000"/>
              </w:rPr>
              <w:t>n (%)</w:t>
            </w:r>
          </w:p>
        </w:tc>
      </w:tr>
      <w:tr w:rsidR="000230EA" w:rsidRPr="004F5FB4" w14:paraId="7AE61D70" w14:textId="77777777" w:rsidTr="006A2129">
        <w:tc>
          <w:tcPr>
            <w:tcW w:w="3193" w:type="dxa"/>
            <w:shd w:val="clear" w:color="auto" w:fill="auto"/>
          </w:tcPr>
          <w:p w14:paraId="0AC48919" w14:textId="77777777" w:rsidR="000230EA" w:rsidRPr="004F5FB4" w:rsidRDefault="000230EA"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 PASI 75</w:t>
            </w:r>
            <w:r w:rsidRPr="004F5FB4">
              <w:rPr>
                <w:rFonts w:ascii="Times New Roman" w:hAnsi="Times New Roman"/>
                <w:bCs/>
                <w:color w:val="000000"/>
                <w:vertAlign w:val="superscript"/>
              </w:rPr>
              <w:t>a</w:t>
            </w:r>
          </w:p>
        </w:tc>
        <w:tc>
          <w:tcPr>
            <w:tcW w:w="3055" w:type="dxa"/>
            <w:shd w:val="clear" w:color="auto" w:fill="auto"/>
          </w:tcPr>
          <w:p w14:paraId="30CC2C65"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26 (6,5)</w:t>
            </w:r>
          </w:p>
        </w:tc>
        <w:tc>
          <w:tcPr>
            <w:tcW w:w="3055" w:type="dxa"/>
            <w:shd w:val="clear" w:color="auto" w:fill="auto"/>
          </w:tcPr>
          <w:p w14:paraId="23CFEDE5"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578 (70,9)</w:t>
            </w:r>
            <w:r w:rsidRPr="004F5FB4">
              <w:rPr>
                <w:rFonts w:ascii="Times New Roman" w:hAnsi="Times New Roman"/>
                <w:color w:val="000000"/>
                <w:vertAlign w:val="superscript"/>
              </w:rPr>
              <w:t>b</w:t>
            </w:r>
          </w:p>
        </w:tc>
      </w:tr>
      <w:tr w:rsidR="000230EA" w:rsidRPr="004F5FB4" w14:paraId="79663815" w14:textId="77777777" w:rsidTr="006A2129">
        <w:tc>
          <w:tcPr>
            <w:tcW w:w="3193" w:type="dxa"/>
            <w:shd w:val="clear" w:color="auto" w:fill="auto"/>
          </w:tcPr>
          <w:p w14:paraId="69045B2E" w14:textId="77777777" w:rsidR="000230EA" w:rsidRPr="004F5FB4" w:rsidRDefault="000230EA"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PASI-100</w:t>
            </w:r>
          </w:p>
        </w:tc>
        <w:tc>
          <w:tcPr>
            <w:tcW w:w="3055" w:type="dxa"/>
            <w:shd w:val="clear" w:color="auto" w:fill="auto"/>
          </w:tcPr>
          <w:p w14:paraId="672AD989"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3 (0,8)</w:t>
            </w:r>
          </w:p>
        </w:tc>
        <w:tc>
          <w:tcPr>
            <w:tcW w:w="3055" w:type="dxa"/>
            <w:shd w:val="clear" w:color="auto" w:fill="auto"/>
          </w:tcPr>
          <w:p w14:paraId="71E85733"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163 (20,0)</w:t>
            </w:r>
            <w:r w:rsidRPr="004F5FB4">
              <w:rPr>
                <w:rFonts w:ascii="Times New Roman" w:hAnsi="Times New Roman"/>
                <w:color w:val="000000"/>
                <w:vertAlign w:val="superscript"/>
              </w:rPr>
              <w:t>b</w:t>
            </w:r>
          </w:p>
        </w:tc>
      </w:tr>
      <w:tr w:rsidR="000230EA" w:rsidRPr="004F5FB4" w14:paraId="0ACF7DD3" w14:textId="77777777" w:rsidTr="006A2129">
        <w:tc>
          <w:tcPr>
            <w:tcW w:w="3193" w:type="dxa"/>
            <w:tcBorders>
              <w:bottom w:val="single" w:sz="4" w:space="0" w:color="auto"/>
            </w:tcBorders>
            <w:shd w:val="clear" w:color="auto" w:fill="auto"/>
          </w:tcPr>
          <w:p w14:paraId="618287DF" w14:textId="77777777" w:rsidR="000230EA" w:rsidRPr="004F5FB4" w:rsidRDefault="000230EA"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PGA: erscheinungsfrei/</w:t>
            </w:r>
            <w:r w:rsidR="008A73B5" w:rsidRPr="004F5FB4">
              <w:rPr>
                <w:rFonts w:ascii="Times New Roman" w:hAnsi="Times New Roman"/>
                <w:bCs/>
                <w:color w:val="000000"/>
              </w:rPr>
              <w:t xml:space="preserve"> </w:t>
            </w:r>
            <w:r w:rsidRPr="004F5FB4">
              <w:rPr>
                <w:rFonts w:ascii="Times New Roman" w:hAnsi="Times New Roman"/>
                <w:bCs/>
                <w:color w:val="000000"/>
              </w:rPr>
              <w:t>minimal</w:t>
            </w:r>
          </w:p>
        </w:tc>
        <w:tc>
          <w:tcPr>
            <w:tcW w:w="3055" w:type="dxa"/>
            <w:tcBorders>
              <w:bottom w:val="single" w:sz="4" w:space="0" w:color="auto"/>
            </w:tcBorders>
            <w:shd w:val="clear" w:color="auto" w:fill="auto"/>
          </w:tcPr>
          <w:p w14:paraId="67A354CB"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17 (4,3)</w:t>
            </w:r>
          </w:p>
        </w:tc>
        <w:tc>
          <w:tcPr>
            <w:tcW w:w="3055" w:type="dxa"/>
            <w:tcBorders>
              <w:bottom w:val="single" w:sz="4" w:space="0" w:color="auto"/>
            </w:tcBorders>
            <w:shd w:val="clear" w:color="auto" w:fill="auto"/>
          </w:tcPr>
          <w:p w14:paraId="7FF8E754" w14:textId="77777777" w:rsidR="000230EA" w:rsidRPr="004F5FB4" w:rsidRDefault="000230EA"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506 (62,2)</w:t>
            </w:r>
            <w:r w:rsidRPr="004F5FB4">
              <w:rPr>
                <w:rFonts w:ascii="Times New Roman" w:hAnsi="Times New Roman"/>
                <w:color w:val="000000"/>
                <w:vertAlign w:val="superscript"/>
              </w:rPr>
              <w:t>b</w:t>
            </w:r>
          </w:p>
        </w:tc>
      </w:tr>
      <w:tr w:rsidR="006A2129" w:rsidRPr="00C75D0C" w14:paraId="7700A38A" w14:textId="77777777" w:rsidTr="006A2129">
        <w:tc>
          <w:tcPr>
            <w:tcW w:w="9303" w:type="dxa"/>
            <w:gridSpan w:val="3"/>
            <w:tcBorders>
              <w:left w:val="nil"/>
              <w:bottom w:val="nil"/>
              <w:right w:val="nil"/>
            </w:tcBorders>
            <w:shd w:val="clear" w:color="auto" w:fill="auto"/>
          </w:tcPr>
          <w:p w14:paraId="551AC851" w14:textId="77777777" w:rsidR="006A2129" w:rsidRPr="00206AEA" w:rsidRDefault="006A2129" w:rsidP="006A2129">
            <w:pPr>
              <w:pStyle w:val="TableParagraph"/>
              <w:widowControl/>
              <w:kinsoku w:val="0"/>
              <w:overflowPunct w:val="0"/>
              <w:ind w:left="270" w:hanging="270"/>
              <w:rPr>
                <w:rFonts w:ascii="Times New Roman" w:hAnsi="Times New Roman"/>
                <w:color w:val="000000"/>
                <w:sz w:val="20"/>
              </w:rPr>
            </w:pPr>
            <w:r w:rsidRPr="00206AEA">
              <w:rPr>
                <w:rFonts w:ascii="Times New Roman" w:hAnsi="Times New Roman"/>
                <w:color w:val="000000"/>
                <w:sz w:val="20"/>
                <w:vertAlign w:val="superscript"/>
              </w:rPr>
              <w:t>a</w:t>
            </w:r>
            <w:r w:rsidRPr="00206AEA">
              <w:rPr>
                <w:rFonts w:ascii="Times New Roman" w:hAnsi="Times New Roman"/>
                <w:color w:val="000000"/>
                <w:sz w:val="20"/>
              </w:rPr>
              <w:t xml:space="preserve"> </w:t>
            </w:r>
            <w:r w:rsidRPr="00206AEA">
              <w:rPr>
                <w:rFonts w:ascii="Times New Roman" w:hAnsi="Times New Roman"/>
                <w:color w:val="000000"/>
                <w:sz w:val="20"/>
              </w:rPr>
              <w:tab/>
              <w:t>Prozentsatz Patienten mit PASI-75-Ansprechen wurde als prüfzentrumadjustierte Rate berechnet</w:t>
            </w:r>
          </w:p>
          <w:p w14:paraId="7F839BE5" w14:textId="77777777" w:rsidR="006A2129" w:rsidRPr="00EC03BF" w:rsidRDefault="006A2129" w:rsidP="006A2129">
            <w:pPr>
              <w:pStyle w:val="TableParagraph"/>
              <w:widowControl/>
              <w:kinsoku w:val="0"/>
              <w:overflowPunct w:val="0"/>
              <w:ind w:left="270" w:hanging="270"/>
              <w:rPr>
                <w:rFonts w:ascii="Times New Roman" w:hAnsi="Times New Roman"/>
                <w:color w:val="000000"/>
                <w:sz w:val="20"/>
              </w:rPr>
            </w:pPr>
            <w:r w:rsidRPr="00EC03BF">
              <w:rPr>
                <w:rFonts w:ascii="Times New Roman" w:hAnsi="Times New Roman"/>
                <w:color w:val="000000"/>
                <w:sz w:val="20"/>
                <w:vertAlign w:val="superscript"/>
              </w:rPr>
              <w:t xml:space="preserve">b </w:t>
            </w:r>
            <w:r w:rsidRPr="00EC03BF">
              <w:rPr>
                <w:rFonts w:ascii="Times New Roman" w:hAnsi="Times New Roman"/>
                <w:color w:val="000000"/>
                <w:sz w:val="20"/>
                <w:vertAlign w:val="superscript"/>
              </w:rPr>
              <w:tab/>
            </w:r>
            <w:r w:rsidRPr="00EC03BF">
              <w:rPr>
                <w:rFonts w:ascii="Times New Roman" w:hAnsi="Times New Roman"/>
                <w:color w:val="000000"/>
                <w:sz w:val="20"/>
              </w:rPr>
              <w:t xml:space="preserve">p &lt; 0,001; Adalimumab </w:t>
            </w:r>
            <w:r w:rsidRPr="00EC03BF">
              <w:rPr>
                <w:rFonts w:ascii="Times New Roman" w:hAnsi="Times New Roman"/>
                <w:i/>
                <w:color w:val="000000"/>
                <w:sz w:val="20"/>
              </w:rPr>
              <w:t>vs.</w:t>
            </w:r>
            <w:r w:rsidRPr="00EC03BF">
              <w:rPr>
                <w:rFonts w:ascii="Times New Roman" w:hAnsi="Times New Roman"/>
                <w:color w:val="000000"/>
                <w:sz w:val="20"/>
              </w:rPr>
              <w:t xml:space="preserve"> Placebo</w:t>
            </w:r>
          </w:p>
        </w:tc>
      </w:tr>
    </w:tbl>
    <w:p w14:paraId="6E8ECF01" w14:textId="77777777" w:rsidR="000230EA" w:rsidRPr="00EC03BF" w:rsidRDefault="000230EA" w:rsidP="00387D0C">
      <w:pPr>
        <w:pStyle w:val="BodyText"/>
        <w:widowControl/>
        <w:kinsoku w:val="0"/>
        <w:overflowPunct w:val="0"/>
        <w:ind w:left="0"/>
        <w:rPr>
          <w:b/>
          <w:color w:val="000000"/>
        </w:rPr>
      </w:pPr>
    </w:p>
    <w:p w14:paraId="77A84C86" w14:textId="77777777" w:rsidR="00005C27" w:rsidRPr="004F5FB4" w:rsidRDefault="000230EA" w:rsidP="004C7F0C">
      <w:pPr>
        <w:pStyle w:val="BodyText"/>
        <w:kinsoku w:val="0"/>
        <w:overflowPunct w:val="0"/>
        <w:ind w:left="0"/>
        <w:rPr>
          <w:color w:val="000000"/>
        </w:rPr>
      </w:pPr>
      <w:r w:rsidRPr="004F5FB4">
        <w:rPr>
          <w:b/>
          <w:bCs/>
          <w:color w:val="000000"/>
        </w:rPr>
        <w:t xml:space="preserve">Tabelle </w:t>
      </w:r>
      <w:r w:rsidR="007004B8">
        <w:rPr>
          <w:b/>
          <w:bCs/>
          <w:color w:val="000000"/>
        </w:rPr>
        <w:t>12</w:t>
      </w:r>
    </w:p>
    <w:p w14:paraId="0E8CB7EE" w14:textId="77777777" w:rsidR="000230EA" w:rsidRPr="004F5FB4" w:rsidRDefault="000230EA" w:rsidP="004C7F0C">
      <w:pPr>
        <w:pStyle w:val="BodyText"/>
        <w:kinsoku w:val="0"/>
        <w:overflowPunct w:val="0"/>
        <w:ind w:left="0"/>
        <w:rPr>
          <w:color w:val="000000"/>
        </w:rPr>
      </w:pPr>
      <w:r w:rsidRPr="004F5FB4">
        <w:rPr>
          <w:b/>
          <w:bCs/>
          <w:color w:val="000000"/>
        </w:rPr>
        <w:t>Psoriasis</w:t>
      </w:r>
      <w:r w:rsidR="008A73B5" w:rsidRPr="004F5FB4">
        <w:rPr>
          <w:b/>
          <w:bCs/>
          <w:color w:val="000000"/>
        </w:rPr>
        <w:t>-S</w:t>
      </w:r>
      <w:r w:rsidRPr="004F5FB4">
        <w:rPr>
          <w:b/>
          <w:bCs/>
          <w:color w:val="000000"/>
        </w:rPr>
        <w:t>tudie II (CHAMPION) Wirksamkeitsergebnisse nach 16</w:t>
      </w:r>
      <w:r w:rsidR="008A73B5" w:rsidRPr="004F5FB4">
        <w:rPr>
          <w:b/>
          <w:bCs/>
          <w:color w:val="000000"/>
        </w:rPr>
        <w:t> </w:t>
      </w:r>
      <w:r w:rsidRPr="004F5FB4">
        <w:rPr>
          <w:b/>
          <w:bCs/>
          <w:color w:val="000000"/>
        </w:rPr>
        <w:t>Wochen</w:t>
      </w:r>
    </w:p>
    <w:p w14:paraId="4778D3B1" w14:textId="77777777" w:rsidR="000230EA" w:rsidRPr="004F5FB4" w:rsidRDefault="000230EA" w:rsidP="004C7F0C">
      <w:pPr>
        <w:pStyle w:val="BodyText"/>
        <w:kinsoku w:val="0"/>
        <w:overflowPunct w:val="0"/>
        <w:ind w:left="0"/>
        <w:rPr>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0230EA" w:rsidRPr="004F5FB4" w14:paraId="5037D19A" w14:textId="77777777" w:rsidTr="006A2129">
        <w:trPr>
          <w:tblHeader/>
        </w:trPr>
        <w:tc>
          <w:tcPr>
            <w:tcW w:w="2128" w:type="dxa"/>
            <w:shd w:val="clear" w:color="auto" w:fill="auto"/>
          </w:tcPr>
          <w:p w14:paraId="015E09EB" w14:textId="77777777" w:rsidR="000230EA" w:rsidRPr="004F5FB4" w:rsidRDefault="000230EA" w:rsidP="004C7F0C">
            <w:pPr>
              <w:widowControl w:val="0"/>
              <w:rPr>
                <w:rFonts w:eastAsia="Calibri"/>
                <w:color w:val="000000"/>
              </w:rPr>
            </w:pPr>
          </w:p>
        </w:tc>
        <w:tc>
          <w:tcPr>
            <w:tcW w:w="2391" w:type="dxa"/>
            <w:shd w:val="clear" w:color="auto" w:fill="auto"/>
          </w:tcPr>
          <w:p w14:paraId="0FAF1CF8" w14:textId="77777777" w:rsidR="00DD002D" w:rsidRPr="004F5FB4" w:rsidRDefault="000230EA" w:rsidP="004C7F0C">
            <w:pPr>
              <w:pStyle w:val="TableParagraph"/>
              <w:kinsoku w:val="0"/>
              <w:overflowPunct w:val="0"/>
              <w:ind w:hanging="95"/>
              <w:jc w:val="center"/>
              <w:rPr>
                <w:rFonts w:ascii="Times New Roman" w:hAnsi="Times New Roman"/>
                <w:b/>
                <w:bCs/>
                <w:color w:val="000000"/>
              </w:rPr>
            </w:pPr>
            <w:r w:rsidRPr="004F5FB4">
              <w:rPr>
                <w:rFonts w:ascii="Times New Roman" w:hAnsi="Times New Roman"/>
                <w:b/>
                <w:bCs/>
                <w:color w:val="000000"/>
              </w:rPr>
              <w:t xml:space="preserve">Placebo </w:t>
            </w:r>
          </w:p>
          <w:p w14:paraId="4BF70A18" w14:textId="77777777" w:rsidR="00DD002D" w:rsidRPr="004F5FB4" w:rsidRDefault="000230EA" w:rsidP="004C7F0C">
            <w:pPr>
              <w:pStyle w:val="TableParagraph"/>
              <w:kinsoku w:val="0"/>
              <w:overflowPunct w:val="0"/>
              <w:ind w:hanging="95"/>
              <w:jc w:val="center"/>
              <w:rPr>
                <w:rFonts w:ascii="Times New Roman" w:hAnsi="Times New Roman"/>
                <w:b/>
                <w:bCs/>
                <w:color w:val="000000"/>
              </w:rPr>
            </w:pPr>
            <w:r w:rsidRPr="004F5FB4">
              <w:rPr>
                <w:rFonts w:ascii="Times New Roman" w:hAnsi="Times New Roman"/>
                <w:b/>
                <w:bCs/>
                <w:color w:val="000000"/>
              </w:rPr>
              <w:t>n</w:t>
            </w:r>
            <w:r w:rsidR="00C37955" w:rsidRPr="004F5FB4">
              <w:rPr>
                <w:rFonts w:ascii="Times New Roman" w:hAnsi="Times New Roman"/>
                <w:b/>
                <w:bCs/>
                <w:color w:val="000000"/>
              </w:rPr>
              <w:t> </w:t>
            </w:r>
            <w:r w:rsidRPr="004F5FB4">
              <w:rPr>
                <w:rFonts w:ascii="Times New Roman" w:hAnsi="Times New Roman"/>
                <w:b/>
                <w:bCs/>
                <w:color w:val="000000"/>
              </w:rPr>
              <w:t>=</w:t>
            </w:r>
            <w:r w:rsidR="00C37955" w:rsidRPr="004F5FB4">
              <w:rPr>
                <w:rFonts w:ascii="Times New Roman" w:hAnsi="Times New Roman"/>
                <w:b/>
                <w:bCs/>
                <w:color w:val="000000"/>
              </w:rPr>
              <w:t> </w:t>
            </w:r>
            <w:r w:rsidRPr="004F5FB4">
              <w:rPr>
                <w:rFonts w:ascii="Times New Roman" w:hAnsi="Times New Roman"/>
                <w:b/>
                <w:bCs/>
                <w:color w:val="000000"/>
              </w:rPr>
              <w:t xml:space="preserve">53 </w:t>
            </w:r>
          </w:p>
          <w:p w14:paraId="5F4B224E" w14:textId="77777777" w:rsidR="000230EA" w:rsidRPr="004F5FB4" w:rsidRDefault="000230EA" w:rsidP="004C7F0C">
            <w:pPr>
              <w:pStyle w:val="TableParagraph"/>
              <w:kinsoku w:val="0"/>
              <w:overflowPunct w:val="0"/>
              <w:ind w:hanging="95"/>
              <w:jc w:val="center"/>
              <w:rPr>
                <w:rFonts w:ascii="Times New Roman" w:hAnsi="Times New Roman"/>
                <w:color w:val="000000"/>
              </w:rPr>
            </w:pPr>
            <w:r w:rsidRPr="004F5FB4">
              <w:rPr>
                <w:rFonts w:ascii="Times New Roman" w:hAnsi="Times New Roman"/>
                <w:b/>
                <w:bCs/>
                <w:color w:val="000000"/>
              </w:rPr>
              <w:t>n (%)</w:t>
            </w:r>
          </w:p>
        </w:tc>
        <w:tc>
          <w:tcPr>
            <w:tcW w:w="2392" w:type="dxa"/>
            <w:shd w:val="clear" w:color="auto" w:fill="auto"/>
          </w:tcPr>
          <w:p w14:paraId="606FFBED" w14:textId="77777777" w:rsidR="00DD002D" w:rsidRPr="004F5FB4" w:rsidRDefault="000230EA" w:rsidP="004C7F0C">
            <w:pPr>
              <w:pStyle w:val="TableParagraph"/>
              <w:kinsoku w:val="0"/>
              <w:overflowPunct w:val="0"/>
              <w:ind w:firstLine="50"/>
              <w:jc w:val="center"/>
              <w:rPr>
                <w:rFonts w:ascii="Times New Roman" w:hAnsi="Times New Roman"/>
                <w:b/>
                <w:bCs/>
                <w:color w:val="000000"/>
              </w:rPr>
            </w:pPr>
            <w:r w:rsidRPr="004F5FB4">
              <w:rPr>
                <w:rFonts w:ascii="Times New Roman" w:hAnsi="Times New Roman"/>
                <w:b/>
                <w:bCs/>
                <w:color w:val="000000"/>
              </w:rPr>
              <w:t xml:space="preserve">Methotrexat (MTX) </w:t>
            </w:r>
          </w:p>
          <w:p w14:paraId="43209B06" w14:textId="77777777" w:rsidR="00DD002D" w:rsidRPr="004F5FB4" w:rsidRDefault="000230EA" w:rsidP="004C7F0C">
            <w:pPr>
              <w:pStyle w:val="TableParagraph"/>
              <w:kinsoku w:val="0"/>
              <w:overflowPunct w:val="0"/>
              <w:ind w:firstLine="50"/>
              <w:jc w:val="center"/>
              <w:rPr>
                <w:rFonts w:ascii="Times New Roman" w:hAnsi="Times New Roman"/>
                <w:b/>
                <w:bCs/>
                <w:color w:val="000000"/>
              </w:rPr>
            </w:pPr>
            <w:r w:rsidRPr="004F5FB4">
              <w:rPr>
                <w:rFonts w:ascii="Times New Roman" w:hAnsi="Times New Roman"/>
                <w:b/>
                <w:bCs/>
                <w:color w:val="000000"/>
              </w:rPr>
              <w:t>n</w:t>
            </w:r>
            <w:r w:rsidR="00C37955" w:rsidRPr="004F5FB4">
              <w:rPr>
                <w:rFonts w:ascii="Times New Roman" w:hAnsi="Times New Roman"/>
                <w:b/>
                <w:bCs/>
                <w:color w:val="000000"/>
              </w:rPr>
              <w:t> </w:t>
            </w:r>
            <w:r w:rsidRPr="004F5FB4">
              <w:rPr>
                <w:rFonts w:ascii="Times New Roman" w:hAnsi="Times New Roman"/>
                <w:b/>
                <w:bCs/>
                <w:color w:val="000000"/>
              </w:rPr>
              <w:t>=</w:t>
            </w:r>
            <w:r w:rsidR="00C37955" w:rsidRPr="004F5FB4">
              <w:rPr>
                <w:rFonts w:ascii="Times New Roman" w:hAnsi="Times New Roman"/>
                <w:b/>
                <w:bCs/>
                <w:color w:val="000000"/>
              </w:rPr>
              <w:t> </w:t>
            </w:r>
            <w:r w:rsidRPr="004F5FB4">
              <w:rPr>
                <w:rFonts w:ascii="Times New Roman" w:hAnsi="Times New Roman"/>
                <w:b/>
                <w:bCs/>
                <w:color w:val="000000"/>
              </w:rPr>
              <w:t xml:space="preserve">110 </w:t>
            </w:r>
          </w:p>
          <w:p w14:paraId="54E80C8C" w14:textId="77777777" w:rsidR="000230EA" w:rsidRPr="004F5FB4" w:rsidRDefault="000230EA" w:rsidP="004C7F0C">
            <w:pPr>
              <w:pStyle w:val="TableParagraph"/>
              <w:kinsoku w:val="0"/>
              <w:overflowPunct w:val="0"/>
              <w:ind w:firstLine="50"/>
              <w:jc w:val="center"/>
              <w:rPr>
                <w:rFonts w:ascii="Times New Roman" w:hAnsi="Times New Roman"/>
                <w:color w:val="000000"/>
              </w:rPr>
            </w:pPr>
            <w:r w:rsidRPr="004F5FB4">
              <w:rPr>
                <w:rFonts w:ascii="Times New Roman" w:hAnsi="Times New Roman"/>
                <w:b/>
                <w:bCs/>
                <w:color w:val="000000"/>
              </w:rPr>
              <w:t>n (%)</w:t>
            </w:r>
          </w:p>
        </w:tc>
        <w:tc>
          <w:tcPr>
            <w:tcW w:w="2392" w:type="dxa"/>
            <w:shd w:val="clear" w:color="auto" w:fill="auto"/>
          </w:tcPr>
          <w:p w14:paraId="653628C1" w14:textId="77777777" w:rsidR="00D92C61" w:rsidRPr="004F5FB4" w:rsidRDefault="00E56A72" w:rsidP="004C7F0C">
            <w:pPr>
              <w:pStyle w:val="TableParagraph"/>
              <w:kinsoku w:val="0"/>
              <w:overflowPunct w:val="0"/>
              <w:jc w:val="center"/>
              <w:rPr>
                <w:rFonts w:ascii="Times New Roman" w:hAnsi="Times New Roman"/>
                <w:b/>
                <w:bCs/>
                <w:color w:val="000000"/>
              </w:rPr>
            </w:pPr>
            <w:r w:rsidRPr="004F5FB4">
              <w:rPr>
                <w:rFonts w:ascii="Times New Roman" w:hAnsi="Times New Roman"/>
                <w:b/>
                <w:color w:val="000000"/>
              </w:rPr>
              <w:t>Adalimumab</w:t>
            </w:r>
            <w:r w:rsidRPr="004F5FB4">
              <w:rPr>
                <w:rFonts w:ascii="Times New Roman" w:hAnsi="Times New Roman"/>
                <w:b/>
                <w:bCs/>
                <w:color w:val="000000"/>
              </w:rPr>
              <w:t xml:space="preserve"> 40</w:t>
            </w:r>
            <w:r w:rsidRPr="004F5FB4">
              <w:rPr>
                <w:rFonts w:ascii="Times New Roman" w:hAnsi="Times New Roman"/>
                <w:b/>
                <w:color w:val="000000"/>
              </w:rPr>
              <w:t> </w:t>
            </w:r>
            <w:r w:rsidRPr="004F5FB4">
              <w:rPr>
                <w:rFonts w:ascii="Times New Roman" w:hAnsi="Times New Roman"/>
                <w:b/>
                <w:bCs/>
                <w:color w:val="000000"/>
              </w:rPr>
              <w:t>mg jede zweite Woche</w:t>
            </w:r>
          </w:p>
          <w:p w14:paraId="69C66268" w14:textId="77777777" w:rsidR="000230EA" w:rsidRPr="004F5FB4" w:rsidRDefault="000230EA" w:rsidP="004C7F0C">
            <w:pPr>
              <w:pStyle w:val="TableParagraph"/>
              <w:kinsoku w:val="0"/>
              <w:overflowPunct w:val="0"/>
              <w:jc w:val="center"/>
              <w:rPr>
                <w:rFonts w:ascii="Times New Roman" w:hAnsi="Times New Roman"/>
                <w:color w:val="000000"/>
              </w:rPr>
            </w:pPr>
            <w:r w:rsidRPr="004F5FB4">
              <w:rPr>
                <w:rFonts w:ascii="Times New Roman" w:hAnsi="Times New Roman"/>
                <w:b/>
                <w:bCs/>
                <w:color w:val="000000"/>
              </w:rPr>
              <w:t>n</w:t>
            </w:r>
            <w:r w:rsidR="00C37955" w:rsidRPr="004F5FB4">
              <w:rPr>
                <w:rFonts w:ascii="Times New Roman" w:hAnsi="Times New Roman"/>
                <w:b/>
                <w:bCs/>
                <w:color w:val="000000"/>
              </w:rPr>
              <w:t> </w:t>
            </w:r>
            <w:r w:rsidRPr="004F5FB4">
              <w:rPr>
                <w:rFonts w:ascii="Times New Roman" w:hAnsi="Times New Roman"/>
                <w:b/>
                <w:bCs/>
                <w:color w:val="000000"/>
              </w:rPr>
              <w:t>=</w:t>
            </w:r>
            <w:r w:rsidR="00C37955" w:rsidRPr="004F5FB4">
              <w:rPr>
                <w:rFonts w:ascii="Times New Roman" w:hAnsi="Times New Roman"/>
                <w:b/>
                <w:bCs/>
                <w:color w:val="000000"/>
              </w:rPr>
              <w:t> </w:t>
            </w:r>
            <w:r w:rsidRPr="004F5FB4">
              <w:rPr>
                <w:rFonts w:ascii="Times New Roman" w:hAnsi="Times New Roman"/>
                <w:b/>
                <w:bCs/>
                <w:color w:val="000000"/>
              </w:rPr>
              <w:t>108</w:t>
            </w:r>
          </w:p>
          <w:p w14:paraId="7ABA1801" w14:textId="77777777" w:rsidR="000230EA" w:rsidRPr="004F5FB4" w:rsidRDefault="000230EA" w:rsidP="004C7F0C">
            <w:pPr>
              <w:pStyle w:val="TableParagraph"/>
              <w:kinsoku w:val="0"/>
              <w:overflowPunct w:val="0"/>
              <w:spacing w:line="252" w:lineRule="exact"/>
              <w:jc w:val="center"/>
              <w:rPr>
                <w:rFonts w:ascii="Times New Roman" w:hAnsi="Times New Roman"/>
                <w:color w:val="000000"/>
              </w:rPr>
            </w:pPr>
            <w:r w:rsidRPr="004F5FB4">
              <w:rPr>
                <w:rFonts w:ascii="Times New Roman" w:hAnsi="Times New Roman"/>
                <w:b/>
                <w:bCs/>
                <w:color w:val="000000"/>
              </w:rPr>
              <w:t>n (%)</w:t>
            </w:r>
          </w:p>
        </w:tc>
      </w:tr>
      <w:tr w:rsidR="000230EA" w:rsidRPr="004F5FB4" w14:paraId="603ED51C" w14:textId="77777777" w:rsidTr="006A2129">
        <w:tc>
          <w:tcPr>
            <w:tcW w:w="2128" w:type="dxa"/>
            <w:shd w:val="clear" w:color="auto" w:fill="auto"/>
          </w:tcPr>
          <w:p w14:paraId="0870E8E0" w14:textId="77777777" w:rsidR="000230EA" w:rsidRPr="004F5FB4" w:rsidRDefault="00F075B4" w:rsidP="004C7F0C">
            <w:pPr>
              <w:pStyle w:val="TableParagraph"/>
              <w:kinsoku w:val="0"/>
              <w:overflowPunct w:val="0"/>
              <w:spacing w:line="268" w:lineRule="exact"/>
              <w:rPr>
                <w:rFonts w:ascii="Times New Roman" w:hAnsi="Times New Roman"/>
                <w:color w:val="000000"/>
              </w:rPr>
            </w:pPr>
            <w:r w:rsidRPr="004F5FB4">
              <w:rPr>
                <w:rFonts w:ascii="Times New Roman" w:hAnsi="Times New Roman"/>
                <w:bCs/>
                <w:color w:val="000000"/>
              </w:rPr>
              <w:t>≥</w:t>
            </w:r>
            <w:r w:rsidR="00D13410" w:rsidRPr="004F5FB4">
              <w:rPr>
                <w:rFonts w:ascii="Times New Roman" w:hAnsi="Times New Roman"/>
                <w:bCs/>
                <w:color w:val="000000"/>
              </w:rPr>
              <w:t> </w:t>
            </w:r>
            <w:r w:rsidRPr="004F5FB4">
              <w:rPr>
                <w:rFonts w:ascii="Times New Roman" w:hAnsi="Times New Roman"/>
                <w:bCs/>
                <w:color w:val="000000"/>
              </w:rPr>
              <w:t>PASI-75</w:t>
            </w:r>
          </w:p>
        </w:tc>
        <w:tc>
          <w:tcPr>
            <w:tcW w:w="2391" w:type="dxa"/>
            <w:shd w:val="clear" w:color="auto" w:fill="auto"/>
          </w:tcPr>
          <w:p w14:paraId="6EA28A60" w14:textId="77777777" w:rsidR="000230EA" w:rsidRPr="004F5FB4" w:rsidRDefault="000230EA" w:rsidP="004C7F0C">
            <w:pPr>
              <w:pStyle w:val="TableParagraph"/>
              <w:kinsoku w:val="0"/>
              <w:overflowPunct w:val="0"/>
              <w:spacing w:line="251" w:lineRule="exact"/>
              <w:jc w:val="center"/>
              <w:rPr>
                <w:rFonts w:ascii="Times New Roman" w:hAnsi="Times New Roman"/>
                <w:color w:val="000000"/>
              </w:rPr>
            </w:pPr>
            <w:r w:rsidRPr="004F5FB4">
              <w:rPr>
                <w:rFonts w:ascii="Times New Roman" w:hAnsi="Times New Roman"/>
                <w:color w:val="000000"/>
              </w:rPr>
              <w:t>10 (18,9)</w:t>
            </w:r>
          </w:p>
        </w:tc>
        <w:tc>
          <w:tcPr>
            <w:tcW w:w="2392" w:type="dxa"/>
            <w:shd w:val="clear" w:color="auto" w:fill="auto"/>
          </w:tcPr>
          <w:p w14:paraId="6CA37D22" w14:textId="77777777" w:rsidR="000230EA" w:rsidRPr="004F5FB4" w:rsidRDefault="000230EA" w:rsidP="004C7F0C">
            <w:pPr>
              <w:pStyle w:val="TableParagraph"/>
              <w:kinsoku w:val="0"/>
              <w:overflowPunct w:val="0"/>
              <w:spacing w:line="251" w:lineRule="exact"/>
              <w:jc w:val="center"/>
              <w:rPr>
                <w:rFonts w:ascii="Times New Roman" w:hAnsi="Times New Roman"/>
                <w:color w:val="000000"/>
              </w:rPr>
            </w:pPr>
            <w:r w:rsidRPr="004F5FB4">
              <w:rPr>
                <w:rFonts w:ascii="Times New Roman" w:hAnsi="Times New Roman"/>
                <w:color w:val="000000"/>
              </w:rPr>
              <w:t>39 (35,5)</w:t>
            </w:r>
          </w:p>
        </w:tc>
        <w:tc>
          <w:tcPr>
            <w:tcW w:w="2392" w:type="dxa"/>
            <w:shd w:val="clear" w:color="auto" w:fill="auto"/>
          </w:tcPr>
          <w:p w14:paraId="57046FB8" w14:textId="77777777" w:rsidR="000230EA" w:rsidRPr="004F5FB4" w:rsidRDefault="000230EA" w:rsidP="004C7F0C">
            <w:pPr>
              <w:pStyle w:val="TableParagraph"/>
              <w:kinsoku w:val="0"/>
              <w:overflowPunct w:val="0"/>
              <w:spacing w:line="251" w:lineRule="exact"/>
              <w:jc w:val="center"/>
              <w:rPr>
                <w:rFonts w:ascii="Times New Roman" w:hAnsi="Times New Roman"/>
                <w:color w:val="000000"/>
              </w:rPr>
            </w:pPr>
            <w:r w:rsidRPr="004F5FB4">
              <w:rPr>
                <w:rFonts w:ascii="Times New Roman" w:hAnsi="Times New Roman"/>
                <w:color w:val="000000"/>
              </w:rPr>
              <w:t>86 (79,6)</w:t>
            </w:r>
            <w:r w:rsidRPr="004F5FB4">
              <w:rPr>
                <w:rFonts w:ascii="Times New Roman" w:hAnsi="Times New Roman"/>
                <w:color w:val="000000"/>
                <w:vertAlign w:val="superscript"/>
              </w:rPr>
              <w:t>a,b</w:t>
            </w:r>
          </w:p>
        </w:tc>
      </w:tr>
      <w:tr w:rsidR="000230EA" w:rsidRPr="004F5FB4" w14:paraId="2668AD43" w14:textId="77777777" w:rsidTr="006A2129">
        <w:tc>
          <w:tcPr>
            <w:tcW w:w="2128" w:type="dxa"/>
            <w:shd w:val="clear" w:color="auto" w:fill="auto"/>
          </w:tcPr>
          <w:p w14:paraId="65828942" w14:textId="77777777" w:rsidR="000230EA" w:rsidRPr="004F5FB4" w:rsidRDefault="000230EA" w:rsidP="004C7F0C">
            <w:pPr>
              <w:pStyle w:val="TableParagraph"/>
              <w:kinsoku w:val="0"/>
              <w:overflowPunct w:val="0"/>
              <w:spacing w:line="252" w:lineRule="exact"/>
              <w:rPr>
                <w:rFonts w:ascii="Times New Roman" w:hAnsi="Times New Roman"/>
                <w:color w:val="000000"/>
              </w:rPr>
            </w:pPr>
            <w:r w:rsidRPr="004F5FB4">
              <w:rPr>
                <w:rFonts w:ascii="Times New Roman" w:hAnsi="Times New Roman"/>
                <w:bCs/>
                <w:color w:val="000000"/>
              </w:rPr>
              <w:t>PASI</w:t>
            </w:r>
            <w:r w:rsidR="00C37955" w:rsidRPr="004F5FB4">
              <w:rPr>
                <w:rFonts w:ascii="Times New Roman" w:hAnsi="Times New Roman"/>
                <w:bCs/>
                <w:color w:val="000000"/>
              </w:rPr>
              <w:t> </w:t>
            </w:r>
            <w:r w:rsidRPr="004F5FB4">
              <w:rPr>
                <w:rFonts w:ascii="Times New Roman" w:hAnsi="Times New Roman"/>
                <w:bCs/>
                <w:color w:val="000000"/>
              </w:rPr>
              <w:t>100</w:t>
            </w:r>
          </w:p>
        </w:tc>
        <w:tc>
          <w:tcPr>
            <w:tcW w:w="2391" w:type="dxa"/>
            <w:shd w:val="clear" w:color="auto" w:fill="auto"/>
          </w:tcPr>
          <w:p w14:paraId="5BD88D01" w14:textId="77777777" w:rsidR="000230EA" w:rsidRPr="004F5FB4" w:rsidRDefault="000230EA" w:rsidP="004C7F0C">
            <w:pPr>
              <w:pStyle w:val="TableParagraph"/>
              <w:kinsoku w:val="0"/>
              <w:overflowPunct w:val="0"/>
              <w:spacing w:line="251" w:lineRule="exact"/>
              <w:jc w:val="center"/>
              <w:rPr>
                <w:rFonts w:ascii="Times New Roman" w:hAnsi="Times New Roman"/>
                <w:color w:val="000000"/>
              </w:rPr>
            </w:pPr>
            <w:r w:rsidRPr="004F5FB4">
              <w:rPr>
                <w:rFonts w:ascii="Times New Roman" w:hAnsi="Times New Roman"/>
                <w:color w:val="000000"/>
              </w:rPr>
              <w:t>1 (1,9)</w:t>
            </w:r>
          </w:p>
        </w:tc>
        <w:tc>
          <w:tcPr>
            <w:tcW w:w="2392" w:type="dxa"/>
            <w:shd w:val="clear" w:color="auto" w:fill="auto"/>
          </w:tcPr>
          <w:p w14:paraId="1DA64C03" w14:textId="77777777" w:rsidR="000230EA" w:rsidRPr="004F5FB4" w:rsidRDefault="000230EA" w:rsidP="004C7F0C">
            <w:pPr>
              <w:pStyle w:val="TableParagraph"/>
              <w:kinsoku w:val="0"/>
              <w:overflowPunct w:val="0"/>
              <w:spacing w:line="251" w:lineRule="exact"/>
              <w:jc w:val="center"/>
              <w:rPr>
                <w:rFonts w:ascii="Times New Roman" w:hAnsi="Times New Roman"/>
                <w:color w:val="000000"/>
              </w:rPr>
            </w:pPr>
            <w:r w:rsidRPr="004F5FB4">
              <w:rPr>
                <w:rFonts w:ascii="Times New Roman" w:hAnsi="Times New Roman"/>
                <w:color w:val="000000"/>
              </w:rPr>
              <w:t>8 (7,3)</w:t>
            </w:r>
          </w:p>
        </w:tc>
        <w:tc>
          <w:tcPr>
            <w:tcW w:w="2392" w:type="dxa"/>
            <w:shd w:val="clear" w:color="auto" w:fill="auto"/>
          </w:tcPr>
          <w:p w14:paraId="0FBED11B" w14:textId="77777777" w:rsidR="000230EA" w:rsidRPr="004F5FB4" w:rsidRDefault="000230EA" w:rsidP="004C7F0C">
            <w:pPr>
              <w:pStyle w:val="TableParagraph"/>
              <w:kinsoku w:val="0"/>
              <w:overflowPunct w:val="0"/>
              <w:spacing w:line="249" w:lineRule="exact"/>
              <w:jc w:val="center"/>
              <w:rPr>
                <w:rFonts w:ascii="Times New Roman" w:hAnsi="Times New Roman"/>
                <w:color w:val="000000"/>
              </w:rPr>
            </w:pPr>
            <w:r w:rsidRPr="004F5FB4">
              <w:rPr>
                <w:rFonts w:ascii="Times New Roman" w:hAnsi="Times New Roman"/>
                <w:color w:val="000000"/>
              </w:rPr>
              <w:t>18 (16,7)</w:t>
            </w:r>
            <w:r w:rsidRPr="004F5FB4">
              <w:rPr>
                <w:rFonts w:ascii="Times New Roman" w:hAnsi="Times New Roman"/>
                <w:color w:val="000000"/>
                <w:vertAlign w:val="superscript"/>
              </w:rPr>
              <w:t>c,d</w:t>
            </w:r>
          </w:p>
        </w:tc>
      </w:tr>
      <w:tr w:rsidR="000230EA" w:rsidRPr="004F5FB4" w14:paraId="1A98765F" w14:textId="77777777" w:rsidTr="006A2129">
        <w:tc>
          <w:tcPr>
            <w:tcW w:w="2128" w:type="dxa"/>
            <w:tcBorders>
              <w:bottom w:val="single" w:sz="4" w:space="0" w:color="auto"/>
            </w:tcBorders>
            <w:shd w:val="clear" w:color="auto" w:fill="auto"/>
          </w:tcPr>
          <w:p w14:paraId="18CB9C83" w14:textId="77777777" w:rsidR="000230EA" w:rsidRPr="004F5FB4" w:rsidRDefault="000230EA" w:rsidP="004C7F0C">
            <w:pPr>
              <w:pStyle w:val="TableParagraph"/>
              <w:kinsoku w:val="0"/>
              <w:overflowPunct w:val="0"/>
              <w:rPr>
                <w:rFonts w:ascii="Times New Roman" w:hAnsi="Times New Roman"/>
                <w:color w:val="000000"/>
              </w:rPr>
            </w:pPr>
            <w:r w:rsidRPr="004F5FB4">
              <w:rPr>
                <w:rFonts w:ascii="Times New Roman" w:hAnsi="Times New Roman"/>
                <w:bCs/>
                <w:color w:val="000000"/>
              </w:rPr>
              <w:t>PGA:</w:t>
            </w:r>
            <w:r w:rsidR="00C37955" w:rsidRPr="004F5FB4">
              <w:rPr>
                <w:rFonts w:ascii="Times New Roman" w:hAnsi="Times New Roman"/>
                <w:bCs/>
                <w:color w:val="000000"/>
              </w:rPr>
              <w:t xml:space="preserve"> </w:t>
            </w:r>
            <w:r w:rsidRPr="004F5FB4">
              <w:rPr>
                <w:rFonts w:ascii="Times New Roman" w:hAnsi="Times New Roman"/>
                <w:bCs/>
                <w:color w:val="000000"/>
              </w:rPr>
              <w:t>erscheinungsfrei/</w:t>
            </w:r>
            <w:r w:rsidR="008A73B5" w:rsidRPr="004F5FB4">
              <w:rPr>
                <w:rFonts w:ascii="Times New Roman" w:hAnsi="Times New Roman"/>
                <w:bCs/>
                <w:color w:val="000000"/>
              </w:rPr>
              <w:t xml:space="preserve"> </w:t>
            </w:r>
            <w:r w:rsidRPr="004F5FB4">
              <w:rPr>
                <w:rFonts w:ascii="Times New Roman" w:hAnsi="Times New Roman"/>
                <w:bCs/>
                <w:color w:val="000000"/>
              </w:rPr>
              <w:t>minimal</w:t>
            </w:r>
          </w:p>
        </w:tc>
        <w:tc>
          <w:tcPr>
            <w:tcW w:w="2391" w:type="dxa"/>
            <w:tcBorders>
              <w:bottom w:val="single" w:sz="4" w:space="0" w:color="auto"/>
            </w:tcBorders>
            <w:shd w:val="clear" w:color="auto" w:fill="auto"/>
          </w:tcPr>
          <w:p w14:paraId="564017C5" w14:textId="77777777" w:rsidR="000230EA" w:rsidRPr="004F5FB4" w:rsidRDefault="000230EA" w:rsidP="004C7F0C">
            <w:pPr>
              <w:pStyle w:val="TableParagraph"/>
              <w:kinsoku w:val="0"/>
              <w:overflowPunct w:val="0"/>
              <w:spacing w:line="249" w:lineRule="exact"/>
              <w:jc w:val="center"/>
              <w:rPr>
                <w:rFonts w:ascii="Times New Roman" w:hAnsi="Times New Roman"/>
                <w:color w:val="000000"/>
              </w:rPr>
            </w:pPr>
            <w:r w:rsidRPr="004F5FB4">
              <w:rPr>
                <w:rFonts w:ascii="Times New Roman" w:hAnsi="Times New Roman"/>
                <w:color w:val="000000"/>
              </w:rPr>
              <w:t>6 (11,3)</w:t>
            </w:r>
          </w:p>
        </w:tc>
        <w:tc>
          <w:tcPr>
            <w:tcW w:w="2392" w:type="dxa"/>
            <w:tcBorders>
              <w:bottom w:val="single" w:sz="4" w:space="0" w:color="auto"/>
            </w:tcBorders>
            <w:shd w:val="clear" w:color="auto" w:fill="auto"/>
          </w:tcPr>
          <w:p w14:paraId="73DCB3A9" w14:textId="77777777" w:rsidR="000230EA" w:rsidRPr="004F5FB4" w:rsidRDefault="000230EA" w:rsidP="004C7F0C">
            <w:pPr>
              <w:pStyle w:val="TableParagraph"/>
              <w:kinsoku w:val="0"/>
              <w:overflowPunct w:val="0"/>
              <w:spacing w:line="249" w:lineRule="exact"/>
              <w:jc w:val="center"/>
              <w:rPr>
                <w:rFonts w:ascii="Times New Roman" w:hAnsi="Times New Roman"/>
                <w:color w:val="000000"/>
              </w:rPr>
            </w:pPr>
            <w:r w:rsidRPr="004F5FB4">
              <w:rPr>
                <w:rFonts w:ascii="Times New Roman" w:hAnsi="Times New Roman"/>
                <w:color w:val="000000"/>
              </w:rPr>
              <w:t>33 (30,0)</w:t>
            </w:r>
          </w:p>
        </w:tc>
        <w:tc>
          <w:tcPr>
            <w:tcW w:w="2392" w:type="dxa"/>
            <w:tcBorders>
              <w:bottom w:val="single" w:sz="4" w:space="0" w:color="auto"/>
            </w:tcBorders>
            <w:shd w:val="clear" w:color="auto" w:fill="auto"/>
          </w:tcPr>
          <w:p w14:paraId="74E54517" w14:textId="77777777" w:rsidR="000230EA" w:rsidRPr="004F5FB4" w:rsidRDefault="000230EA" w:rsidP="004C7F0C">
            <w:pPr>
              <w:pStyle w:val="TableParagraph"/>
              <w:kinsoku w:val="0"/>
              <w:overflowPunct w:val="0"/>
              <w:spacing w:line="249" w:lineRule="exact"/>
              <w:jc w:val="center"/>
              <w:rPr>
                <w:rFonts w:ascii="Times New Roman" w:hAnsi="Times New Roman"/>
                <w:color w:val="000000"/>
              </w:rPr>
            </w:pPr>
            <w:r w:rsidRPr="004F5FB4">
              <w:rPr>
                <w:rFonts w:ascii="Times New Roman" w:hAnsi="Times New Roman"/>
                <w:color w:val="000000"/>
              </w:rPr>
              <w:t>79 (73,1)</w:t>
            </w:r>
            <w:r w:rsidRPr="004F5FB4">
              <w:rPr>
                <w:rFonts w:ascii="Times New Roman" w:hAnsi="Times New Roman"/>
                <w:color w:val="000000"/>
                <w:vertAlign w:val="superscript"/>
              </w:rPr>
              <w:t>a,b</w:t>
            </w:r>
          </w:p>
        </w:tc>
      </w:tr>
      <w:tr w:rsidR="006A2129" w:rsidRPr="005B2296" w14:paraId="77B27C18" w14:textId="77777777" w:rsidTr="006A2129">
        <w:tc>
          <w:tcPr>
            <w:tcW w:w="9303" w:type="dxa"/>
            <w:gridSpan w:val="4"/>
            <w:tcBorders>
              <w:left w:val="nil"/>
              <w:bottom w:val="nil"/>
              <w:right w:val="nil"/>
            </w:tcBorders>
            <w:shd w:val="clear" w:color="auto" w:fill="auto"/>
          </w:tcPr>
          <w:p w14:paraId="6601ED75" w14:textId="77777777" w:rsidR="006A2129" w:rsidRPr="00CB30D8" w:rsidRDefault="006A2129" w:rsidP="004C7F0C">
            <w:pPr>
              <w:pStyle w:val="BodyText"/>
              <w:kinsoku w:val="0"/>
              <w:overflowPunct w:val="0"/>
              <w:ind w:left="270" w:hanging="270"/>
              <w:rPr>
                <w:color w:val="000000"/>
                <w:sz w:val="20"/>
              </w:rPr>
            </w:pPr>
            <w:r w:rsidRPr="00CB30D8">
              <w:rPr>
                <w:color w:val="000000"/>
                <w:sz w:val="20"/>
                <w:vertAlign w:val="superscript"/>
              </w:rPr>
              <w:t>a</w:t>
            </w:r>
            <w:r w:rsidRPr="00CB30D8">
              <w:rPr>
                <w:color w:val="000000"/>
                <w:sz w:val="20"/>
              </w:rPr>
              <w:t xml:space="preserve"> </w:t>
            </w:r>
            <w:r w:rsidRPr="00CB30D8">
              <w:rPr>
                <w:color w:val="000000"/>
                <w:sz w:val="20"/>
              </w:rPr>
              <w:tab/>
              <w:t xml:space="preserve">p &lt; 0,001 Adalimumab </w:t>
            </w:r>
            <w:r w:rsidRPr="00CB30D8">
              <w:rPr>
                <w:i/>
                <w:color w:val="000000"/>
                <w:sz w:val="20"/>
              </w:rPr>
              <w:t>vs.</w:t>
            </w:r>
            <w:r w:rsidRPr="00CB30D8">
              <w:rPr>
                <w:color w:val="000000"/>
                <w:sz w:val="20"/>
              </w:rPr>
              <w:t xml:space="preserve"> Placebo</w:t>
            </w:r>
          </w:p>
          <w:p w14:paraId="72FF7E43" w14:textId="77777777" w:rsidR="006A2129" w:rsidRPr="00CB30D8" w:rsidRDefault="006A2129" w:rsidP="004C7F0C">
            <w:pPr>
              <w:pStyle w:val="BodyText"/>
              <w:kinsoku w:val="0"/>
              <w:overflowPunct w:val="0"/>
              <w:ind w:left="270" w:hanging="270"/>
              <w:rPr>
                <w:color w:val="000000"/>
                <w:sz w:val="20"/>
              </w:rPr>
            </w:pPr>
            <w:r w:rsidRPr="00CB30D8">
              <w:rPr>
                <w:color w:val="000000"/>
                <w:sz w:val="20"/>
                <w:vertAlign w:val="superscript"/>
              </w:rPr>
              <w:t>b</w:t>
            </w:r>
            <w:r w:rsidRPr="00CB30D8">
              <w:rPr>
                <w:color w:val="000000"/>
                <w:sz w:val="20"/>
              </w:rPr>
              <w:t xml:space="preserve"> </w:t>
            </w:r>
            <w:r w:rsidRPr="00CB30D8">
              <w:rPr>
                <w:color w:val="000000"/>
                <w:sz w:val="20"/>
              </w:rPr>
              <w:tab/>
              <w:t xml:space="preserve">p &lt; 0,001 Adalimumab </w:t>
            </w:r>
            <w:r w:rsidRPr="00CB30D8">
              <w:rPr>
                <w:i/>
                <w:color w:val="000000"/>
                <w:sz w:val="20"/>
              </w:rPr>
              <w:t>vs.</w:t>
            </w:r>
            <w:r w:rsidRPr="00CB30D8">
              <w:rPr>
                <w:color w:val="000000"/>
                <w:sz w:val="20"/>
              </w:rPr>
              <w:t xml:space="preserve"> Methotrexat</w:t>
            </w:r>
          </w:p>
          <w:p w14:paraId="4E9BCB99" w14:textId="77777777" w:rsidR="006A2129" w:rsidRPr="00EC03BF" w:rsidRDefault="006A2129" w:rsidP="004C7F0C">
            <w:pPr>
              <w:pStyle w:val="BodyText"/>
              <w:kinsoku w:val="0"/>
              <w:overflowPunct w:val="0"/>
              <w:ind w:left="270" w:hanging="270"/>
              <w:rPr>
                <w:color w:val="000000"/>
                <w:sz w:val="20"/>
              </w:rPr>
            </w:pPr>
            <w:r w:rsidRPr="00EC03BF">
              <w:rPr>
                <w:color w:val="000000"/>
                <w:sz w:val="20"/>
                <w:vertAlign w:val="superscript"/>
              </w:rPr>
              <w:t>c</w:t>
            </w:r>
            <w:r w:rsidRPr="00EC03BF">
              <w:rPr>
                <w:color w:val="000000"/>
                <w:sz w:val="20"/>
              </w:rPr>
              <w:t xml:space="preserve"> </w:t>
            </w:r>
            <w:r w:rsidRPr="00EC03BF">
              <w:rPr>
                <w:color w:val="000000"/>
                <w:sz w:val="20"/>
              </w:rPr>
              <w:tab/>
              <w:t xml:space="preserve">p &lt; 0,01 Adalimumab </w:t>
            </w:r>
            <w:r w:rsidRPr="00EC03BF">
              <w:rPr>
                <w:i/>
                <w:color w:val="000000"/>
                <w:sz w:val="20"/>
              </w:rPr>
              <w:t>vs.</w:t>
            </w:r>
            <w:r w:rsidRPr="00EC03BF">
              <w:rPr>
                <w:color w:val="000000"/>
                <w:sz w:val="20"/>
              </w:rPr>
              <w:t xml:space="preserve"> Placebo</w:t>
            </w:r>
          </w:p>
          <w:p w14:paraId="49DE7EC7" w14:textId="77777777" w:rsidR="006A2129" w:rsidRPr="00EC03BF" w:rsidRDefault="006A2129" w:rsidP="004C7F0C">
            <w:pPr>
              <w:pStyle w:val="BodyText"/>
              <w:kinsoku w:val="0"/>
              <w:overflowPunct w:val="0"/>
              <w:ind w:left="270" w:hanging="270"/>
              <w:rPr>
                <w:color w:val="000000"/>
                <w:sz w:val="20"/>
              </w:rPr>
            </w:pPr>
            <w:r w:rsidRPr="00EC03BF">
              <w:rPr>
                <w:color w:val="000000"/>
                <w:sz w:val="20"/>
                <w:vertAlign w:val="superscript"/>
              </w:rPr>
              <w:t>d</w:t>
            </w:r>
            <w:r w:rsidRPr="00EC03BF">
              <w:rPr>
                <w:color w:val="000000"/>
                <w:sz w:val="20"/>
              </w:rPr>
              <w:t xml:space="preserve"> </w:t>
            </w:r>
            <w:r w:rsidRPr="00EC03BF">
              <w:rPr>
                <w:color w:val="000000"/>
                <w:sz w:val="20"/>
              </w:rPr>
              <w:tab/>
              <w:t xml:space="preserve">p &lt; 0,05 Adalimumab </w:t>
            </w:r>
            <w:r w:rsidRPr="00EC03BF">
              <w:rPr>
                <w:i/>
                <w:color w:val="000000"/>
                <w:sz w:val="20"/>
              </w:rPr>
              <w:t>vs.</w:t>
            </w:r>
            <w:r w:rsidRPr="00EC03BF">
              <w:rPr>
                <w:color w:val="000000"/>
                <w:sz w:val="20"/>
              </w:rPr>
              <w:t xml:space="preserve"> Methotrexat</w:t>
            </w:r>
          </w:p>
        </w:tc>
      </w:tr>
    </w:tbl>
    <w:p w14:paraId="154FA2D3" w14:textId="77777777" w:rsidR="00D2772B" w:rsidRPr="00EC03BF" w:rsidRDefault="00D2772B" w:rsidP="004C7F0C">
      <w:pPr>
        <w:widowControl w:val="0"/>
        <w:rPr>
          <w:color w:val="000000"/>
        </w:rPr>
      </w:pPr>
    </w:p>
    <w:p w14:paraId="2B26471B" w14:textId="77777777" w:rsidR="00F075B4" w:rsidRPr="004F5FB4" w:rsidRDefault="00F075B4" w:rsidP="00387D0C">
      <w:pPr>
        <w:pStyle w:val="BodyText"/>
        <w:widowControl/>
        <w:kinsoku w:val="0"/>
        <w:overflowPunct w:val="0"/>
        <w:ind w:left="0"/>
        <w:rPr>
          <w:color w:val="000000"/>
        </w:rPr>
      </w:pPr>
      <w:r w:rsidRPr="004F5FB4">
        <w:rPr>
          <w:color w:val="000000"/>
        </w:rPr>
        <w:t>In der Psoriasis</w:t>
      </w:r>
      <w:r w:rsidR="008A73B5" w:rsidRPr="004F5FB4">
        <w:rPr>
          <w:color w:val="000000"/>
        </w:rPr>
        <w:t>-S</w:t>
      </w:r>
      <w:r w:rsidRPr="004F5FB4">
        <w:rPr>
          <w:color w:val="000000"/>
        </w:rPr>
        <w:t>tudie</w:t>
      </w:r>
      <w:r w:rsidR="008A73B5" w:rsidRPr="004F5FB4">
        <w:rPr>
          <w:color w:val="000000"/>
        </w:rPr>
        <w:t> </w:t>
      </w:r>
      <w:r w:rsidRPr="004F5FB4">
        <w:rPr>
          <w:color w:val="000000"/>
        </w:rPr>
        <w:t>I erfuhren 28 % der Patienten, die ein PASI-75-Ansprechen gezeigt hatten und in Woche</w:t>
      </w:r>
      <w:r w:rsidR="008A73B5" w:rsidRPr="004F5FB4">
        <w:rPr>
          <w:color w:val="000000"/>
        </w:rPr>
        <w:t> </w:t>
      </w:r>
      <w:r w:rsidRPr="004F5FB4">
        <w:rPr>
          <w:color w:val="000000"/>
        </w:rPr>
        <w:t>33 bei der erneuten Randomisierung der Placebogruppe zugeteilt worden waren, einen „Verlust des adäquaten Ansprechens</w:t>
      </w:r>
      <w:r w:rsidR="00F944C6" w:rsidRPr="004F5FB4">
        <w:rPr>
          <w:color w:val="000000"/>
        </w:rPr>
        <w:t>“</w:t>
      </w:r>
      <w:r w:rsidRPr="004F5FB4">
        <w:rPr>
          <w:color w:val="000000"/>
        </w:rPr>
        <w:t xml:space="preserve"> (PASI-Wert nach Woche</w:t>
      </w:r>
      <w:r w:rsidR="00241A94" w:rsidRPr="004F5FB4">
        <w:rPr>
          <w:color w:val="000000"/>
        </w:rPr>
        <w:t> </w:t>
      </w:r>
      <w:r w:rsidRPr="004F5FB4">
        <w:rPr>
          <w:color w:val="000000"/>
        </w:rPr>
        <w:t>33 bzw. in oder vor Woche</w:t>
      </w:r>
      <w:r w:rsidR="00241A94" w:rsidRPr="004F5FB4">
        <w:rPr>
          <w:color w:val="000000"/>
        </w:rPr>
        <w:t> </w:t>
      </w:r>
      <w:r w:rsidRPr="004F5FB4">
        <w:rPr>
          <w:color w:val="000000"/>
        </w:rPr>
        <w:t>52, der im Vergleich zum Studienbeginn zu einem geringeren Ansprechen als PASI-50 führte, bei einer gleichzeitigen Zunahme des PASI-Wertes um mindestens 6</w:t>
      </w:r>
      <w:r w:rsidR="00241A94" w:rsidRPr="004F5FB4">
        <w:rPr>
          <w:color w:val="000000"/>
        </w:rPr>
        <w:t> </w:t>
      </w:r>
      <w:r w:rsidRPr="004F5FB4">
        <w:rPr>
          <w:color w:val="000000"/>
        </w:rPr>
        <w:t>Punkte im Vergleich zu Woche</w:t>
      </w:r>
      <w:r w:rsidR="00241A94" w:rsidRPr="004F5FB4">
        <w:rPr>
          <w:color w:val="000000"/>
        </w:rPr>
        <w:t> </w:t>
      </w:r>
      <w:r w:rsidRPr="004F5FB4">
        <w:rPr>
          <w:color w:val="000000"/>
        </w:rPr>
        <w:t>33). Im Vergleich dazu erfuhren 5 % der Patienten, die weiterhin Adalimumab erhielten (p</w:t>
      </w:r>
      <w:r w:rsidR="00D13410" w:rsidRPr="004F5FB4">
        <w:rPr>
          <w:color w:val="000000"/>
        </w:rPr>
        <w:t> </w:t>
      </w:r>
      <w:r w:rsidRPr="004F5FB4">
        <w:rPr>
          <w:color w:val="000000"/>
        </w:rPr>
        <w:t>&lt;</w:t>
      </w:r>
      <w:r w:rsidR="00D13410" w:rsidRPr="004F5FB4">
        <w:rPr>
          <w:color w:val="000000"/>
        </w:rPr>
        <w:t> </w:t>
      </w:r>
      <w:r w:rsidRPr="004F5FB4">
        <w:rPr>
          <w:color w:val="000000"/>
        </w:rPr>
        <w:t>0,001), einen „Verlust des adäquaten Ansprechens</w:t>
      </w:r>
      <w:r w:rsidR="00F944C6" w:rsidRPr="004F5FB4">
        <w:rPr>
          <w:color w:val="000000"/>
        </w:rPr>
        <w:t>“</w:t>
      </w:r>
      <w:r w:rsidRPr="004F5FB4">
        <w:rPr>
          <w:color w:val="000000"/>
        </w:rPr>
        <w:t xml:space="preserve">. Von den Patienten, welche nach der erneuten Randomisierung auf Placebo einen Verlust des adäquaten Ansprechens zeigten und anschließend in die offene </w:t>
      </w:r>
      <w:r w:rsidR="00CA662E" w:rsidRPr="004F5FB4">
        <w:rPr>
          <w:color w:val="000000"/>
        </w:rPr>
        <w:t>Fortsetz</w:t>
      </w:r>
      <w:r w:rsidRPr="004F5FB4">
        <w:rPr>
          <w:color w:val="000000"/>
        </w:rPr>
        <w:t>ungs</w:t>
      </w:r>
      <w:r w:rsidR="00E0245A" w:rsidRPr="004F5FB4">
        <w:rPr>
          <w:color w:val="000000"/>
        </w:rPr>
        <w:t>phase</w:t>
      </w:r>
      <w:r w:rsidRPr="004F5FB4">
        <w:rPr>
          <w:color w:val="000000"/>
        </w:rPr>
        <w:t xml:space="preserve"> eingeschlossen wurden, erzielten 38</w:t>
      </w:r>
      <w:r w:rsidR="00241A94" w:rsidRPr="004F5FB4">
        <w:rPr>
          <w:color w:val="000000"/>
        </w:rPr>
        <w:t> </w:t>
      </w:r>
      <w:r w:rsidRPr="004F5FB4">
        <w:rPr>
          <w:color w:val="000000"/>
        </w:rPr>
        <w:t>% (25/66) bzw. 55</w:t>
      </w:r>
      <w:r w:rsidR="00241A94" w:rsidRPr="004F5FB4">
        <w:rPr>
          <w:color w:val="000000"/>
        </w:rPr>
        <w:t> </w:t>
      </w:r>
      <w:r w:rsidRPr="004F5FB4">
        <w:rPr>
          <w:color w:val="000000"/>
        </w:rPr>
        <w:t>% (36/66) nach 12 bzw. 24</w:t>
      </w:r>
      <w:r w:rsidR="008F58BB" w:rsidRPr="004F5FB4">
        <w:rPr>
          <w:color w:val="000000"/>
        </w:rPr>
        <w:t> </w:t>
      </w:r>
      <w:r w:rsidRPr="004F5FB4">
        <w:rPr>
          <w:color w:val="000000"/>
        </w:rPr>
        <w:t>Wochen aktiver Therapie wieder ein PASI-75-Ansprechen.</w:t>
      </w:r>
    </w:p>
    <w:p w14:paraId="7682911A" w14:textId="77777777" w:rsidR="00F075B4" w:rsidRPr="004F5FB4" w:rsidRDefault="00F075B4" w:rsidP="00387D0C">
      <w:pPr>
        <w:pStyle w:val="BodyText"/>
        <w:widowControl/>
        <w:kinsoku w:val="0"/>
        <w:overflowPunct w:val="0"/>
        <w:ind w:left="0"/>
        <w:rPr>
          <w:color w:val="000000"/>
        </w:rPr>
      </w:pPr>
    </w:p>
    <w:p w14:paraId="0A05786D" w14:textId="77777777" w:rsidR="00F075B4" w:rsidRPr="004F5FB4" w:rsidRDefault="00F075B4" w:rsidP="00387D0C">
      <w:pPr>
        <w:pStyle w:val="BodyText"/>
        <w:widowControl/>
        <w:kinsoku w:val="0"/>
        <w:overflowPunct w:val="0"/>
        <w:ind w:left="0"/>
        <w:rPr>
          <w:color w:val="000000"/>
        </w:rPr>
      </w:pPr>
      <w:r w:rsidRPr="004F5FB4">
        <w:rPr>
          <w:color w:val="000000"/>
        </w:rPr>
        <w:t>Insgesamt 233 Patienten, die ein PASI-75-Ansprechen in Woche</w:t>
      </w:r>
      <w:r w:rsidR="00241A94" w:rsidRPr="004F5FB4">
        <w:rPr>
          <w:color w:val="000000"/>
        </w:rPr>
        <w:t> </w:t>
      </w:r>
      <w:r w:rsidRPr="004F5FB4">
        <w:rPr>
          <w:color w:val="000000"/>
        </w:rPr>
        <w:t>16 und Woche</w:t>
      </w:r>
      <w:r w:rsidR="00241A94" w:rsidRPr="004F5FB4">
        <w:rPr>
          <w:color w:val="000000"/>
        </w:rPr>
        <w:t> </w:t>
      </w:r>
      <w:r w:rsidRPr="004F5FB4">
        <w:rPr>
          <w:color w:val="000000"/>
        </w:rPr>
        <w:t>33 gezeigt hatten, erhielten in der Psoriasis</w:t>
      </w:r>
      <w:r w:rsidR="00241A94" w:rsidRPr="004F5FB4">
        <w:rPr>
          <w:color w:val="000000"/>
        </w:rPr>
        <w:t>-S</w:t>
      </w:r>
      <w:r w:rsidRPr="004F5FB4">
        <w:rPr>
          <w:color w:val="000000"/>
        </w:rPr>
        <w:t>tudie</w:t>
      </w:r>
      <w:r w:rsidR="00241A94" w:rsidRPr="004F5FB4">
        <w:rPr>
          <w:color w:val="000000"/>
        </w:rPr>
        <w:t> </w:t>
      </w:r>
      <w:r w:rsidRPr="004F5FB4">
        <w:rPr>
          <w:color w:val="000000"/>
        </w:rPr>
        <w:t>I für 52</w:t>
      </w:r>
      <w:r w:rsidR="00241A94" w:rsidRPr="004F5FB4">
        <w:rPr>
          <w:color w:val="000000"/>
        </w:rPr>
        <w:t> </w:t>
      </w:r>
      <w:r w:rsidRPr="004F5FB4">
        <w:rPr>
          <w:color w:val="000000"/>
        </w:rPr>
        <w:t>Wochen eine Adalimumab-Dauertherapie und wurden mit Adalimumab in der offenen Erweiterungsstudie weiterbehandelt. Das PASI-75-Ansprechen bzw. das PGA-Ansprechen, definiert als PGA „erscheinungsfrei“ oder „minimal“, war bei diesen Patienten nach weiteren 108</w:t>
      </w:r>
      <w:r w:rsidR="00C37955" w:rsidRPr="004F5FB4">
        <w:rPr>
          <w:color w:val="000000"/>
        </w:rPr>
        <w:t> </w:t>
      </w:r>
      <w:r w:rsidRPr="004F5FB4">
        <w:rPr>
          <w:color w:val="000000"/>
        </w:rPr>
        <w:t>offenen Behandlungswochen (insgesamt 160</w:t>
      </w:r>
      <w:r w:rsidR="00241A94" w:rsidRPr="004F5FB4">
        <w:rPr>
          <w:color w:val="000000"/>
        </w:rPr>
        <w:t> </w:t>
      </w:r>
      <w:r w:rsidRPr="004F5FB4">
        <w:rPr>
          <w:color w:val="000000"/>
        </w:rPr>
        <w:t>Wochen) 74,7</w:t>
      </w:r>
      <w:r w:rsidR="00241A94" w:rsidRPr="004F5FB4">
        <w:rPr>
          <w:color w:val="000000"/>
        </w:rPr>
        <w:t> </w:t>
      </w:r>
      <w:r w:rsidRPr="004F5FB4">
        <w:rPr>
          <w:color w:val="000000"/>
        </w:rPr>
        <w:t>% bzw. 59,0</w:t>
      </w:r>
      <w:r w:rsidR="00241A94" w:rsidRPr="004F5FB4">
        <w:rPr>
          <w:color w:val="000000"/>
        </w:rPr>
        <w:t> </w:t>
      </w:r>
      <w:r w:rsidRPr="004F5FB4">
        <w:rPr>
          <w:color w:val="000000"/>
        </w:rPr>
        <w:t>%. In einer Non-Responder-Imputation(NRI)-Analyse, in der alle Patienten als Non-Responder 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w:t>
      </w:r>
      <w:r w:rsidR="00241A94" w:rsidRPr="004F5FB4">
        <w:rPr>
          <w:color w:val="000000"/>
        </w:rPr>
        <w:t> </w:t>
      </w:r>
      <w:r w:rsidRPr="004F5FB4">
        <w:rPr>
          <w:color w:val="000000"/>
        </w:rPr>
        <w:t xml:space="preserve">Wochen der offenen </w:t>
      </w:r>
      <w:r w:rsidR="00E0245A" w:rsidRPr="004F5FB4">
        <w:rPr>
          <w:color w:val="000000"/>
        </w:rPr>
        <w:t>Fortsetzungsb</w:t>
      </w:r>
      <w:r w:rsidRPr="004F5FB4">
        <w:rPr>
          <w:color w:val="000000"/>
        </w:rPr>
        <w:t>ehandlung (insgesamt 160</w:t>
      </w:r>
      <w:r w:rsidR="00241A94" w:rsidRPr="004F5FB4">
        <w:rPr>
          <w:color w:val="000000"/>
        </w:rPr>
        <w:t> </w:t>
      </w:r>
      <w:r w:rsidRPr="004F5FB4">
        <w:rPr>
          <w:color w:val="000000"/>
        </w:rPr>
        <w:t>Wochen) 69,6</w:t>
      </w:r>
      <w:r w:rsidR="00241A94" w:rsidRPr="004F5FB4">
        <w:rPr>
          <w:color w:val="000000"/>
        </w:rPr>
        <w:t> </w:t>
      </w:r>
      <w:r w:rsidRPr="004F5FB4">
        <w:rPr>
          <w:color w:val="000000"/>
        </w:rPr>
        <w:t>% bzw. 55,7</w:t>
      </w:r>
      <w:r w:rsidR="00241A94" w:rsidRPr="004F5FB4">
        <w:rPr>
          <w:color w:val="000000"/>
        </w:rPr>
        <w:t> </w:t>
      </w:r>
      <w:r w:rsidRPr="004F5FB4">
        <w:rPr>
          <w:color w:val="000000"/>
        </w:rPr>
        <w:t>%.</w:t>
      </w:r>
    </w:p>
    <w:p w14:paraId="0EE9A952" w14:textId="77777777" w:rsidR="00F075B4" w:rsidRPr="004F5FB4" w:rsidRDefault="00F075B4" w:rsidP="00387D0C">
      <w:pPr>
        <w:pStyle w:val="BodyText"/>
        <w:widowControl/>
        <w:kinsoku w:val="0"/>
        <w:overflowPunct w:val="0"/>
        <w:ind w:left="0"/>
        <w:rPr>
          <w:color w:val="000000"/>
          <w:szCs w:val="21"/>
        </w:rPr>
      </w:pPr>
    </w:p>
    <w:p w14:paraId="35115959" w14:textId="77777777" w:rsidR="00F075B4" w:rsidRPr="004F5FB4" w:rsidRDefault="00F075B4" w:rsidP="00387D0C">
      <w:pPr>
        <w:pStyle w:val="BodyText"/>
        <w:widowControl/>
        <w:kinsoku w:val="0"/>
        <w:overflowPunct w:val="0"/>
        <w:ind w:left="0"/>
        <w:rPr>
          <w:color w:val="000000"/>
        </w:rPr>
      </w:pPr>
      <w:r w:rsidRPr="004F5FB4">
        <w:rPr>
          <w:color w:val="000000"/>
        </w:rPr>
        <w:t>Insgesamt 347</w:t>
      </w:r>
      <w:r w:rsidR="00371A50" w:rsidRPr="004F5FB4">
        <w:rPr>
          <w:color w:val="000000"/>
        </w:rPr>
        <w:t> </w:t>
      </w:r>
      <w:r w:rsidRPr="004F5FB4">
        <w:rPr>
          <w:color w:val="000000"/>
        </w:rPr>
        <w:t xml:space="preserve">Patienten, die dauerhaft ansprachen, nahmen an einer Analyse einer Behandlungsunterbrechung und -wiederaufnahme in einer offenen </w:t>
      </w:r>
      <w:r w:rsidR="00E0245A" w:rsidRPr="004F5FB4">
        <w:rPr>
          <w:color w:val="000000"/>
        </w:rPr>
        <w:t>Fortsetz</w:t>
      </w:r>
      <w:r w:rsidRPr="004F5FB4">
        <w:rPr>
          <w:color w:val="000000"/>
        </w:rPr>
        <w:t xml:space="preserve">ungsstudie teil. Während der Phase der Behandlungsunterbrechung kehrten die Psoriasissymptome im Verlauf der Zeit mit einer durchschnittlichen </w:t>
      </w:r>
      <w:r w:rsidR="00E0245A" w:rsidRPr="004F5FB4">
        <w:rPr>
          <w:color w:val="000000"/>
        </w:rPr>
        <w:t>Rückfallz</w:t>
      </w:r>
      <w:r w:rsidRPr="004F5FB4">
        <w:rPr>
          <w:color w:val="000000"/>
        </w:rPr>
        <w:t>eit von etwa 5</w:t>
      </w:r>
      <w:r w:rsidR="00371A50" w:rsidRPr="004F5FB4">
        <w:rPr>
          <w:color w:val="000000"/>
        </w:rPr>
        <w:t> </w:t>
      </w:r>
      <w:r w:rsidRPr="004F5FB4">
        <w:rPr>
          <w:color w:val="000000"/>
        </w:rPr>
        <w:t>Monaten zurück (Verminderung des PGA auf „mittelschwer“ oder schlechter). Keiner dieser Patienten erfuhr einen Rebound-Effekt während der Unterbrechungsphase. Insgesamt 76,5</w:t>
      </w:r>
      <w:r w:rsidR="00371A50" w:rsidRPr="004F5FB4">
        <w:rPr>
          <w:color w:val="000000"/>
        </w:rPr>
        <w:t> </w:t>
      </w:r>
      <w:r w:rsidRPr="004F5FB4">
        <w:rPr>
          <w:color w:val="000000"/>
        </w:rPr>
        <w:t>% (218/285) der Patienten, die in die Phase eintraten, in der die Behandlung wiederaufgenommen wurde, hatten 16</w:t>
      </w:r>
      <w:r w:rsidR="00371A50" w:rsidRPr="004F5FB4">
        <w:rPr>
          <w:color w:val="000000"/>
        </w:rPr>
        <w:t> </w:t>
      </w:r>
      <w:r w:rsidRPr="004F5FB4">
        <w:rPr>
          <w:color w:val="000000"/>
        </w:rPr>
        <w:t>Wochen nach Wiederaufnahme der Behandlung ein PGA-Ansprechen, definiert als PGA „erscheinungsfrei“ oder „minimal“, unabhängig davon, ob sie während des Absetzens einen Rückfall hatten (69,1</w:t>
      </w:r>
      <w:r w:rsidR="00371A50" w:rsidRPr="004F5FB4">
        <w:rPr>
          <w:color w:val="000000"/>
        </w:rPr>
        <w:t> </w:t>
      </w:r>
      <w:r w:rsidRPr="004F5FB4">
        <w:rPr>
          <w:color w:val="000000"/>
        </w:rPr>
        <w:t>% [123/178] bzw. 88,8</w:t>
      </w:r>
      <w:r w:rsidR="00371A50" w:rsidRPr="004F5FB4">
        <w:rPr>
          <w:color w:val="000000"/>
        </w:rPr>
        <w:t> </w:t>
      </w:r>
      <w:r w:rsidRPr="004F5FB4">
        <w:rPr>
          <w:color w:val="000000"/>
        </w:rPr>
        <w:t>% [95/107] für Patienten, die während der Phase der Behandlungsunterbrechung einen Rückfall erlitten bzw. keinen Rückfall hatten). Es wurde ein ähnliches Sicherheitsprofil in der Phase, in der die Behandlung wiederaufgenommen wurde, beobachtet wie vor der Behandlungsunterbrechung.</w:t>
      </w:r>
    </w:p>
    <w:p w14:paraId="759D8BC3" w14:textId="77777777" w:rsidR="00F075B4" w:rsidRPr="004F5FB4" w:rsidRDefault="00F075B4" w:rsidP="00387D0C">
      <w:pPr>
        <w:pStyle w:val="BodyText"/>
        <w:widowControl/>
        <w:kinsoku w:val="0"/>
        <w:overflowPunct w:val="0"/>
        <w:ind w:left="0"/>
        <w:rPr>
          <w:color w:val="000000"/>
        </w:rPr>
      </w:pPr>
    </w:p>
    <w:p w14:paraId="3807AF47" w14:textId="77777777" w:rsidR="00F075B4" w:rsidRPr="004F5FB4" w:rsidRDefault="00F075B4" w:rsidP="00387D0C">
      <w:pPr>
        <w:pStyle w:val="BodyText"/>
        <w:widowControl/>
        <w:kinsoku w:val="0"/>
        <w:overflowPunct w:val="0"/>
        <w:ind w:left="0"/>
        <w:rPr>
          <w:color w:val="000000"/>
        </w:rPr>
      </w:pPr>
      <w:r w:rsidRPr="004F5FB4">
        <w:rPr>
          <w:color w:val="000000"/>
        </w:rPr>
        <w:t>Signifikante Verbesserungen des DLQI (Dermatology Life Quality Index) gegenüber dem Ausgangswert im Vergleich zu Placebo (Studien</w:t>
      </w:r>
      <w:r w:rsidR="00E21754" w:rsidRPr="004F5FB4">
        <w:rPr>
          <w:color w:val="000000"/>
        </w:rPr>
        <w:t> </w:t>
      </w:r>
      <w:r w:rsidRPr="004F5FB4">
        <w:rPr>
          <w:color w:val="000000"/>
        </w:rPr>
        <w:t>I und II) und Methotrexat (Studie</w:t>
      </w:r>
      <w:r w:rsidR="00E21754" w:rsidRPr="004F5FB4">
        <w:rPr>
          <w:color w:val="000000"/>
        </w:rPr>
        <w:t> </w:t>
      </w:r>
      <w:r w:rsidRPr="004F5FB4">
        <w:rPr>
          <w:color w:val="000000"/>
        </w:rPr>
        <w:t>II) wurden zu Woche</w:t>
      </w:r>
      <w:r w:rsidR="00E21754" w:rsidRPr="004F5FB4">
        <w:rPr>
          <w:color w:val="000000"/>
        </w:rPr>
        <w:t> </w:t>
      </w:r>
      <w:r w:rsidRPr="004F5FB4">
        <w:rPr>
          <w:color w:val="000000"/>
        </w:rPr>
        <w:t>16 festgestellt. In Studie</w:t>
      </w:r>
      <w:r w:rsidR="00E21754" w:rsidRPr="004F5FB4">
        <w:rPr>
          <w:color w:val="000000"/>
        </w:rPr>
        <w:t> </w:t>
      </w:r>
      <w:r w:rsidRPr="004F5FB4">
        <w:rPr>
          <w:color w:val="000000"/>
        </w:rPr>
        <w:t>I verbesserten sich die Summenwerte der körperlichen und mentalen SF-36-Komponenten im Vergleich zu Placebo ebenfalls signifikant.</w:t>
      </w:r>
    </w:p>
    <w:p w14:paraId="19DBFEF4" w14:textId="77777777" w:rsidR="00F075B4" w:rsidRPr="004F5FB4" w:rsidRDefault="00F075B4" w:rsidP="00387D0C">
      <w:pPr>
        <w:pStyle w:val="BodyText"/>
        <w:widowControl/>
        <w:kinsoku w:val="0"/>
        <w:overflowPunct w:val="0"/>
        <w:ind w:left="0"/>
        <w:rPr>
          <w:color w:val="000000"/>
        </w:rPr>
      </w:pPr>
    </w:p>
    <w:p w14:paraId="27D0870C" w14:textId="77777777" w:rsidR="00F075B4" w:rsidRPr="004F5FB4" w:rsidRDefault="00F075B4" w:rsidP="00387D0C">
      <w:pPr>
        <w:pStyle w:val="BodyText"/>
        <w:widowControl/>
        <w:kinsoku w:val="0"/>
        <w:overflowPunct w:val="0"/>
        <w:ind w:left="0"/>
        <w:rPr>
          <w:color w:val="000000"/>
        </w:rPr>
      </w:pPr>
      <w:r w:rsidRPr="004F5FB4">
        <w:rPr>
          <w:color w:val="000000"/>
        </w:rPr>
        <w:t>In einer offenen Erweiterungsstudie mit Patienten, bei denen wegen eines PASI-Ansprechens von unter 50</w:t>
      </w:r>
      <w:r w:rsidR="00E21754" w:rsidRPr="004F5FB4">
        <w:rPr>
          <w:color w:val="000000"/>
        </w:rPr>
        <w:t> </w:t>
      </w:r>
      <w:r w:rsidRPr="004F5FB4">
        <w:rPr>
          <w:color w:val="000000"/>
        </w:rPr>
        <w:t>% die Dosis von 40</w:t>
      </w:r>
      <w:r w:rsidR="00E21754" w:rsidRPr="004F5FB4">
        <w:rPr>
          <w:color w:val="000000"/>
        </w:rPr>
        <w:t> </w:t>
      </w:r>
      <w:r w:rsidRPr="004F5FB4">
        <w:rPr>
          <w:color w:val="000000"/>
        </w:rPr>
        <w:t>mg jede zweite Woche auf 40</w:t>
      </w:r>
      <w:r w:rsidR="00E21754" w:rsidRPr="004F5FB4">
        <w:rPr>
          <w:color w:val="000000"/>
        </w:rPr>
        <w:t> </w:t>
      </w:r>
      <w:r w:rsidRPr="004F5FB4">
        <w:rPr>
          <w:color w:val="000000"/>
        </w:rPr>
        <w:t>mg wöchentlich gesteigert wurde, erzielten 26,4</w:t>
      </w:r>
      <w:r w:rsidR="00E21754" w:rsidRPr="004F5FB4">
        <w:rPr>
          <w:color w:val="000000"/>
        </w:rPr>
        <w:t> </w:t>
      </w:r>
      <w:r w:rsidRPr="004F5FB4">
        <w:rPr>
          <w:color w:val="000000"/>
        </w:rPr>
        <w:t>% (92/349) bzw. 37,8</w:t>
      </w:r>
      <w:r w:rsidR="00E21754" w:rsidRPr="004F5FB4">
        <w:rPr>
          <w:color w:val="000000"/>
        </w:rPr>
        <w:t> </w:t>
      </w:r>
      <w:r w:rsidRPr="004F5FB4">
        <w:rPr>
          <w:color w:val="000000"/>
        </w:rPr>
        <w:t>% (132/349) der Patienten ein PASI-75-Ansprechen in Woche</w:t>
      </w:r>
      <w:r w:rsidR="00E21754" w:rsidRPr="004F5FB4">
        <w:rPr>
          <w:color w:val="000000"/>
        </w:rPr>
        <w:t> </w:t>
      </w:r>
      <w:r w:rsidRPr="004F5FB4">
        <w:rPr>
          <w:color w:val="000000"/>
        </w:rPr>
        <w:t>12 bzw. 24.</w:t>
      </w:r>
    </w:p>
    <w:p w14:paraId="05D997E0" w14:textId="77777777" w:rsidR="00F075B4" w:rsidRPr="004F5FB4" w:rsidRDefault="00F075B4" w:rsidP="00387D0C">
      <w:pPr>
        <w:pStyle w:val="BodyText"/>
        <w:widowControl/>
        <w:kinsoku w:val="0"/>
        <w:overflowPunct w:val="0"/>
        <w:ind w:left="0"/>
        <w:rPr>
          <w:color w:val="000000"/>
        </w:rPr>
      </w:pPr>
    </w:p>
    <w:p w14:paraId="07A42EEA" w14:textId="77777777" w:rsidR="00F075B4" w:rsidRPr="004F5FB4" w:rsidRDefault="00F075B4" w:rsidP="00387D0C">
      <w:pPr>
        <w:pStyle w:val="BodyText"/>
        <w:widowControl/>
        <w:kinsoku w:val="0"/>
        <w:overflowPunct w:val="0"/>
        <w:ind w:left="0"/>
        <w:rPr>
          <w:color w:val="000000"/>
        </w:rPr>
      </w:pPr>
      <w:r w:rsidRPr="004F5FB4">
        <w:rPr>
          <w:color w:val="000000"/>
        </w:rPr>
        <w:t>Die Psoriasis</w:t>
      </w:r>
      <w:r w:rsidR="00E21754" w:rsidRPr="004F5FB4">
        <w:rPr>
          <w:color w:val="000000"/>
        </w:rPr>
        <w:t>-S</w:t>
      </w:r>
      <w:r w:rsidRPr="004F5FB4">
        <w:rPr>
          <w:color w:val="000000"/>
        </w:rPr>
        <w:t>tudie</w:t>
      </w:r>
      <w:r w:rsidR="00E21754" w:rsidRPr="004F5FB4">
        <w:rPr>
          <w:color w:val="000000"/>
        </w:rPr>
        <w:t> </w:t>
      </w:r>
      <w:r w:rsidRPr="004F5FB4">
        <w:rPr>
          <w:color w:val="000000"/>
        </w:rPr>
        <w:t xml:space="preserve">III (REACH) verglich die Wirksamkeit und Sicherheit von Adalimumab </w:t>
      </w:r>
      <w:r w:rsidRPr="004F5FB4">
        <w:rPr>
          <w:i/>
          <w:iCs/>
          <w:color w:val="000000"/>
        </w:rPr>
        <w:t>versus</w:t>
      </w:r>
      <w:r w:rsidRPr="004F5FB4">
        <w:rPr>
          <w:color w:val="000000"/>
        </w:rPr>
        <w:t xml:space="preserve"> Placebo an 72 Patienten mit mittelschwerer bis schwerer chronischer Plaque-Psoriasis und Hand- und/</w:t>
      </w:r>
      <w:r w:rsidR="00E21754" w:rsidRPr="004F5FB4">
        <w:rPr>
          <w:color w:val="000000"/>
        </w:rPr>
        <w:t xml:space="preserve"> </w:t>
      </w:r>
      <w:r w:rsidRPr="004F5FB4">
        <w:rPr>
          <w:color w:val="000000"/>
        </w:rPr>
        <w:t>oder Fußpsoriasis. Die Patienten erhielten 16</w:t>
      </w:r>
      <w:r w:rsidR="00E21754" w:rsidRPr="004F5FB4">
        <w:rPr>
          <w:color w:val="000000"/>
        </w:rPr>
        <w:t> </w:t>
      </w:r>
      <w:r w:rsidRPr="004F5FB4">
        <w:rPr>
          <w:color w:val="000000"/>
        </w:rPr>
        <w:t>Wochen lang nach einer Anfangsdosis von 80</w:t>
      </w:r>
      <w:r w:rsidR="00E21754" w:rsidRPr="004F5FB4">
        <w:rPr>
          <w:color w:val="000000"/>
        </w:rPr>
        <w:t> </w:t>
      </w:r>
      <w:r w:rsidRPr="004F5FB4">
        <w:rPr>
          <w:color w:val="000000"/>
        </w:rPr>
        <w:t>mg Adalimumab jede zweite Woche 40</w:t>
      </w:r>
      <w:r w:rsidR="00C37955" w:rsidRPr="004F5FB4">
        <w:rPr>
          <w:color w:val="000000"/>
        </w:rPr>
        <w:t> </w:t>
      </w:r>
      <w:r w:rsidRPr="004F5FB4">
        <w:rPr>
          <w:color w:val="000000"/>
        </w:rPr>
        <w:t>mg Adalimumab (beginnend eine Woche nach der Anfangsdosis) oder Placebo. Zu Woche</w:t>
      </w:r>
      <w:r w:rsidR="00C37955" w:rsidRPr="004F5FB4">
        <w:rPr>
          <w:color w:val="000000"/>
        </w:rPr>
        <w:t> </w:t>
      </w:r>
      <w:r w:rsidRPr="004F5FB4">
        <w:rPr>
          <w:color w:val="000000"/>
        </w:rPr>
        <w:t>16 erreichte ein statistisch signifikant größerer Anteil an Patienten, die Adalimumab erhielten, den PGA „erscheinungsfrei“ oder „fast erscheinungsfrei“ für die Hände und/</w:t>
      </w:r>
      <w:r w:rsidR="006028DC" w:rsidRPr="004F5FB4">
        <w:rPr>
          <w:color w:val="000000"/>
        </w:rPr>
        <w:t xml:space="preserve"> </w:t>
      </w:r>
      <w:r w:rsidRPr="004F5FB4">
        <w:rPr>
          <w:color w:val="000000"/>
        </w:rPr>
        <w:t>oder Füße im Vergleich zu Patienten, die Placebo erhielten (30,6</w:t>
      </w:r>
      <w:r w:rsidR="006028DC" w:rsidRPr="004F5FB4">
        <w:rPr>
          <w:color w:val="000000"/>
        </w:rPr>
        <w:t> </w:t>
      </w:r>
      <w:r w:rsidRPr="004F5FB4">
        <w:rPr>
          <w:color w:val="000000"/>
        </w:rPr>
        <w:t xml:space="preserve">% </w:t>
      </w:r>
      <w:r w:rsidRPr="004F5FB4">
        <w:rPr>
          <w:i/>
          <w:iCs/>
          <w:color w:val="000000"/>
        </w:rPr>
        <w:t>versus</w:t>
      </w:r>
      <w:r w:rsidRPr="004F5FB4">
        <w:rPr>
          <w:color w:val="000000"/>
        </w:rPr>
        <w:t xml:space="preserve"> 4,3</w:t>
      </w:r>
      <w:r w:rsidR="006028DC" w:rsidRPr="004F5FB4">
        <w:rPr>
          <w:color w:val="000000"/>
        </w:rPr>
        <w:t> </w:t>
      </w:r>
      <w:r w:rsidRPr="004F5FB4">
        <w:rPr>
          <w:color w:val="000000"/>
        </w:rPr>
        <w:t>% [</w:t>
      </w:r>
      <w:r w:rsidR="006028DC" w:rsidRPr="004F5FB4">
        <w:rPr>
          <w:color w:val="000000"/>
        </w:rPr>
        <w:t>p</w:t>
      </w:r>
      <w:r w:rsidR="00C37955" w:rsidRPr="004F5FB4">
        <w:rPr>
          <w:color w:val="000000"/>
        </w:rPr>
        <w:t> </w:t>
      </w:r>
      <w:r w:rsidRPr="004F5FB4">
        <w:rPr>
          <w:color w:val="000000"/>
        </w:rPr>
        <w:t>=</w:t>
      </w:r>
      <w:r w:rsidR="00C37955" w:rsidRPr="004F5FB4">
        <w:rPr>
          <w:color w:val="000000"/>
        </w:rPr>
        <w:t> </w:t>
      </w:r>
      <w:r w:rsidRPr="004F5FB4">
        <w:rPr>
          <w:color w:val="000000"/>
        </w:rPr>
        <w:t>0,014]).</w:t>
      </w:r>
    </w:p>
    <w:p w14:paraId="40A885DF" w14:textId="77777777" w:rsidR="00F075B4" w:rsidRPr="004F5FB4" w:rsidRDefault="00F075B4" w:rsidP="00387D0C">
      <w:pPr>
        <w:pStyle w:val="BodyText"/>
        <w:widowControl/>
        <w:kinsoku w:val="0"/>
        <w:overflowPunct w:val="0"/>
        <w:ind w:left="0"/>
        <w:rPr>
          <w:color w:val="000000"/>
        </w:rPr>
      </w:pPr>
    </w:p>
    <w:p w14:paraId="1C24A510" w14:textId="77777777" w:rsidR="00F075B4" w:rsidRPr="004F5FB4" w:rsidRDefault="00F075B4" w:rsidP="007C1799">
      <w:pPr>
        <w:pStyle w:val="BodyText"/>
        <w:widowControl/>
        <w:kinsoku w:val="0"/>
        <w:overflowPunct w:val="0"/>
        <w:ind w:left="0"/>
        <w:rPr>
          <w:color w:val="000000"/>
        </w:rPr>
      </w:pPr>
      <w:r w:rsidRPr="004F5FB4">
        <w:rPr>
          <w:color w:val="000000"/>
        </w:rPr>
        <w:t>Die Psoriasis</w:t>
      </w:r>
      <w:r w:rsidR="006028DC" w:rsidRPr="004F5FB4">
        <w:rPr>
          <w:color w:val="000000"/>
        </w:rPr>
        <w:t>-S</w:t>
      </w:r>
      <w:r w:rsidRPr="004F5FB4">
        <w:rPr>
          <w:color w:val="000000"/>
        </w:rPr>
        <w:t>tudie</w:t>
      </w:r>
      <w:r w:rsidR="006028DC" w:rsidRPr="004F5FB4">
        <w:rPr>
          <w:color w:val="000000"/>
        </w:rPr>
        <w:t> </w:t>
      </w:r>
      <w:r w:rsidRPr="004F5FB4">
        <w:rPr>
          <w:color w:val="000000"/>
        </w:rPr>
        <w:t xml:space="preserve">IV verglich die Wirksamkeit und Sicherheit von Adalimumab </w:t>
      </w:r>
      <w:r w:rsidRPr="004F5FB4">
        <w:rPr>
          <w:i/>
          <w:iCs/>
          <w:color w:val="000000"/>
        </w:rPr>
        <w:t>versus</w:t>
      </w:r>
      <w:r w:rsidRPr="004F5FB4">
        <w:rPr>
          <w:color w:val="000000"/>
        </w:rPr>
        <w:t xml:space="preserve"> Placebo an 217</w:t>
      </w:r>
      <w:r w:rsidR="006028DC" w:rsidRPr="004F5FB4">
        <w:rPr>
          <w:color w:val="000000"/>
        </w:rPr>
        <w:t> </w:t>
      </w:r>
      <w:r w:rsidRPr="004F5FB4">
        <w:rPr>
          <w:color w:val="000000"/>
        </w:rPr>
        <w:t>Erwachsenen mit mittelschwerer bis schwerer Nagelpsoriasis. Nach einer Anfangsdosis von 80</w:t>
      </w:r>
      <w:r w:rsidR="008F58BB" w:rsidRPr="004F5FB4">
        <w:rPr>
          <w:color w:val="000000"/>
        </w:rPr>
        <w:t> </w:t>
      </w:r>
      <w:r w:rsidRPr="004F5FB4">
        <w:rPr>
          <w:color w:val="000000"/>
        </w:rPr>
        <w:t>mg Adalimumab erhielten die Patienten 26</w:t>
      </w:r>
      <w:r w:rsidR="006028DC" w:rsidRPr="004F5FB4">
        <w:rPr>
          <w:color w:val="000000"/>
        </w:rPr>
        <w:t> </w:t>
      </w:r>
      <w:r w:rsidRPr="004F5FB4">
        <w:rPr>
          <w:color w:val="000000"/>
        </w:rPr>
        <w:t>Wochen lang jede zweite Woche 40</w:t>
      </w:r>
      <w:r w:rsidR="006028DC" w:rsidRPr="004F5FB4">
        <w:rPr>
          <w:color w:val="000000"/>
        </w:rPr>
        <w:t> </w:t>
      </w:r>
      <w:r w:rsidRPr="004F5FB4">
        <w:rPr>
          <w:color w:val="000000"/>
        </w:rPr>
        <w:t xml:space="preserve">mg Adalimumab (beginnend eine Woche nach der Anfangsdosis) oder Placebo. Im Anschluss erhielten sie über </w:t>
      </w:r>
      <w:r w:rsidRPr="004F5FB4">
        <w:rPr>
          <w:color w:val="000000"/>
        </w:rPr>
        <w:lastRenderedPageBreak/>
        <w:t>26</w:t>
      </w:r>
      <w:r w:rsidR="008F58BB" w:rsidRPr="004F5FB4">
        <w:rPr>
          <w:color w:val="000000"/>
        </w:rPr>
        <w:t> </w:t>
      </w:r>
      <w:r w:rsidRPr="004F5FB4">
        <w:rPr>
          <w:color w:val="000000"/>
        </w:rPr>
        <w:t>weitere Wochen eine offene Adalimumab-Behandlung. Die Nagelpsoriasis wurde anhand des Modified Nail Psoriasis Severity Index (mNAPSI), des Physician’s Global Assessment of Fingernail Psoriasis (PGA-F) und des Nail Psoriasis Severity Index (NAPSI) beurteilt (siehe Tabelle</w:t>
      </w:r>
      <w:r w:rsidR="006028DC" w:rsidRPr="004F5FB4">
        <w:rPr>
          <w:color w:val="000000"/>
        </w:rPr>
        <w:t> </w:t>
      </w:r>
      <w:r w:rsidR="007004B8">
        <w:rPr>
          <w:color w:val="000000"/>
        </w:rPr>
        <w:t>13</w:t>
      </w:r>
      <w:r w:rsidRPr="004F5FB4">
        <w:rPr>
          <w:color w:val="000000"/>
        </w:rPr>
        <w:t>). Adalimumab zeigte einen therapeutischen Nutzen bei Nagelpsoriasis-Patienten mit unterschiedlichem Ausmaß der Hautbeteiligung (KOF ≥</w:t>
      </w:r>
      <w:r w:rsidR="007C1799" w:rsidRPr="004F5FB4">
        <w:rPr>
          <w:color w:val="000000"/>
        </w:rPr>
        <w:t> </w:t>
      </w:r>
      <w:r w:rsidRPr="004F5FB4">
        <w:rPr>
          <w:color w:val="000000"/>
        </w:rPr>
        <w:t>10</w:t>
      </w:r>
      <w:r w:rsidR="006028DC" w:rsidRPr="004F5FB4">
        <w:rPr>
          <w:color w:val="000000"/>
        </w:rPr>
        <w:t> </w:t>
      </w:r>
      <w:r w:rsidRPr="004F5FB4">
        <w:rPr>
          <w:color w:val="000000"/>
        </w:rPr>
        <w:t xml:space="preserve">% </w:t>
      </w:r>
      <w:r w:rsidR="006028DC" w:rsidRPr="004F5FB4">
        <w:rPr>
          <w:color w:val="000000"/>
        </w:rPr>
        <w:t>[</w:t>
      </w:r>
      <w:r w:rsidRPr="004F5FB4">
        <w:rPr>
          <w:color w:val="000000"/>
        </w:rPr>
        <w:t>60</w:t>
      </w:r>
      <w:r w:rsidR="006028DC" w:rsidRPr="004F5FB4">
        <w:rPr>
          <w:color w:val="000000"/>
        </w:rPr>
        <w:t> </w:t>
      </w:r>
      <w:r w:rsidRPr="004F5FB4">
        <w:rPr>
          <w:color w:val="000000"/>
        </w:rPr>
        <w:t>% der Patienten</w:t>
      </w:r>
      <w:r w:rsidR="006028DC" w:rsidRPr="004F5FB4">
        <w:rPr>
          <w:color w:val="000000"/>
        </w:rPr>
        <w:t>]</w:t>
      </w:r>
      <w:r w:rsidRPr="004F5FB4">
        <w:rPr>
          <w:color w:val="000000"/>
        </w:rPr>
        <w:t xml:space="preserve"> sowie KOF &lt;</w:t>
      </w:r>
      <w:r w:rsidR="007C1799" w:rsidRPr="004F5FB4">
        <w:rPr>
          <w:color w:val="000000"/>
        </w:rPr>
        <w:t> </w:t>
      </w:r>
      <w:r w:rsidRPr="004F5FB4">
        <w:rPr>
          <w:color w:val="000000"/>
        </w:rPr>
        <w:t>10</w:t>
      </w:r>
      <w:r w:rsidR="006028DC" w:rsidRPr="004F5FB4">
        <w:rPr>
          <w:color w:val="000000"/>
        </w:rPr>
        <w:t> </w:t>
      </w:r>
      <w:r w:rsidRPr="004F5FB4">
        <w:rPr>
          <w:color w:val="000000"/>
        </w:rPr>
        <w:t>% und ≥</w:t>
      </w:r>
      <w:r w:rsidR="007C1799" w:rsidRPr="004F5FB4">
        <w:rPr>
          <w:color w:val="000000"/>
        </w:rPr>
        <w:t> </w:t>
      </w:r>
      <w:r w:rsidRPr="004F5FB4">
        <w:rPr>
          <w:color w:val="000000"/>
        </w:rPr>
        <w:t>5</w:t>
      </w:r>
      <w:r w:rsidR="006028DC" w:rsidRPr="004F5FB4">
        <w:rPr>
          <w:color w:val="000000"/>
        </w:rPr>
        <w:t> </w:t>
      </w:r>
      <w:r w:rsidRPr="004F5FB4">
        <w:rPr>
          <w:color w:val="000000"/>
        </w:rPr>
        <w:t xml:space="preserve">% </w:t>
      </w:r>
      <w:r w:rsidR="006028DC" w:rsidRPr="004F5FB4">
        <w:rPr>
          <w:color w:val="000000"/>
        </w:rPr>
        <w:t>[</w:t>
      </w:r>
      <w:r w:rsidRPr="004F5FB4">
        <w:rPr>
          <w:color w:val="000000"/>
        </w:rPr>
        <w:t>40</w:t>
      </w:r>
      <w:r w:rsidR="006028DC" w:rsidRPr="004F5FB4">
        <w:rPr>
          <w:color w:val="000000"/>
        </w:rPr>
        <w:t> </w:t>
      </w:r>
      <w:r w:rsidRPr="004F5FB4">
        <w:rPr>
          <w:color w:val="000000"/>
        </w:rPr>
        <w:t>% der Patienten</w:t>
      </w:r>
      <w:r w:rsidR="006028DC" w:rsidRPr="004F5FB4">
        <w:rPr>
          <w:color w:val="000000"/>
        </w:rPr>
        <w:t>]</w:t>
      </w:r>
      <w:r w:rsidRPr="004F5FB4">
        <w:rPr>
          <w:color w:val="000000"/>
        </w:rPr>
        <w:t>).</w:t>
      </w:r>
    </w:p>
    <w:p w14:paraId="44DD239D" w14:textId="77777777" w:rsidR="00F075B4" w:rsidRPr="004F5FB4" w:rsidRDefault="00F075B4" w:rsidP="00387D0C">
      <w:pPr>
        <w:rPr>
          <w:color w:val="000000"/>
        </w:rPr>
      </w:pPr>
    </w:p>
    <w:p w14:paraId="72AC1ED7" w14:textId="77777777" w:rsidR="00005C27" w:rsidRPr="00CA7719" w:rsidRDefault="002F39BA" w:rsidP="00CA7719">
      <w:pPr>
        <w:pStyle w:val="BodyText"/>
        <w:widowControl/>
        <w:kinsoku w:val="0"/>
        <w:overflowPunct w:val="0"/>
        <w:ind w:left="0"/>
        <w:rPr>
          <w:b/>
          <w:color w:val="000000"/>
        </w:rPr>
      </w:pPr>
      <w:r w:rsidRPr="00CA7719">
        <w:rPr>
          <w:b/>
          <w:color w:val="000000"/>
        </w:rPr>
        <w:t>Tabelle</w:t>
      </w:r>
      <w:r w:rsidR="006028DC" w:rsidRPr="00CA7719">
        <w:rPr>
          <w:b/>
          <w:color w:val="000000"/>
        </w:rPr>
        <w:t> </w:t>
      </w:r>
      <w:r w:rsidR="007004B8">
        <w:rPr>
          <w:b/>
          <w:color w:val="000000"/>
        </w:rPr>
        <w:t>13</w:t>
      </w:r>
    </w:p>
    <w:p w14:paraId="50281205" w14:textId="77777777" w:rsidR="00005E6C" w:rsidRPr="00CA7719" w:rsidRDefault="00005E6C" w:rsidP="00CA7719">
      <w:pPr>
        <w:pStyle w:val="BodyText"/>
        <w:widowControl/>
        <w:kinsoku w:val="0"/>
        <w:overflowPunct w:val="0"/>
        <w:ind w:left="0"/>
        <w:rPr>
          <w:b/>
          <w:color w:val="000000"/>
        </w:rPr>
      </w:pPr>
      <w:r w:rsidRPr="00CA7719">
        <w:rPr>
          <w:b/>
          <w:color w:val="000000"/>
        </w:rPr>
        <w:t>Ergebnisse zur Wirksamkeit in der Psoriasisstudie</w:t>
      </w:r>
      <w:r w:rsidR="006028DC" w:rsidRPr="00CA7719">
        <w:rPr>
          <w:b/>
          <w:color w:val="000000"/>
        </w:rPr>
        <w:t> </w:t>
      </w:r>
      <w:r w:rsidRPr="00CA7719">
        <w:rPr>
          <w:b/>
          <w:color w:val="000000"/>
        </w:rPr>
        <w:t>IV nach 16, 26 und 52</w:t>
      </w:r>
      <w:r w:rsidR="006028DC" w:rsidRPr="00CA7719">
        <w:rPr>
          <w:b/>
          <w:color w:val="000000"/>
        </w:rPr>
        <w:t> </w:t>
      </w:r>
      <w:r w:rsidRPr="00CA7719">
        <w:rPr>
          <w:b/>
          <w:color w:val="000000"/>
        </w:rPr>
        <w:t>Wochen</w:t>
      </w:r>
    </w:p>
    <w:p w14:paraId="2C4823A8" w14:textId="77777777" w:rsidR="00005E6C" w:rsidRPr="004F5FB4" w:rsidRDefault="00005E6C" w:rsidP="00005E6C">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005E6C" w:rsidRPr="004F5FB4" w14:paraId="62E6F115" w14:textId="77777777" w:rsidTr="004A37ED">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668CB5B3" w14:textId="77777777" w:rsidR="00005E6C" w:rsidRPr="004F5FB4" w:rsidRDefault="00005E6C" w:rsidP="00966161">
            <w:pPr>
              <w:keepNext/>
              <w:rPr>
                <w:b/>
                <w:color w:val="000000"/>
              </w:rPr>
            </w:pPr>
            <w:r w:rsidRPr="004F5FB4">
              <w:rPr>
                <w:b/>
                <w:color w:val="000000"/>
              </w:rPr>
              <w:t>Endpunkt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3F2393C8" w14:textId="77777777" w:rsidR="00005E6C" w:rsidRPr="004F5FB4" w:rsidRDefault="00005E6C" w:rsidP="00966161">
            <w:pPr>
              <w:keepNext/>
              <w:jc w:val="center"/>
              <w:rPr>
                <w:b/>
                <w:color w:val="000000"/>
              </w:rPr>
            </w:pPr>
            <w:r w:rsidRPr="004F5FB4">
              <w:rPr>
                <w:b/>
                <w:color w:val="000000"/>
              </w:rPr>
              <w:t>Woche</w:t>
            </w:r>
            <w:r w:rsidR="00B660DF" w:rsidRPr="004F5FB4">
              <w:rPr>
                <w:b/>
                <w:color w:val="000000"/>
              </w:rPr>
              <w:t> </w:t>
            </w:r>
            <w:r w:rsidRPr="004F5FB4">
              <w:rPr>
                <w:b/>
                <w:color w:val="000000"/>
              </w:rPr>
              <w:t>16</w:t>
            </w:r>
          </w:p>
          <w:p w14:paraId="52E92DE1" w14:textId="77777777" w:rsidR="00005E6C" w:rsidRPr="004F5FB4" w:rsidRDefault="00005E6C" w:rsidP="00966161">
            <w:pPr>
              <w:keepNext/>
              <w:jc w:val="center"/>
              <w:rPr>
                <w:b/>
                <w:color w:val="000000"/>
              </w:rPr>
            </w:pPr>
            <w:r w:rsidRPr="004F5FB4">
              <w:rPr>
                <w:b/>
                <w:color w:val="000000"/>
              </w:rPr>
              <w:t>placebokontrolliert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569202DA" w14:textId="77777777" w:rsidR="00005E6C" w:rsidRPr="004F5FB4" w:rsidRDefault="00005E6C" w:rsidP="00966161">
            <w:pPr>
              <w:keepNext/>
              <w:jc w:val="center"/>
              <w:rPr>
                <w:b/>
                <w:color w:val="000000"/>
              </w:rPr>
            </w:pPr>
            <w:r w:rsidRPr="004F5FB4">
              <w:rPr>
                <w:b/>
                <w:color w:val="000000"/>
              </w:rPr>
              <w:t>Woche</w:t>
            </w:r>
            <w:r w:rsidR="00B660DF" w:rsidRPr="004F5FB4">
              <w:rPr>
                <w:b/>
                <w:color w:val="000000"/>
              </w:rPr>
              <w:t> </w:t>
            </w:r>
            <w:r w:rsidRPr="004F5FB4">
              <w:rPr>
                <w:b/>
                <w:color w:val="000000"/>
              </w:rPr>
              <w:t>26</w:t>
            </w:r>
          </w:p>
          <w:p w14:paraId="3A845789" w14:textId="77777777" w:rsidR="00005E6C" w:rsidRPr="004F5FB4" w:rsidRDefault="00005E6C" w:rsidP="00966161">
            <w:pPr>
              <w:keepNext/>
              <w:jc w:val="center"/>
              <w:rPr>
                <w:b/>
                <w:color w:val="000000"/>
              </w:rPr>
            </w:pPr>
            <w:r w:rsidRPr="004F5FB4">
              <w:rPr>
                <w:b/>
                <w:color w:val="000000"/>
              </w:rPr>
              <w:t>placebokontrolliert</w:t>
            </w:r>
          </w:p>
        </w:tc>
        <w:tc>
          <w:tcPr>
            <w:tcW w:w="1815" w:type="dxa"/>
            <w:tcBorders>
              <w:top w:val="single" w:sz="4" w:space="0" w:color="auto"/>
              <w:left w:val="single" w:sz="4" w:space="0" w:color="auto"/>
              <w:bottom w:val="single" w:sz="4" w:space="0" w:color="auto"/>
              <w:right w:val="single" w:sz="4" w:space="0" w:color="auto"/>
            </w:tcBorders>
            <w:vAlign w:val="center"/>
            <w:hideMark/>
          </w:tcPr>
          <w:p w14:paraId="021F03A8" w14:textId="77777777" w:rsidR="00005E6C" w:rsidRPr="004F5FB4" w:rsidRDefault="00005E6C" w:rsidP="00966161">
            <w:pPr>
              <w:keepNext/>
              <w:jc w:val="center"/>
              <w:rPr>
                <w:b/>
                <w:color w:val="000000"/>
              </w:rPr>
            </w:pPr>
            <w:r w:rsidRPr="004F5FB4">
              <w:rPr>
                <w:b/>
                <w:color w:val="000000"/>
              </w:rPr>
              <w:t>Woche</w:t>
            </w:r>
            <w:r w:rsidR="00B660DF" w:rsidRPr="004F5FB4">
              <w:rPr>
                <w:b/>
                <w:color w:val="000000"/>
              </w:rPr>
              <w:t> </w:t>
            </w:r>
            <w:r w:rsidRPr="004F5FB4">
              <w:rPr>
                <w:b/>
                <w:color w:val="000000"/>
              </w:rPr>
              <w:t>52</w:t>
            </w:r>
          </w:p>
          <w:p w14:paraId="7ADBF22F" w14:textId="77777777" w:rsidR="00005E6C" w:rsidRPr="004F5FB4" w:rsidRDefault="00005E6C" w:rsidP="00966161">
            <w:pPr>
              <w:keepNext/>
              <w:jc w:val="center"/>
              <w:rPr>
                <w:b/>
                <w:color w:val="000000"/>
              </w:rPr>
            </w:pPr>
            <w:r w:rsidRPr="004F5FB4">
              <w:rPr>
                <w:b/>
                <w:color w:val="000000"/>
              </w:rPr>
              <w:t>offen</w:t>
            </w:r>
          </w:p>
        </w:tc>
      </w:tr>
      <w:tr w:rsidR="00005E6C" w:rsidRPr="004F5FB4" w14:paraId="096B8353" w14:textId="77777777" w:rsidTr="004A37ED">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50BB94B6" w14:textId="77777777" w:rsidR="00005E6C" w:rsidRPr="004F5FB4" w:rsidRDefault="00005E6C" w:rsidP="00966161">
            <w:pPr>
              <w:keepNext/>
              <w:jc w:val="center"/>
              <w:rPr>
                <w:b/>
                <w:color w:val="000000"/>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4744DB0A" w14:textId="77777777" w:rsidR="00005E6C" w:rsidRPr="004F5FB4" w:rsidRDefault="00005E6C" w:rsidP="00966161">
            <w:pPr>
              <w:keepNext/>
              <w:jc w:val="center"/>
              <w:rPr>
                <w:b/>
                <w:color w:val="000000"/>
              </w:rPr>
            </w:pPr>
            <w:r w:rsidRPr="004F5FB4">
              <w:rPr>
                <w:b/>
                <w:color w:val="000000"/>
              </w:rPr>
              <w:t>Placebo</w:t>
            </w:r>
          </w:p>
          <w:p w14:paraId="3793EF11" w14:textId="77777777" w:rsidR="00005E6C" w:rsidRPr="004F5FB4" w:rsidRDefault="00005E6C" w:rsidP="00C37955">
            <w:pPr>
              <w:keepNext/>
              <w:jc w:val="center"/>
              <w:rPr>
                <w:b/>
                <w:color w:val="000000"/>
              </w:rPr>
            </w:pPr>
            <w:r w:rsidRPr="004F5FB4">
              <w:rPr>
                <w:b/>
                <w:color w:val="000000"/>
              </w:rPr>
              <w:t>n</w:t>
            </w:r>
            <w:r w:rsidR="00C37955" w:rsidRPr="004F5FB4">
              <w:rPr>
                <w:b/>
                <w:color w:val="000000"/>
              </w:rPr>
              <w:t> </w:t>
            </w:r>
            <w:r w:rsidRPr="004F5FB4">
              <w:rPr>
                <w:b/>
                <w:color w:val="000000"/>
              </w:rPr>
              <w:t>=</w:t>
            </w:r>
            <w:r w:rsidR="00C37955" w:rsidRPr="004F5FB4">
              <w:rPr>
                <w:b/>
                <w:color w:val="000000"/>
              </w:rPr>
              <w:t> </w:t>
            </w:r>
            <w:r w:rsidRPr="004F5FB4">
              <w:rPr>
                <w:b/>
                <w:color w:val="000000"/>
              </w:rPr>
              <w:t>108</w:t>
            </w:r>
          </w:p>
        </w:tc>
        <w:tc>
          <w:tcPr>
            <w:tcW w:w="1465" w:type="dxa"/>
            <w:tcBorders>
              <w:top w:val="single" w:sz="4" w:space="0" w:color="auto"/>
              <w:left w:val="single" w:sz="4" w:space="0" w:color="auto"/>
              <w:bottom w:val="single" w:sz="4" w:space="0" w:color="auto"/>
              <w:right w:val="single" w:sz="4" w:space="0" w:color="auto"/>
            </w:tcBorders>
            <w:hideMark/>
          </w:tcPr>
          <w:p w14:paraId="41473040" w14:textId="77777777" w:rsidR="00005E6C" w:rsidRPr="004F5FB4" w:rsidRDefault="00005E6C" w:rsidP="00966161">
            <w:pPr>
              <w:keepNext/>
              <w:jc w:val="center"/>
              <w:rPr>
                <w:b/>
                <w:color w:val="000000"/>
              </w:rPr>
            </w:pPr>
            <w:r w:rsidRPr="004F5FB4">
              <w:rPr>
                <w:b/>
                <w:color w:val="000000"/>
              </w:rPr>
              <w:t>Adalimumab</w:t>
            </w:r>
          </w:p>
          <w:p w14:paraId="6312CF41" w14:textId="77777777" w:rsidR="00005E6C" w:rsidRPr="004F5FB4" w:rsidRDefault="00005E6C" w:rsidP="00966161">
            <w:pPr>
              <w:keepNext/>
              <w:jc w:val="center"/>
              <w:rPr>
                <w:b/>
                <w:color w:val="000000"/>
              </w:rPr>
            </w:pPr>
            <w:r w:rsidRPr="004F5FB4">
              <w:rPr>
                <w:b/>
                <w:color w:val="000000"/>
              </w:rPr>
              <w:t>40 mg alle 2</w:t>
            </w:r>
            <w:r w:rsidR="00B660DF" w:rsidRPr="004F5FB4">
              <w:rPr>
                <w:b/>
                <w:color w:val="000000"/>
              </w:rPr>
              <w:t> </w:t>
            </w:r>
            <w:r w:rsidRPr="004F5FB4">
              <w:rPr>
                <w:b/>
                <w:color w:val="000000"/>
              </w:rPr>
              <w:t>Wo.</w:t>
            </w:r>
          </w:p>
          <w:p w14:paraId="63A5DFCE" w14:textId="77777777" w:rsidR="00005E6C" w:rsidRPr="004F5FB4" w:rsidRDefault="00005E6C" w:rsidP="00C37955">
            <w:pPr>
              <w:keepNext/>
              <w:jc w:val="center"/>
              <w:rPr>
                <w:b/>
                <w:color w:val="000000"/>
              </w:rPr>
            </w:pPr>
            <w:r w:rsidRPr="004F5FB4">
              <w:rPr>
                <w:b/>
                <w:color w:val="000000"/>
              </w:rPr>
              <w:t>n</w:t>
            </w:r>
            <w:r w:rsidR="00C37955" w:rsidRPr="004F5FB4">
              <w:rPr>
                <w:b/>
                <w:color w:val="000000"/>
              </w:rPr>
              <w:t> </w:t>
            </w:r>
            <w:r w:rsidRPr="004F5FB4">
              <w:rPr>
                <w:b/>
                <w:color w:val="000000"/>
              </w:rPr>
              <w:t>=</w:t>
            </w:r>
            <w:r w:rsidR="00C37955" w:rsidRPr="004F5FB4">
              <w:rPr>
                <w:b/>
                <w:color w:val="000000"/>
              </w:rPr>
              <w:t> </w:t>
            </w:r>
            <w:r w:rsidRPr="004F5FB4">
              <w:rPr>
                <w:b/>
                <w:color w:val="000000"/>
              </w:rPr>
              <w:t>109</w:t>
            </w:r>
          </w:p>
        </w:tc>
        <w:tc>
          <w:tcPr>
            <w:tcW w:w="1297" w:type="dxa"/>
            <w:tcBorders>
              <w:top w:val="single" w:sz="4" w:space="0" w:color="auto"/>
              <w:left w:val="single" w:sz="4" w:space="0" w:color="auto"/>
              <w:bottom w:val="single" w:sz="4" w:space="0" w:color="auto"/>
              <w:right w:val="single" w:sz="4" w:space="0" w:color="auto"/>
            </w:tcBorders>
            <w:hideMark/>
          </w:tcPr>
          <w:p w14:paraId="6D87D0F4" w14:textId="77777777" w:rsidR="00005E6C" w:rsidRPr="004F5FB4" w:rsidRDefault="00005E6C" w:rsidP="00966161">
            <w:pPr>
              <w:keepNext/>
              <w:jc w:val="center"/>
              <w:rPr>
                <w:b/>
                <w:color w:val="000000"/>
              </w:rPr>
            </w:pPr>
            <w:r w:rsidRPr="004F5FB4">
              <w:rPr>
                <w:b/>
                <w:color w:val="000000"/>
              </w:rPr>
              <w:t>Placebo</w:t>
            </w:r>
          </w:p>
          <w:p w14:paraId="0E6808CB" w14:textId="77777777" w:rsidR="00005E6C" w:rsidRPr="004F5FB4" w:rsidRDefault="00005E6C" w:rsidP="00C37955">
            <w:pPr>
              <w:keepNext/>
              <w:jc w:val="center"/>
              <w:rPr>
                <w:b/>
                <w:color w:val="000000"/>
              </w:rPr>
            </w:pPr>
            <w:r w:rsidRPr="004F5FB4">
              <w:rPr>
                <w:b/>
                <w:color w:val="000000"/>
              </w:rPr>
              <w:t>n</w:t>
            </w:r>
            <w:r w:rsidR="00C37955" w:rsidRPr="004F5FB4">
              <w:rPr>
                <w:b/>
                <w:color w:val="000000"/>
              </w:rPr>
              <w:t> </w:t>
            </w:r>
            <w:r w:rsidRPr="004F5FB4">
              <w:rPr>
                <w:b/>
                <w:color w:val="000000"/>
              </w:rPr>
              <w:t>=</w:t>
            </w:r>
            <w:r w:rsidR="00C37955" w:rsidRPr="004F5FB4">
              <w:rPr>
                <w:b/>
                <w:color w:val="000000"/>
              </w:rPr>
              <w:t> </w:t>
            </w:r>
            <w:r w:rsidRPr="004F5FB4">
              <w:rPr>
                <w:b/>
                <w:color w:val="000000"/>
              </w:rPr>
              <w:t>108</w:t>
            </w:r>
          </w:p>
        </w:tc>
        <w:tc>
          <w:tcPr>
            <w:tcW w:w="1493" w:type="dxa"/>
            <w:tcBorders>
              <w:top w:val="single" w:sz="4" w:space="0" w:color="auto"/>
              <w:left w:val="single" w:sz="4" w:space="0" w:color="auto"/>
              <w:bottom w:val="single" w:sz="4" w:space="0" w:color="auto"/>
              <w:right w:val="single" w:sz="4" w:space="0" w:color="auto"/>
            </w:tcBorders>
            <w:hideMark/>
          </w:tcPr>
          <w:p w14:paraId="482619CE" w14:textId="77777777" w:rsidR="00005E6C" w:rsidRPr="004F5FB4" w:rsidRDefault="00005E6C" w:rsidP="00966161">
            <w:pPr>
              <w:keepNext/>
              <w:jc w:val="center"/>
              <w:rPr>
                <w:b/>
                <w:color w:val="000000"/>
              </w:rPr>
            </w:pPr>
            <w:r w:rsidRPr="004F5FB4">
              <w:rPr>
                <w:b/>
                <w:color w:val="000000"/>
              </w:rPr>
              <w:t>Adalimumab</w:t>
            </w:r>
          </w:p>
          <w:p w14:paraId="78B8C74E" w14:textId="77777777" w:rsidR="00005E6C" w:rsidRPr="004F5FB4" w:rsidRDefault="00005E6C" w:rsidP="00966161">
            <w:pPr>
              <w:keepNext/>
              <w:jc w:val="center"/>
              <w:rPr>
                <w:b/>
                <w:color w:val="000000"/>
              </w:rPr>
            </w:pPr>
            <w:r w:rsidRPr="004F5FB4">
              <w:rPr>
                <w:b/>
                <w:color w:val="000000"/>
              </w:rPr>
              <w:t>40 mg alle 2</w:t>
            </w:r>
            <w:r w:rsidR="00B660DF" w:rsidRPr="004F5FB4">
              <w:rPr>
                <w:b/>
                <w:color w:val="000000"/>
              </w:rPr>
              <w:t> </w:t>
            </w:r>
            <w:r w:rsidRPr="004F5FB4">
              <w:rPr>
                <w:b/>
                <w:color w:val="000000"/>
              </w:rPr>
              <w:t>Wo.</w:t>
            </w:r>
          </w:p>
          <w:p w14:paraId="63C2E283" w14:textId="77777777" w:rsidR="00005E6C" w:rsidRPr="004F5FB4" w:rsidRDefault="00005E6C" w:rsidP="00C37955">
            <w:pPr>
              <w:keepNext/>
              <w:jc w:val="center"/>
              <w:rPr>
                <w:b/>
                <w:color w:val="000000"/>
              </w:rPr>
            </w:pPr>
            <w:r w:rsidRPr="004F5FB4">
              <w:rPr>
                <w:b/>
                <w:color w:val="000000"/>
              </w:rPr>
              <w:t>n</w:t>
            </w:r>
            <w:r w:rsidR="00C37955" w:rsidRPr="004F5FB4">
              <w:rPr>
                <w:b/>
                <w:color w:val="000000"/>
              </w:rPr>
              <w:t> </w:t>
            </w:r>
            <w:r w:rsidRPr="004F5FB4">
              <w:rPr>
                <w:b/>
                <w:color w:val="000000"/>
              </w:rPr>
              <w:t>=</w:t>
            </w:r>
            <w:r w:rsidR="00C37955" w:rsidRPr="004F5FB4">
              <w:rPr>
                <w:b/>
                <w:color w:val="000000"/>
              </w:rPr>
              <w:t> </w:t>
            </w:r>
            <w:r w:rsidRPr="004F5FB4">
              <w:rPr>
                <w:b/>
                <w:color w:val="000000"/>
              </w:rPr>
              <w:t>109</w:t>
            </w:r>
          </w:p>
        </w:tc>
        <w:tc>
          <w:tcPr>
            <w:tcW w:w="1815" w:type="dxa"/>
            <w:tcBorders>
              <w:top w:val="single" w:sz="4" w:space="0" w:color="auto"/>
              <w:left w:val="single" w:sz="4" w:space="0" w:color="auto"/>
              <w:bottom w:val="single" w:sz="4" w:space="0" w:color="auto"/>
              <w:right w:val="single" w:sz="4" w:space="0" w:color="auto"/>
            </w:tcBorders>
            <w:hideMark/>
          </w:tcPr>
          <w:p w14:paraId="46789A13" w14:textId="77777777" w:rsidR="00005E6C" w:rsidRPr="004F5FB4" w:rsidRDefault="00005E6C" w:rsidP="00966161">
            <w:pPr>
              <w:keepNext/>
              <w:jc w:val="center"/>
              <w:rPr>
                <w:b/>
                <w:color w:val="000000"/>
              </w:rPr>
            </w:pPr>
            <w:r w:rsidRPr="004F5FB4">
              <w:rPr>
                <w:b/>
                <w:color w:val="000000"/>
              </w:rPr>
              <w:t>Adalimumab</w:t>
            </w:r>
          </w:p>
          <w:p w14:paraId="1BBBA69E" w14:textId="77777777" w:rsidR="00005E6C" w:rsidRPr="004F5FB4" w:rsidRDefault="00005E6C" w:rsidP="00966161">
            <w:pPr>
              <w:keepNext/>
              <w:jc w:val="center"/>
              <w:rPr>
                <w:b/>
                <w:color w:val="000000"/>
              </w:rPr>
            </w:pPr>
            <w:r w:rsidRPr="004F5FB4">
              <w:rPr>
                <w:b/>
                <w:color w:val="000000"/>
              </w:rPr>
              <w:t>40 mg alle 2</w:t>
            </w:r>
            <w:r w:rsidR="00B660DF" w:rsidRPr="004F5FB4">
              <w:rPr>
                <w:b/>
                <w:color w:val="000000"/>
              </w:rPr>
              <w:t> </w:t>
            </w:r>
            <w:r w:rsidRPr="004F5FB4">
              <w:rPr>
                <w:b/>
                <w:color w:val="000000"/>
              </w:rPr>
              <w:t>Wo.</w:t>
            </w:r>
          </w:p>
          <w:p w14:paraId="08F3BB77" w14:textId="77777777" w:rsidR="00005E6C" w:rsidRPr="004F5FB4" w:rsidRDefault="00005E6C" w:rsidP="00C37955">
            <w:pPr>
              <w:keepNext/>
              <w:jc w:val="center"/>
              <w:rPr>
                <w:b/>
                <w:color w:val="000000"/>
              </w:rPr>
            </w:pPr>
            <w:r w:rsidRPr="004F5FB4">
              <w:rPr>
                <w:b/>
                <w:color w:val="000000"/>
              </w:rPr>
              <w:t>n</w:t>
            </w:r>
            <w:r w:rsidR="00C37955" w:rsidRPr="004F5FB4">
              <w:rPr>
                <w:b/>
                <w:color w:val="000000"/>
              </w:rPr>
              <w:t> </w:t>
            </w:r>
            <w:r w:rsidRPr="004F5FB4">
              <w:rPr>
                <w:b/>
                <w:color w:val="000000"/>
              </w:rPr>
              <w:t>=</w:t>
            </w:r>
            <w:r w:rsidR="00C37955" w:rsidRPr="004F5FB4">
              <w:rPr>
                <w:b/>
                <w:color w:val="000000"/>
              </w:rPr>
              <w:t> </w:t>
            </w:r>
            <w:r w:rsidRPr="004F5FB4">
              <w:rPr>
                <w:b/>
                <w:color w:val="000000"/>
              </w:rPr>
              <w:t>80</w:t>
            </w:r>
          </w:p>
        </w:tc>
      </w:tr>
      <w:tr w:rsidR="00005E6C" w:rsidRPr="004F5FB4" w14:paraId="13AF8D56"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7C99B860" w14:textId="77777777" w:rsidR="00005E6C" w:rsidRPr="004F5FB4" w:rsidRDefault="00005E6C" w:rsidP="00966161">
            <w:pPr>
              <w:keepNext/>
              <w:rPr>
                <w:color w:val="000000"/>
              </w:rPr>
            </w:pPr>
            <w:r w:rsidRPr="004F5FB4">
              <w:rPr>
                <w:color w:val="000000"/>
              </w:rPr>
              <w:sym w:font="Symbol" w:char="F0B3"/>
            </w:r>
            <w:r w:rsidRPr="004F5FB4">
              <w:rPr>
                <w:color w:val="000000"/>
              </w:rPr>
              <w:t> mNAPSI 75 (%)</w:t>
            </w:r>
          </w:p>
        </w:tc>
        <w:tc>
          <w:tcPr>
            <w:tcW w:w="1325" w:type="dxa"/>
            <w:tcBorders>
              <w:top w:val="single" w:sz="4" w:space="0" w:color="auto"/>
              <w:left w:val="single" w:sz="4" w:space="0" w:color="auto"/>
              <w:bottom w:val="single" w:sz="4" w:space="0" w:color="auto"/>
              <w:right w:val="single" w:sz="4" w:space="0" w:color="auto"/>
            </w:tcBorders>
            <w:hideMark/>
          </w:tcPr>
          <w:p w14:paraId="3043480B" w14:textId="77777777" w:rsidR="00005E6C" w:rsidRPr="004F5FB4" w:rsidRDefault="00005E6C" w:rsidP="00966161">
            <w:pPr>
              <w:keepNext/>
              <w:jc w:val="center"/>
              <w:rPr>
                <w:color w:val="000000"/>
              </w:rPr>
            </w:pPr>
            <w:r w:rsidRPr="004F5FB4">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202F8991" w14:textId="77777777" w:rsidR="00005E6C" w:rsidRPr="004F5FB4" w:rsidRDefault="00005E6C" w:rsidP="00966161">
            <w:pPr>
              <w:keepNext/>
              <w:jc w:val="center"/>
              <w:rPr>
                <w:color w:val="000000"/>
              </w:rPr>
            </w:pPr>
            <w:r w:rsidRPr="004F5FB4">
              <w:rPr>
                <w:color w:val="000000"/>
              </w:rPr>
              <w:t>26,0</w:t>
            </w:r>
            <w:r w:rsidRPr="004F5FB4">
              <w:rPr>
                <w:color w:val="000000"/>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5ABD42A9" w14:textId="77777777" w:rsidR="00005E6C" w:rsidRPr="004F5FB4" w:rsidRDefault="00005E6C" w:rsidP="00966161">
            <w:pPr>
              <w:keepNext/>
              <w:jc w:val="center"/>
              <w:rPr>
                <w:color w:val="000000"/>
              </w:rPr>
            </w:pPr>
            <w:r w:rsidRPr="004F5FB4">
              <w:rPr>
                <w:color w:val="000000"/>
              </w:rPr>
              <w:t>3,4</w:t>
            </w:r>
          </w:p>
        </w:tc>
        <w:tc>
          <w:tcPr>
            <w:tcW w:w="1493" w:type="dxa"/>
            <w:tcBorders>
              <w:top w:val="single" w:sz="4" w:space="0" w:color="auto"/>
              <w:left w:val="single" w:sz="4" w:space="0" w:color="auto"/>
              <w:bottom w:val="single" w:sz="4" w:space="0" w:color="auto"/>
              <w:right w:val="single" w:sz="4" w:space="0" w:color="auto"/>
            </w:tcBorders>
            <w:hideMark/>
          </w:tcPr>
          <w:p w14:paraId="29B33612" w14:textId="77777777" w:rsidR="00005E6C" w:rsidRPr="004F5FB4" w:rsidRDefault="00005E6C" w:rsidP="00966161">
            <w:pPr>
              <w:keepNext/>
              <w:jc w:val="center"/>
              <w:rPr>
                <w:color w:val="000000"/>
              </w:rPr>
            </w:pPr>
            <w:r w:rsidRPr="004F5FB4">
              <w:rPr>
                <w:color w:val="000000"/>
              </w:rPr>
              <w:t>46,6</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5B2E20DC" w14:textId="77777777" w:rsidR="00005E6C" w:rsidRPr="004F5FB4" w:rsidRDefault="00005E6C" w:rsidP="00966161">
            <w:pPr>
              <w:keepNext/>
              <w:jc w:val="center"/>
              <w:rPr>
                <w:color w:val="000000"/>
              </w:rPr>
            </w:pPr>
            <w:r w:rsidRPr="004F5FB4">
              <w:rPr>
                <w:color w:val="000000"/>
              </w:rPr>
              <w:t>65,0</w:t>
            </w:r>
          </w:p>
        </w:tc>
      </w:tr>
      <w:tr w:rsidR="00005E6C" w:rsidRPr="004F5FB4" w14:paraId="0CBEAD00"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50CDE7EB" w14:textId="77777777" w:rsidR="00005E6C" w:rsidRPr="004F5FB4" w:rsidRDefault="00005E6C" w:rsidP="00966161">
            <w:pPr>
              <w:keepNext/>
              <w:rPr>
                <w:color w:val="000000"/>
              </w:rPr>
            </w:pPr>
            <w:r w:rsidRPr="004F5FB4">
              <w:rPr>
                <w:color w:val="000000"/>
              </w:rPr>
              <w:t>PGA</w:t>
            </w:r>
            <w:r w:rsidRPr="004F5FB4">
              <w:rPr>
                <w:color w:val="000000"/>
              </w:rPr>
              <w:noBreakHyphen/>
              <w:t>F erscheinungsfrei/</w:t>
            </w:r>
            <w:r w:rsidR="00AC7A74" w:rsidRPr="004F5FB4">
              <w:rPr>
                <w:color w:val="000000"/>
              </w:rPr>
              <w:t xml:space="preserve"> </w:t>
            </w:r>
            <w:r w:rsidRPr="004F5FB4">
              <w:rPr>
                <w:color w:val="000000"/>
              </w:rPr>
              <w:t xml:space="preserve">minimal und Verbesserung um </w:t>
            </w:r>
            <w:r w:rsidRPr="004F5FB4">
              <w:rPr>
                <w:color w:val="000000"/>
              </w:rPr>
              <w:sym w:font="Symbol" w:char="F0B3"/>
            </w:r>
            <w:r w:rsidR="00B660DF" w:rsidRPr="004F5FB4">
              <w:rPr>
                <w:color w:val="000000"/>
              </w:rPr>
              <w:t> </w:t>
            </w:r>
            <w:r w:rsidRPr="004F5FB4">
              <w:rPr>
                <w:color w:val="000000"/>
              </w:rPr>
              <w:t>2</w:t>
            </w:r>
            <w:r w:rsidR="00B660DF" w:rsidRPr="004F5FB4">
              <w:rPr>
                <w:color w:val="000000"/>
              </w:rPr>
              <w:t> </w:t>
            </w:r>
            <w:r w:rsidRPr="004F5FB4">
              <w:rPr>
                <w:color w:val="000000"/>
              </w:rPr>
              <w:t>Stufen (%)</w:t>
            </w:r>
          </w:p>
        </w:tc>
        <w:tc>
          <w:tcPr>
            <w:tcW w:w="1325" w:type="dxa"/>
            <w:tcBorders>
              <w:top w:val="single" w:sz="4" w:space="0" w:color="auto"/>
              <w:left w:val="single" w:sz="4" w:space="0" w:color="auto"/>
              <w:bottom w:val="single" w:sz="4" w:space="0" w:color="auto"/>
              <w:right w:val="single" w:sz="4" w:space="0" w:color="auto"/>
            </w:tcBorders>
            <w:hideMark/>
          </w:tcPr>
          <w:p w14:paraId="06470DBF" w14:textId="77777777" w:rsidR="00005E6C" w:rsidRPr="004F5FB4" w:rsidRDefault="00005E6C" w:rsidP="00966161">
            <w:pPr>
              <w:keepNext/>
              <w:jc w:val="center"/>
              <w:rPr>
                <w:color w:val="000000"/>
              </w:rPr>
            </w:pPr>
            <w:r w:rsidRPr="004F5FB4">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6EE71706" w14:textId="77777777" w:rsidR="00005E6C" w:rsidRPr="004F5FB4" w:rsidRDefault="00005E6C" w:rsidP="00966161">
            <w:pPr>
              <w:keepNext/>
              <w:jc w:val="center"/>
              <w:rPr>
                <w:color w:val="000000"/>
              </w:rPr>
            </w:pPr>
            <w:r w:rsidRPr="004F5FB4">
              <w:rPr>
                <w:color w:val="000000"/>
              </w:rPr>
              <w:t>29,7</w:t>
            </w:r>
            <w:r w:rsidRPr="004F5FB4">
              <w:rPr>
                <w:color w:val="000000"/>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326B3BB0" w14:textId="77777777" w:rsidR="00005E6C" w:rsidRPr="004F5FB4" w:rsidRDefault="00005E6C" w:rsidP="00966161">
            <w:pPr>
              <w:keepNext/>
              <w:jc w:val="center"/>
              <w:rPr>
                <w:color w:val="000000"/>
              </w:rPr>
            </w:pPr>
            <w:r w:rsidRPr="004F5FB4">
              <w:rPr>
                <w:color w:val="000000"/>
              </w:rPr>
              <w:t>6,9</w:t>
            </w:r>
          </w:p>
        </w:tc>
        <w:tc>
          <w:tcPr>
            <w:tcW w:w="1493" w:type="dxa"/>
            <w:tcBorders>
              <w:top w:val="single" w:sz="4" w:space="0" w:color="auto"/>
              <w:left w:val="single" w:sz="4" w:space="0" w:color="auto"/>
              <w:bottom w:val="single" w:sz="4" w:space="0" w:color="auto"/>
              <w:right w:val="single" w:sz="4" w:space="0" w:color="auto"/>
            </w:tcBorders>
            <w:hideMark/>
          </w:tcPr>
          <w:p w14:paraId="56DDA82D" w14:textId="77777777" w:rsidR="00005E6C" w:rsidRPr="004F5FB4" w:rsidRDefault="00005E6C" w:rsidP="00966161">
            <w:pPr>
              <w:keepNext/>
              <w:jc w:val="center"/>
              <w:rPr>
                <w:color w:val="000000"/>
              </w:rPr>
            </w:pPr>
            <w:r w:rsidRPr="004F5FB4">
              <w:rPr>
                <w:color w:val="000000"/>
              </w:rPr>
              <w:t>48,9</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1089AD01" w14:textId="77777777" w:rsidR="00005E6C" w:rsidRPr="004F5FB4" w:rsidRDefault="00005E6C" w:rsidP="00966161">
            <w:pPr>
              <w:keepNext/>
              <w:jc w:val="center"/>
              <w:rPr>
                <w:color w:val="000000"/>
              </w:rPr>
            </w:pPr>
            <w:r w:rsidRPr="004F5FB4">
              <w:rPr>
                <w:color w:val="000000"/>
              </w:rPr>
              <w:t>61,3</w:t>
            </w:r>
          </w:p>
        </w:tc>
      </w:tr>
      <w:tr w:rsidR="00005E6C" w:rsidRPr="004F5FB4" w14:paraId="3A7E820B"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09FF7DDE" w14:textId="77777777" w:rsidR="00005E6C" w:rsidRPr="004F5FB4" w:rsidRDefault="00005E6C" w:rsidP="00966161">
            <w:pPr>
              <w:keepNext/>
              <w:rPr>
                <w:color w:val="000000"/>
              </w:rPr>
            </w:pPr>
            <w:r w:rsidRPr="004F5FB4">
              <w:rPr>
                <w:color w:val="000000"/>
              </w:rPr>
              <w:t>Prozentuale Veränderung des NAPSI bei allen Fingernägeln (%)</w:t>
            </w:r>
          </w:p>
        </w:tc>
        <w:tc>
          <w:tcPr>
            <w:tcW w:w="1325" w:type="dxa"/>
            <w:tcBorders>
              <w:top w:val="single" w:sz="4" w:space="0" w:color="auto"/>
              <w:left w:val="single" w:sz="4" w:space="0" w:color="auto"/>
              <w:bottom w:val="single" w:sz="4" w:space="0" w:color="auto"/>
              <w:right w:val="single" w:sz="4" w:space="0" w:color="auto"/>
            </w:tcBorders>
            <w:hideMark/>
          </w:tcPr>
          <w:p w14:paraId="298C6F36" w14:textId="77777777" w:rsidR="00005E6C" w:rsidRPr="004F5FB4" w:rsidRDefault="00005E6C" w:rsidP="00966161">
            <w:pPr>
              <w:keepNext/>
              <w:jc w:val="center"/>
              <w:rPr>
                <w:color w:val="000000"/>
              </w:rPr>
            </w:pPr>
            <w:r w:rsidRPr="004F5FB4">
              <w:rPr>
                <w:color w:val="000000"/>
              </w:rPr>
              <w:t>-7,8</w:t>
            </w:r>
          </w:p>
        </w:tc>
        <w:tc>
          <w:tcPr>
            <w:tcW w:w="1465" w:type="dxa"/>
            <w:tcBorders>
              <w:top w:val="single" w:sz="4" w:space="0" w:color="auto"/>
              <w:left w:val="single" w:sz="4" w:space="0" w:color="auto"/>
              <w:bottom w:val="single" w:sz="4" w:space="0" w:color="auto"/>
              <w:right w:val="single" w:sz="4" w:space="0" w:color="auto"/>
            </w:tcBorders>
            <w:hideMark/>
          </w:tcPr>
          <w:p w14:paraId="0B9341FD" w14:textId="77777777" w:rsidR="00005E6C" w:rsidRPr="004F5FB4" w:rsidRDefault="00005E6C" w:rsidP="00966161">
            <w:pPr>
              <w:keepNext/>
              <w:jc w:val="center"/>
              <w:rPr>
                <w:color w:val="000000"/>
              </w:rPr>
            </w:pPr>
            <w:r w:rsidRPr="004F5FB4">
              <w:rPr>
                <w:color w:val="000000"/>
              </w:rPr>
              <w:t>-44,2</w:t>
            </w:r>
            <w:r w:rsidRPr="004F5FB4">
              <w:rPr>
                <w:color w:val="000000"/>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2B573272" w14:textId="77777777" w:rsidR="00005E6C" w:rsidRPr="004F5FB4" w:rsidRDefault="00005E6C" w:rsidP="00966161">
            <w:pPr>
              <w:keepNext/>
              <w:jc w:val="center"/>
              <w:rPr>
                <w:color w:val="000000"/>
              </w:rPr>
            </w:pPr>
            <w:r w:rsidRPr="004F5FB4">
              <w:rPr>
                <w:color w:val="000000"/>
              </w:rPr>
              <w:t>-11,5</w:t>
            </w:r>
          </w:p>
        </w:tc>
        <w:tc>
          <w:tcPr>
            <w:tcW w:w="1493" w:type="dxa"/>
            <w:tcBorders>
              <w:top w:val="single" w:sz="4" w:space="0" w:color="auto"/>
              <w:left w:val="single" w:sz="4" w:space="0" w:color="auto"/>
              <w:bottom w:val="single" w:sz="4" w:space="0" w:color="auto"/>
              <w:right w:val="single" w:sz="4" w:space="0" w:color="auto"/>
            </w:tcBorders>
            <w:hideMark/>
          </w:tcPr>
          <w:p w14:paraId="4B370758" w14:textId="77777777" w:rsidR="00005E6C" w:rsidRPr="004F5FB4" w:rsidRDefault="00005E6C" w:rsidP="00966161">
            <w:pPr>
              <w:keepNext/>
              <w:jc w:val="center"/>
              <w:rPr>
                <w:color w:val="000000"/>
              </w:rPr>
            </w:pPr>
            <w:r w:rsidRPr="004F5FB4">
              <w:rPr>
                <w:color w:val="000000"/>
              </w:rPr>
              <w:t>-56,2</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1921A332" w14:textId="77777777" w:rsidR="00005E6C" w:rsidRPr="004F5FB4" w:rsidRDefault="00005E6C" w:rsidP="00966161">
            <w:pPr>
              <w:keepNext/>
              <w:jc w:val="center"/>
              <w:rPr>
                <w:color w:val="000000"/>
              </w:rPr>
            </w:pPr>
            <w:r w:rsidRPr="004F5FB4">
              <w:rPr>
                <w:color w:val="000000"/>
              </w:rPr>
              <w:t>-72,2</w:t>
            </w:r>
          </w:p>
        </w:tc>
      </w:tr>
      <w:tr w:rsidR="006A2129" w:rsidRPr="004F5FB4" w14:paraId="63F00293" w14:textId="77777777" w:rsidTr="006A2129">
        <w:trPr>
          <w:cantSplit/>
        </w:trPr>
        <w:tc>
          <w:tcPr>
            <w:tcW w:w="9303" w:type="dxa"/>
            <w:gridSpan w:val="6"/>
            <w:tcBorders>
              <w:top w:val="single" w:sz="4" w:space="0" w:color="auto"/>
              <w:left w:val="nil"/>
              <w:bottom w:val="nil"/>
              <w:right w:val="nil"/>
            </w:tcBorders>
          </w:tcPr>
          <w:p w14:paraId="224FA169" w14:textId="77777777" w:rsidR="006A2129" w:rsidRPr="00206AEA" w:rsidRDefault="006A2129" w:rsidP="006A2129">
            <w:pPr>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p &lt; 0,001, Adalimumab gegenüber Placebo</w:t>
            </w:r>
          </w:p>
        </w:tc>
      </w:tr>
    </w:tbl>
    <w:p w14:paraId="099F9B8B" w14:textId="77777777" w:rsidR="002F39BA" w:rsidRPr="004F5FB4" w:rsidRDefault="002F39BA" w:rsidP="00387D0C">
      <w:pPr>
        <w:pStyle w:val="BodyText"/>
        <w:widowControl/>
        <w:kinsoku w:val="0"/>
        <w:overflowPunct w:val="0"/>
        <w:ind w:left="0"/>
        <w:rPr>
          <w:bCs/>
          <w:color w:val="000000"/>
        </w:rPr>
      </w:pPr>
    </w:p>
    <w:p w14:paraId="4B1EEAAD" w14:textId="77777777" w:rsidR="002F39BA" w:rsidRPr="004F5FB4" w:rsidRDefault="00E56A72" w:rsidP="00387D0C">
      <w:pPr>
        <w:pStyle w:val="BodyText"/>
        <w:widowControl/>
        <w:kinsoku w:val="0"/>
        <w:overflowPunct w:val="0"/>
        <w:ind w:left="0"/>
        <w:rPr>
          <w:color w:val="000000"/>
        </w:rPr>
      </w:pPr>
      <w:r w:rsidRPr="004F5FB4">
        <w:rPr>
          <w:color w:val="000000"/>
        </w:rPr>
        <w:t>Die mit Adalimumab behandelten Patienten erreichten in Woche</w:t>
      </w:r>
      <w:r w:rsidR="00BF01A2" w:rsidRPr="004F5FB4">
        <w:rPr>
          <w:color w:val="000000"/>
        </w:rPr>
        <w:t> </w:t>
      </w:r>
      <w:r w:rsidRPr="004F5FB4">
        <w:rPr>
          <w:color w:val="000000"/>
        </w:rPr>
        <w:t>26 statistisch signifikante Verbesserungen im DLQI verglichen mit Placebo.</w:t>
      </w:r>
    </w:p>
    <w:p w14:paraId="7C1DDE1D" w14:textId="77777777" w:rsidR="00D2772B" w:rsidRPr="004F5FB4" w:rsidRDefault="00D2772B" w:rsidP="00387D0C">
      <w:pPr>
        <w:rPr>
          <w:color w:val="000000"/>
        </w:rPr>
      </w:pPr>
    </w:p>
    <w:p w14:paraId="20DEF4A0" w14:textId="77777777" w:rsidR="00D23702" w:rsidRPr="004F5FB4" w:rsidRDefault="00D23702" w:rsidP="00387D0C">
      <w:pPr>
        <w:pStyle w:val="BodyText"/>
        <w:keepNext/>
        <w:widowControl/>
        <w:kinsoku w:val="0"/>
        <w:overflowPunct w:val="0"/>
        <w:ind w:left="0"/>
        <w:rPr>
          <w:color w:val="000000"/>
        </w:rPr>
      </w:pPr>
      <w:r w:rsidRPr="004F5FB4">
        <w:rPr>
          <w:i/>
          <w:iCs/>
          <w:color w:val="000000"/>
        </w:rPr>
        <w:t>Morbus Crohn bei Erwachsenen</w:t>
      </w:r>
    </w:p>
    <w:p w14:paraId="245B5BCB" w14:textId="77777777" w:rsidR="00D23702" w:rsidRPr="004F5FB4" w:rsidRDefault="00D23702" w:rsidP="00387D0C">
      <w:pPr>
        <w:pStyle w:val="BodyText"/>
        <w:keepNext/>
        <w:widowControl/>
        <w:kinsoku w:val="0"/>
        <w:overflowPunct w:val="0"/>
        <w:ind w:left="0"/>
        <w:rPr>
          <w:i/>
          <w:iCs/>
          <w:color w:val="000000"/>
          <w:szCs w:val="21"/>
        </w:rPr>
      </w:pPr>
    </w:p>
    <w:p w14:paraId="5FDD4107" w14:textId="77777777" w:rsidR="00D23702" w:rsidRPr="004F5FB4" w:rsidRDefault="00D23702" w:rsidP="00387D0C">
      <w:pPr>
        <w:pStyle w:val="BodyText"/>
        <w:keepNext/>
        <w:widowControl/>
        <w:kinsoku w:val="0"/>
        <w:overflowPunct w:val="0"/>
        <w:ind w:left="0"/>
        <w:rPr>
          <w:color w:val="000000"/>
        </w:rPr>
      </w:pPr>
      <w:r w:rsidRPr="004F5FB4">
        <w:rPr>
          <w:color w:val="000000"/>
        </w:rPr>
        <w:t>Die Sicherheit und Wirksamkeit von Adalimumab wurden bei über 1.500</w:t>
      </w:r>
      <w:r w:rsidR="00B660DF" w:rsidRPr="004F5FB4">
        <w:rPr>
          <w:color w:val="000000"/>
        </w:rPr>
        <w:t> </w:t>
      </w:r>
      <w:r w:rsidRPr="004F5FB4">
        <w:rPr>
          <w:color w:val="000000"/>
        </w:rPr>
        <w:t xml:space="preserve">Patienten mit mittelschwerem bis schwerem, aktivem Morbus Crohn (Crohn’s Disease Activity Index (CDAI) </w:t>
      </w:r>
      <w:r w:rsidR="00D05237" w:rsidRPr="004F5FB4">
        <w:rPr>
          <w:color w:val="000000"/>
        </w:rPr>
        <w:t>≥</w:t>
      </w:r>
      <w:r w:rsidRPr="004F5FB4">
        <w:rPr>
          <w:color w:val="000000"/>
        </w:rPr>
        <w:t xml:space="preserve"> 220 und </w:t>
      </w:r>
      <w:r w:rsidR="00D05237" w:rsidRPr="004F5FB4">
        <w:rPr>
          <w:color w:val="000000"/>
        </w:rPr>
        <w:t>≤</w:t>
      </w:r>
      <w:r w:rsidRPr="004F5FB4">
        <w:rPr>
          <w:color w:val="000000"/>
        </w:rPr>
        <w:t xml:space="preserve"> 450) in randomisierten, doppelblinden, placebokontrollierten Studien untersucht. Eine Begleitmedikation in gleichbleibender Dosierung mit Aminosalicylaten, </w:t>
      </w:r>
      <w:r w:rsidR="00683181" w:rsidRPr="004F5FB4">
        <w:rPr>
          <w:color w:val="000000"/>
        </w:rPr>
        <w:t>Glukok</w:t>
      </w:r>
      <w:r w:rsidRPr="004F5FB4">
        <w:rPr>
          <w:color w:val="000000"/>
        </w:rPr>
        <w:t>ortikoiden und/</w:t>
      </w:r>
      <w:r w:rsidR="00683181" w:rsidRPr="004F5FB4">
        <w:rPr>
          <w:color w:val="000000"/>
        </w:rPr>
        <w:t xml:space="preserve"> </w:t>
      </w:r>
      <w:r w:rsidRPr="004F5FB4">
        <w:rPr>
          <w:color w:val="000000"/>
        </w:rPr>
        <w:t>oder Immun</w:t>
      </w:r>
      <w:r w:rsidR="00683181" w:rsidRPr="004F5FB4">
        <w:rPr>
          <w:color w:val="000000"/>
        </w:rPr>
        <w:t>suppressiva</w:t>
      </w:r>
      <w:r w:rsidRPr="004F5FB4">
        <w:rPr>
          <w:color w:val="000000"/>
        </w:rPr>
        <w:t xml:space="preserve"> war erlaubt und bei 80 % der Patienten wurde mindestens eines dieser Medikamente fortgeführt.</w:t>
      </w:r>
    </w:p>
    <w:p w14:paraId="461491EB" w14:textId="77777777" w:rsidR="00D23702" w:rsidRPr="004F5FB4" w:rsidRDefault="00D23702" w:rsidP="00387D0C">
      <w:pPr>
        <w:pStyle w:val="BodyText"/>
        <w:widowControl/>
        <w:kinsoku w:val="0"/>
        <w:overflowPunct w:val="0"/>
        <w:ind w:left="0"/>
        <w:rPr>
          <w:color w:val="000000"/>
        </w:rPr>
      </w:pPr>
    </w:p>
    <w:p w14:paraId="1E2EBF30" w14:textId="77777777" w:rsidR="00D23702" w:rsidRPr="004F5FB4" w:rsidRDefault="00D23702" w:rsidP="00387D0C">
      <w:pPr>
        <w:pStyle w:val="BodyText"/>
        <w:widowControl/>
        <w:kinsoku w:val="0"/>
        <w:overflowPunct w:val="0"/>
        <w:ind w:left="0"/>
        <w:rPr>
          <w:color w:val="000000"/>
        </w:rPr>
      </w:pPr>
      <w:r w:rsidRPr="004F5FB4">
        <w:rPr>
          <w:color w:val="000000"/>
        </w:rPr>
        <w:t>Die Induktion einer klinischen Remission (definiert als CDAI</w:t>
      </w:r>
      <w:r w:rsidR="00D05237" w:rsidRPr="004F5FB4">
        <w:rPr>
          <w:color w:val="000000"/>
        </w:rPr>
        <w:t> </w:t>
      </w:r>
      <w:r w:rsidRPr="004F5FB4">
        <w:rPr>
          <w:color w:val="000000"/>
        </w:rPr>
        <w:t>&lt;</w:t>
      </w:r>
      <w:r w:rsidR="00B660DF" w:rsidRPr="004F5FB4">
        <w:rPr>
          <w:color w:val="000000"/>
        </w:rPr>
        <w:t> </w:t>
      </w:r>
      <w:r w:rsidRPr="004F5FB4">
        <w:rPr>
          <w:color w:val="000000"/>
        </w:rPr>
        <w:t>150) wurde in zwei Studien, MC-Studie</w:t>
      </w:r>
      <w:r w:rsidR="00B660DF" w:rsidRPr="004F5FB4">
        <w:rPr>
          <w:color w:val="000000"/>
        </w:rPr>
        <w:t> </w:t>
      </w:r>
      <w:r w:rsidRPr="004F5FB4">
        <w:rPr>
          <w:color w:val="000000"/>
        </w:rPr>
        <w:t>I (CLASSIC I) und MC-Studie</w:t>
      </w:r>
      <w:r w:rsidR="00B660DF" w:rsidRPr="004F5FB4">
        <w:rPr>
          <w:color w:val="000000"/>
        </w:rPr>
        <w:t> </w:t>
      </w:r>
      <w:r w:rsidRPr="004F5FB4">
        <w:rPr>
          <w:color w:val="000000"/>
        </w:rPr>
        <w:t>II (GAIN), untersucht. In der MC-Studie I wurden 299</w:t>
      </w:r>
      <w:r w:rsidR="008F58BB" w:rsidRPr="004F5FB4">
        <w:rPr>
          <w:color w:val="000000"/>
        </w:rPr>
        <w:t> </w:t>
      </w:r>
      <w:r w:rsidRPr="004F5FB4">
        <w:rPr>
          <w:color w:val="000000"/>
        </w:rPr>
        <w:t>Patienten, die zuvor nicht mit einem TNF-Antagonisten behandelt wurden, in eine von vier Behandlungsgruppen randomisiert: Placebo in Woche</w:t>
      </w:r>
      <w:r w:rsidR="00B660DF" w:rsidRPr="004F5FB4">
        <w:rPr>
          <w:color w:val="000000"/>
        </w:rPr>
        <w:t> </w:t>
      </w:r>
      <w:r w:rsidRPr="004F5FB4">
        <w:rPr>
          <w:color w:val="000000"/>
        </w:rPr>
        <w:t>0 und 2, 160</w:t>
      </w:r>
      <w:r w:rsidR="00B660DF" w:rsidRPr="004F5FB4">
        <w:rPr>
          <w:color w:val="000000"/>
        </w:rPr>
        <w:t> </w:t>
      </w:r>
      <w:r w:rsidRPr="004F5FB4">
        <w:rPr>
          <w:color w:val="000000"/>
        </w:rPr>
        <w:t>mg Adalimumab in Woche</w:t>
      </w:r>
      <w:r w:rsidR="00B660DF" w:rsidRPr="004F5FB4">
        <w:rPr>
          <w:color w:val="000000"/>
        </w:rPr>
        <w:t> </w:t>
      </w:r>
      <w:r w:rsidRPr="004F5FB4">
        <w:rPr>
          <w:color w:val="000000"/>
        </w:rPr>
        <w:t>0 und 80</w:t>
      </w:r>
      <w:r w:rsidR="00B660DF" w:rsidRPr="004F5FB4">
        <w:rPr>
          <w:color w:val="000000"/>
        </w:rPr>
        <w:t> </w:t>
      </w:r>
      <w:r w:rsidRPr="004F5FB4">
        <w:rPr>
          <w:color w:val="000000"/>
        </w:rPr>
        <w:t>mg in Woche</w:t>
      </w:r>
      <w:r w:rsidR="00B660DF" w:rsidRPr="004F5FB4">
        <w:rPr>
          <w:color w:val="000000"/>
        </w:rPr>
        <w:t> </w:t>
      </w:r>
      <w:r w:rsidRPr="004F5FB4">
        <w:rPr>
          <w:color w:val="000000"/>
        </w:rPr>
        <w:t>2, 80</w:t>
      </w:r>
      <w:r w:rsidR="00B660DF" w:rsidRPr="004F5FB4">
        <w:rPr>
          <w:color w:val="000000"/>
        </w:rPr>
        <w:t> </w:t>
      </w:r>
      <w:r w:rsidRPr="004F5FB4">
        <w:rPr>
          <w:color w:val="000000"/>
        </w:rPr>
        <w:t>mg in Woche</w:t>
      </w:r>
      <w:r w:rsidR="00B660DF" w:rsidRPr="004F5FB4">
        <w:rPr>
          <w:color w:val="000000"/>
        </w:rPr>
        <w:t> </w:t>
      </w:r>
      <w:r w:rsidRPr="004F5FB4">
        <w:rPr>
          <w:color w:val="000000"/>
        </w:rPr>
        <w:t>0 und 40</w:t>
      </w:r>
      <w:r w:rsidR="00B660DF" w:rsidRPr="004F5FB4">
        <w:rPr>
          <w:color w:val="000000"/>
        </w:rPr>
        <w:t> </w:t>
      </w:r>
      <w:r w:rsidRPr="004F5FB4">
        <w:rPr>
          <w:color w:val="000000"/>
        </w:rPr>
        <w:t>mg in Woche</w:t>
      </w:r>
      <w:r w:rsidR="00B660DF" w:rsidRPr="004F5FB4">
        <w:rPr>
          <w:color w:val="000000"/>
        </w:rPr>
        <w:t> </w:t>
      </w:r>
      <w:r w:rsidRPr="004F5FB4">
        <w:rPr>
          <w:color w:val="000000"/>
        </w:rPr>
        <w:t>2 sowie 40</w:t>
      </w:r>
      <w:r w:rsidR="00B660DF" w:rsidRPr="004F5FB4">
        <w:rPr>
          <w:color w:val="000000"/>
        </w:rPr>
        <w:t> </w:t>
      </w:r>
      <w:r w:rsidRPr="004F5FB4">
        <w:rPr>
          <w:color w:val="000000"/>
        </w:rPr>
        <w:t>mg in Woche</w:t>
      </w:r>
      <w:r w:rsidR="00B660DF" w:rsidRPr="004F5FB4">
        <w:rPr>
          <w:color w:val="000000"/>
        </w:rPr>
        <w:t> </w:t>
      </w:r>
      <w:r w:rsidRPr="004F5FB4">
        <w:rPr>
          <w:color w:val="000000"/>
        </w:rPr>
        <w:t>0 und 20</w:t>
      </w:r>
      <w:r w:rsidR="00B660DF" w:rsidRPr="004F5FB4">
        <w:rPr>
          <w:color w:val="000000"/>
        </w:rPr>
        <w:t> </w:t>
      </w:r>
      <w:r w:rsidRPr="004F5FB4">
        <w:rPr>
          <w:color w:val="000000"/>
        </w:rPr>
        <w:t>mg in Woche</w:t>
      </w:r>
      <w:r w:rsidR="00B660DF" w:rsidRPr="004F5FB4">
        <w:rPr>
          <w:color w:val="000000"/>
        </w:rPr>
        <w:t> </w:t>
      </w:r>
      <w:r w:rsidRPr="004F5FB4">
        <w:rPr>
          <w:color w:val="000000"/>
        </w:rPr>
        <w:t>2. In der MC-Studie</w:t>
      </w:r>
      <w:r w:rsidR="00B660DF" w:rsidRPr="004F5FB4">
        <w:rPr>
          <w:color w:val="000000"/>
        </w:rPr>
        <w:t> </w:t>
      </w:r>
      <w:r w:rsidRPr="004F5FB4">
        <w:rPr>
          <w:color w:val="000000"/>
        </w:rPr>
        <w:t>II wurden 325</w:t>
      </w:r>
      <w:r w:rsidR="00B660DF" w:rsidRPr="004F5FB4">
        <w:rPr>
          <w:color w:val="000000"/>
        </w:rPr>
        <w:t> </w:t>
      </w:r>
      <w:r w:rsidRPr="004F5FB4">
        <w:rPr>
          <w:color w:val="000000"/>
        </w:rPr>
        <w:t>Patienten, die nicht mehr ausreichend auf Infliximab ansprachen oder eine Unverträglichkeit gegenüber Infliximab zeigten, randomisiert und erhielten entweder 160</w:t>
      </w:r>
      <w:r w:rsidR="00B660DF" w:rsidRPr="004F5FB4">
        <w:rPr>
          <w:color w:val="000000"/>
        </w:rPr>
        <w:t> </w:t>
      </w:r>
      <w:r w:rsidRPr="004F5FB4">
        <w:rPr>
          <w:color w:val="000000"/>
        </w:rPr>
        <w:t>mg Adalimumab in Woche</w:t>
      </w:r>
      <w:r w:rsidR="00B660DF" w:rsidRPr="004F5FB4">
        <w:rPr>
          <w:color w:val="000000"/>
        </w:rPr>
        <w:t> </w:t>
      </w:r>
      <w:r w:rsidRPr="004F5FB4">
        <w:rPr>
          <w:color w:val="000000"/>
        </w:rPr>
        <w:t>0 und 80</w:t>
      </w:r>
      <w:r w:rsidR="00B660DF" w:rsidRPr="004F5FB4">
        <w:rPr>
          <w:color w:val="000000"/>
        </w:rPr>
        <w:t> </w:t>
      </w:r>
      <w:r w:rsidRPr="004F5FB4">
        <w:rPr>
          <w:color w:val="000000"/>
        </w:rPr>
        <w:t>mg in Woche</w:t>
      </w:r>
      <w:r w:rsidR="00B660DF" w:rsidRPr="004F5FB4">
        <w:rPr>
          <w:color w:val="000000"/>
        </w:rPr>
        <w:t> </w:t>
      </w:r>
      <w:r w:rsidRPr="004F5FB4">
        <w:rPr>
          <w:color w:val="000000"/>
        </w:rPr>
        <w:t>2 oder Placebo in Woche</w:t>
      </w:r>
      <w:r w:rsidR="00B660DF" w:rsidRPr="004F5FB4">
        <w:rPr>
          <w:color w:val="000000"/>
        </w:rPr>
        <w:t> </w:t>
      </w:r>
      <w:r w:rsidRPr="004F5FB4">
        <w:rPr>
          <w:color w:val="000000"/>
        </w:rPr>
        <w:t>0 und 2. Patienten, bei denen sich primär keine Wirkung zeigte, wurden aus diesen Studien ausgeschlossen und nicht weiter untersucht.</w:t>
      </w:r>
    </w:p>
    <w:p w14:paraId="02694D9D" w14:textId="77777777" w:rsidR="00D23702" w:rsidRPr="004F5FB4" w:rsidRDefault="00D23702" w:rsidP="00387D0C">
      <w:pPr>
        <w:pStyle w:val="BodyText"/>
        <w:widowControl/>
        <w:kinsoku w:val="0"/>
        <w:overflowPunct w:val="0"/>
        <w:ind w:left="0"/>
        <w:rPr>
          <w:color w:val="000000"/>
          <w:szCs w:val="21"/>
        </w:rPr>
      </w:pPr>
    </w:p>
    <w:p w14:paraId="1CD323DA" w14:textId="77777777" w:rsidR="00D23702" w:rsidRPr="004F5FB4" w:rsidRDefault="00D23702" w:rsidP="00387D0C">
      <w:pPr>
        <w:pStyle w:val="BodyText"/>
        <w:widowControl/>
        <w:kinsoku w:val="0"/>
        <w:overflowPunct w:val="0"/>
        <w:ind w:left="0"/>
        <w:rPr>
          <w:color w:val="000000"/>
        </w:rPr>
      </w:pPr>
      <w:r w:rsidRPr="004F5FB4">
        <w:rPr>
          <w:color w:val="000000"/>
        </w:rPr>
        <w:t>Der Erhalt der klinischen Remission wurde in der MC-Studie</w:t>
      </w:r>
      <w:r w:rsidR="00B660DF" w:rsidRPr="004F5FB4">
        <w:rPr>
          <w:color w:val="000000"/>
        </w:rPr>
        <w:t> </w:t>
      </w:r>
      <w:r w:rsidRPr="004F5FB4">
        <w:rPr>
          <w:color w:val="000000"/>
        </w:rPr>
        <w:t>III (CHARM) untersucht. In der offenen Induktionsphase der MC-Studie</w:t>
      </w:r>
      <w:r w:rsidR="00B660DF" w:rsidRPr="004F5FB4">
        <w:rPr>
          <w:color w:val="000000"/>
        </w:rPr>
        <w:t> </w:t>
      </w:r>
      <w:r w:rsidRPr="004F5FB4">
        <w:rPr>
          <w:color w:val="000000"/>
        </w:rPr>
        <w:t>III erhielten 854</w:t>
      </w:r>
      <w:r w:rsidR="00B660DF" w:rsidRPr="004F5FB4">
        <w:rPr>
          <w:color w:val="000000"/>
        </w:rPr>
        <w:t> </w:t>
      </w:r>
      <w:r w:rsidRPr="004F5FB4">
        <w:rPr>
          <w:color w:val="000000"/>
        </w:rPr>
        <w:t>Patienten 80</w:t>
      </w:r>
      <w:r w:rsidR="00B660DF" w:rsidRPr="004F5FB4">
        <w:rPr>
          <w:color w:val="000000"/>
        </w:rPr>
        <w:t> </w:t>
      </w:r>
      <w:r w:rsidRPr="004F5FB4">
        <w:rPr>
          <w:color w:val="000000"/>
        </w:rPr>
        <w:t>mg in Woche</w:t>
      </w:r>
      <w:r w:rsidR="00B660DF" w:rsidRPr="004F5FB4">
        <w:rPr>
          <w:color w:val="000000"/>
        </w:rPr>
        <w:t> </w:t>
      </w:r>
      <w:r w:rsidRPr="004F5FB4">
        <w:rPr>
          <w:color w:val="000000"/>
        </w:rPr>
        <w:t>0 und 40</w:t>
      </w:r>
      <w:r w:rsidR="00B660DF" w:rsidRPr="004F5FB4">
        <w:rPr>
          <w:color w:val="000000"/>
        </w:rPr>
        <w:t> </w:t>
      </w:r>
      <w:r w:rsidRPr="004F5FB4">
        <w:rPr>
          <w:color w:val="000000"/>
        </w:rPr>
        <w:t>mg in Woche</w:t>
      </w:r>
      <w:r w:rsidR="00B660DF" w:rsidRPr="004F5FB4">
        <w:rPr>
          <w:color w:val="000000"/>
        </w:rPr>
        <w:t> </w:t>
      </w:r>
      <w:r w:rsidRPr="004F5FB4">
        <w:rPr>
          <w:color w:val="000000"/>
        </w:rPr>
        <w:t>2. In Woche</w:t>
      </w:r>
      <w:r w:rsidR="00B660DF" w:rsidRPr="004F5FB4">
        <w:rPr>
          <w:color w:val="000000"/>
        </w:rPr>
        <w:t> </w:t>
      </w:r>
      <w:r w:rsidRPr="004F5FB4">
        <w:rPr>
          <w:color w:val="000000"/>
        </w:rPr>
        <w:t>4 wurden die Patienten randomisiert und erhielten entweder 40</w:t>
      </w:r>
      <w:r w:rsidR="00B660DF" w:rsidRPr="004F5FB4">
        <w:rPr>
          <w:color w:val="000000"/>
        </w:rPr>
        <w:t> </w:t>
      </w:r>
      <w:r w:rsidRPr="004F5FB4">
        <w:rPr>
          <w:color w:val="000000"/>
        </w:rPr>
        <w:t>mg alle zwei Wochen, 40</w:t>
      </w:r>
      <w:r w:rsidR="00B660DF" w:rsidRPr="004F5FB4">
        <w:rPr>
          <w:color w:val="000000"/>
        </w:rPr>
        <w:t> </w:t>
      </w:r>
      <w:r w:rsidRPr="004F5FB4">
        <w:rPr>
          <w:color w:val="000000"/>
        </w:rPr>
        <w:t>mg jede Woche oder Placebo über den gesamten Studienzeitraum von 56</w:t>
      </w:r>
      <w:r w:rsidR="00B660DF" w:rsidRPr="004F5FB4">
        <w:rPr>
          <w:color w:val="000000"/>
        </w:rPr>
        <w:t> </w:t>
      </w:r>
      <w:r w:rsidRPr="004F5FB4">
        <w:rPr>
          <w:color w:val="000000"/>
        </w:rPr>
        <w:t xml:space="preserve">Wochen. Patienten, die </w:t>
      </w:r>
      <w:r w:rsidRPr="004F5FB4">
        <w:rPr>
          <w:color w:val="000000"/>
        </w:rPr>
        <w:lastRenderedPageBreak/>
        <w:t>auf die Therapie ansprachen (Minderung des CDAI ≥</w:t>
      </w:r>
      <w:r w:rsidR="00B660DF" w:rsidRPr="004F5FB4">
        <w:rPr>
          <w:color w:val="000000"/>
        </w:rPr>
        <w:t> </w:t>
      </w:r>
      <w:r w:rsidRPr="004F5FB4">
        <w:rPr>
          <w:color w:val="000000"/>
        </w:rPr>
        <w:t>70), wurden in Woche</w:t>
      </w:r>
      <w:r w:rsidR="00B660DF" w:rsidRPr="004F5FB4">
        <w:rPr>
          <w:color w:val="000000"/>
        </w:rPr>
        <w:t> </w:t>
      </w:r>
      <w:r w:rsidRPr="004F5FB4">
        <w:rPr>
          <w:color w:val="000000"/>
        </w:rPr>
        <w:t>4 stratifiziert und unabhängig von denen, die bis Woche</w:t>
      </w:r>
      <w:r w:rsidR="00B660DF" w:rsidRPr="004F5FB4">
        <w:rPr>
          <w:color w:val="000000"/>
        </w:rPr>
        <w:t> </w:t>
      </w:r>
      <w:r w:rsidRPr="004F5FB4">
        <w:rPr>
          <w:color w:val="000000"/>
        </w:rPr>
        <w:t xml:space="preserve">4 noch kein klinisches Ansprechen zeigten, analysiert. Ein Ausschleichen der </w:t>
      </w:r>
      <w:r w:rsidR="00683181" w:rsidRPr="004F5FB4">
        <w:rPr>
          <w:color w:val="000000"/>
        </w:rPr>
        <w:t>Glukok</w:t>
      </w:r>
      <w:r w:rsidRPr="004F5FB4">
        <w:rPr>
          <w:color w:val="000000"/>
        </w:rPr>
        <w:t>ortikoide war ab der 8.</w:t>
      </w:r>
      <w:r w:rsidR="00B660DF" w:rsidRPr="004F5FB4">
        <w:rPr>
          <w:color w:val="000000"/>
        </w:rPr>
        <w:t> </w:t>
      </w:r>
      <w:r w:rsidRPr="004F5FB4">
        <w:rPr>
          <w:color w:val="000000"/>
        </w:rPr>
        <w:t>Woche erlaubt.</w:t>
      </w:r>
    </w:p>
    <w:p w14:paraId="6B13354A" w14:textId="77777777" w:rsidR="00D23702" w:rsidRPr="004F5FB4" w:rsidRDefault="00D23702" w:rsidP="00387D0C">
      <w:pPr>
        <w:pStyle w:val="BodyText"/>
        <w:widowControl/>
        <w:kinsoku w:val="0"/>
        <w:overflowPunct w:val="0"/>
        <w:ind w:left="0"/>
        <w:rPr>
          <w:color w:val="000000"/>
        </w:rPr>
      </w:pPr>
    </w:p>
    <w:p w14:paraId="5AF05995" w14:textId="77777777" w:rsidR="00D23702" w:rsidRPr="004F5FB4" w:rsidRDefault="00D23702" w:rsidP="00673336">
      <w:pPr>
        <w:pStyle w:val="BodyText"/>
        <w:keepNext/>
        <w:widowControl/>
        <w:kinsoku w:val="0"/>
        <w:overflowPunct w:val="0"/>
        <w:ind w:left="0"/>
        <w:rPr>
          <w:color w:val="000000"/>
        </w:rPr>
      </w:pPr>
      <w:r w:rsidRPr="004F5FB4">
        <w:rPr>
          <w:color w:val="000000"/>
        </w:rPr>
        <w:t xml:space="preserve">Die </w:t>
      </w:r>
      <w:r w:rsidR="00683181" w:rsidRPr="004F5FB4">
        <w:rPr>
          <w:color w:val="000000"/>
        </w:rPr>
        <w:t>klinischen Remissions- und Ansprechr</w:t>
      </w:r>
      <w:r w:rsidRPr="004F5FB4">
        <w:rPr>
          <w:color w:val="000000"/>
        </w:rPr>
        <w:t>aten für die MC-Studie</w:t>
      </w:r>
      <w:r w:rsidR="00B660DF" w:rsidRPr="004F5FB4">
        <w:rPr>
          <w:color w:val="000000"/>
        </w:rPr>
        <w:t> </w:t>
      </w:r>
      <w:r w:rsidRPr="004F5FB4">
        <w:rPr>
          <w:color w:val="000000"/>
        </w:rPr>
        <w:t>I und die MC-Studie</w:t>
      </w:r>
      <w:r w:rsidR="00B660DF" w:rsidRPr="004F5FB4">
        <w:rPr>
          <w:color w:val="000000"/>
        </w:rPr>
        <w:t> </w:t>
      </w:r>
      <w:r w:rsidRPr="004F5FB4">
        <w:rPr>
          <w:color w:val="000000"/>
        </w:rPr>
        <w:t>II sind in Tabelle</w:t>
      </w:r>
      <w:r w:rsidR="00B660DF" w:rsidRPr="004F5FB4">
        <w:rPr>
          <w:color w:val="000000"/>
        </w:rPr>
        <w:t> </w:t>
      </w:r>
      <w:r w:rsidR="007004B8">
        <w:rPr>
          <w:color w:val="000000"/>
        </w:rPr>
        <w:t>14</w:t>
      </w:r>
      <w:r w:rsidRPr="004F5FB4">
        <w:rPr>
          <w:color w:val="000000"/>
        </w:rPr>
        <w:t xml:space="preserve"> aufgeführt.</w:t>
      </w:r>
    </w:p>
    <w:p w14:paraId="51A99327" w14:textId="77777777" w:rsidR="002F39BA" w:rsidRPr="004F5FB4" w:rsidRDefault="002F39BA" w:rsidP="00673336">
      <w:pPr>
        <w:keepNext/>
        <w:rPr>
          <w:color w:val="000000"/>
        </w:rPr>
      </w:pPr>
    </w:p>
    <w:p w14:paraId="717F19D4" w14:textId="77777777" w:rsidR="00005C27" w:rsidRPr="00CA7719" w:rsidRDefault="00D23702" w:rsidP="00CA7719">
      <w:pPr>
        <w:pStyle w:val="BodyText"/>
        <w:widowControl/>
        <w:kinsoku w:val="0"/>
        <w:overflowPunct w:val="0"/>
        <w:ind w:left="0"/>
        <w:rPr>
          <w:b/>
          <w:color w:val="000000"/>
        </w:rPr>
      </w:pPr>
      <w:r w:rsidRPr="00CA7719">
        <w:rPr>
          <w:b/>
          <w:color w:val="000000"/>
        </w:rPr>
        <w:t>Tabelle</w:t>
      </w:r>
      <w:r w:rsidR="00B660DF" w:rsidRPr="00CA7719">
        <w:rPr>
          <w:b/>
          <w:color w:val="000000"/>
        </w:rPr>
        <w:t> </w:t>
      </w:r>
      <w:r w:rsidR="007004B8">
        <w:rPr>
          <w:b/>
          <w:color w:val="000000"/>
        </w:rPr>
        <w:t>14</w:t>
      </w:r>
    </w:p>
    <w:p w14:paraId="340ED1FA" w14:textId="77777777" w:rsidR="009473C0" w:rsidRPr="00CA7719" w:rsidRDefault="009473C0" w:rsidP="00CA7719">
      <w:pPr>
        <w:pStyle w:val="BodyText"/>
        <w:widowControl/>
        <w:kinsoku w:val="0"/>
        <w:overflowPunct w:val="0"/>
        <w:ind w:left="0"/>
        <w:rPr>
          <w:b/>
          <w:color w:val="000000"/>
        </w:rPr>
      </w:pPr>
      <w:r w:rsidRPr="00CA7719">
        <w:rPr>
          <w:b/>
          <w:color w:val="000000"/>
        </w:rPr>
        <w:t>Induktion der klinischen Remission und des Ansprechens (Prozent der Patienten)</w:t>
      </w:r>
    </w:p>
    <w:p w14:paraId="379A3651" w14:textId="77777777" w:rsidR="009473C0" w:rsidRPr="004F5FB4" w:rsidRDefault="009473C0" w:rsidP="009473C0">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906"/>
        <w:gridCol w:w="1793"/>
        <w:gridCol w:w="1793"/>
        <w:gridCol w:w="1055"/>
        <w:gridCol w:w="1795"/>
      </w:tblGrid>
      <w:tr w:rsidR="009473C0" w:rsidRPr="004F5FB4" w14:paraId="6C1D32A8" w14:textId="77777777" w:rsidTr="00CC0C3D">
        <w:trPr>
          <w:cantSplit/>
          <w:tblHeader/>
        </w:trPr>
        <w:tc>
          <w:tcPr>
            <w:tcW w:w="1770" w:type="dxa"/>
            <w:tcBorders>
              <w:top w:val="single" w:sz="4" w:space="0" w:color="auto"/>
              <w:left w:val="single" w:sz="4" w:space="0" w:color="auto"/>
              <w:bottom w:val="single" w:sz="4" w:space="0" w:color="auto"/>
              <w:right w:val="single" w:sz="4" w:space="0" w:color="auto"/>
            </w:tcBorders>
          </w:tcPr>
          <w:p w14:paraId="32229ABE" w14:textId="77777777" w:rsidR="009473C0" w:rsidRPr="004F5FB4" w:rsidRDefault="009473C0" w:rsidP="005A68B9">
            <w:pPr>
              <w:rPr>
                <w:color w:val="000000"/>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74973247" w14:textId="77777777" w:rsidR="009473C0" w:rsidRPr="002B5A88" w:rsidRDefault="009473C0" w:rsidP="005A68B9">
            <w:pPr>
              <w:rPr>
                <w:color w:val="000000"/>
              </w:rPr>
            </w:pPr>
            <w:r w:rsidRPr="002B5A88">
              <w:rPr>
                <w:b/>
                <w:color w:val="000000"/>
              </w:rPr>
              <w:t>MC-Studie</w:t>
            </w:r>
            <w:r w:rsidR="00B660DF" w:rsidRPr="002B5A88">
              <w:rPr>
                <w:b/>
                <w:color w:val="000000"/>
              </w:rPr>
              <w:t> </w:t>
            </w:r>
            <w:r w:rsidRPr="002B5A88">
              <w:rPr>
                <w:b/>
                <w:color w:val="000000"/>
              </w:rPr>
              <w:t>I: Infliximab-naive Patienten</w:t>
            </w:r>
          </w:p>
        </w:tc>
        <w:tc>
          <w:tcPr>
            <w:tcW w:w="2924" w:type="dxa"/>
            <w:gridSpan w:val="2"/>
            <w:tcBorders>
              <w:top w:val="single" w:sz="4" w:space="0" w:color="auto"/>
              <w:left w:val="single" w:sz="4" w:space="0" w:color="auto"/>
              <w:bottom w:val="single" w:sz="4" w:space="0" w:color="auto"/>
              <w:right w:val="single" w:sz="4" w:space="0" w:color="auto"/>
            </w:tcBorders>
            <w:hideMark/>
          </w:tcPr>
          <w:p w14:paraId="6770C407" w14:textId="77777777" w:rsidR="009473C0" w:rsidRPr="004F5FB4" w:rsidRDefault="009473C0" w:rsidP="005A68B9">
            <w:pPr>
              <w:rPr>
                <w:color w:val="000000"/>
              </w:rPr>
            </w:pPr>
            <w:r w:rsidRPr="004F5FB4">
              <w:rPr>
                <w:b/>
                <w:color w:val="000000"/>
              </w:rPr>
              <w:t>MC-Studie</w:t>
            </w:r>
            <w:r w:rsidR="00B660DF" w:rsidRPr="004F5FB4">
              <w:rPr>
                <w:b/>
                <w:color w:val="000000"/>
              </w:rPr>
              <w:t> </w:t>
            </w:r>
            <w:r w:rsidRPr="004F5FB4">
              <w:rPr>
                <w:b/>
                <w:color w:val="000000"/>
              </w:rPr>
              <w:t>II: Infliximab-erfahrene Patienten</w:t>
            </w:r>
          </w:p>
        </w:tc>
      </w:tr>
      <w:tr w:rsidR="009473C0" w:rsidRPr="004F5FB4" w14:paraId="6413C274" w14:textId="77777777" w:rsidTr="00CC0C3D">
        <w:trPr>
          <w:cantSplit/>
          <w:tblHeader/>
        </w:trPr>
        <w:tc>
          <w:tcPr>
            <w:tcW w:w="1770" w:type="dxa"/>
            <w:tcBorders>
              <w:top w:val="single" w:sz="4" w:space="0" w:color="auto"/>
              <w:left w:val="single" w:sz="4" w:space="0" w:color="auto"/>
              <w:bottom w:val="single" w:sz="4" w:space="0" w:color="auto"/>
              <w:right w:val="single" w:sz="4" w:space="0" w:color="auto"/>
            </w:tcBorders>
          </w:tcPr>
          <w:p w14:paraId="372D495F" w14:textId="77777777" w:rsidR="009473C0" w:rsidRPr="004F5FB4" w:rsidRDefault="009473C0" w:rsidP="005A68B9">
            <w:pPr>
              <w:rPr>
                <w:color w:val="000000"/>
              </w:rPr>
            </w:pPr>
          </w:p>
        </w:tc>
        <w:tc>
          <w:tcPr>
            <w:tcW w:w="927" w:type="dxa"/>
            <w:tcBorders>
              <w:top w:val="single" w:sz="4" w:space="0" w:color="auto"/>
              <w:left w:val="single" w:sz="4" w:space="0" w:color="auto"/>
              <w:bottom w:val="single" w:sz="4" w:space="0" w:color="auto"/>
              <w:right w:val="single" w:sz="4" w:space="0" w:color="auto"/>
            </w:tcBorders>
            <w:hideMark/>
          </w:tcPr>
          <w:p w14:paraId="5F64A28B" w14:textId="77777777" w:rsidR="009473C0" w:rsidRPr="004F5FB4" w:rsidRDefault="009473C0" w:rsidP="005A68B9">
            <w:pPr>
              <w:jc w:val="center"/>
              <w:rPr>
                <w:b/>
                <w:color w:val="000000"/>
              </w:rPr>
            </w:pPr>
            <w:r w:rsidRPr="004F5FB4">
              <w:rPr>
                <w:b/>
                <w:color w:val="000000"/>
              </w:rPr>
              <w:t>Placebo</w:t>
            </w:r>
          </w:p>
          <w:p w14:paraId="32BC90F4"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74</w:t>
            </w:r>
          </w:p>
        </w:tc>
        <w:tc>
          <w:tcPr>
            <w:tcW w:w="1841" w:type="dxa"/>
            <w:tcBorders>
              <w:top w:val="single" w:sz="4" w:space="0" w:color="auto"/>
              <w:left w:val="single" w:sz="4" w:space="0" w:color="auto"/>
              <w:bottom w:val="single" w:sz="4" w:space="0" w:color="auto"/>
              <w:right w:val="single" w:sz="4" w:space="0" w:color="auto"/>
            </w:tcBorders>
            <w:hideMark/>
          </w:tcPr>
          <w:p w14:paraId="0711AE0C" w14:textId="77777777" w:rsidR="009473C0" w:rsidRPr="004F5FB4" w:rsidRDefault="009473C0" w:rsidP="005A68B9">
            <w:pPr>
              <w:jc w:val="center"/>
              <w:rPr>
                <w:b/>
                <w:color w:val="000000"/>
              </w:rPr>
            </w:pPr>
            <w:r w:rsidRPr="004F5FB4">
              <w:rPr>
                <w:b/>
                <w:color w:val="000000"/>
              </w:rPr>
              <w:t>Adalimumab</w:t>
            </w:r>
          </w:p>
          <w:p w14:paraId="4C4EA7D3" w14:textId="77777777" w:rsidR="009473C0" w:rsidRPr="004F5FB4" w:rsidRDefault="009473C0" w:rsidP="005A68B9">
            <w:pPr>
              <w:jc w:val="center"/>
              <w:rPr>
                <w:b/>
                <w:color w:val="000000"/>
              </w:rPr>
            </w:pPr>
            <w:r w:rsidRPr="004F5FB4">
              <w:rPr>
                <w:b/>
                <w:color w:val="000000"/>
              </w:rPr>
              <w:t>80/40 mg</w:t>
            </w:r>
          </w:p>
          <w:p w14:paraId="00891C9A"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75</w:t>
            </w:r>
          </w:p>
        </w:tc>
        <w:tc>
          <w:tcPr>
            <w:tcW w:w="1841" w:type="dxa"/>
            <w:tcBorders>
              <w:top w:val="single" w:sz="4" w:space="0" w:color="auto"/>
              <w:left w:val="single" w:sz="4" w:space="0" w:color="auto"/>
              <w:bottom w:val="single" w:sz="4" w:space="0" w:color="auto"/>
              <w:right w:val="single" w:sz="4" w:space="0" w:color="auto"/>
            </w:tcBorders>
            <w:hideMark/>
          </w:tcPr>
          <w:p w14:paraId="271AF658" w14:textId="77777777" w:rsidR="009473C0" w:rsidRPr="004F5FB4" w:rsidRDefault="009473C0" w:rsidP="005A68B9">
            <w:pPr>
              <w:jc w:val="center"/>
              <w:rPr>
                <w:b/>
                <w:color w:val="000000"/>
              </w:rPr>
            </w:pPr>
            <w:r w:rsidRPr="004F5FB4">
              <w:rPr>
                <w:b/>
                <w:color w:val="000000"/>
              </w:rPr>
              <w:t>Adalimumab</w:t>
            </w:r>
          </w:p>
          <w:p w14:paraId="506962DD" w14:textId="77777777" w:rsidR="009473C0" w:rsidRPr="004F5FB4" w:rsidRDefault="009473C0" w:rsidP="005A68B9">
            <w:pPr>
              <w:jc w:val="center"/>
              <w:rPr>
                <w:b/>
                <w:color w:val="000000"/>
              </w:rPr>
            </w:pPr>
            <w:r w:rsidRPr="004F5FB4">
              <w:rPr>
                <w:b/>
                <w:color w:val="000000"/>
              </w:rPr>
              <w:t>160/80 mg</w:t>
            </w:r>
          </w:p>
          <w:p w14:paraId="760295E8"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76</w:t>
            </w:r>
          </w:p>
        </w:tc>
        <w:tc>
          <w:tcPr>
            <w:tcW w:w="1080" w:type="dxa"/>
            <w:tcBorders>
              <w:top w:val="single" w:sz="4" w:space="0" w:color="auto"/>
              <w:left w:val="single" w:sz="4" w:space="0" w:color="auto"/>
              <w:bottom w:val="single" w:sz="4" w:space="0" w:color="auto"/>
              <w:right w:val="single" w:sz="4" w:space="0" w:color="auto"/>
            </w:tcBorders>
            <w:hideMark/>
          </w:tcPr>
          <w:p w14:paraId="5C3DD0BA" w14:textId="77777777" w:rsidR="009473C0" w:rsidRPr="004F5FB4" w:rsidRDefault="009473C0" w:rsidP="005A68B9">
            <w:pPr>
              <w:jc w:val="center"/>
              <w:rPr>
                <w:b/>
                <w:color w:val="000000"/>
              </w:rPr>
            </w:pPr>
            <w:r w:rsidRPr="004F5FB4">
              <w:rPr>
                <w:b/>
                <w:color w:val="000000"/>
              </w:rPr>
              <w:t>Placebo</w:t>
            </w:r>
          </w:p>
          <w:p w14:paraId="4A7D5BB1"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166</w:t>
            </w:r>
          </w:p>
        </w:tc>
        <w:tc>
          <w:tcPr>
            <w:tcW w:w="1844" w:type="dxa"/>
            <w:tcBorders>
              <w:top w:val="single" w:sz="4" w:space="0" w:color="auto"/>
              <w:left w:val="single" w:sz="4" w:space="0" w:color="auto"/>
              <w:bottom w:val="single" w:sz="4" w:space="0" w:color="auto"/>
              <w:right w:val="single" w:sz="4" w:space="0" w:color="auto"/>
            </w:tcBorders>
            <w:hideMark/>
          </w:tcPr>
          <w:p w14:paraId="46337343" w14:textId="77777777" w:rsidR="009473C0" w:rsidRPr="004F5FB4" w:rsidRDefault="009473C0" w:rsidP="005A68B9">
            <w:pPr>
              <w:jc w:val="center"/>
              <w:rPr>
                <w:b/>
                <w:color w:val="000000"/>
              </w:rPr>
            </w:pPr>
            <w:r w:rsidRPr="004F5FB4">
              <w:rPr>
                <w:b/>
                <w:color w:val="000000"/>
              </w:rPr>
              <w:t>Adalimumab</w:t>
            </w:r>
          </w:p>
          <w:p w14:paraId="3ED9A2A3" w14:textId="77777777" w:rsidR="009473C0" w:rsidRPr="004F5FB4" w:rsidRDefault="009473C0" w:rsidP="005A68B9">
            <w:pPr>
              <w:jc w:val="center"/>
              <w:rPr>
                <w:b/>
                <w:color w:val="000000"/>
              </w:rPr>
            </w:pPr>
            <w:r w:rsidRPr="004F5FB4">
              <w:rPr>
                <w:b/>
                <w:color w:val="000000"/>
              </w:rPr>
              <w:t>160/80 mg</w:t>
            </w:r>
          </w:p>
          <w:p w14:paraId="3E412420"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159</w:t>
            </w:r>
          </w:p>
        </w:tc>
      </w:tr>
      <w:tr w:rsidR="009473C0" w:rsidRPr="004F5FB4" w14:paraId="1FA8EBAF"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6517CC62" w14:textId="77777777" w:rsidR="009473C0" w:rsidRPr="004F5FB4" w:rsidRDefault="009473C0" w:rsidP="005A68B9">
            <w:pPr>
              <w:rPr>
                <w:color w:val="000000"/>
              </w:rPr>
            </w:pPr>
            <w:r w:rsidRPr="004F5FB4">
              <w:rPr>
                <w:color w:val="000000"/>
              </w:rPr>
              <w:t>Woche</w:t>
            </w:r>
            <w:r w:rsidR="00B660DF" w:rsidRPr="004F5FB4">
              <w:rPr>
                <w:color w:val="000000"/>
              </w:rPr>
              <w:t> </w:t>
            </w:r>
            <w:r w:rsidRPr="004F5FB4">
              <w:rPr>
                <w:color w:val="000000"/>
              </w:rPr>
              <w:t>4</w:t>
            </w:r>
          </w:p>
        </w:tc>
        <w:tc>
          <w:tcPr>
            <w:tcW w:w="927" w:type="dxa"/>
            <w:tcBorders>
              <w:top w:val="single" w:sz="4" w:space="0" w:color="auto"/>
              <w:left w:val="single" w:sz="4" w:space="0" w:color="auto"/>
              <w:bottom w:val="single" w:sz="4" w:space="0" w:color="auto"/>
              <w:right w:val="single" w:sz="4" w:space="0" w:color="auto"/>
            </w:tcBorders>
          </w:tcPr>
          <w:p w14:paraId="5D08A930" w14:textId="77777777" w:rsidR="009473C0" w:rsidRPr="004F5FB4" w:rsidRDefault="009473C0" w:rsidP="005A68B9">
            <w:pPr>
              <w:rPr>
                <w:color w:val="000000"/>
                <w:lang w:val="en-GB"/>
              </w:rPr>
            </w:pPr>
          </w:p>
        </w:tc>
        <w:tc>
          <w:tcPr>
            <w:tcW w:w="1841" w:type="dxa"/>
            <w:tcBorders>
              <w:top w:val="single" w:sz="4" w:space="0" w:color="auto"/>
              <w:left w:val="single" w:sz="4" w:space="0" w:color="auto"/>
              <w:bottom w:val="single" w:sz="4" w:space="0" w:color="auto"/>
              <w:right w:val="single" w:sz="4" w:space="0" w:color="auto"/>
            </w:tcBorders>
          </w:tcPr>
          <w:p w14:paraId="304F6B42" w14:textId="77777777" w:rsidR="009473C0" w:rsidRPr="004F5FB4" w:rsidRDefault="009473C0" w:rsidP="005A68B9">
            <w:pPr>
              <w:rPr>
                <w:color w:val="000000"/>
                <w:lang w:val="en-GB"/>
              </w:rPr>
            </w:pPr>
          </w:p>
        </w:tc>
        <w:tc>
          <w:tcPr>
            <w:tcW w:w="1841" w:type="dxa"/>
            <w:tcBorders>
              <w:top w:val="single" w:sz="4" w:space="0" w:color="auto"/>
              <w:left w:val="single" w:sz="4" w:space="0" w:color="auto"/>
              <w:bottom w:val="single" w:sz="4" w:space="0" w:color="auto"/>
              <w:right w:val="single" w:sz="4" w:space="0" w:color="auto"/>
            </w:tcBorders>
          </w:tcPr>
          <w:p w14:paraId="71D28E20" w14:textId="77777777" w:rsidR="009473C0" w:rsidRPr="004F5FB4" w:rsidRDefault="009473C0" w:rsidP="005A68B9">
            <w:pPr>
              <w:rPr>
                <w:color w:val="000000"/>
                <w:lang w:val="en-GB"/>
              </w:rPr>
            </w:pPr>
          </w:p>
        </w:tc>
        <w:tc>
          <w:tcPr>
            <w:tcW w:w="1080" w:type="dxa"/>
            <w:tcBorders>
              <w:top w:val="single" w:sz="4" w:space="0" w:color="auto"/>
              <w:left w:val="single" w:sz="4" w:space="0" w:color="auto"/>
              <w:bottom w:val="single" w:sz="4" w:space="0" w:color="auto"/>
              <w:right w:val="single" w:sz="4" w:space="0" w:color="auto"/>
            </w:tcBorders>
          </w:tcPr>
          <w:p w14:paraId="35A368F2" w14:textId="77777777" w:rsidR="009473C0" w:rsidRPr="004F5FB4" w:rsidRDefault="009473C0" w:rsidP="005A68B9">
            <w:pPr>
              <w:rPr>
                <w:color w:val="000000"/>
                <w:lang w:val="en-GB"/>
              </w:rPr>
            </w:pPr>
          </w:p>
        </w:tc>
        <w:tc>
          <w:tcPr>
            <w:tcW w:w="1844" w:type="dxa"/>
            <w:tcBorders>
              <w:top w:val="single" w:sz="4" w:space="0" w:color="auto"/>
              <w:left w:val="single" w:sz="4" w:space="0" w:color="auto"/>
              <w:bottom w:val="single" w:sz="4" w:space="0" w:color="auto"/>
              <w:right w:val="single" w:sz="4" w:space="0" w:color="auto"/>
            </w:tcBorders>
          </w:tcPr>
          <w:p w14:paraId="58FDE78D" w14:textId="77777777" w:rsidR="009473C0" w:rsidRPr="004F5FB4" w:rsidRDefault="009473C0" w:rsidP="005A68B9">
            <w:pPr>
              <w:rPr>
                <w:color w:val="000000"/>
                <w:lang w:val="en-GB"/>
              </w:rPr>
            </w:pPr>
          </w:p>
        </w:tc>
      </w:tr>
      <w:tr w:rsidR="009473C0" w:rsidRPr="004F5FB4" w14:paraId="2761A5F4"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2E665BC9" w14:textId="77777777" w:rsidR="009473C0" w:rsidRPr="004F5FB4" w:rsidRDefault="009473C0" w:rsidP="005A68B9">
            <w:pPr>
              <w:rPr>
                <w:color w:val="000000"/>
              </w:rPr>
            </w:pPr>
            <w:r w:rsidRPr="004F5FB4">
              <w:rPr>
                <w:color w:val="000000"/>
              </w:rPr>
              <w:t>Klinische Remission</w:t>
            </w:r>
          </w:p>
        </w:tc>
        <w:tc>
          <w:tcPr>
            <w:tcW w:w="927" w:type="dxa"/>
            <w:tcBorders>
              <w:top w:val="single" w:sz="4" w:space="0" w:color="auto"/>
              <w:left w:val="single" w:sz="4" w:space="0" w:color="auto"/>
              <w:bottom w:val="single" w:sz="4" w:space="0" w:color="auto"/>
              <w:right w:val="single" w:sz="4" w:space="0" w:color="auto"/>
            </w:tcBorders>
            <w:vAlign w:val="center"/>
            <w:hideMark/>
          </w:tcPr>
          <w:p w14:paraId="27DC053D" w14:textId="77777777" w:rsidR="009473C0" w:rsidRPr="004F5FB4" w:rsidRDefault="009473C0" w:rsidP="005A68B9">
            <w:pPr>
              <w:jc w:val="center"/>
              <w:rPr>
                <w:color w:val="000000"/>
              </w:rPr>
            </w:pPr>
            <w:r w:rsidRPr="004F5FB4">
              <w:rPr>
                <w:color w:val="000000"/>
              </w:rPr>
              <w:t>12 %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EC1B91F" w14:textId="77777777" w:rsidR="009473C0" w:rsidRPr="004F5FB4" w:rsidRDefault="009473C0" w:rsidP="005A68B9">
            <w:pPr>
              <w:jc w:val="center"/>
              <w:rPr>
                <w:color w:val="000000"/>
              </w:rPr>
            </w:pPr>
            <w:r w:rsidRPr="004F5FB4">
              <w:rPr>
                <w:color w:val="000000"/>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8E7AA70" w14:textId="77777777" w:rsidR="009473C0" w:rsidRPr="004F5FB4" w:rsidRDefault="009473C0" w:rsidP="005A68B9">
            <w:pPr>
              <w:jc w:val="center"/>
              <w:rPr>
                <w:color w:val="000000"/>
              </w:rPr>
            </w:pPr>
            <w:r w:rsidRPr="004F5FB4">
              <w:rPr>
                <w:color w:val="000000"/>
              </w:rPr>
              <w:t>36</w:t>
            </w:r>
            <w:r w:rsidR="00B660DF" w:rsidRPr="004F5FB4">
              <w:rPr>
                <w:color w:val="000000"/>
              </w:rPr>
              <w:t> </w:t>
            </w:r>
            <w:r w:rsidRPr="004F5FB4">
              <w:rPr>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A824BCD" w14:textId="77777777" w:rsidR="009473C0" w:rsidRPr="004F5FB4" w:rsidRDefault="009473C0" w:rsidP="005A68B9">
            <w:pPr>
              <w:jc w:val="center"/>
              <w:rPr>
                <w:color w:val="000000"/>
              </w:rPr>
            </w:pPr>
            <w:r w:rsidRPr="004F5FB4">
              <w:rPr>
                <w:color w:val="000000"/>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3A2CB64" w14:textId="77777777" w:rsidR="009473C0" w:rsidRPr="004F5FB4" w:rsidRDefault="009473C0" w:rsidP="005A68B9">
            <w:pPr>
              <w:jc w:val="center"/>
              <w:rPr>
                <w:color w:val="000000"/>
              </w:rPr>
            </w:pPr>
            <w:r w:rsidRPr="004F5FB4">
              <w:rPr>
                <w:color w:val="000000"/>
              </w:rPr>
              <w:t>21 %*</w:t>
            </w:r>
          </w:p>
        </w:tc>
      </w:tr>
      <w:tr w:rsidR="009473C0" w:rsidRPr="004F5FB4" w14:paraId="5830FDB5"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68284752" w14:textId="77777777" w:rsidR="009473C0" w:rsidRPr="004F5FB4" w:rsidRDefault="009473C0" w:rsidP="005A68B9">
            <w:pPr>
              <w:rPr>
                <w:color w:val="000000"/>
              </w:rPr>
            </w:pPr>
            <w:r w:rsidRPr="004F5FB4">
              <w:rPr>
                <w:color w:val="000000"/>
              </w:rPr>
              <w:t>Klinisches Ansprechen (CR</w:t>
            </w:r>
            <w:r w:rsidRPr="004F5FB4">
              <w:rPr>
                <w:color w:val="000000"/>
              </w:rPr>
              <w:noBreakHyphen/>
              <w:t>100)</w:t>
            </w:r>
          </w:p>
        </w:tc>
        <w:tc>
          <w:tcPr>
            <w:tcW w:w="927" w:type="dxa"/>
            <w:tcBorders>
              <w:top w:val="single" w:sz="4" w:space="0" w:color="auto"/>
              <w:left w:val="single" w:sz="4" w:space="0" w:color="auto"/>
              <w:bottom w:val="single" w:sz="4" w:space="0" w:color="auto"/>
              <w:right w:val="single" w:sz="4" w:space="0" w:color="auto"/>
            </w:tcBorders>
            <w:vAlign w:val="center"/>
            <w:hideMark/>
          </w:tcPr>
          <w:p w14:paraId="6C451224" w14:textId="77777777" w:rsidR="009473C0" w:rsidRPr="004F5FB4" w:rsidRDefault="009473C0" w:rsidP="005A68B9">
            <w:pPr>
              <w:jc w:val="center"/>
              <w:rPr>
                <w:color w:val="000000"/>
              </w:rPr>
            </w:pPr>
            <w:r w:rsidRPr="004F5FB4">
              <w:rPr>
                <w:color w:val="000000"/>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0D5EADC" w14:textId="77777777" w:rsidR="009473C0" w:rsidRPr="004F5FB4" w:rsidRDefault="009473C0" w:rsidP="005A68B9">
            <w:pPr>
              <w:jc w:val="center"/>
              <w:rPr>
                <w:color w:val="000000"/>
              </w:rPr>
            </w:pPr>
            <w:r w:rsidRPr="004F5FB4">
              <w:rPr>
                <w:color w:val="000000"/>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99FD676" w14:textId="77777777" w:rsidR="009473C0" w:rsidRPr="004F5FB4" w:rsidRDefault="009473C0" w:rsidP="005A68B9">
            <w:pPr>
              <w:jc w:val="center"/>
              <w:rPr>
                <w:color w:val="000000"/>
              </w:rPr>
            </w:pPr>
            <w:r w:rsidRPr="004F5FB4">
              <w:rPr>
                <w:color w:val="000000"/>
              </w:rPr>
              <w:t>49</w:t>
            </w:r>
            <w:r w:rsidR="00B660DF" w:rsidRPr="004F5FB4">
              <w:rPr>
                <w:color w:val="000000"/>
              </w:rPr>
              <w:t> </w:t>
            </w:r>
            <w:r w:rsidRPr="004F5FB4">
              <w:rPr>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F32CDC" w14:textId="77777777" w:rsidR="009473C0" w:rsidRPr="004F5FB4" w:rsidRDefault="009473C0" w:rsidP="005A68B9">
            <w:pPr>
              <w:jc w:val="center"/>
              <w:rPr>
                <w:color w:val="000000"/>
              </w:rPr>
            </w:pPr>
            <w:r w:rsidRPr="004F5FB4">
              <w:rPr>
                <w:color w:val="000000"/>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30CAC0B" w14:textId="77777777" w:rsidR="009473C0" w:rsidRPr="004F5FB4" w:rsidRDefault="009473C0" w:rsidP="005A68B9">
            <w:pPr>
              <w:jc w:val="center"/>
              <w:rPr>
                <w:color w:val="000000"/>
              </w:rPr>
            </w:pPr>
            <w:r w:rsidRPr="004F5FB4">
              <w:rPr>
                <w:color w:val="000000"/>
              </w:rPr>
              <w:t>38 %**</w:t>
            </w:r>
          </w:p>
        </w:tc>
      </w:tr>
      <w:tr w:rsidR="00CC0C3D" w:rsidRPr="004F5FB4" w14:paraId="711A0AA2" w14:textId="77777777" w:rsidTr="00CC0C3D">
        <w:trPr>
          <w:cantSplit/>
        </w:trPr>
        <w:tc>
          <w:tcPr>
            <w:tcW w:w="9303" w:type="dxa"/>
            <w:gridSpan w:val="6"/>
            <w:tcBorders>
              <w:top w:val="single" w:sz="4" w:space="0" w:color="auto"/>
              <w:left w:val="nil"/>
              <w:bottom w:val="nil"/>
              <w:right w:val="nil"/>
            </w:tcBorders>
          </w:tcPr>
          <w:p w14:paraId="6A81EF2E" w14:textId="77777777" w:rsidR="00CC0C3D" w:rsidRPr="00206AEA" w:rsidRDefault="00CC0C3D" w:rsidP="00CC0C3D">
            <w:pPr>
              <w:ind w:left="270" w:hanging="270"/>
              <w:rPr>
                <w:color w:val="000000"/>
                <w:sz w:val="20"/>
              </w:rPr>
            </w:pPr>
            <w:r w:rsidRPr="00206AEA">
              <w:rPr>
                <w:color w:val="000000"/>
                <w:sz w:val="20"/>
              </w:rPr>
              <w:t>Alle p</w:t>
            </w:r>
            <w:r w:rsidRPr="00206AEA">
              <w:rPr>
                <w:color w:val="000000"/>
                <w:sz w:val="20"/>
              </w:rPr>
              <w:noBreakHyphen/>
              <w:t xml:space="preserve">Werte beziehen sich auf den paarweisen Vergleich der Zahlen für Adalimumab </w:t>
            </w:r>
            <w:r w:rsidRPr="00206AEA">
              <w:rPr>
                <w:i/>
                <w:iCs/>
                <w:color w:val="000000"/>
                <w:sz w:val="20"/>
              </w:rPr>
              <w:t>versus</w:t>
            </w:r>
            <w:r w:rsidRPr="00206AEA">
              <w:rPr>
                <w:color w:val="000000"/>
                <w:sz w:val="20"/>
              </w:rPr>
              <w:t xml:space="preserve"> Placebo </w:t>
            </w:r>
          </w:p>
          <w:p w14:paraId="15C19D2B" w14:textId="77777777" w:rsidR="00CC0C3D" w:rsidRPr="00206AEA" w:rsidRDefault="00CC0C3D" w:rsidP="00CC0C3D">
            <w:pPr>
              <w:ind w:left="270" w:hanging="270"/>
              <w:rPr>
                <w:color w:val="000000"/>
                <w:sz w:val="20"/>
              </w:rPr>
            </w:pPr>
            <w:r w:rsidRPr="00206AEA">
              <w:rPr>
                <w:color w:val="000000"/>
                <w:sz w:val="20"/>
              </w:rPr>
              <w:t>*</w:t>
            </w:r>
            <w:r w:rsidRPr="00206AEA">
              <w:rPr>
                <w:color w:val="000000"/>
                <w:sz w:val="20"/>
              </w:rPr>
              <w:tab/>
              <w:t>p</w:t>
            </w:r>
            <w:r w:rsidR="00B660DF" w:rsidRPr="00206AEA">
              <w:rPr>
                <w:color w:val="000000"/>
                <w:sz w:val="20"/>
              </w:rPr>
              <w:t> </w:t>
            </w:r>
            <w:r w:rsidRPr="00206AEA">
              <w:rPr>
                <w:color w:val="000000"/>
                <w:sz w:val="20"/>
              </w:rPr>
              <w:t>&lt;</w:t>
            </w:r>
            <w:r w:rsidR="00B660DF" w:rsidRPr="00206AEA">
              <w:rPr>
                <w:color w:val="000000"/>
                <w:sz w:val="20"/>
              </w:rPr>
              <w:t> </w:t>
            </w:r>
            <w:r w:rsidRPr="00206AEA">
              <w:rPr>
                <w:color w:val="000000"/>
                <w:sz w:val="20"/>
              </w:rPr>
              <w:t>0,001 </w:t>
            </w:r>
          </w:p>
          <w:p w14:paraId="3FB72BD9" w14:textId="77777777" w:rsidR="00CC0C3D" w:rsidRPr="00206AEA" w:rsidRDefault="00CC0C3D" w:rsidP="00CC0C3D">
            <w:pPr>
              <w:ind w:left="270" w:hanging="270"/>
              <w:rPr>
                <w:color w:val="000000"/>
                <w:sz w:val="20"/>
              </w:rPr>
            </w:pPr>
            <w:r w:rsidRPr="00206AEA">
              <w:rPr>
                <w:color w:val="000000"/>
                <w:sz w:val="20"/>
              </w:rPr>
              <w:t>**</w:t>
            </w:r>
            <w:r w:rsidRPr="00206AEA">
              <w:rPr>
                <w:color w:val="000000"/>
                <w:sz w:val="20"/>
              </w:rPr>
              <w:tab/>
              <w:t>p &lt; 0,01 </w:t>
            </w:r>
          </w:p>
        </w:tc>
      </w:tr>
    </w:tbl>
    <w:p w14:paraId="0F16CAC9" w14:textId="77777777" w:rsidR="002F39BA" w:rsidRPr="004F5FB4" w:rsidRDefault="002F39BA" w:rsidP="00387D0C">
      <w:pPr>
        <w:rPr>
          <w:color w:val="000000"/>
          <w:lang w:val="en-GB"/>
        </w:rPr>
      </w:pPr>
    </w:p>
    <w:p w14:paraId="786E4414" w14:textId="77777777" w:rsidR="00D23702" w:rsidRPr="004F5FB4" w:rsidRDefault="00D23702" w:rsidP="00387D0C">
      <w:pPr>
        <w:pStyle w:val="BodyText"/>
        <w:widowControl/>
        <w:kinsoku w:val="0"/>
        <w:overflowPunct w:val="0"/>
        <w:ind w:left="0"/>
        <w:rPr>
          <w:color w:val="000000"/>
        </w:rPr>
      </w:pPr>
      <w:r w:rsidRPr="004F5FB4">
        <w:rPr>
          <w:color w:val="000000"/>
        </w:rPr>
        <w:t>Die Remissionsraten in Woche</w:t>
      </w:r>
      <w:r w:rsidR="00B660DF" w:rsidRPr="004F5FB4">
        <w:rPr>
          <w:color w:val="000000"/>
        </w:rPr>
        <w:t> </w:t>
      </w:r>
      <w:r w:rsidRPr="004F5FB4">
        <w:rPr>
          <w:color w:val="000000"/>
        </w:rPr>
        <w:t>8 für die Induktionsdosierung mit 160/80</w:t>
      </w:r>
      <w:r w:rsidR="00B660DF" w:rsidRPr="004F5FB4">
        <w:rPr>
          <w:color w:val="000000"/>
        </w:rPr>
        <w:t> </w:t>
      </w:r>
      <w:r w:rsidRPr="004F5FB4">
        <w:rPr>
          <w:color w:val="000000"/>
        </w:rPr>
        <w:t>mg und mit 80/40</w:t>
      </w:r>
      <w:r w:rsidR="00B660DF" w:rsidRPr="004F5FB4">
        <w:rPr>
          <w:color w:val="000000"/>
        </w:rPr>
        <w:t> </w:t>
      </w:r>
      <w:r w:rsidRPr="004F5FB4">
        <w:rPr>
          <w:color w:val="000000"/>
        </w:rPr>
        <w:t>mg waren vergleichbar, unter der Dosierung mit 160/80</w:t>
      </w:r>
      <w:r w:rsidR="00B660DF" w:rsidRPr="004F5FB4">
        <w:rPr>
          <w:color w:val="000000"/>
        </w:rPr>
        <w:t> </w:t>
      </w:r>
      <w:r w:rsidRPr="004F5FB4">
        <w:rPr>
          <w:color w:val="000000"/>
        </w:rPr>
        <w:t>mg wurden häufiger Nebenwirkungen beobachtet.</w:t>
      </w:r>
    </w:p>
    <w:p w14:paraId="3936A2E9" w14:textId="77777777" w:rsidR="00D23702" w:rsidRPr="004F5FB4" w:rsidRDefault="00D23702" w:rsidP="00387D0C">
      <w:pPr>
        <w:pStyle w:val="BodyText"/>
        <w:widowControl/>
        <w:kinsoku w:val="0"/>
        <w:overflowPunct w:val="0"/>
        <w:ind w:left="0"/>
        <w:rPr>
          <w:color w:val="000000"/>
        </w:rPr>
      </w:pPr>
    </w:p>
    <w:p w14:paraId="00149100" w14:textId="77777777" w:rsidR="00D23702" w:rsidRPr="004F5FB4" w:rsidRDefault="00D23702" w:rsidP="00387D0C">
      <w:pPr>
        <w:pStyle w:val="BodyText"/>
        <w:widowControl/>
        <w:kinsoku w:val="0"/>
        <w:overflowPunct w:val="0"/>
        <w:ind w:left="0"/>
        <w:rPr>
          <w:color w:val="000000"/>
        </w:rPr>
      </w:pPr>
      <w:r w:rsidRPr="004F5FB4">
        <w:rPr>
          <w:color w:val="000000"/>
        </w:rPr>
        <w:t>In Woche</w:t>
      </w:r>
      <w:r w:rsidR="00B660DF" w:rsidRPr="004F5FB4">
        <w:rPr>
          <w:color w:val="000000"/>
        </w:rPr>
        <w:t> </w:t>
      </w:r>
      <w:r w:rsidRPr="004F5FB4">
        <w:rPr>
          <w:color w:val="000000"/>
        </w:rPr>
        <w:t>4 zeigten in der MC-Studie</w:t>
      </w:r>
      <w:r w:rsidR="00B660DF" w:rsidRPr="004F5FB4">
        <w:rPr>
          <w:color w:val="000000"/>
        </w:rPr>
        <w:t> </w:t>
      </w:r>
      <w:r w:rsidRPr="004F5FB4">
        <w:rPr>
          <w:color w:val="000000"/>
        </w:rPr>
        <w:t>III 58</w:t>
      </w:r>
      <w:r w:rsidR="00B660DF" w:rsidRPr="004F5FB4">
        <w:rPr>
          <w:color w:val="000000"/>
        </w:rPr>
        <w:t> </w:t>
      </w:r>
      <w:r w:rsidRPr="004F5FB4">
        <w:rPr>
          <w:color w:val="000000"/>
        </w:rPr>
        <w:t>% (499/854) der Patienten ein klinisches Ansprechen und wurden in der primären Analyse erfasst. Von diesen Patienten mit klinischem Ansprechen in Woche</w:t>
      </w:r>
      <w:r w:rsidR="00B660DF" w:rsidRPr="004F5FB4">
        <w:rPr>
          <w:color w:val="000000"/>
        </w:rPr>
        <w:t> </w:t>
      </w:r>
      <w:r w:rsidRPr="004F5FB4">
        <w:rPr>
          <w:color w:val="000000"/>
        </w:rPr>
        <w:t>4 hatten 48</w:t>
      </w:r>
      <w:r w:rsidR="00B660DF" w:rsidRPr="004F5FB4">
        <w:rPr>
          <w:color w:val="000000"/>
        </w:rPr>
        <w:t> </w:t>
      </w:r>
      <w:r w:rsidRPr="004F5FB4">
        <w:rPr>
          <w:color w:val="000000"/>
        </w:rPr>
        <w:t>% bereits zuvor TNF-Antagonisten erhalten. Die Raten der anhaltenden Remission und des Ansprechens sind in Tabelle</w:t>
      </w:r>
      <w:r w:rsidR="00B660DF" w:rsidRPr="004F5FB4">
        <w:rPr>
          <w:color w:val="000000"/>
        </w:rPr>
        <w:t> </w:t>
      </w:r>
      <w:r w:rsidR="007004B8">
        <w:rPr>
          <w:color w:val="000000"/>
        </w:rPr>
        <w:t>15</w:t>
      </w:r>
      <w:r w:rsidR="007004B8" w:rsidRPr="004F5FB4">
        <w:rPr>
          <w:color w:val="000000"/>
        </w:rPr>
        <w:t xml:space="preserve"> </w:t>
      </w:r>
      <w:r w:rsidRPr="004F5FB4">
        <w:rPr>
          <w:color w:val="000000"/>
        </w:rPr>
        <w:t>aufgeführt. Die Ergebnisse zur klinischen Remission waren weitgehend konstant, unabhängig davon, ob früher bereits ein TNF-Antagonist verabreicht wurde.</w:t>
      </w:r>
    </w:p>
    <w:p w14:paraId="300B6400" w14:textId="77777777" w:rsidR="00D23702" w:rsidRPr="004F5FB4" w:rsidRDefault="00D23702" w:rsidP="00387D0C">
      <w:pPr>
        <w:pStyle w:val="BodyText"/>
        <w:widowControl/>
        <w:kinsoku w:val="0"/>
        <w:overflowPunct w:val="0"/>
        <w:ind w:left="0"/>
        <w:rPr>
          <w:color w:val="000000"/>
        </w:rPr>
      </w:pPr>
    </w:p>
    <w:p w14:paraId="400813EA" w14:textId="77777777" w:rsidR="00D23702" w:rsidRPr="004F5FB4" w:rsidRDefault="00D23702" w:rsidP="00387D0C">
      <w:pPr>
        <w:pStyle w:val="BodyText"/>
        <w:widowControl/>
        <w:kinsoku w:val="0"/>
        <w:overflowPunct w:val="0"/>
        <w:ind w:left="0"/>
        <w:rPr>
          <w:color w:val="000000"/>
        </w:rPr>
      </w:pPr>
      <w:r w:rsidRPr="004F5FB4">
        <w:rPr>
          <w:color w:val="000000"/>
        </w:rPr>
        <w:t>Adalimumab verringerte im Vergleich zu Placebo krankheitsbezogene Klinikaufenthalte und Operationen in Woche</w:t>
      </w:r>
      <w:r w:rsidR="00B660DF" w:rsidRPr="004F5FB4">
        <w:rPr>
          <w:color w:val="000000"/>
        </w:rPr>
        <w:t> </w:t>
      </w:r>
      <w:r w:rsidRPr="004F5FB4">
        <w:rPr>
          <w:color w:val="000000"/>
        </w:rPr>
        <w:t>56 signifikant.</w:t>
      </w:r>
    </w:p>
    <w:p w14:paraId="10F0DD2A" w14:textId="77777777" w:rsidR="00D23702" w:rsidRPr="004F5FB4" w:rsidRDefault="00D23702" w:rsidP="00387D0C">
      <w:pPr>
        <w:rPr>
          <w:color w:val="000000"/>
        </w:rPr>
      </w:pPr>
    </w:p>
    <w:p w14:paraId="03614FFB" w14:textId="77777777" w:rsidR="00005C27" w:rsidRPr="00CA7719" w:rsidRDefault="00A93095" w:rsidP="00CA7719">
      <w:pPr>
        <w:pStyle w:val="BodyText"/>
        <w:widowControl/>
        <w:kinsoku w:val="0"/>
        <w:overflowPunct w:val="0"/>
        <w:ind w:left="0"/>
        <w:rPr>
          <w:b/>
          <w:color w:val="000000"/>
        </w:rPr>
      </w:pPr>
      <w:r w:rsidRPr="00CA7719">
        <w:rPr>
          <w:b/>
          <w:color w:val="000000"/>
        </w:rPr>
        <w:t>Tabelle</w:t>
      </w:r>
      <w:r w:rsidR="00B660DF" w:rsidRPr="00CA7719">
        <w:rPr>
          <w:b/>
          <w:color w:val="000000"/>
        </w:rPr>
        <w:t> </w:t>
      </w:r>
      <w:r w:rsidR="007004B8">
        <w:rPr>
          <w:b/>
          <w:color w:val="000000"/>
        </w:rPr>
        <w:t>15</w:t>
      </w:r>
    </w:p>
    <w:p w14:paraId="4745FABE" w14:textId="77777777" w:rsidR="009473C0" w:rsidRPr="00CA7719" w:rsidRDefault="009473C0" w:rsidP="00CA7719">
      <w:pPr>
        <w:pStyle w:val="BodyText"/>
        <w:widowControl/>
        <w:kinsoku w:val="0"/>
        <w:overflowPunct w:val="0"/>
        <w:ind w:left="0"/>
        <w:rPr>
          <w:b/>
          <w:color w:val="000000"/>
        </w:rPr>
      </w:pPr>
      <w:r w:rsidRPr="00CA7719">
        <w:rPr>
          <w:b/>
          <w:color w:val="000000"/>
        </w:rPr>
        <w:t>Aufrechterhaltung der klinischen Remission und des Ansprechens (Prozent der Patienten)</w:t>
      </w:r>
    </w:p>
    <w:p w14:paraId="62B12B74" w14:textId="77777777" w:rsidR="009473C0" w:rsidRPr="004F5FB4" w:rsidRDefault="009473C0" w:rsidP="009473C0">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2090"/>
        <w:gridCol w:w="2121"/>
        <w:gridCol w:w="2121"/>
      </w:tblGrid>
      <w:tr w:rsidR="009473C0" w:rsidRPr="004F5FB4" w14:paraId="3DBBEEC5" w14:textId="77777777" w:rsidTr="00D4051F">
        <w:tc>
          <w:tcPr>
            <w:tcW w:w="2804" w:type="dxa"/>
            <w:tcBorders>
              <w:top w:val="single" w:sz="4" w:space="0" w:color="auto"/>
              <w:left w:val="single" w:sz="4" w:space="0" w:color="auto"/>
              <w:bottom w:val="single" w:sz="4" w:space="0" w:color="auto"/>
              <w:right w:val="single" w:sz="4" w:space="0" w:color="auto"/>
            </w:tcBorders>
          </w:tcPr>
          <w:p w14:paraId="41DCF894" w14:textId="77777777" w:rsidR="009473C0" w:rsidRPr="004F5FB4" w:rsidRDefault="009473C0" w:rsidP="005A68B9">
            <w:pPr>
              <w:keepNext/>
              <w:rPr>
                <w:b/>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5390DC5" w14:textId="77777777" w:rsidR="009473C0" w:rsidRPr="004F5FB4" w:rsidRDefault="009473C0" w:rsidP="005A68B9">
            <w:pPr>
              <w:keepNext/>
              <w:jc w:val="center"/>
              <w:rPr>
                <w:b/>
                <w:color w:val="000000"/>
              </w:rPr>
            </w:pPr>
            <w:r w:rsidRPr="004F5FB4">
              <w:rPr>
                <w:b/>
                <w:color w:val="000000"/>
              </w:rPr>
              <w:t>Placebo</w:t>
            </w:r>
          </w:p>
        </w:tc>
        <w:tc>
          <w:tcPr>
            <w:tcW w:w="2163" w:type="dxa"/>
            <w:tcBorders>
              <w:top w:val="single" w:sz="4" w:space="0" w:color="auto"/>
              <w:left w:val="single" w:sz="4" w:space="0" w:color="auto"/>
              <w:bottom w:val="single" w:sz="4" w:space="0" w:color="auto"/>
              <w:right w:val="single" w:sz="4" w:space="0" w:color="auto"/>
            </w:tcBorders>
            <w:vAlign w:val="center"/>
            <w:hideMark/>
          </w:tcPr>
          <w:p w14:paraId="08D22DC4" w14:textId="77777777" w:rsidR="009473C0" w:rsidRPr="004F5FB4" w:rsidRDefault="009473C0" w:rsidP="005A68B9">
            <w:pPr>
              <w:keepNext/>
              <w:jc w:val="center"/>
              <w:rPr>
                <w:b/>
                <w:color w:val="000000"/>
              </w:rPr>
            </w:pPr>
            <w:r w:rsidRPr="004F5FB4">
              <w:rPr>
                <w:b/>
                <w:color w:val="000000"/>
              </w:rPr>
              <w:t>40 mg Adalimumab</w:t>
            </w:r>
          </w:p>
          <w:p w14:paraId="02325A99" w14:textId="77777777" w:rsidR="009473C0" w:rsidRPr="004F5FB4" w:rsidRDefault="009473C0" w:rsidP="005A68B9">
            <w:pPr>
              <w:keepNext/>
              <w:jc w:val="center"/>
              <w:rPr>
                <w:b/>
                <w:color w:val="000000"/>
              </w:rPr>
            </w:pPr>
            <w:r w:rsidRPr="004F5FB4">
              <w:rPr>
                <w:b/>
                <w:color w:val="000000"/>
              </w:rPr>
              <w:t>jede zweite Woche</w:t>
            </w:r>
          </w:p>
        </w:tc>
        <w:tc>
          <w:tcPr>
            <w:tcW w:w="2163" w:type="dxa"/>
            <w:tcBorders>
              <w:top w:val="single" w:sz="4" w:space="0" w:color="auto"/>
              <w:left w:val="single" w:sz="4" w:space="0" w:color="auto"/>
              <w:bottom w:val="single" w:sz="4" w:space="0" w:color="auto"/>
              <w:right w:val="single" w:sz="4" w:space="0" w:color="auto"/>
            </w:tcBorders>
            <w:vAlign w:val="center"/>
            <w:hideMark/>
          </w:tcPr>
          <w:p w14:paraId="60CA615E" w14:textId="77777777" w:rsidR="009473C0" w:rsidRPr="004F5FB4" w:rsidRDefault="009473C0" w:rsidP="005A68B9">
            <w:pPr>
              <w:keepNext/>
              <w:jc w:val="center"/>
              <w:rPr>
                <w:b/>
                <w:color w:val="000000"/>
              </w:rPr>
            </w:pPr>
            <w:r w:rsidRPr="004F5FB4">
              <w:rPr>
                <w:b/>
                <w:color w:val="000000"/>
              </w:rPr>
              <w:t>40 mg Adalimumab</w:t>
            </w:r>
          </w:p>
          <w:p w14:paraId="4F063F6C" w14:textId="77777777" w:rsidR="009473C0" w:rsidRPr="004F5FB4" w:rsidRDefault="009473C0" w:rsidP="005A68B9">
            <w:pPr>
              <w:keepNext/>
              <w:jc w:val="center"/>
              <w:rPr>
                <w:b/>
                <w:color w:val="000000"/>
              </w:rPr>
            </w:pPr>
            <w:r w:rsidRPr="004F5FB4">
              <w:rPr>
                <w:b/>
                <w:color w:val="000000"/>
              </w:rPr>
              <w:t>jede Woche</w:t>
            </w:r>
          </w:p>
        </w:tc>
      </w:tr>
      <w:tr w:rsidR="009473C0" w:rsidRPr="004F5FB4" w14:paraId="6A45491D"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6DC3E1EA" w14:textId="77777777" w:rsidR="009473C0" w:rsidRPr="004F5FB4" w:rsidRDefault="009473C0" w:rsidP="005A68B9">
            <w:pPr>
              <w:keepNext/>
              <w:rPr>
                <w:b/>
                <w:color w:val="000000"/>
              </w:rPr>
            </w:pPr>
            <w:r w:rsidRPr="004F5FB4">
              <w:rPr>
                <w:b/>
                <w:color w:val="000000"/>
              </w:rPr>
              <w:t>Woche</w:t>
            </w:r>
            <w:r w:rsidR="005E391B" w:rsidRPr="004F5FB4">
              <w:rPr>
                <w:b/>
                <w:color w:val="000000"/>
              </w:rPr>
              <w:t> </w:t>
            </w:r>
            <w:r w:rsidRPr="004F5FB4">
              <w:rPr>
                <w:b/>
                <w:color w:val="000000"/>
              </w:rPr>
              <w:t>26</w:t>
            </w:r>
          </w:p>
        </w:tc>
        <w:tc>
          <w:tcPr>
            <w:tcW w:w="2161" w:type="dxa"/>
            <w:tcBorders>
              <w:top w:val="single" w:sz="4" w:space="0" w:color="auto"/>
              <w:left w:val="single" w:sz="4" w:space="0" w:color="auto"/>
              <w:bottom w:val="single" w:sz="4" w:space="0" w:color="auto"/>
              <w:right w:val="single" w:sz="4" w:space="0" w:color="auto"/>
            </w:tcBorders>
            <w:hideMark/>
          </w:tcPr>
          <w:p w14:paraId="0EBED2DC" w14:textId="77777777" w:rsidR="009473C0" w:rsidRPr="004F5FB4" w:rsidRDefault="009473C0" w:rsidP="00D05237">
            <w:pPr>
              <w:keepNext/>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170</w:t>
            </w:r>
          </w:p>
        </w:tc>
        <w:tc>
          <w:tcPr>
            <w:tcW w:w="2163" w:type="dxa"/>
            <w:tcBorders>
              <w:top w:val="single" w:sz="4" w:space="0" w:color="auto"/>
              <w:left w:val="single" w:sz="4" w:space="0" w:color="auto"/>
              <w:bottom w:val="single" w:sz="4" w:space="0" w:color="auto"/>
              <w:right w:val="single" w:sz="4" w:space="0" w:color="auto"/>
            </w:tcBorders>
            <w:hideMark/>
          </w:tcPr>
          <w:p w14:paraId="49ABF758" w14:textId="77777777" w:rsidR="009473C0" w:rsidRPr="004F5FB4" w:rsidRDefault="009473C0" w:rsidP="00D05237">
            <w:pPr>
              <w:keepNext/>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172</w:t>
            </w:r>
          </w:p>
        </w:tc>
        <w:tc>
          <w:tcPr>
            <w:tcW w:w="2163" w:type="dxa"/>
            <w:tcBorders>
              <w:top w:val="single" w:sz="4" w:space="0" w:color="auto"/>
              <w:left w:val="single" w:sz="4" w:space="0" w:color="auto"/>
              <w:bottom w:val="single" w:sz="4" w:space="0" w:color="auto"/>
              <w:right w:val="single" w:sz="4" w:space="0" w:color="auto"/>
            </w:tcBorders>
            <w:hideMark/>
          </w:tcPr>
          <w:p w14:paraId="653CD85D" w14:textId="77777777" w:rsidR="009473C0" w:rsidRPr="004F5FB4" w:rsidRDefault="009473C0" w:rsidP="00D05237">
            <w:pPr>
              <w:keepNext/>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157</w:t>
            </w:r>
          </w:p>
        </w:tc>
      </w:tr>
      <w:tr w:rsidR="009473C0" w:rsidRPr="004F5FB4" w14:paraId="0CA3C2AB"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7F12DBDC" w14:textId="77777777" w:rsidR="009473C0" w:rsidRPr="004F5FB4" w:rsidRDefault="009473C0" w:rsidP="005A68B9">
            <w:pPr>
              <w:rPr>
                <w:color w:val="000000"/>
              </w:rPr>
            </w:pPr>
            <w:r w:rsidRPr="004F5FB4">
              <w:rPr>
                <w:color w:val="000000"/>
              </w:rPr>
              <w:t>Klinische Remission</w:t>
            </w:r>
          </w:p>
        </w:tc>
        <w:tc>
          <w:tcPr>
            <w:tcW w:w="2161" w:type="dxa"/>
            <w:tcBorders>
              <w:top w:val="single" w:sz="4" w:space="0" w:color="auto"/>
              <w:left w:val="single" w:sz="4" w:space="0" w:color="auto"/>
              <w:bottom w:val="single" w:sz="4" w:space="0" w:color="auto"/>
              <w:right w:val="single" w:sz="4" w:space="0" w:color="auto"/>
            </w:tcBorders>
            <w:hideMark/>
          </w:tcPr>
          <w:p w14:paraId="11899091" w14:textId="77777777" w:rsidR="009473C0" w:rsidRPr="004F5FB4" w:rsidRDefault="009473C0" w:rsidP="005A68B9">
            <w:pPr>
              <w:jc w:val="center"/>
              <w:rPr>
                <w:color w:val="000000"/>
              </w:rPr>
            </w:pPr>
            <w:r w:rsidRPr="004F5FB4">
              <w:rPr>
                <w:color w:val="000000"/>
              </w:rPr>
              <w:t>17 %</w:t>
            </w:r>
          </w:p>
        </w:tc>
        <w:tc>
          <w:tcPr>
            <w:tcW w:w="2163" w:type="dxa"/>
            <w:tcBorders>
              <w:top w:val="single" w:sz="4" w:space="0" w:color="auto"/>
              <w:left w:val="single" w:sz="4" w:space="0" w:color="auto"/>
              <w:bottom w:val="single" w:sz="4" w:space="0" w:color="auto"/>
              <w:right w:val="single" w:sz="4" w:space="0" w:color="auto"/>
            </w:tcBorders>
            <w:hideMark/>
          </w:tcPr>
          <w:p w14:paraId="657BD813" w14:textId="77777777" w:rsidR="009473C0" w:rsidRPr="004F5FB4" w:rsidRDefault="009473C0" w:rsidP="005A68B9">
            <w:pPr>
              <w:jc w:val="center"/>
              <w:rPr>
                <w:color w:val="000000"/>
              </w:rPr>
            </w:pPr>
            <w:r w:rsidRPr="004F5FB4">
              <w:rPr>
                <w:color w:val="000000"/>
              </w:rPr>
              <w:t>40 %*</w:t>
            </w:r>
          </w:p>
        </w:tc>
        <w:tc>
          <w:tcPr>
            <w:tcW w:w="2163" w:type="dxa"/>
            <w:tcBorders>
              <w:top w:val="single" w:sz="4" w:space="0" w:color="auto"/>
              <w:left w:val="single" w:sz="4" w:space="0" w:color="auto"/>
              <w:bottom w:val="single" w:sz="4" w:space="0" w:color="auto"/>
              <w:right w:val="single" w:sz="4" w:space="0" w:color="auto"/>
            </w:tcBorders>
            <w:hideMark/>
          </w:tcPr>
          <w:p w14:paraId="5B1D4317" w14:textId="77777777" w:rsidR="009473C0" w:rsidRPr="004F5FB4" w:rsidRDefault="009473C0" w:rsidP="005A68B9">
            <w:pPr>
              <w:jc w:val="center"/>
              <w:rPr>
                <w:color w:val="000000"/>
              </w:rPr>
            </w:pPr>
            <w:r w:rsidRPr="004F5FB4">
              <w:rPr>
                <w:color w:val="000000"/>
              </w:rPr>
              <w:t>47 %*</w:t>
            </w:r>
          </w:p>
        </w:tc>
      </w:tr>
      <w:tr w:rsidR="009473C0" w:rsidRPr="004F5FB4" w14:paraId="242C5337"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016FD086" w14:textId="77777777" w:rsidR="009473C0" w:rsidRPr="004F5FB4" w:rsidRDefault="009473C0" w:rsidP="005A68B9">
            <w:pPr>
              <w:rPr>
                <w:color w:val="000000"/>
              </w:rPr>
            </w:pPr>
            <w:r w:rsidRPr="004F5FB4">
              <w:rPr>
                <w:color w:val="000000"/>
              </w:rPr>
              <w:t>Klinisches Ansprechen (CR</w:t>
            </w:r>
            <w:r w:rsidRPr="004F5FB4">
              <w:rPr>
                <w:color w:val="000000"/>
              </w:rPr>
              <w:noBreakHyphen/>
              <w:t>100)</w:t>
            </w:r>
          </w:p>
        </w:tc>
        <w:tc>
          <w:tcPr>
            <w:tcW w:w="2161" w:type="dxa"/>
            <w:tcBorders>
              <w:top w:val="single" w:sz="4" w:space="0" w:color="auto"/>
              <w:left w:val="single" w:sz="4" w:space="0" w:color="auto"/>
              <w:bottom w:val="single" w:sz="4" w:space="0" w:color="auto"/>
              <w:right w:val="single" w:sz="4" w:space="0" w:color="auto"/>
            </w:tcBorders>
            <w:hideMark/>
          </w:tcPr>
          <w:p w14:paraId="399F5336" w14:textId="77777777" w:rsidR="009473C0" w:rsidRPr="004F5FB4" w:rsidRDefault="009473C0" w:rsidP="005A68B9">
            <w:pPr>
              <w:jc w:val="center"/>
              <w:rPr>
                <w:color w:val="000000"/>
              </w:rPr>
            </w:pPr>
            <w:r w:rsidRPr="004F5FB4">
              <w:rPr>
                <w:color w:val="000000"/>
              </w:rPr>
              <w:t>27 %</w:t>
            </w:r>
          </w:p>
        </w:tc>
        <w:tc>
          <w:tcPr>
            <w:tcW w:w="2163" w:type="dxa"/>
            <w:tcBorders>
              <w:top w:val="single" w:sz="4" w:space="0" w:color="auto"/>
              <w:left w:val="single" w:sz="4" w:space="0" w:color="auto"/>
              <w:bottom w:val="single" w:sz="4" w:space="0" w:color="auto"/>
              <w:right w:val="single" w:sz="4" w:space="0" w:color="auto"/>
            </w:tcBorders>
            <w:hideMark/>
          </w:tcPr>
          <w:p w14:paraId="304810BE" w14:textId="77777777" w:rsidR="009473C0" w:rsidRPr="004F5FB4" w:rsidRDefault="009473C0" w:rsidP="005A68B9">
            <w:pPr>
              <w:jc w:val="center"/>
              <w:rPr>
                <w:color w:val="000000"/>
              </w:rPr>
            </w:pPr>
            <w:r w:rsidRPr="004F5FB4">
              <w:rPr>
                <w:color w:val="000000"/>
              </w:rPr>
              <w:t>52 %*</w:t>
            </w:r>
          </w:p>
        </w:tc>
        <w:tc>
          <w:tcPr>
            <w:tcW w:w="2163" w:type="dxa"/>
            <w:tcBorders>
              <w:top w:val="single" w:sz="4" w:space="0" w:color="auto"/>
              <w:left w:val="single" w:sz="4" w:space="0" w:color="auto"/>
              <w:bottom w:val="single" w:sz="4" w:space="0" w:color="auto"/>
              <w:right w:val="single" w:sz="4" w:space="0" w:color="auto"/>
            </w:tcBorders>
            <w:hideMark/>
          </w:tcPr>
          <w:p w14:paraId="57B70AF6" w14:textId="77777777" w:rsidR="009473C0" w:rsidRPr="004F5FB4" w:rsidRDefault="009473C0" w:rsidP="005A68B9">
            <w:pPr>
              <w:jc w:val="center"/>
              <w:rPr>
                <w:color w:val="000000"/>
              </w:rPr>
            </w:pPr>
            <w:r w:rsidRPr="004F5FB4">
              <w:rPr>
                <w:color w:val="000000"/>
              </w:rPr>
              <w:t>52 %*</w:t>
            </w:r>
          </w:p>
        </w:tc>
      </w:tr>
      <w:tr w:rsidR="009473C0" w:rsidRPr="004F5FB4" w14:paraId="62FE8E8E"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53812245" w14:textId="77777777" w:rsidR="009473C0" w:rsidRPr="004F5FB4" w:rsidRDefault="009473C0" w:rsidP="005A68B9">
            <w:pPr>
              <w:ind w:left="288"/>
              <w:rPr>
                <w:color w:val="000000"/>
              </w:rPr>
            </w:pPr>
            <w:r w:rsidRPr="004F5FB4">
              <w:rPr>
                <w:color w:val="000000"/>
              </w:rPr>
              <w:t>Patienten in steroidfreier Remission für ≥ 90 Tage</w:t>
            </w:r>
            <w:r w:rsidRPr="004F5FB4">
              <w:rPr>
                <w:color w:val="000000"/>
                <w:vertAlign w:val="superscript"/>
              </w:rPr>
              <w:t>a</w:t>
            </w:r>
          </w:p>
        </w:tc>
        <w:tc>
          <w:tcPr>
            <w:tcW w:w="2161" w:type="dxa"/>
            <w:tcBorders>
              <w:top w:val="single" w:sz="4" w:space="0" w:color="auto"/>
              <w:left w:val="single" w:sz="4" w:space="0" w:color="auto"/>
              <w:bottom w:val="single" w:sz="4" w:space="0" w:color="auto"/>
              <w:right w:val="single" w:sz="4" w:space="0" w:color="auto"/>
            </w:tcBorders>
            <w:hideMark/>
          </w:tcPr>
          <w:p w14:paraId="1C0CA13D" w14:textId="77777777" w:rsidR="009473C0" w:rsidRPr="004F5FB4" w:rsidRDefault="009473C0" w:rsidP="005A68B9">
            <w:pPr>
              <w:jc w:val="center"/>
              <w:rPr>
                <w:color w:val="000000"/>
              </w:rPr>
            </w:pPr>
            <w:r w:rsidRPr="004F5FB4">
              <w:rPr>
                <w:color w:val="000000"/>
              </w:rPr>
              <w:t>3 % (2/66)</w:t>
            </w:r>
          </w:p>
        </w:tc>
        <w:tc>
          <w:tcPr>
            <w:tcW w:w="2163" w:type="dxa"/>
            <w:tcBorders>
              <w:top w:val="single" w:sz="4" w:space="0" w:color="auto"/>
              <w:left w:val="single" w:sz="4" w:space="0" w:color="auto"/>
              <w:bottom w:val="single" w:sz="4" w:space="0" w:color="auto"/>
              <w:right w:val="single" w:sz="4" w:space="0" w:color="auto"/>
            </w:tcBorders>
            <w:hideMark/>
          </w:tcPr>
          <w:p w14:paraId="2B92516A" w14:textId="77777777" w:rsidR="009473C0" w:rsidRPr="004F5FB4" w:rsidRDefault="009473C0" w:rsidP="005A68B9">
            <w:pPr>
              <w:jc w:val="center"/>
              <w:rPr>
                <w:color w:val="000000"/>
              </w:rPr>
            </w:pPr>
            <w:r w:rsidRPr="004F5FB4">
              <w:rPr>
                <w:color w:val="000000"/>
              </w:rPr>
              <w:t>19 % (11/58)**</w:t>
            </w:r>
          </w:p>
        </w:tc>
        <w:tc>
          <w:tcPr>
            <w:tcW w:w="2163" w:type="dxa"/>
            <w:tcBorders>
              <w:top w:val="single" w:sz="4" w:space="0" w:color="auto"/>
              <w:left w:val="single" w:sz="4" w:space="0" w:color="auto"/>
              <w:bottom w:val="single" w:sz="4" w:space="0" w:color="auto"/>
              <w:right w:val="single" w:sz="4" w:space="0" w:color="auto"/>
            </w:tcBorders>
            <w:hideMark/>
          </w:tcPr>
          <w:p w14:paraId="274A2873" w14:textId="77777777" w:rsidR="009473C0" w:rsidRPr="004F5FB4" w:rsidRDefault="009473C0" w:rsidP="005A68B9">
            <w:pPr>
              <w:jc w:val="center"/>
              <w:rPr>
                <w:color w:val="000000"/>
              </w:rPr>
            </w:pPr>
            <w:r w:rsidRPr="004F5FB4">
              <w:rPr>
                <w:color w:val="000000"/>
              </w:rPr>
              <w:t>15 % (11/74)**</w:t>
            </w:r>
          </w:p>
        </w:tc>
      </w:tr>
      <w:tr w:rsidR="009473C0" w:rsidRPr="004F5FB4" w14:paraId="65ED6015"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5AAFC210" w14:textId="77777777" w:rsidR="009473C0" w:rsidRPr="004F5FB4" w:rsidRDefault="009473C0" w:rsidP="005A68B9">
            <w:pPr>
              <w:rPr>
                <w:b/>
                <w:color w:val="000000"/>
              </w:rPr>
            </w:pPr>
            <w:r w:rsidRPr="004F5FB4">
              <w:rPr>
                <w:b/>
                <w:color w:val="000000"/>
              </w:rPr>
              <w:t>Woche</w:t>
            </w:r>
            <w:r w:rsidR="005E391B" w:rsidRPr="004F5FB4">
              <w:rPr>
                <w:b/>
                <w:color w:val="000000"/>
              </w:rPr>
              <w:t> </w:t>
            </w:r>
            <w:r w:rsidRPr="004F5FB4">
              <w:rPr>
                <w:b/>
                <w:color w:val="000000"/>
              </w:rPr>
              <w:t>56</w:t>
            </w:r>
          </w:p>
        </w:tc>
        <w:tc>
          <w:tcPr>
            <w:tcW w:w="2161" w:type="dxa"/>
            <w:tcBorders>
              <w:top w:val="single" w:sz="4" w:space="0" w:color="auto"/>
              <w:left w:val="single" w:sz="4" w:space="0" w:color="auto"/>
              <w:bottom w:val="single" w:sz="4" w:space="0" w:color="auto"/>
              <w:right w:val="single" w:sz="4" w:space="0" w:color="auto"/>
            </w:tcBorders>
            <w:hideMark/>
          </w:tcPr>
          <w:p w14:paraId="23B4CFE8"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170</w:t>
            </w:r>
          </w:p>
        </w:tc>
        <w:tc>
          <w:tcPr>
            <w:tcW w:w="2163" w:type="dxa"/>
            <w:tcBorders>
              <w:top w:val="single" w:sz="4" w:space="0" w:color="auto"/>
              <w:left w:val="single" w:sz="4" w:space="0" w:color="auto"/>
              <w:bottom w:val="single" w:sz="4" w:space="0" w:color="auto"/>
              <w:right w:val="single" w:sz="4" w:space="0" w:color="auto"/>
            </w:tcBorders>
            <w:hideMark/>
          </w:tcPr>
          <w:p w14:paraId="6A98C6EE"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172</w:t>
            </w:r>
          </w:p>
        </w:tc>
        <w:tc>
          <w:tcPr>
            <w:tcW w:w="2163" w:type="dxa"/>
            <w:tcBorders>
              <w:top w:val="single" w:sz="4" w:space="0" w:color="auto"/>
              <w:left w:val="single" w:sz="4" w:space="0" w:color="auto"/>
              <w:bottom w:val="single" w:sz="4" w:space="0" w:color="auto"/>
              <w:right w:val="single" w:sz="4" w:space="0" w:color="auto"/>
            </w:tcBorders>
            <w:hideMark/>
          </w:tcPr>
          <w:p w14:paraId="02147587" w14:textId="77777777" w:rsidR="009473C0" w:rsidRPr="004F5FB4" w:rsidRDefault="009473C0" w:rsidP="00D05237">
            <w:pPr>
              <w:jc w:val="center"/>
              <w:rPr>
                <w:b/>
                <w:color w:val="000000"/>
              </w:rPr>
            </w:pPr>
            <w:r w:rsidRPr="004F5FB4">
              <w:rPr>
                <w:b/>
                <w:color w:val="000000"/>
              </w:rPr>
              <w:t>n</w:t>
            </w:r>
            <w:r w:rsidR="00D05237" w:rsidRPr="004F5FB4">
              <w:rPr>
                <w:b/>
                <w:color w:val="000000"/>
              </w:rPr>
              <w:t> </w:t>
            </w:r>
            <w:r w:rsidRPr="004F5FB4">
              <w:rPr>
                <w:b/>
                <w:color w:val="000000"/>
              </w:rPr>
              <w:t>=</w:t>
            </w:r>
            <w:r w:rsidR="00D05237" w:rsidRPr="004F5FB4">
              <w:rPr>
                <w:b/>
                <w:color w:val="000000"/>
              </w:rPr>
              <w:t> </w:t>
            </w:r>
            <w:r w:rsidRPr="004F5FB4">
              <w:rPr>
                <w:b/>
                <w:color w:val="000000"/>
              </w:rPr>
              <w:t>157</w:t>
            </w:r>
          </w:p>
        </w:tc>
      </w:tr>
      <w:tr w:rsidR="009473C0" w:rsidRPr="004F5FB4" w14:paraId="5BB236A8"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5E8BEDA1" w14:textId="77777777" w:rsidR="009473C0" w:rsidRPr="004F5FB4" w:rsidRDefault="009473C0" w:rsidP="005A68B9">
            <w:pPr>
              <w:rPr>
                <w:color w:val="000000"/>
              </w:rPr>
            </w:pPr>
            <w:r w:rsidRPr="004F5FB4">
              <w:rPr>
                <w:color w:val="000000"/>
              </w:rPr>
              <w:t>Klinische Remission</w:t>
            </w:r>
          </w:p>
        </w:tc>
        <w:tc>
          <w:tcPr>
            <w:tcW w:w="2161" w:type="dxa"/>
            <w:tcBorders>
              <w:top w:val="single" w:sz="4" w:space="0" w:color="auto"/>
              <w:left w:val="single" w:sz="4" w:space="0" w:color="auto"/>
              <w:bottom w:val="single" w:sz="4" w:space="0" w:color="auto"/>
              <w:right w:val="single" w:sz="4" w:space="0" w:color="auto"/>
            </w:tcBorders>
            <w:hideMark/>
          </w:tcPr>
          <w:p w14:paraId="39282ED4" w14:textId="77777777" w:rsidR="009473C0" w:rsidRPr="004F5FB4" w:rsidRDefault="009473C0" w:rsidP="005A68B9">
            <w:pPr>
              <w:jc w:val="center"/>
              <w:rPr>
                <w:color w:val="000000"/>
              </w:rPr>
            </w:pPr>
            <w:r w:rsidRPr="004F5FB4">
              <w:rPr>
                <w:color w:val="000000"/>
              </w:rPr>
              <w:t>12 %</w:t>
            </w:r>
          </w:p>
        </w:tc>
        <w:tc>
          <w:tcPr>
            <w:tcW w:w="2163" w:type="dxa"/>
            <w:tcBorders>
              <w:top w:val="single" w:sz="4" w:space="0" w:color="auto"/>
              <w:left w:val="single" w:sz="4" w:space="0" w:color="auto"/>
              <w:bottom w:val="single" w:sz="4" w:space="0" w:color="auto"/>
              <w:right w:val="single" w:sz="4" w:space="0" w:color="auto"/>
            </w:tcBorders>
            <w:hideMark/>
          </w:tcPr>
          <w:p w14:paraId="55993FB9" w14:textId="77777777" w:rsidR="009473C0" w:rsidRPr="004F5FB4" w:rsidRDefault="009473C0" w:rsidP="005A68B9">
            <w:pPr>
              <w:jc w:val="center"/>
              <w:rPr>
                <w:color w:val="000000"/>
              </w:rPr>
            </w:pPr>
            <w:r w:rsidRPr="004F5FB4">
              <w:rPr>
                <w:color w:val="000000"/>
              </w:rPr>
              <w:t>36 %*</w:t>
            </w:r>
          </w:p>
        </w:tc>
        <w:tc>
          <w:tcPr>
            <w:tcW w:w="2163" w:type="dxa"/>
            <w:tcBorders>
              <w:top w:val="single" w:sz="4" w:space="0" w:color="auto"/>
              <w:left w:val="single" w:sz="4" w:space="0" w:color="auto"/>
              <w:bottom w:val="single" w:sz="4" w:space="0" w:color="auto"/>
              <w:right w:val="single" w:sz="4" w:space="0" w:color="auto"/>
            </w:tcBorders>
            <w:hideMark/>
          </w:tcPr>
          <w:p w14:paraId="732E8BB3" w14:textId="77777777" w:rsidR="009473C0" w:rsidRPr="004F5FB4" w:rsidRDefault="009473C0" w:rsidP="005A68B9">
            <w:pPr>
              <w:jc w:val="center"/>
              <w:rPr>
                <w:color w:val="000000"/>
              </w:rPr>
            </w:pPr>
            <w:r w:rsidRPr="004F5FB4">
              <w:rPr>
                <w:color w:val="000000"/>
              </w:rPr>
              <w:t>41 %*</w:t>
            </w:r>
          </w:p>
        </w:tc>
      </w:tr>
      <w:tr w:rsidR="009473C0" w:rsidRPr="004F5FB4" w14:paraId="0892F34D"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5EE7A2C5" w14:textId="77777777" w:rsidR="009473C0" w:rsidRPr="004F5FB4" w:rsidRDefault="009473C0" w:rsidP="005A68B9">
            <w:pPr>
              <w:rPr>
                <w:color w:val="000000"/>
              </w:rPr>
            </w:pPr>
            <w:r w:rsidRPr="004F5FB4">
              <w:rPr>
                <w:color w:val="000000"/>
              </w:rPr>
              <w:t>Klinisches Ansprechen (CR</w:t>
            </w:r>
            <w:r w:rsidRPr="004F5FB4">
              <w:rPr>
                <w:color w:val="000000"/>
              </w:rPr>
              <w:noBreakHyphen/>
              <w:t>100)</w:t>
            </w:r>
          </w:p>
        </w:tc>
        <w:tc>
          <w:tcPr>
            <w:tcW w:w="2161" w:type="dxa"/>
            <w:tcBorders>
              <w:top w:val="single" w:sz="4" w:space="0" w:color="auto"/>
              <w:left w:val="single" w:sz="4" w:space="0" w:color="auto"/>
              <w:bottom w:val="single" w:sz="4" w:space="0" w:color="auto"/>
              <w:right w:val="single" w:sz="4" w:space="0" w:color="auto"/>
            </w:tcBorders>
            <w:hideMark/>
          </w:tcPr>
          <w:p w14:paraId="775C544D" w14:textId="77777777" w:rsidR="009473C0" w:rsidRPr="004F5FB4" w:rsidRDefault="009473C0" w:rsidP="005A68B9">
            <w:pPr>
              <w:jc w:val="center"/>
              <w:rPr>
                <w:color w:val="000000"/>
              </w:rPr>
            </w:pPr>
            <w:r w:rsidRPr="004F5FB4">
              <w:rPr>
                <w:color w:val="000000"/>
              </w:rPr>
              <w:t>17 %</w:t>
            </w:r>
          </w:p>
        </w:tc>
        <w:tc>
          <w:tcPr>
            <w:tcW w:w="2163" w:type="dxa"/>
            <w:tcBorders>
              <w:top w:val="single" w:sz="4" w:space="0" w:color="auto"/>
              <w:left w:val="single" w:sz="4" w:space="0" w:color="auto"/>
              <w:bottom w:val="single" w:sz="4" w:space="0" w:color="auto"/>
              <w:right w:val="single" w:sz="4" w:space="0" w:color="auto"/>
            </w:tcBorders>
            <w:hideMark/>
          </w:tcPr>
          <w:p w14:paraId="2C1B0E07" w14:textId="77777777" w:rsidR="009473C0" w:rsidRPr="004F5FB4" w:rsidRDefault="009473C0" w:rsidP="005A68B9">
            <w:pPr>
              <w:jc w:val="center"/>
              <w:rPr>
                <w:color w:val="000000"/>
              </w:rPr>
            </w:pPr>
            <w:r w:rsidRPr="004F5FB4">
              <w:rPr>
                <w:color w:val="000000"/>
              </w:rPr>
              <w:t>41 %*</w:t>
            </w:r>
          </w:p>
        </w:tc>
        <w:tc>
          <w:tcPr>
            <w:tcW w:w="2163" w:type="dxa"/>
            <w:tcBorders>
              <w:top w:val="single" w:sz="4" w:space="0" w:color="auto"/>
              <w:left w:val="single" w:sz="4" w:space="0" w:color="auto"/>
              <w:bottom w:val="single" w:sz="4" w:space="0" w:color="auto"/>
              <w:right w:val="single" w:sz="4" w:space="0" w:color="auto"/>
            </w:tcBorders>
            <w:hideMark/>
          </w:tcPr>
          <w:p w14:paraId="24F5E65B" w14:textId="77777777" w:rsidR="009473C0" w:rsidRPr="004F5FB4" w:rsidRDefault="009473C0" w:rsidP="005A68B9">
            <w:pPr>
              <w:jc w:val="center"/>
              <w:rPr>
                <w:color w:val="000000"/>
              </w:rPr>
            </w:pPr>
            <w:r w:rsidRPr="004F5FB4">
              <w:rPr>
                <w:color w:val="000000"/>
              </w:rPr>
              <w:t>48 %*</w:t>
            </w:r>
          </w:p>
        </w:tc>
      </w:tr>
      <w:tr w:rsidR="009473C0" w:rsidRPr="004F5FB4" w14:paraId="01FDA069"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088C73F8" w14:textId="77777777" w:rsidR="009473C0" w:rsidRPr="004F5FB4" w:rsidRDefault="009473C0" w:rsidP="005A68B9">
            <w:pPr>
              <w:ind w:left="288"/>
              <w:rPr>
                <w:color w:val="000000"/>
              </w:rPr>
            </w:pPr>
            <w:r w:rsidRPr="004F5FB4">
              <w:rPr>
                <w:color w:val="000000"/>
              </w:rPr>
              <w:t>Patienten in steroidfreier Remission für ≥ 90 Tage</w:t>
            </w:r>
            <w:r w:rsidRPr="004F5FB4">
              <w:rPr>
                <w:color w:val="000000"/>
                <w:vertAlign w:val="superscript"/>
              </w:rPr>
              <w:t>a</w:t>
            </w:r>
          </w:p>
        </w:tc>
        <w:tc>
          <w:tcPr>
            <w:tcW w:w="2161" w:type="dxa"/>
            <w:tcBorders>
              <w:top w:val="single" w:sz="4" w:space="0" w:color="auto"/>
              <w:left w:val="single" w:sz="4" w:space="0" w:color="auto"/>
              <w:bottom w:val="single" w:sz="4" w:space="0" w:color="auto"/>
              <w:right w:val="single" w:sz="4" w:space="0" w:color="auto"/>
            </w:tcBorders>
            <w:hideMark/>
          </w:tcPr>
          <w:p w14:paraId="0F499DE7" w14:textId="77777777" w:rsidR="009473C0" w:rsidRPr="004F5FB4" w:rsidRDefault="009473C0" w:rsidP="005A68B9">
            <w:pPr>
              <w:jc w:val="center"/>
              <w:rPr>
                <w:color w:val="000000"/>
              </w:rPr>
            </w:pPr>
            <w:r w:rsidRPr="004F5FB4">
              <w:rPr>
                <w:color w:val="000000"/>
              </w:rPr>
              <w:t>5 % (3/66)</w:t>
            </w:r>
          </w:p>
        </w:tc>
        <w:tc>
          <w:tcPr>
            <w:tcW w:w="2163" w:type="dxa"/>
            <w:tcBorders>
              <w:top w:val="single" w:sz="4" w:space="0" w:color="auto"/>
              <w:left w:val="single" w:sz="4" w:space="0" w:color="auto"/>
              <w:bottom w:val="single" w:sz="4" w:space="0" w:color="auto"/>
              <w:right w:val="single" w:sz="4" w:space="0" w:color="auto"/>
            </w:tcBorders>
            <w:hideMark/>
          </w:tcPr>
          <w:p w14:paraId="163B7239" w14:textId="77777777" w:rsidR="009473C0" w:rsidRPr="004F5FB4" w:rsidRDefault="009473C0" w:rsidP="005A68B9">
            <w:pPr>
              <w:jc w:val="center"/>
              <w:rPr>
                <w:color w:val="000000"/>
              </w:rPr>
            </w:pPr>
            <w:r w:rsidRPr="004F5FB4">
              <w:rPr>
                <w:color w:val="000000"/>
              </w:rPr>
              <w:t>29 % (17/58)*</w:t>
            </w:r>
          </w:p>
        </w:tc>
        <w:tc>
          <w:tcPr>
            <w:tcW w:w="2163" w:type="dxa"/>
            <w:tcBorders>
              <w:top w:val="single" w:sz="4" w:space="0" w:color="auto"/>
              <w:left w:val="single" w:sz="4" w:space="0" w:color="auto"/>
              <w:bottom w:val="single" w:sz="4" w:space="0" w:color="auto"/>
              <w:right w:val="single" w:sz="4" w:space="0" w:color="auto"/>
            </w:tcBorders>
            <w:hideMark/>
          </w:tcPr>
          <w:p w14:paraId="0199BD3E" w14:textId="77777777" w:rsidR="009473C0" w:rsidRPr="004F5FB4" w:rsidRDefault="009473C0" w:rsidP="005A68B9">
            <w:pPr>
              <w:jc w:val="center"/>
              <w:rPr>
                <w:color w:val="000000"/>
              </w:rPr>
            </w:pPr>
            <w:r w:rsidRPr="004F5FB4">
              <w:rPr>
                <w:color w:val="000000"/>
              </w:rPr>
              <w:t>20 % (15/74)**</w:t>
            </w:r>
          </w:p>
        </w:tc>
      </w:tr>
    </w:tbl>
    <w:p w14:paraId="79FF880D" w14:textId="77777777" w:rsidR="00D4051F" w:rsidRPr="00206AEA" w:rsidRDefault="00D4051F" w:rsidP="00D4051F">
      <w:pPr>
        <w:ind w:left="270" w:hanging="270"/>
        <w:rPr>
          <w:color w:val="000000"/>
          <w:sz w:val="20"/>
        </w:rPr>
      </w:pPr>
      <w:r w:rsidRPr="00206AEA">
        <w:rPr>
          <w:color w:val="000000"/>
          <w:sz w:val="20"/>
        </w:rPr>
        <w:t xml:space="preserve">* </w:t>
      </w:r>
      <w:r w:rsidRPr="00206AEA">
        <w:rPr>
          <w:color w:val="000000"/>
          <w:sz w:val="20"/>
        </w:rPr>
        <w:tab/>
        <w:t xml:space="preserve">p &lt; 0,001 bezogen auf den paarweisen Vergleich der Zahlen für Adalimumab </w:t>
      </w:r>
      <w:r w:rsidRPr="00206AEA">
        <w:rPr>
          <w:i/>
          <w:iCs/>
          <w:color w:val="000000"/>
          <w:sz w:val="20"/>
        </w:rPr>
        <w:t>versus</w:t>
      </w:r>
      <w:r w:rsidRPr="00206AEA">
        <w:rPr>
          <w:color w:val="000000"/>
          <w:sz w:val="20"/>
        </w:rPr>
        <w:t xml:space="preserve"> Placebo </w:t>
      </w:r>
    </w:p>
    <w:p w14:paraId="5B1350FE" w14:textId="77777777" w:rsidR="00D4051F" w:rsidRPr="00206AEA" w:rsidRDefault="00D4051F" w:rsidP="00D4051F">
      <w:pPr>
        <w:ind w:left="270" w:hanging="270"/>
        <w:rPr>
          <w:color w:val="000000"/>
          <w:sz w:val="20"/>
        </w:rPr>
      </w:pPr>
      <w:r w:rsidRPr="00206AEA">
        <w:rPr>
          <w:color w:val="000000"/>
          <w:sz w:val="20"/>
        </w:rPr>
        <w:lastRenderedPageBreak/>
        <w:t xml:space="preserve">** </w:t>
      </w:r>
      <w:r w:rsidRPr="00206AEA">
        <w:rPr>
          <w:color w:val="000000"/>
          <w:sz w:val="20"/>
        </w:rPr>
        <w:tab/>
        <w:t xml:space="preserve">p &lt; 0,02 bezogen auf den paarweisen Vergleich der Zahlen für Adalimumab </w:t>
      </w:r>
      <w:r w:rsidRPr="00206AEA">
        <w:rPr>
          <w:i/>
          <w:iCs/>
          <w:color w:val="000000"/>
          <w:sz w:val="20"/>
        </w:rPr>
        <w:t>versus</w:t>
      </w:r>
      <w:r w:rsidRPr="00206AEA">
        <w:rPr>
          <w:color w:val="000000"/>
          <w:sz w:val="20"/>
        </w:rPr>
        <w:t xml:space="preserve"> Placebo </w:t>
      </w:r>
    </w:p>
    <w:p w14:paraId="0F1711F1" w14:textId="77777777" w:rsidR="00D4051F" w:rsidRDefault="00D4051F" w:rsidP="00D4051F">
      <w:pPr>
        <w:rPr>
          <w:color w:val="000000"/>
        </w:rPr>
      </w:pPr>
      <w:r w:rsidRPr="00206AEA">
        <w:rPr>
          <w:color w:val="000000"/>
          <w:sz w:val="20"/>
          <w:vertAlign w:val="superscript"/>
        </w:rPr>
        <w:t>a</w:t>
      </w:r>
      <w:r w:rsidRPr="00206AEA">
        <w:rPr>
          <w:color w:val="000000"/>
          <w:sz w:val="20"/>
        </w:rPr>
        <w:t xml:space="preserve"> </w:t>
      </w:r>
      <w:r w:rsidRPr="00206AEA">
        <w:rPr>
          <w:color w:val="000000"/>
          <w:sz w:val="20"/>
        </w:rPr>
        <w:tab/>
        <w:t>Von den Patienten, die Glukokortikoide zu Beginn erhalten haben</w:t>
      </w:r>
    </w:p>
    <w:p w14:paraId="03181316" w14:textId="77777777" w:rsidR="00D4051F" w:rsidRPr="004F5FB4" w:rsidRDefault="00D4051F" w:rsidP="00387D0C">
      <w:pPr>
        <w:rPr>
          <w:color w:val="000000"/>
        </w:rPr>
      </w:pPr>
    </w:p>
    <w:p w14:paraId="4DA0DFE0" w14:textId="77777777" w:rsidR="00535983" w:rsidRPr="004F5FB4" w:rsidRDefault="00535983" w:rsidP="00387D0C">
      <w:pPr>
        <w:pStyle w:val="BodyText"/>
        <w:widowControl/>
        <w:kinsoku w:val="0"/>
        <w:overflowPunct w:val="0"/>
        <w:ind w:left="0"/>
        <w:rPr>
          <w:color w:val="000000"/>
        </w:rPr>
      </w:pPr>
      <w:r w:rsidRPr="004F5FB4">
        <w:rPr>
          <w:color w:val="000000"/>
        </w:rPr>
        <w:t>Bei den Patienten, die bis Woche</w:t>
      </w:r>
      <w:r w:rsidR="00B660DF" w:rsidRPr="004F5FB4">
        <w:rPr>
          <w:color w:val="000000"/>
        </w:rPr>
        <w:t> </w:t>
      </w:r>
      <w:r w:rsidRPr="004F5FB4">
        <w:rPr>
          <w:color w:val="000000"/>
        </w:rPr>
        <w:t xml:space="preserve">4 nicht angesprochen hatten, zeigte sich bei 43 % der </w:t>
      </w:r>
      <w:r w:rsidR="001C258E" w:rsidRPr="004F5FB4">
        <w:rPr>
          <w:color w:val="000000"/>
        </w:rPr>
        <w:t xml:space="preserve">mit Adalimumab behandelten </w:t>
      </w:r>
      <w:r w:rsidRPr="004F5FB4">
        <w:rPr>
          <w:color w:val="000000"/>
        </w:rPr>
        <w:t>Patienten in Woche 12 ein</w:t>
      </w:r>
      <w:r w:rsidR="001C258E" w:rsidRPr="004F5FB4">
        <w:rPr>
          <w:color w:val="000000"/>
        </w:rPr>
        <w:t>e</w:t>
      </w:r>
      <w:r w:rsidRPr="004F5FB4">
        <w:rPr>
          <w:color w:val="000000"/>
        </w:rPr>
        <w:t xml:space="preserve"> </w:t>
      </w:r>
      <w:r w:rsidR="001C258E" w:rsidRPr="004F5FB4">
        <w:rPr>
          <w:color w:val="000000"/>
        </w:rPr>
        <w:t>Wirkung im V</w:t>
      </w:r>
      <w:r w:rsidRPr="004F5FB4">
        <w:rPr>
          <w:color w:val="000000"/>
        </w:rPr>
        <w:t>ergl</w:t>
      </w:r>
      <w:r w:rsidR="001C258E" w:rsidRPr="004F5FB4">
        <w:rPr>
          <w:color w:val="000000"/>
        </w:rPr>
        <w:t>e</w:t>
      </w:r>
      <w:r w:rsidRPr="004F5FB4">
        <w:rPr>
          <w:color w:val="000000"/>
        </w:rPr>
        <w:t>ich</w:t>
      </w:r>
      <w:r w:rsidR="001C258E" w:rsidRPr="004F5FB4">
        <w:rPr>
          <w:color w:val="000000"/>
        </w:rPr>
        <w:t xml:space="preserve"> zu</w:t>
      </w:r>
      <w:r w:rsidRPr="004F5FB4">
        <w:rPr>
          <w:color w:val="000000"/>
        </w:rPr>
        <w:t xml:space="preserve"> 30 % der </w:t>
      </w:r>
      <w:r w:rsidR="001C258E" w:rsidRPr="004F5FB4">
        <w:rPr>
          <w:color w:val="000000"/>
        </w:rPr>
        <w:t>Placebop</w:t>
      </w:r>
      <w:r w:rsidRPr="004F5FB4">
        <w:rPr>
          <w:color w:val="000000"/>
        </w:rPr>
        <w:t>atienten. Diese Ergebnisse lassen vermuten, dass einige Patienten, die bis Woche</w:t>
      </w:r>
      <w:r w:rsidR="00B660DF" w:rsidRPr="004F5FB4">
        <w:rPr>
          <w:color w:val="000000"/>
        </w:rPr>
        <w:t> </w:t>
      </w:r>
      <w:r w:rsidRPr="004F5FB4">
        <w:rPr>
          <w:color w:val="000000"/>
        </w:rPr>
        <w:t>4 noch nicht auf die Therapie angesprochen haben, von einer Weiterführung der Erhaltungstherapie bis Woche</w:t>
      </w:r>
      <w:r w:rsidR="00BF01A2" w:rsidRPr="004F5FB4">
        <w:rPr>
          <w:color w:val="000000"/>
        </w:rPr>
        <w:t> </w:t>
      </w:r>
      <w:r w:rsidRPr="004F5FB4">
        <w:rPr>
          <w:color w:val="000000"/>
        </w:rPr>
        <w:t>12 profitieren. Eine Fortsetzung der Therapie über die 12.</w:t>
      </w:r>
      <w:r w:rsidR="00B660DF" w:rsidRPr="004F5FB4">
        <w:rPr>
          <w:color w:val="000000"/>
        </w:rPr>
        <w:t> </w:t>
      </w:r>
      <w:r w:rsidRPr="004F5FB4">
        <w:rPr>
          <w:color w:val="000000"/>
        </w:rPr>
        <w:t>Woche hinaus zeigte keine signifikant höhere Ansprechrate (siehe Abschnitt</w:t>
      </w:r>
      <w:r w:rsidR="00B660DF" w:rsidRPr="004F5FB4">
        <w:rPr>
          <w:color w:val="000000"/>
        </w:rPr>
        <w:t> </w:t>
      </w:r>
      <w:r w:rsidRPr="004F5FB4">
        <w:rPr>
          <w:color w:val="000000"/>
        </w:rPr>
        <w:t>4.2).</w:t>
      </w:r>
    </w:p>
    <w:p w14:paraId="2FB966A6" w14:textId="77777777" w:rsidR="00535983" w:rsidRPr="004F5FB4" w:rsidRDefault="00535983" w:rsidP="00387D0C">
      <w:pPr>
        <w:pStyle w:val="BodyText"/>
        <w:widowControl/>
        <w:kinsoku w:val="0"/>
        <w:overflowPunct w:val="0"/>
        <w:ind w:left="0"/>
        <w:rPr>
          <w:color w:val="000000"/>
        </w:rPr>
      </w:pPr>
    </w:p>
    <w:p w14:paraId="76A3C9B7" w14:textId="77777777" w:rsidR="00535983" w:rsidRPr="004F5FB4" w:rsidRDefault="00535983" w:rsidP="00387D0C">
      <w:pPr>
        <w:pStyle w:val="BodyText"/>
        <w:widowControl/>
        <w:kinsoku w:val="0"/>
        <w:overflowPunct w:val="0"/>
        <w:ind w:left="0"/>
        <w:rPr>
          <w:color w:val="000000"/>
        </w:rPr>
      </w:pPr>
      <w:r w:rsidRPr="004F5FB4">
        <w:rPr>
          <w:color w:val="000000"/>
        </w:rPr>
        <w:t>117 von 276</w:t>
      </w:r>
      <w:r w:rsidR="00B660DF" w:rsidRPr="004F5FB4">
        <w:rPr>
          <w:color w:val="000000"/>
        </w:rPr>
        <w:t> </w:t>
      </w:r>
      <w:r w:rsidRPr="004F5FB4">
        <w:rPr>
          <w:color w:val="000000"/>
        </w:rPr>
        <w:t>Patienten aus der MC-Studie</w:t>
      </w:r>
      <w:r w:rsidR="00B660DF" w:rsidRPr="004F5FB4">
        <w:rPr>
          <w:color w:val="000000"/>
        </w:rPr>
        <w:t> </w:t>
      </w:r>
      <w:r w:rsidRPr="004F5FB4">
        <w:rPr>
          <w:color w:val="000000"/>
        </w:rPr>
        <w:t>I und 272 von 777 aus den MC-Studien</w:t>
      </w:r>
      <w:r w:rsidR="00D17FA4" w:rsidRPr="004F5FB4">
        <w:rPr>
          <w:color w:val="000000"/>
        </w:rPr>
        <w:t> </w:t>
      </w:r>
      <w:r w:rsidRPr="004F5FB4">
        <w:rPr>
          <w:color w:val="000000"/>
        </w:rPr>
        <w:t>II und III wurden mindestens 3</w:t>
      </w:r>
      <w:r w:rsidR="00D17FA4" w:rsidRPr="004F5FB4">
        <w:rPr>
          <w:color w:val="000000"/>
        </w:rPr>
        <w:t> </w:t>
      </w:r>
      <w:r w:rsidRPr="004F5FB4">
        <w:rPr>
          <w:color w:val="000000"/>
        </w:rPr>
        <w:t>Jahre in einer offenen Studie mit Adalimumab weiterbehandelt. 88</w:t>
      </w:r>
      <w:r w:rsidR="00005C27" w:rsidRPr="004F5FB4">
        <w:rPr>
          <w:color w:val="000000"/>
        </w:rPr>
        <w:t> </w:t>
      </w:r>
      <w:r w:rsidRPr="004F5FB4">
        <w:rPr>
          <w:color w:val="000000"/>
        </w:rPr>
        <w:t>bzw. 189</w:t>
      </w:r>
      <w:r w:rsidR="00D17FA4" w:rsidRPr="004F5FB4">
        <w:rPr>
          <w:color w:val="000000"/>
        </w:rPr>
        <w:t> </w:t>
      </w:r>
      <w:r w:rsidRPr="004F5FB4">
        <w:rPr>
          <w:color w:val="000000"/>
        </w:rPr>
        <w:t>Patienten blieben weiterhin in klinischer Remission. Ein klinisches Ansprechen (CR-100) wurde bei 102 bzw. 233</w:t>
      </w:r>
      <w:r w:rsidR="00D17FA4" w:rsidRPr="004F5FB4">
        <w:rPr>
          <w:color w:val="000000"/>
        </w:rPr>
        <w:t> </w:t>
      </w:r>
      <w:r w:rsidRPr="004F5FB4">
        <w:rPr>
          <w:color w:val="000000"/>
        </w:rPr>
        <w:t>Patienten erhalten.</w:t>
      </w:r>
    </w:p>
    <w:p w14:paraId="047E6267" w14:textId="77777777" w:rsidR="00535983" w:rsidRPr="004F5FB4" w:rsidRDefault="00535983" w:rsidP="00387D0C">
      <w:pPr>
        <w:pStyle w:val="BodyText"/>
        <w:widowControl/>
        <w:kinsoku w:val="0"/>
        <w:overflowPunct w:val="0"/>
        <w:ind w:left="0"/>
        <w:rPr>
          <w:color w:val="000000"/>
        </w:rPr>
      </w:pPr>
    </w:p>
    <w:p w14:paraId="7F91B2B3" w14:textId="77777777" w:rsidR="00535983" w:rsidRPr="004F5FB4" w:rsidRDefault="00535983" w:rsidP="00ED34EF">
      <w:pPr>
        <w:pStyle w:val="BodyText"/>
        <w:keepNext/>
        <w:widowControl/>
        <w:kinsoku w:val="0"/>
        <w:overflowPunct w:val="0"/>
        <w:ind w:left="0"/>
        <w:rPr>
          <w:color w:val="000000"/>
        </w:rPr>
      </w:pPr>
      <w:r w:rsidRPr="004F5FB4">
        <w:rPr>
          <w:i/>
          <w:iCs/>
          <w:color w:val="000000"/>
          <w:u w:val="single"/>
        </w:rPr>
        <w:t>Lebensqualität</w:t>
      </w:r>
    </w:p>
    <w:p w14:paraId="13818074" w14:textId="77777777" w:rsidR="00535983" w:rsidRPr="004F5FB4" w:rsidRDefault="00535983" w:rsidP="00ED34EF">
      <w:pPr>
        <w:pStyle w:val="BodyText"/>
        <w:keepNext/>
        <w:widowControl/>
        <w:kinsoku w:val="0"/>
        <w:overflowPunct w:val="0"/>
        <w:ind w:left="0"/>
        <w:rPr>
          <w:i/>
          <w:iCs/>
          <w:color w:val="000000"/>
          <w:szCs w:val="15"/>
        </w:rPr>
      </w:pPr>
    </w:p>
    <w:p w14:paraId="6A29ACB1" w14:textId="77777777" w:rsidR="00535983" w:rsidRPr="004F5FB4" w:rsidRDefault="00535983" w:rsidP="00387D0C">
      <w:pPr>
        <w:pStyle w:val="BodyText"/>
        <w:widowControl/>
        <w:kinsoku w:val="0"/>
        <w:overflowPunct w:val="0"/>
        <w:ind w:left="0"/>
        <w:rPr>
          <w:color w:val="000000"/>
        </w:rPr>
      </w:pPr>
      <w:r w:rsidRPr="004F5FB4">
        <w:rPr>
          <w:color w:val="000000"/>
        </w:rPr>
        <w:t>In der MC-Studie</w:t>
      </w:r>
      <w:r w:rsidR="00D17FA4" w:rsidRPr="004F5FB4">
        <w:rPr>
          <w:color w:val="000000"/>
        </w:rPr>
        <w:t> </w:t>
      </w:r>
      <w:r w:rsidRPr="004F5FB4">
        <w:rPr>
          <w:color w:val="000000"/>
        </w:rPr>
        <w:t>I und der MC-Studie II zeigte sich eine statistisch signifikante Verbesserung im krankheitsspezifischen IBDQ(Inflammatory-Bowel-Disease-Questionnaire)-Gesamtscore in Woche</w:t>
      </w:r>
      <w:r w:rsidR="00D17FA4" w:rsidRPr="004F5FB4">
        <w:rPr>
          <w:color w:val="000000"/>
        </w:rPr>
        <w:t> </w:t>
      </w:r>
      <w:r w:rsidRPr="004F5FB4">
        <w:rPr>
          <w:color w:val="000000"/>
        </w:rPr>
        <w:t>4 bei Patienten, die in die Adalimumab-Gruppen 80/40</w:t>
      </w:r>
      <w:r w:rsidR="00D17FA4" w:rsidRPr="004F5FB4">
        <w:rPr>
          <w:color w:val="000000"/>
        </w:rPr>
        <w:t> </w:t>
      </w:r>
      <w:r w:rsidRPr="004F5FB4">
        <w:rPr>
          <w:color w:val="000000"/>
        </w:rPr>
        <w:t>mg und 160/80</w:t>
      </w:r>
      <w:r w:rsidR="00D17FA4" w:rsidRPr="004F5FB4">
        <w:rPr>
          <w:color w:val="000000"/>
        </w:rPr>
        <w:t> </w:t>
      </w:r>
      <w:r w:rsidRPr="004F5FB4">
        <w:rPr>
          <w:color w:val="000000"/>
        </w:rPr>
        <w:t>mg randomisiert wurden, im Vergleich zur Placebogruppe. Dasselbe zeigte sich in der MC-Studie</w:t>
      </w:r>
      <w:r w:rsidR="00D17FA4" w:rsidRPr="004F5FB4">
        <w:rPr>
          <w:color w:val="000000"/>
        </w:rPr>
        <w:t> </w:t>
      </w:r>
      <w:r w:rsidRPr="004F5FB4">
        <w:rPr>
          <w:color w:val="000000"/>
        </w:rPr>
        <w:t>III in Woche</w:t>
      </w:r>
      <w:r w:rsidR="00D17FA4" w:rsidRPr="004F5FB4">
        <w:rPr>
          <w:color w:val="000000"/>
        </w:rPr>
        <w:t> </w:t>
      </w:r>
      <w:r w:rsidRPr="004F5FB4">
        <w:rPr>
          <w:color w:val="000000"/>
        </w:rPr>
        <w:t>26 und 56 in den Adalimumab-Behandlungsgruppen im Vergleich zur Placebogruppe.</w:t>
      </w:r>
    </w:p>
    <w:p w14:paraId="5BD2F83D" w14:textId="77777777" w:rsidR="00535983" w:rsidRPr="004F5FB4" w:rsidRDefault="00535983" w:rsidP="00387D0C">
      <w:pPr>
        <w:pStyle w:val="BodyText"/>
        <w:widowControl/>
        <w:kinsoku w:val="0"/>
        <w:overflowPunct w:val="0"/>
        <w:ind w:left="0"/>
        <w:rPr>
          <w:color w:val="000000"/>
        </w:rPr>
      </w:pPr>
    </w:p>
    <w:p w14:paraId="478A1241" w14:textId="77777777" w:rsidR="00535983" w:rsidRPr="004F5FB4" w:rsidRDefault="00535983" w:rsidP="00ED34EF">
      <w:pPr>
        <w:pStyle w:val="BodyText"/>
        <w:keepNext/>
        <w:widowControl/>
        <w:kinsoku w:val="0"/>
        <w:overflowPunct w:val="0"/>
        <w:ind w:left="0"/>
        <w:rPr>
          <w:color w:val="000000"/>
        </w:rPr>
      </w:pPr>
      <w:r w:rsidRPr="004F5FB4">
        <w:rPr>
          <w:i/>
          <w:iCs/>
          <w:color w:val="000000"/>
        </w:rPr>
        <w:t>Uveitis bei Erwachsenen</w:t>
      </w:r>
    </w:p>
    <w:p w14:paraId="16EB1624" w14:textId="77777777" w:rsidR="00535983" w:rsidRPr="004F5FB4" w:rsidRDefault="00535983" w:rsidP="00ED34EF">
      <w:pPr>
        <w:pStyle w:val="BodyText"/>
        <w:keepNext/>
        <w:widowControl/>
        <w:kinsoku w:val="0"/>
        <w:overflowPunct w:val="0"/>
        <w:ind w:left="0"/>
        <w:rPr>
          <w:i/>
          <w:iCs/>
          <w:color w:val="000000"/>
          <w:szCs w:val="21"/>
        </w:rPr>
      </w:pPr>
    </w:p>
    <w:p w14:paraId="53BD2457" w14:textId="77777777" w:rsidR="00535983" w:rsidRPr="004F5FB4" w:rsidRDefault="00535983" w:rsidP="00387D0C">
      <w:pPr>
        <w:pStyle w:val="BodyText"/>
        <w:widowControl/>
        <w:kinsoku w:val="0"/>
        <w:overflowPunct w:val="0"/>
        <w:ind w:left="0"/>
        <w:rPr>
          <w:color w:val="000000"/>
        </w:rPr>
      </w:pPr>
      <w:r w:rsidRPr="004F5FB4">
        <w:rPr>
          <w:color w:val="000000"/>
        </w:rPr>
        <w:t>Die Sicherheit und Wirksamkeit von Adalimumab wurden in zwei randomisierten, doppelmaskierten, placebokontrollierten Studien (UV</w:t>
      </w:r>
      <w:r w:rsidR="00D17FA4" w:rsidRPr="004F5FB4">
        <w:rPr>
          <w:color w:val="000000"/>
        </w:rPr>
        <w:t> </w:t>
      </w:r>
      <w:r w:rsidRPr="004F5FB4">
        <w:rPr>
          <w:color w:val="000000"/>
        </w:rPr>
        <w:t>I und II) bei erwachsenen Patienten mit nicht infektiöser Uveitis intermedia, Uveitis posterior und Panuveitis beurteilt, ausgenommen Patienten mit isolierter Uveitis anterior. Die Patienten erhielten Placebo oder eine Induktionsdosis von 80 mg Adalimumab, gefolgt von 40 mg alle zwei Wochen, beginnend eine Woche nach der Induktionsdosis. Eine Begleitmedikation in gleichbleibender Dosierung mit einem nicht biologischen Immunsuppressivum war erlaubt.</w:t>
      </w:r>
    </w:p>
    <w:p w14:paraId="1A27FF77" w14:textId="77777777" w:rsidR="00535983" w:rsidRPr="004F5FB4" w:rsidRDefault="00535983" w:rsidP="00387D0C">
      <w:pPr>
        <w:pStyle w:val="BodyText"/>
        <w:widowControl/>
        <w:kinsoku w:val="0"/>
        <w:overflowPunct w:val="0"/>
        <w:ind w:left="0"/>
        <w:rPr>
          <w:color w:val="000000"/>
        </w:rPr>
      </w:pPr>
    </w:p>
    <w:p w14:paraId="0B803440" w14:textId="77777777" w:rsidR="00535983" w:rsidRPr="004F5FB4" w:rsidRDefault="00535983" w:rsidP="00387D0C">
      <w:pPr>
        <w:pStyle w:val="BodyText"/>
        <w:widowControl/>
        <w:kinsoku w:val="0"/>
        <w:overflowPunct w:val="0"/>
        <w:ind w:left="0"/>
        <w:rPr>
          <w:color w:val="000000"/>
        </w:rPr>
      </w:pPr>
      <w:r w:rsidRPr="004F5FB4">
        <w:rPr>
          <w:color w:val="000000"/>
        </w:rPr>
        <w:t>In der Studie UV</w:t>
      </w:r>
      <w:r w:rsidR="00D17FA4" w:rsidRPr="004F5FB4">
        <w:rPr>
          <w:color w:val="000000"/>
        </w:rPr>
        <w:t> </w:t>
      </w:r>
      <w:r w:rsidRPr="004F5FB4">
        <w:rPr>
          <w:color w:val="000000"/>
        </w:rPr>
        <w:t>I wurden 217</w:t>
      </w:r>
      <w:r w:rsidR="00D17FA4" w:rsidRPr="004F5FB4">
        <w:rPr>
          <w:color w:val="000000"/>
        </w:rPr>
        <w:t> </w:t>
      </w:r>
      <w:r w:rsidRPr="004F5FB4">
        <w:rPr>
          <w:color w:val="000000"/>
        </w:rPr>
        <w:t>Patienten untersucht, die trotz Behandlung mit Kortikosteroiden (Prednison oral in einer Dosierung von 10 bis 60</w:t>
      </w:r>
      <w:r w:rsidR="00D17FA4" w:rsidRPr="004F5FB4">
        <w:rPr>
          <w:color w:val="000000"/>
        </w:rPr>
        <w:t> </w:t>
      </w:r>
      <w:r w:rsidRPr="004F5FB4">
        <w:rPr>
          <w:color w:val="000000"/>
        </w:rPr>
        <w:t>mg/Tag) eine aktive Uveitis aufwiesen. Alle Patienten erhielten bei Eintritt in die Studie 2</w:t>
      </w:r>
      <w:r w:rsidR="00D17FA4" w:rsidRPr="004F5FB4">
        <w:rPr>
          <w:color w:val="000000"/>
        </w:rPr>
        <w:t> </w:t>
      </w:r>
      <w:r w:rsidRPr="004F5FB4">
        <w:rPr>
          <w:color w:val="000000"/>
        </w:rPr>
        <w:t>Wochen lang eine standardisierte Prednison-Dosis von 60</w:t>
      </w:r>
      <w:r w:rsidR="00D17FA4" w:rsidRPr="004F5FB4">
        <w:rPr>
          <w:color w:val="000000"/>
        </w:rPr>
        <w:t> </w:t>
      </w:r>
      <w:r w:rsidRPr="004F5FB4">
        <w:rPr>
          <w:color w:val="000000"/>
        </w:rPr>
        <w:t xml:space="preserve">mg/Tag. Darauf folgte eine verpflichtende </w:t>
      </w:r>
      <w:r w:rsidR="001E1DA8" w:rsidRPr="004F5FB4">
        <w:rPr>
          <w:color w:val="000000"/>
        </w:rPr>
        <w:t>Steroida</w:t>
      </w:r>
      <w:r w:rsidRPr="004F5FB4">
        <w:rPr>
          <w:color w:val="000000"/>
        </w:rPr>
        <w:t>usschleichung, sodass die Kortikosteroide bis Woche</w:t>
      </w:r>
      <w:r w:rsidR="00D17FA4" w:rsidRPr="004F5FB4">
        <w:rPr>
          <w:color w:val="000000"/>
        </w:rPr>
        <w:t> </w:t>
      </w:r>
      <w:r w:rsidRPr="004F5FB4">
        <w:rPr>
          <w:color w:val="000000"/>
        </w:rPr>
        <w:t>15 vollständig abgesetzt waren.</w:t>
      </w:r>
    </w:p>
    <w:p w14:paraId="506141AF" w14:textId="77777777" w:rsidR="00535983" w:rsidRPr="004F5FB4" w:rsidRDefault="00535983" w:rsidP="00387D0C">
      <w:pPr>
        <w:pStyle w:val="BodyText"/>
        <w:widowControl/>
        <w:kinsoku w:val="0"/>
        <w:overflowPunct w:val="0"/>
        <w:ind w:left="0"/>
        <w:rPr>
          <w:color w:val="000000"/>
          <w:szCs w:val="21"/>
        </w:rPr>
      </w:pPr>
    </w:p>
    <w:p w14:paraId="3E21A686" w14:textId="77777777" w:rsidR="00535983" w:rsidRPr="004F5FB4" w:rsidRDefault="00535983" w:rsidP="00387D0C">
      <w:pPr>
        <w:pStyle w:val="BodyText"/>
        <w:widowControl/>
        <w:tabs>
          <w:tab w:val="left" w:pos="90"/>
        </w:tabs>
        <w:kinsoku w:val="0"/>
        <w:overflowPunct w:val="0"/>
        <w:ind w:left="0"/>
        <w:rPr>
          <w:color w:val="000000"/>
        </w:rPr>
      </w:pPr>
      <w:r w:rsidRPr="004F5FB4">
        <w:rPr>
          <w:color w:val="000000"/>
        </w:rPr>
        <w:t>In der Studie UV</w:t>
      </w:r>
      <w:r w:rsidR="00D17FA4" w:rsidRPr="004F5FB4">
        <w:rPr>
          <w:color w:val="000000"/>
        </w:rPr>
        <w:t> </w:t>
      </w:r>
      <w:r w:rsidRPr="004F5FB4">
        <w:rPr>
          <w:color w:val="000000"/>
        </w:rPr>
        <w:t>II wurden 226</w:t>
      </w:r>
      <w:r w:rsidR="00D17FA4" w:rsidRPr="004F5FB4">
        <w:rPr>
          <w:color w:val="000000"/>
        </w:rPr>
        <w:t> </w:t>
      </w:r>
      <w:r w:rsidRPr="004F5FB4">
        <w:rPr>
          <w:color w:val="000000"/>
        </w:rPr>
        <w:t>Patienten mit inaktiver Uveitis untersucht, die bei Baseline zur Kontrolle ihrer Erkrankung dauerhaft mit Kortikosteroiden behandelt werden mussten (Prednison oral 10 bis 35</w:t>
      </w:r>
      <w:r w:rsidR="00D17FA4" w:rsidRPr="004F5FB4">
        <w:rPr>
          <w:color w:val="000000"/>
        </w:rPr>
        <w:t> </w:t>
      </w:r>
      <w:r w:rsidRPr="004F5FB4">
        <w:rPr>
          <w:color w:val="000000"/>
        </w:rPr>
        <w:t xml:space="preserve">mg/Tag). Danach folgte eine verpflichtende </w:t>
      </w:r>
      <w:r w:rsidR="001E1DA8" w:rsidRPr="004F5FB4">
        <w:rPr>
          <w:color w:val="000000"/>
        </w:rPr>
        <w:t>Steroida</w:t>
      </w:r>
      <w:r w:rsidRPr="004F5FB4">
        <w:rPr>
          <w:color w:val="000000"/>
        </w:rPr>
        <w:t>usschleichung, sodass die Kortikosteroide bis Woche</w:t>
      </w:r>
      <w:r w:rsidR="00D17FA4" w:rsidRPr="004F5FB4">
        <w:rPr>
          <w:color w:val="000000"/>
        </w:rPr>
        <w:t> </w:t>
      </w:r>
      <w:r w:rsidRPr="004F5FB4">
        <w:rPr>
          <w:color w:val="000000"/>
        </w:rPr>
        <w:t>19 vollständig abgesetzt waren.</w:t>
      </w:r>
    </w:p>
    <w:p w14:paraId="2BFE3541" w14:textId="77777777" w:rsidR="00535983" w:rsidRPr="004F5FB4" w:rsidRDefault="00535983" w:rsidP="00387D0C">
      <w:pPr>
        <w:pStyle w:val="BodyText"/>
        <w:widowControl/>
        <w:tabs>
          <w:tab w:val="left" w:pos="90"/>
        </w:tabs>
        <w:kinsoku w:val="0"/>
        <w:overflowPunct w:val="0"/>
        <w:ind w:left="0"/>
        <w:rPr>
          <w:color w:val="000000"/>
        </w:rPr>
      </w:pPr>
    </w:p>
    <w:p w14:paraId="524DB888" w14:textId="77777777" w:rsidR="00535983" w:rsidRPr="004F5FB4" w:rsidRDefault="00535983" w:rsidP="00387D0C">
      <w:pPr>
        <w:pStyle w:val="BodyText"/>
        <w:widowControl/>
        <w:tabs>
          <w:tab w:val="left" w:pos="90"/>
        </w:tabs>
        <w:kinsoku w:val="0"/>
        <w:overflowPunct w:val="0"/>
        <w:ind w:left="0"/>
        <w:rPr>
          <w:color w:val="000000"/>
        </w:rPr>
      </w:pPr>
      <w:r w:rsidRPr="004F5FB4">
        <w:rPr>
          <w:color w:val="000000"/>
        </w:rPr>
        <w:t>Der primäre Wirksamkeitsendpunkt beider Studien war die „Dauer bis zum Behandlungsversagen“. Das Behandlungsversagen wurde definiert durch eine Verschlechterung in einer der vier Komponenten: entzündliche Läsionen der Ader- und Netzhaut und/</w:t>
      </w:r>
      <w:r w:rsidR="00D17FA4" w:rsidRPr="004F5FB4">
        <w:rPr>
          <w:color w:val="000000"/>
        </w:rPr>
        <w:t xml:space="preserve"> </w:t>
      </w:r>
      <w:r w:rsidRPr="004F5FB4">
        <w:rPr>
          <w:color w:val="000000"/>
        </w:rPr>
        <w:t>oder entzündliche Gefäßläsionen der Netzhaut, Grad der Vorderkammerzellen, Grad der Glaskörpertrübung und bestkorrigierter Visus (best corrected visual acuity, BCVA).</w:t>
      </w:r>
    </w:p>
    <w:p w14:paraId="0AAD22E9" w14:textId="77777777" w:rsidR="00535983" w:rsidRPr="004F5FB4" w:rsidRDefault="00535983" w:rsidP="00387D0C">
      <w:pPr>
        <w:pStyle w:val="BodyText"/>
        <w:widowControl/>
        <w:tabs>
          <w:tab w:val="left" w:pos="90"/>
        </w:tabs>
        <w:kinsoku w:val="0"/>
        <w:overflowPunct w:val="0"/>
        <w:ind w:left="0"/>
        <w:rPr>
          <w:color w:val="000000"/>
        </w:rPr>
      </w:pPr>
    </w:p>
    <w:p w14:paraId="2F20EE88" w14:textId="77777777" w:rsidR="00D05237" w:rsidRPr="004F5FB4" w:rsidRDefault="00F944C6" w:rsidP="00387D0C">
      <w:pPr>
        <w:pStyle w:val="BodyText"/>
        <w:widowControl/>
        <w:tabs>
          <w:tab w:val="left" w:pos="90"/>
        </w:tabs>
        <w:kinsoku w:val="0"/>
        <w:overflowPunct w:val="0"/>
        <w:ind w:left="0"/>
        <w:rPr>
          <w:color w:val="000000"/>
        </w:rPr>
      </w:pPr>
      <w:r w:rsidRPr="004F5FB4">
        <w:rPr>
          <w:color w:val="000000"/>
        </w:rPr>
        <w:t xml:space="preserve">Die </w:t>
      </w:r>
      <w:r w:rsidR="00D05237" w:rsidRPr="004F5FB4">
        <w:rPr>
          <w:color w:val="000000"/>
        </w:rPr>
        <w:t xml:space="preserve">Patienten, </w:t>
      </w:r>
      <w:r w:rsidR="00F41FC1" w:rsidRPr="004F5FB4">
        <w:rPr>
          <w:color w:val="000000"/>
        </w:rPr>
        <w:t>die</w:t>
      </w:r>
      <w:r w:rsidR="00D05237" w:rsidRPr="004F5FB4">
        <w:rPr>
          <w:color w:val="000000"/>
        </w:rPr>
        <w:t xml:space="preserve"> die Studien</w:t>
      </w:r>
      <w:r w:rsidR="000A2977" w:rsidRPr="004F5FB4">
        <w:rPr>
          <w:color w:val="000000"/>
        </w:rPr>
        <w:t xml:space="preserve"> </w:t>
      </w:r>
      <w:r w:rsidR="00D05237" w:rsidRPr="004F5FB4">
        <w:rPr>
          <w:color w:val="000000"/>
        </w:rPr>
        <w:t>UV I und UV II ab</w:t>
      </w:r>
      <w:r w:rsidR="000A2977" w:rsidRPr="004F5FB4">
        <w:rPr>
          <w:color w:val="000000"/>
        </w:rPr>
        <w:t>ge</w:t>
      </w:r>
      <w:r w:rsidR="00D05237" w:rsidRPr="004F5FB4">
        <w:rPr>
          <w:color w:val="000000"/>
        </w:rPr>
        <w:t>schlossen</w:t>
      </w:r>
      <w:r w:rsidR="00A1075D" w:rsidRPr="004F5FB4">
        <w:rPr>
          <w:color w:val="000000"/>
        </w:rPr>
        <w:t xml:space="preserve"> hatten</w:t>
      </w:r>
      <w:r w:rsidR="00D05237" w:rsidRPr="004F5FB4">
        <w:rPr>
          <w:color w:val="000000"/>
        </w:rPr>
        <w:t xml:space="preserve">, </w:t>
      </w:r>
      <w:r w:rsidR="00A1075D" w:rsidRPr="004F5FB4">
        <w:rPr>
          <w:color w:val="000000"/>
        </w:rPr>
        <w:t>konnten in eine unkontrollierte Langzeit-Fortsetzungsstudie, mit einer ursprünglich geplanten Dauer von 78</w:t>
      </w:r>
      <w:r w:rsidR="006C3D1F" w:rsidRPr="004F5FB4">
        <w:rPr>
          <w:color w:val="000000"/>
        </w:rPr>
        <w:t> </w:t>
      </w:r>
      <w:r w:rsidR="00A1075D" w:rsidRPr="004F5FB4">
        <w:rPr>
          <w:color w:val="000000"/>
        </w:rPr>
        <w:t>Wochen, eingeschlossen werden.</w:t>
      </w:r>
      <w:r w:rsidR="00630E5A" w:rsidRPr="004F5FB4">
        <w:rPr>
          <w:color w:val="000000"/>
        </w:rPr>
        <w:t xml:space="preserve"> Die Patienten durften die Studienmedikation </w:t>
      </w:r>
      <w:r w:rsidR="00A1075D" w:rsidRPr="004F5FB4">
        <w:rPr>
          <w:color w:val="000000"/>
        </w:rPr>
        <w:t>über die</w:t>
      </w:r>
      <w:r w:rsidR="00630E5A" w:rsidRPr="004F5FB4">
        <w:rPr>
          <w:color w:val="000000"/>
        </w:rPr>
        <w:t xml:space="preserve"> Woche 78 </w:t>
      </w:r>
      <w:r w:rsidR="00A1075D" w:rsidRPr="004F5FB4">
        <w:rPr>
          <w:color w:val="000000"/>
        </w:rPr>
        <w:t xml:space="preserve">hinaus </w:t>
      </w:r>
      <w:r w:rsidR="00630E5A" w:rsidRPr="004F5FB4">
        <w:rPr>
          <w:color w:val="000000"/>
        </w:rPr>
        <w:t>fortsetzen,</w:t>
      </w:r>
      <w:r w:rsidR="00A1075D" w:rsidRPr="004F5FB4">
        <w:rPr>
          <w:color w:val="000000"/>
        </w:rPr>
        <w:t xml:space="preserve"> bis</w:t>
      </w:r>
      <w:r w:rsidR="00630E5A" w:rsidRPr="004F5FB4">
        <w:rPr>
          <w:color w:val="000000"/>
        </w:rPr>
        <w:t xml:space="preserve"> sie Zugang zu Adalimumab hatten.</w:t>
      </w:r>
    </w:p>
    <w:p w14:paraId="1D6B9F7D" w14:textId="77777777" w:rsidR="00630E5A" w:rsidRPr="004F5FB4" w:rsidRDefault="00630E5A" w:rsidP="00387D0C">
      <w:pPr>
        <w:pStyle w:val="BodyText"/>
        <w:widowControl/>
        <w:tabs>
          <w:tab w:val="left" w:pos="90"/>
        </w:tabs>
        <w:kinsoku w:val="0"/>
        <w:overflowPunct w:val="0"/>
        <w:ind w:left="0"/>
        <w:rPr>
          <w:color w:val="000000"/>
        </w:rPr>
      </w:pPr>
    </w:p>
    <w:p w14:paraId="44D24E35" w14:textId="77777777" w:rsidR="00535983" w:rsidRPr="004F5FB4" w:rsidRDefault="00535983" w:rsidP="00B81806">
      <w:pPr>
        <w:pStyle w:val="BodyText"/>
        <w:keepNext/>
        <w:widowControl/>
        <w:tabs>
          <w:tab w:val="left" w:pos="90"/>
        </w:tabs>
        <w:kinsoku w:val="0"/>
        <w:overflowPunct w:val="0"/>
        <w:ind w:left="0"/>
        <w:rPr>
          <w:color w:val="000000"/>
        </w:rPr>
      </w:pPr>
      <w:r w:rsidRPr="004F5FB4">
        <w:rPr>
          <w:i/>
          <w:iCs/>
          <w:color w:val="000000"/>
          <w:u w:val="single"/>
        </w:rPr>
        <w:lastRenderedPageBreak/>
        <w:t>Klinisches Ansprechen</w:t>
      </w:r>
    </w:p>
    <w:p w14:paraId="530F3240" w14:textId="77777777" w:rsidR="00535983" w:rsidRPr="004F5FB4" w:rsidRDefault="00535983" w:rsidP="00E00B6B">
      <w:pPr>
        <w:pStyle w:val="BodyText"/>
        <w:keepNext/>
        <w:widowControl/>
        <w:tabs>
          <w:tab w:val="left" w:pos="90"/>
        </w:tabs>
        <w:kinsoku w:val="0"/>
        <w:overflowPunct w:val="0"/>
        <w:ind w:left="0"/>
        <w:rPr>
          <w:i/>
          <w:iCs/>
          <w:color w:val="000000"/>
        </w:rPr>
      </w:pPr>
    </w:p>
    <w:p w14:paraId="0907A9C7" w14:textId="77777777" w:rsidR="00535983" w:rsidRPr="004F5FB4" w:rsidRDefault="00535983" w:rsidP="00A13AE4">
      <w:pPr>
        <w:pStyle w:val="BodyText"/>
        <w:widowControl/>
        <w:tabs>
          <w:tab w:val="left" w:pos="90"/>
        </w:tabs>
        <w:kinsoku w:val="0"/>
        <w:overflowPunct w:val="0"/>
        <w:ind w:left="0"/>
        <w:rPr>
          <w:color w:val="000000"/>
        </w:rPr>
      </w:pPr>
      <w:r w:rsidRPr="004F5FB4">
        <w:rPr>
          <w:color w:val="000000"/>
        </w:rPr>
        <w:t>Die Ergebnisse aus beiden Studien zeigten eine statistisch signifikante Reduktion des Risikos eines Behandlungsversagens bei Patienten unter Behandlung mit Adalimumab gegenüber Patienten, die Placebo erhielten (siehe Tabelle</w:t>
      </w:r>
      <w:r w:rsidR="000A2977" w:rsidRPr="004F5FB4">
        <w:rPr>
          <w:color w:val="000000"/>
        </w:rPr>
        <w:t> </w:t>
      </w:r>
      <w:r w:rsidR="007004B8">
        <w:rPr>
          <w:color w:val="000000"/>
        </w:rPr>
        <w:t>16</w:t>
      </w:r>
      <w:r w:rsidRPr="004F5FB4">
        <w:rPr>
          <w:color w:val="000000"/>
        </w:rPr>
        <w:t>). Beide Studien zeigten im Vergleich zu Placebo eine frühzeitig einsetzende und anhaltende Auswirkung von Adalimumab auf die Rate an Behandlungsversagen (siehe Abbildung</w:t>
      </w:r>
      <w:r w:rsidR="00A85BE4" w:rsidRPr="004F5FB4">
        <w:rPr>
          <w:color w:val="000000"/>
        </w:rPr>
        <w:t> </w:t>
      </w:r>
      <w:r w:rsidR="007004B8">
        <w:rPr>
          <w:color w:val="000000"/>
        </w:rPr>
        <w:t>1</w:t>
      </w:r>
      <w:r w:rsidRPr="004F5FB4">
        <w:rPr>
          <w:color w:val="000000"/>
        </w:rPr>
        <w:t>).</w:t>
      </w:r>
    </w:p>
    <w:p w14:paraId="0608F9AF" w14:textId="77777777" w:rsidR="00535983" w:rsidRPr="004F5FB4" w:rsidRDefault="00535983" w:rsidP="00387D0C">
      <w:pPr>
        <w:rPr>
          <w:color w:val="000000"/>
        </w:rPr>
      </w:pPr>
    </w:p>
    <w:p w14:paraId="215F5F81" w14:textId="77777777" w:rsidR="00005C27" w:rsidRPr="004F5FB4" w:rsidRDefault="00535983" w:rsidP="00687087">
      <w:pPr>
        <w:rPr>
          <w:b/>
          <w:color w:val="000000"/>
        </w:rPr>
      </w:pPr>
      <w:r w:rsidRPr="004F5FB4">
        <w:rPr>
          <w:b/>
          <w:color w:val="000000"/>
        </w:rPr>
        <w:t xml:space="preserve">Tabelle </w:t>
      </w:r>
      <w:r w:rsidR="007004B8">
        <w:rPr>
          <w:b/>
          <w:color w:val="000000"/>
        </w:rPr>
        <w:t>16</w:t>
      </w:r>
    </w:p>
    <w:p w14:paraId="62DFA2CA" w14:textId="77777777" w:rsidR="00535983" w:rsidRPr="004F5FB4" w:rsidRDefault="00535983" w:rsidP="00687087">
      <w:pPr>
        <w:rPr>
          <w:b/>
          <w:color w:val="000000"/>
        </w:rPr>
      </w:pPr>
      <w:r w:rsidRPr="004F5FB4">
        <w:rPr>
          <w:b/>
          <w:color w:val="000000"/>
        </w:rPr>
        <w:t>Dauer bis zum Behandlungsversagen in den Studien UV I und UV II</w:t>
      </w:r>
    </w:p>
    <w:p w14:paraId="387511CD" w14:textId="77777777" w:rsidR="00535983" w:rsidRPr="004F5FB4" w:rsidRDefault="00535983" w:rsidP="00387D0C">
      <w:pPr>
        <w:rPr>
          <w:color w:val="000000"/>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16"/>
        <w:gridCol w:w="707"/>
        <w:gridCol w:w="1267"/>
        <w:gridCol w:w="1267"/>
        <w:gridCol w:w="1231"/>
        <w:gridCol w:w="1244"/>
        <w:gridCol w:w="1243"/>
      </w:tblGrid>
      <w:tr w:rsidR="00535983" w:rsidRPr="004F5FB4" w14:paraId="4AE05527" w14:textId="77777777" w:rsidTr="002510E7">
        <w:tc>
          <w:tcPr>
            <w:tcW w:w="2178" w:type="dxa"/>
            <w:tcBorders>
              <w:top w:val="single" w:sz="4" w:space="0" w:color="auto"/>
              <w:left w:val="nil"/>
              <w:bottom w:val="single" w:sz="4" w:space="0" w:color="auto"/>
              <w:right w:val="nil"/>
            </w:tcBorders>
            <w:hideMark/>
          </w:tcPr>
          <w:p w14:paraId="7E38A6F5" w14:textId="77777777" w:rsidR="00535983" w:rsidRPr="004F5FB4" w:rsidRDefault="00535983" w:rsidP="00687087">
            <w:pPr>
              <w:jc w:val="center"/>
              <w:rPr>
                <w:b/>
                <w:color w:val="000000"/>
              </w:rPr>
            </w:pPr>
            <w:r w:rsidRPr="004F5FB4">
              <w:rPr>
                <w:b/>
                <w:color w:val="000000"/>
              </w:rPr>
              <w:t>Auswertung</w:t>
            </w:r>
          </w:p>
          <w:p w14:paraId="5E69FBC4" w14:textId="77777777" w:rsidR="00535983" w:rsidRPr="004F5FB4" w:rsidRDefault="00535983" w:rsidP="00687087">
            <w:pPr>
              <w:jc w:val="center"/>
              <w:rPr>
                <w:b/>
                <w:color w:val="000000"/>
              </w:rPr>
            </w:pPr>
            <w:r w:rsidRPr="004F5FB4">
              <w:rPr>
                <w:b/>
                <w:color w:val="000000"/>
              </w:rPr>
              <w:t>Behandlung</w:t>
            </w:r>
          </w:p>
        </w:tc>
        <w:tc>
          <w:tcPr>
            <w:tcW w:w="720" w:type="dxa"/>
            <w:tcBorders>
              <w:top w:val="single" w:sz="4" w:space="0" w:color="auto"/>
              <w:left w:val="nil"/>
              <w:bottom w:val="single" w:sz="4" w:space="0" w:color="auto"/>
              <w:right w:val="nil"/>
            </w:tcBorders>
            <w:hideMark/>
          </w:tcPr>
          <w:p w14:paraId="22EC644C" w14:textId="77777777" w:rsidR="00535983" w:rsidRPr="004F5FB4" w:rsidRDefault="00535983" w:rsidP="00687087">
            <w:pPr>
              <w:jc w:val="center"/>
              <w:rPr>
                <w:b/>
                <w:color w:val="000000"/>
              </w:rPr>
            </w:pPr>
            <w:r w:rsidRPr="004F5FB4">
              <w:rPr>
                <w:b/>
                <w:color w:val="000000"/>
              </w:rPr>
              <w:t>N</w:t>
            </w:r>
          </w:p>
        </w:tc>
        <w:tc>
          <w:tcPr>
            <w:tcW w:w="1281" w:type="dxa"/>
            <w:tcBorders>
              <w:top w:val="single" w:sz="4" w:space="0" w:color="auto"/>
              <w:left w:val="nil"/>
              <w:bottom w:val="single" w:sz="4" w:space="0" w:color="auto"/>
              <w:right w:val="nil"/>
            </w:tcBorders>
            <w:hideMark/>
          </w:tcPr>
          <w:p w14:paraId="61D08622" w14:textId="77777777" w:rsidR="00535983" w:rsidRPr="004F5FB4" w:rsidRDefault="00535983" w:rsidP="00687087">
            <w:pPr>
              <w:jc w:val="center"/>
              <w:rPr>
                <w:b/>
                <w:color w:val="000000"/>
              </w:rPr>
            </w:pPr>
            <w:r w:rsidRPr="004F5FB4">
              <w:rPr>
                <w:b/>
                <w:color w:val="000000"/>
              </w:rPr>
              <w:t>Versagen</w:t>
            </w:r>
          </w:p>
          <w:p w14:paraId="17B6ADFB" w14:textId="77777777" w:rsidR="00535983" w:rsidRPr="004F5FB4" w:rsidRDefault="00535983" w:rsidP="00687087">
            <w:pPr>
              <w:jc w:val="center"/>
              <w:rPr>
                <w:b/>
                <w:color w:val="000000"/>
              </w:rPr>
            </w:pPr>
            <w:r w:rsidRPr="004F5FB4">
              <w:rPr>
                <w:b/>
                <w:color w:val="000000"/>
              </w:rPr>
              <w:t>N (%)</w:t>
            </w:r>
          </w:p>
        </w:tc>
        <w:tc>
          <w:tcPr>
            <w:tcW w:w="1281" w:type="dxa"/>
            <w:tcBorders>
              <w:top w:val="single" w:sz="4" w:space="0" w:color="auto"/>
              <w:left w:val="nil"/>
              <w:bottom w:val="single" w:sz="4" w:space="0" w:color="auto"/>
              <w:right w:val="nil"/>
            </w:tcBorders>
            <w:hideMark/>
          </w:tcPr>
          <w:p w14:paraId="563D31AD" w14:textId="77777777" w:rsidR="00535983" w:rsidRPr="004F5FB4" w:rsidRDefault="00535983" w:rsidP="00687087">
            <w:pPr>
              <w:jc w:val="center"/>
              <w:rPr>
                <w:b/>
                <w:color w:val="000000"/>
              </w:rPr>
            </w:pPr>
            <w:r w:rsidRPr="004F5FB4">
              <w:rPr>
                <w:b/>
                <w:color w:val="000000"/>
              </w:rPr>
              <w:t>Dauer (Median) bis zum Versagen (Monate)</w:t>
            </w:r>
          </w:p>
        </w:tc>
        <w:tc>
          <w:tcPr>
            <w:tcW w:w="1281" w:type="dxa"/>
            <w:tcBorders>
              <w:top w:val="single" w:sz="4" w:space="0" w:color="auto"/>
              <w:left w:val="nil"/>
              <w:bottom w:val="single" w:sz="4" w:space="0" w:color="auto"/>
              <w:right w:val="nil"/>
            </w:tcBorders>
            <w:hideMark/>
          </w:tcPr>
          <w:p w14:paraId="04A79C3C" w14:textId="77777777" w:rsidR="00535983" w:rsidRPr="004F5FB4" w:rsidRDefault="00535983" w:rsidP="00687087">
            <w:pPr>
              <w:jc w:val="center"/>
              <w:rPr>
                <w:b/>
                <w:color w:val="000000"/>
              </w:rPr>
            </w:pPr>
            <w:r w:rsidRPr="004F5FB4">
              <w:rPr>
                <w:b/>
                <w:color w:val="000000"/>
              </w:rPr>
              <w:t>HR</w:t>
            </w:r>
            <w:r w:rsidRPr="004F5FB4">
              <w:rPr>
                <w:b/>
                <w:color w:val="000000"/>
                <w:vertAlign w:val="superscript"/>
              </w:rPr>
              <w:t>a</w:t>
            </w:r>
          </w:p>
        </w:tc>
        <w:tc>
          <w:tcPr>
            <w:tcW w:w="1281" w:type="dxa"/>
            <w:tcBorders>
              <w:top w:val="single" w:sz="4" w:space="0" w:color="auto"/>
              <w:left w:val="nil"/>
              <w:bottom w:val="single" w:sz="4" w:space="0" w:color="auto"/>
              <w:right w:val="nil"/>
            </w:tcBorders>
            <w:hideMark/>
          </w:tcPr>
          <w:p w14:paraId="2D2149DE" w14:textId="77777777" w:rsidR="00535983" w:rsidRPr="004F5FB4" w:rsidRDefault="00535983" w:rsidP="00687087">
            <w:pPr>
              <w:jc w:val="center"/>
              <w:rPr>
                <w:b/>
                <w:color w:val="000000"/>
              </w:rPr>
            </w:pPr>
            <w:r w:rsidRPr="004F5FB4">
              <w:rPr>
                <w:b/>
                <w:color w:val="000000"/>
              </w:rPr>
              <w:t>95 %-KI für HR</w:t>
            </w:r>
            <w:r w:rsidRPr="004F5FB4">
              <w:rPr>
                <w:b/>
                <w:color w:val="000000"/>
                <w:vertAlign w:val="superscript"/>
              </w:rPr>
              <w:t>a</w:t>
            </w:r>
          </w:p>
        </w:tc>
        <w:tc>
          <w:tcPr>
            <w:tcW w:w="1281" w:type="dxa"/>
            <w:tcBorders>
              <w:top w:val="single" w:sz="4" w:space="0" w:color="auto"/>
              <w:left w:val="nil"/>
              <w:bottom w:val="single" w:sz="4" w:space="0" w:color="auto"/>
              <w:right w:val="nil"/>
            </w:tcBorders>
            <w:hideMark/>
          </w:tcPr>
          <w:p w14:paraId="711B9998" w14:textId="77777777" w:rsidR="00535983" w:rsidRPr="004F5FB4" w:rsidRDefault="00535983" w:rsidP="00687087">
            <w:pPr>
              <w:jc w:val="center"/>
              <w:rPr>
                <w:b/>
                <w:color w:val="000000"/>
              </w:rPr>
            </w:pPr>
            <w:r w:rsidRPr="004F5FB4">
              <w:rPr>
                <w:b/>
                <w:color w:val="000000"/>
              </w:rPr>
              <w:t>p-Wert</w:t>
            </w:r>
            <w:r w:rsidRPr="004F5FB4">
              <w:rPr>
                <w:b/>
                <w:color w:val="000000"/>
                <w:vertAlign w:val="superscript"/>
              </w:rPr>
              <w:t>b</w:t>
            </w:r>
          </w:p>
        </w:tc>
      </w:tr>
      <w:tr w:rsidR="00535983" w:rsidRPr="004F5FB4" w14:paraId="0C247A05" w14:textId="77777777" w:rsidTr="002510E7">
        <w:tc>
          <w:tcPr>
            <w:tcW w:w="9303" w:type="dxa"/>
            <w:gridSpan w:val="7"/>
            <w:tcBorders>
              <w:top w:val="single" w:sz="4" w:space="0" w:color="auto"/>
              <w:left w:val="nil"/>
              <w:bottom w:val="nil"/>
              <w:right w:val="nil"/>
            </w:tcBorders>
            <w:hideMark/>
          </w:tcPr>
          <w:p w14:paraId="1B2F999A" w14:textId="77777777" w:rsidR="00535983" w:rsidRPr="004F5FB4" w:rsidRDefault="00535983" w:rsidP="00687087">
            <w:pPr>
              <w:jc w:val="center"/>
              <w:rPr>
                <w:b/>
                <w:color w:val="000000"/>
              </w:rPr>
            </w:pPr>
            <w:r w:rsidRPr="004F5FB4">
              <w:rPr>
                <w:b/>
                <w:color w:val="000000"/>
              </w:rPr>
              <w:t>Dauer bis zum Behandlungsversagen in oder nach Woche</w:t>
            </w:r>
            <w:r w:rsidR="000A2977" w:rsidRPr="004F5FB4">
              <w:rPr>
                <w:b/>
                <w:color w:val="000000"/>
              </w:rPr>
              <w:t> </w:t>
            </w:r>
            <w:r w:rsidRPr="004F5FB4">
              <w:rPr>
                <w:b/>
                <w:color w:val="000000"/>
              </w:rPr>
              <w:t>6 in der Studie UV I</w:t>
            </w:r>
          </w:p>
        </w:tc>
      </w:tr>
      <w:tr w:rsidR="00535983" w:rsidRPr="004F5FB4" w14:paraId="6DD63C7B" w14:textId="77777777" w:rsidTr="002510E7">
        <w:tc>
          <w:tcPr>
            <w:tcW w:w="9303" w:type="dxa"/>
            <w:gridSpan w:val="7"/>
            <w:tcBorders>
              <w:top w:val="nil"/>
              <w:left w:val="nil"/>
              <w:bottom w:val="nil"/>
              <w:right w:val="nil"/>
            </w:tcBorders>
            <w:hideMark/>
          </w:tcPr>
          <w:p w14:paraId="6E69D9D2" w14:textId="77777777" w:rsidR="00535983" w:rsidRPr="004F5FB4" w:rsidRDefault="00535983" w:rsidP="00687087">
            <w:pPr>
              <w:jc w:val="center"/>
              <w:rPr>
                <w:color w:val="000000"/>
              </w:rPr>
            </w:pPr>
            <w:r w:rsidRPr="004F5FB4">
              <w:rPr>
                <w:color w:val="000000"/>
              </w:rPr>
              <w:t>Primäre Auswertung (ITT-Population)</w:t>
            </w:r>
          </w:p>
        </w:tc>
      </w:tr>
      <w:tr w:rsidR="00535983" w:rsidRPr="004F5FB4" w14:paraId="66B6CCB6" w14:textId="77777777" w:rsidTr="002510E7">
        <w:tc>
          <w:tcPr>
            <w:tcW w:w="2178" w:type="dxa"/>
            <w:tcBorders>
              <w:top w:val="nil"/>
              <w:left w:val="nil"/>
              <w:bottom w:val="nil"/>
              <w:right w:val="nil"/>
            </w:tcBorders>
            <w:hideMark/>
          </w:tcPr>
          <w:p w14:paraId="4EDB29CD" w14:textId="77777777" w:rsidR="00535983" w:rsidRPr="004F5FB4" w:rsidRDefault="00535983" w:rsidP="00687087">
            <w:pPr>
              <w:jc w:val="center"/>
              <w:rPr>
                <w:color w:val="000000"/>
              </w:rPr>
            </w:pPr>
            <w:r w:rsidRPr="004F5FB4">
              <w:rPr>
                <w:color w:val="000000"/>
              </w:rPr>
              <w:t>Placebo</w:t>
            </w:r>
          </w:p>
        </w:tc>
        <w:tc>
          <w:tcPr>
            <w:tcW w:w="720" w:type="dxa"/>
            <w:tcBorders>
              <w:top w:val="nil"/>
              <w:left w:val="nil"/>
              <w:bottom w:val="nil"/>
              <w:right w:val="nil"/>
            </w:tcBorders>
            <w:hideMark/>
          </w:tcPr>
          <w:p w14:paraId="48DF85B3" w14:textId="77777777" w:rsidR="00535983" w:rsidRPr="004F5FB4" w:rsidRDefault="00535983" w:rsidP="00687087">
            <w:pPr>
              <w:jc w:val="center"/>
              <w:rPr>
                <w:color w:val="000000"/>
              </w:rPr>
            </w:pPr>
            <w:r w:rsidRPr="004F5FB4">
              <w:rPr>
                <w:color w:val="000000"/>
              </w:rPr>
              <w:t>107</w:t>
            </w:r>
          </w:p>
        </w:tc>
        <w:tc>
          <w:tcPr>
            <w:tcW w:w="1281" w:type="dxa"/>
            <w:tcBorders>
              <w:top w:val="nil"/>
              <w:left w:val="nil"/>
              <w:bottom w:val="nil"/>
              <w:right w:val="nil"/>
            </w:tcBorders>
            <w:hideMark/>
          </w:tcPr>
          <w:p w14:paraId="4218F0E7" w14:textId="77777777" w:rsidR="00535983" w:rsidRPr="004F5FB4" w:rsidRDefault="00535983" w:rsidP="00687087">
            <w:pPr>
              <w:jc w:val="center"/>
              <w:rPr>
                <w:color w:val="000000"/>
              </w:rPr>
            </w:pPr>
            <w:r w:rsidRPr="004F5FB4">
              <w:rPr>
                <w:color w:val="000000"/>
              </w:rPr>
              <w:t>84 (78,5)</w:t>
            </w:r>
          </w:p>
        </w:tc>
        <w:tc>
          <w:tcPr>
            <w:tcW w:w="1281" w:type="dxa"/>
            <w:tcBorders>
              <w:top w:val="nil"/>
              <w:left w:val="nil"/>
              <w:bottom w:val="nil"/>
              <w:right w:val="nil"/>
            </w:tcBorders>
            <w:hideMark/>
          </w:tcPr>
          <w:p w14:paraId="51DEB5B1" w14:textId="77777777" w:rsidR="00535983" w:rsidRPr="004F5FB4" w:rsidRDefault="00535983" w:rsidP="00687087">
            <w:pPr>
              <w:jc w:val="center"/>
              <w:rPr>
                <w:color w:val="000000"/>
              </w:rPr>
            </w:pPr>
            <w:r w:rsidRPr="004F5FB4">
              <w:rPr>
                <w:color w:val="000000"/>
              </w:rPr>
              <w:t>3,0</w:t>
            </w:r>
          </w:p>
        </w:tc>
        <w:tc>
          <w:tcPr>
            <w:tcW w:w="1281" w:type="dxa"/>
            <w:tcBorders>
              <w:top w:val="nil"/>
              <w:left w:val="nil"/>
              <w:bottom w:val="nil"/>
              <w:right w:val="nil"/>
            </w:tcBorders>
            <w:hideMark/>
          </w:tcPr>
          <w:p w14:paraId="67ED3717" w14:textId="77777777" w:rsidR="00535983" w:rsidRPr="004F5FB4" w:rsidRDefault="00535983" w:rsidP="00687087">
            <w:pPr>
              <w:jc w:val="cente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12676DDC" w14:textId="77777777" w:rsidR="00535983" w:rsidRPr="004F5FB4" w:rsidRDefault="00535983" w:rsidP="00687087">
            <w:pPr>
              <w:jc w:val="cente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24EE581B" w14:textId="77777777" w:rsidR="00535983" w:rsidRPr="004F5FB4" w:rsidRDefault="00535983" w:rsidP="00687087">
            <w:pPr>
              <w:jc w:val="center"/>
              <w:rPr>
                <w:color w:val="000000"/>
              </w:rPr>
            </w:pPr>
            <w:r w:rsidRPr="004F5FB4">
              <w:rPr>
                <w:color w:val="000000"/>
              </w:rPr>
              <w:noBreakHyphen/>
            </w:r>
            <w:r w:rsidRPr="004F5FB4">
              <w:rPr>
                <w:color w:val="000000"/>
              </w:rPr>
              <w:noBreakHyphen/>
            </w:r>
          </w:p>
        </w:tc>
      </w:tr>
      <w:tr w:rsidR="00535983" w:rsidRPr="004F5FB4" w14:paraId="78C35B83" w14:textId="77777777" w:rsidTr="002510E7">
        <w:tc>
          <w:tcPr>
            <w:tcW w:w="2178" w:type="dxa"/>
            <w:tcBorders>
              <w:top w:val="nil"/>
              <w:left w:val="nil"/>
              <w:bottom w:val="single" w:sz="4" w:space="0" w:color="auto"/>
              <w:right w:val="nil"/>
            </w:tcBorders>
            <w:hideMark/>
          </w:tcPr>
          <w:p w14:paraId="0DD85835" w14:textId="77777777" w:rsidR="00535983" w:rsidRPr="004F5FB4" w:rsidRDefault="00535983" w:rsidP="00687087">
            <w:pPr>
              <w:jc w:val="center"/>
              <w:rPr>
                <w:color w:val="000000"/>
              </w:rPr>
            </w:pPr>
            <w:r w:rsidRPr="004F5FB4">
              <w:rPr>
                <w:color w:val="000000"/>
              </w:rPr>
              <w:t>Adalimumab</w:t>
            </w:r>
          </w:p>
        </w:tc>
        <w:tc>
          <w:tcPr>
            <w:tcW w:w="720" w:type="dxa"/>
            <w:tcBorders>
              <w:top w:val="nil"/>
              <w:left w:val="nil"/>
              <w:bottom w:val="single" w:sz="4" w:space="0" w:color="auto"/>
              <w:right w:val="nil"/>
            </w:tcBorders>
            <w:hideMark/>
          </w:tcPr>
          <w:p w14:paraId="3FBCA6EC" w14:textId="77777777" w:rsidR="00535983" w:rsidRPr="004F5FB4" w:rsidRDefault="00535983" w:rsidP="00687087">
            <w:pPr>
              <w:jc w:val="center"/>
              <w:rPr>
                <w:color w:val="000000"/>
              </w:rPr>
            </w:pPr>
            <w:r w:rsidRPr="004F5FB4">
              <w:rPr>
                <w:color w:val="000000"/>
              </w:rPr>
              <w:t>110</w:t>
            </w:r>
          </w:p>
        </w:tc>
        <w:tc>
          <w:tcPr>
            <w:tcW w:w="1281" w:type="dxa"/>
            <w:tcBorders>
              <w:top w:val="nil"/>
              <w:left w:val="nil"/>
              <w:bottom w:val="single" w:sz="4" w:space="0" w:color="auto"/>
              <w:right w:val="nil"/>
            </w:tcBorders>
            <w:hideMark/>
          </w:tcPr>
          <w:p w14:paraId="435C7204" w14:textId="77777777" w:rsidR="00535983" w:rsidRPr="004F5FB4" w:rsidRDefault="00535983" w:rsidP="00687087">
            <w:pPr>
              <w:jc w:val="center"/>
              <w:rPr>
                <w:color w:val="000000"/>
              </w:rPr>
            </w:pPr>
            <w:r w:rsidRPr="004F5FB4">
              <w:rPr>
                <w:color w:val="000000"/>
              </w:rPr>
              <w:t>60 (54,5)</w:t>
            </w:r>
          </w:p>
        </w:tc>
        <w:tc>
          <w:tcPr>
            <w:tcW w:w="1281" w:type="dxa"/>
            <w:tcBorders>
              <w:top w:val="nil"/>
              <w:left w:val="nil"/>
              <w:bottom w:val="single" w:sz="4" w:space="0" w:color="auto"/>
              <w:right w:val="nil"/>
            </w:tcBorders>
            <w:hideMark/>
          </w:tcPr>
          <w:p w14:paraId="4C8EEBD4" w14:textId="77777777" w:rsidR="00535983" w:rsidRPr="004F5FB4" w:rsidRDefault="00535983" w:rsidP="00687087">
            <w:pPr>
              <w:jc w:val="center"/>
              <w:rPr>
                <w:color w:val="000000"/>
              </w:rPr>
            </w:pPr>
            <w:r w:rsidRPr="004F5FB4">
              <w:rPr>
                <w:color w:val="000000"/>
              </w:rPr>
              <w:t>5,6</w:t>
            </w:r>
          </w:p>
        </w:tc>
        <w:tc>
          <w:tcPr>
            <w:tcW w:w="1281" w:type="dxa"/>
            <w:tcBorders>
              <w:top w:val="nil"/>
              <w:left w:val="nil"/>
              <w:bottom w:val="single" w:sz="4" w:space="0" w:color="auto"/>
              <w:right w:val="nil"/>
            </w:tcBorders>
            <w:hideMark/>
          </w:tcPr>
          <w:p w14:paraId="21F9FED5" w14:textId="77777777" w:rsidR="00535983" w:rsidRPr="004F5FB4" w:rsidRDefault="00535983" w:rsidP="00687087">
            <w:pPr>
              <w:jc w:val="center"/>
              <w:rPr>
                <w:color w:val="000000"/>
              </w:rPr>
            </w:pPr>
            <w:r w:rsidRPr="004F5FB4">
              <w:rPr>
                <w:color w:val="000000"/>
              </w:rPr>
              <w:t>0,50</w:t>
            </w:r>
          </w:p>
        </w:tc>
        <w:tc>
          <w:tcPr>
            <w:tcW w:w="1281" w:type="dxa"/>
            <w:tcBorders>
              <w:top w:val="nil"/>
              <w:left w:val="nil"/>
              <w:bottom w:val="single" w:sz="4" w:space="0" w:color="auto"/>
              <w:right w:val="nil"/>
            </w:tcBorders>
            <w:hideMark/>
          </w:tcPr>
          <w:p w14:paraId="0EB1EA8D" w14:textId="77777777" w:rsidR="00535983" w:rsidRPr="004F5FB4" w:rsidRDefault="00535983" w:rsidP="00687087">
            <w:pPr>
              <w:jc w:val="center"/>
              <w:rPr>
                <w:color w:val="000000"/>
              </w:rPr>
            </w:pPr>
            <w:r w:rsidRPr="004F5FB4">
              <w:rPr>
                <w:color w:val="000000"/>
              </w:rPr>
              <w:t>0,36; 0,70</w:t>
            </w:r>
          </w:p>
        </w:tc>
        <w:tc>
          <w:tcPr>
            <w:tcW w:w="1281" w:type="dxa"/>
            <w:tcBorders>
              <w:top w:val="nil"/>
              <w:left w:val="nil"/>
              <w:bottom w:val="single" w:sz="4" w:space="0" w:color="auto"/>
              <w:right w:val="nil"/>
            </w:tcBorders>
            <w:hideMark/>
          </w:tcPr>
          <w:p w14:paraId="5A7FED66" w14:textId="77777777" w:rsidR="00535983" w:rsidRPr="004F5FB4" w:rsidRDefault="00535983" w:rsidP="00687087">
            <w:pPr>
              <w:jc w:val="center"/>
              <w:rPr>
                <w:color w:val="000000"/>
              </w:rPr>
            </w:pPr>
            <w:r w:rsidRPr="004F5FB4">
              <w:rPr>
                <w:color w:val="000000"/>
              </w:rPr>
              <w:t>&lt; 0,001</w:t>
            </w:r>
          </w:p>
        </w:tc>
      </w:tr>
      <w:tr w:rsidR="00535983" w:rsidRPr="004F5FB4" w14:paraId="3B443289" w14:textId="77777777" w:rsidTr="002510E7">
        <w:tc>
          <w:tcPr>
            <w:tcW w:w="9303" w:type="dxa"/>
            <w:gridSpan w:val="7"/>
            <w:tcBorders>
              <w:top w:val="single" w:sz="4" w:space="0" w:color="auto"/>
              <w:left w:val="nil"/>
              <w:bottom w:val="nil"/>
              <w:right w:val="nil"/>
            </w:tcBorders>
            <w:hideMark/>
          </w:tcPr>
          <w:p w14:paraId="799A9B49" w14:textId="77777777" w:rsidR="00535983" w:rsidRPr="004F5FB4" w:rsidRDefault="00535983" w:rsidP="00687087">
            <w:pPr>
              <w:jc w:val="center"/>
              <w:rPr>
                <w:b/>
                <w:color w:val="000000"/>
              </w:rPr>
            </w:pPr>
            <w:r w:rsidRPr="004F5FB4">
              <w:rPr>
                <w:b/>
                <w:color w:val="000000"/>
              </w:rPr>
              <w:t>Dauer bis zum Behandlungsversagen in oder nach Woche</w:t>
            </w:r>
            <w:r w:rsidR="000A2977" w:rsidRPr="004F5FB4">
              <w:rPr>
                <w:b/>
                <w:color w:val="000000"/>
              </w:rPr>
              <w:t> </w:t>
            </w:r>
            <w:r w:rsidRPr="004F5FB4">
              <w:rPr>
                <w:b/>
                <w:color w:val="000000"/>
              </w:rPr>
              <w:t>2 in der Studie UV II</w:t>
            </w:r>
          </w:p>
        </w:tc>
      </w:tr>
      <w:tr w:rsidR="00535983" w:rsidRPr="004F5FB4" w14:paraId="19173D3F" w14:textId="77777777" w:rsidTr="002510E7">
        <w:tc>
          <w:tcPr>
            <w:tcW w:w="9303" w:type="dxa"/>
            <w:gridSpan w:val="7"/>
            <w:tcBorders>
              <w:top w:val="nil"/>
              <w:left w:val="nil"/>
              <w:bottom w:val="nil"/>
              <w:right w:val="nil"/>
            </w:tcBorders>
            <w:hideMark/>
          </w:tcPr>
          <w:p w14:paraId="425384B7" w14:textId="77777777" w:rsidR="00535983" w:rsidRPr="004F5FB4" w:rsidRDefault="00535983" w:rsidP="00687087">
            <w:pPr>
              <w:jc w:val="center"/>
              <w:rPr>
                <w:color w:val="000000"/>
              </w:rPr>
            </w:pPr>
            <w:r w:rsidRPr="004F5FB4">
              <w:rPr>
                <w:color w:val="000000"/>
              </w:rPr>
              <w:t>Primäre Auswertung (ITT-Population)</w:t>
            </w:r>
          </w:p>
        </w:tc>
      </w:tr>
      <w:tr w:rsidR="00535983" w:rsidRPr="004F5FB4" w14:paraId="3984A41C" w14:textId="77777777" w:rsidTr="002510E7">
        <w:tc>
          <w:tcPr>
            <w:tcW w:w="2178" w:type="dxa"/>
            <w:tcBorders>
              <w:top w:val="nil"/>
              <w:left w:val="nil"/>
              <w:bottom w:val="nil"/>
              <w:right w:val="nil"/>
            </w:tcBorders>
            <w:hideMark/>
          </w:tcPr>
          <w:p w14:paraId="2B95486B" w14:textId="77777777" w:rsidR="00535983" w:rsidRPr="004F5FB4" w:rsidRDefault="00535983" w:rsidP="00687087">
            <w:pPr>
              <w:jc w:val="center"/>
              <w:rPr>
                <w:color w:val="000000"/>
              </w:rPr>
            </w:pPr>
            <w:r w:rsidRPr="004F5FB4">
              <w:rPr>
                <w:color w:val="000000"/>
              </w:rPr>
              <w:t>Placebo</w:t>
            </w:r>
          </w:p>
        </w:tc>
        <w:tc>
          <w:tcPr>
            <w:tcW w:w="720" w:type="dxa"/>
            <w:tcBorders>
              <w:top w:val="nil"/>
              <w:left w:val="nil"/>
              <w:bottom w:val="nil"/>
              <w:right w:val="nil"/>
            </w:tcBorders>
            <w:hideMark/>
          </w:tcPr>
          <w:p w14:paraId="190802FF" w14:textId="77777777" w:rsidR="00535983" w:rsidRPr="004F5FB4" w:rsidRDefault="00535983" w:rsidP="00687087">
            <w:pPr>
              <w:jc w:val="center"/>
              <w:rPr>
                <w:color w:val="000000"/>
              </w:rPr>
            </w:pPr>
            <w:r w:rsidRPr="004F5FB4">
              <w:rPr>
                <w:color w:val="000000"/>
              </w:rPr>
              <w:t>111</w:t>
            </w:r>
          </w:p>
        </w:tc>
        <w:tc>
          <w:tcPr>
            <w:tcW w:w="1281" w:type="dxa"/>
            <w:tcBorders>
              <w:top w:val="nil"/>
              <w:left w:val="nil"/>
              <w:bottom w:val="nil"/>
              <w:right w:val="nil"/>
            </w:tcBorders>
            <w:hideMark/>
          </w:tcPr>
          <w:p w14:paraId="6367A71C" w14:textId="77777777" w:rsidR="00535983" w:rsidRPr="004F5FB4" w:rsidRDefault="00535983" w:rsidP="00687087">
            <w:pPr>
              <w:jc w:val="center"/>
              <w:rPr>
                <w:color w:val="000000"/>
              </w:rPr>
            </w:pPr>
            <w:r w:rsidRPr="004F5FB4">
              <w:rPr>
                <w:color w:val="000000"/>
              </w:rPr>
              <w:t>61 (55,0)</w:t>
            </w:r>
          </w:p>
        </w:tc>
        <w:tc>
          <w:tcPr>
            <w:tcW w:w="1281" w:type="dxa"/>
            <w:tcBorders>
              <w:top w:val="nil"/>
              <w:left w:val="nil"/>
              <w:bottom w:val="nil"/>
              <w:right w:val="nil"/>
            </w:tcBorders>
            <w:hideMark/>
          </w:tcPr>
          <w:p w14:paraId="1A82B909" w14:textId="77777777" w:rsidR="00535983" w:rsidRPr="004F5FB4" w:rsidRDefault="00535983" w:rsidP="00687087">
            <w:pPr>
              <w:jc w:val="center"/>
              <w:rPr>
                <w:color w:val="000000"/>
              </w:rPr>
            </w:pPr>
            <w:r w:rsidRPr="004F5FB4">
              <w:rPr>
                <w:color w:val="000000"/>
              </w:rPr>
              <w:t>8,3</w:t>
            </w:r>
          </w:p>
        </w:tc>
        <w:tc>
          <w:tcPr>
            <w:tcW w:w="1281" w:type="dxa"/>
            <w:tcBorders>
              <w:top w:val="nil"/>
              <w:left w:val="nil"/>
              <w:bottom w:val="nil"/>
              <w:right w:val="nil"/>
            </w:tcBorders>
            <w:hideMark/>
          </w:tcPr>
          <w:p w14:paraId="24015C46" w14:textId="77777777" w:rsidR="00535983" w:rsidRPr="004F5FB4" w:rsidRDefault="00535983" w:rsidP="00687087">
            <w:pPr>
              <w:jc w:val="cente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633DA046" w14:textId="77777777" w:rsidR="00535983" w:rsidRPr="004F5FB4" w:rsidRDefault="00535983" w:rsidP="00687087">
            <w:pPr>
              <w:jc w:val="cente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4E3A9C22" w14:textId="77777777" w:rsidR="00535983" w:rsidRPr="004F5FB4" w:rsidRDefault="00535983" w:rsidP="00687087">
            <w:pPr>
              <w:jc w:val="center"/>
              <w:rPr>
                <w:color w:val="000000"/>
              </w:rPr>
            </w:pPr>
            <w:r w:rsidRPr="004F5FB4">
              <w:rPr>
                <w:color w:val="000000"/>
              </w:rPr>
              <w:noBreakHyphen/>
            </w:r>
            <w:r w:rsidRPr="004F5FB4">
              <w:rPr>
                <w:color w:val="000000"/>
              </w:rPr>
              <w:noBreakHyphen/>
            </w:r>
          </w:p>
        </w:tc>
      </w:tr>
      <w:tr w:rsidR="00535983" w:rsidRPr="004F5FB4" w14:paraId="55CD2E6B" w14:textId="77777777" w:rsidTr="00CC0C3D">
        <w:tc>
          <w:tcPr>
            <w:tcW w:w="2178" w:type="dxa"/>
            <w:tcBorders>
              <w:top w:val="nil"/>
              <w:left w:val="nil"/>
              <w:bottom w:val="single" w:sz="4" w:space="0" w:color="auto"/>
              <w:right w:val="nil"/>
            </w:tcBorders>
            <w:hideMark/>
          </w:tcPr>
          <w:p w14:paraId="3098A542" w14:textId="77777777" w:rsidR="00535983" w:rsidRPr="004F5FB4" w:rsidRDefault="00535983" w:rsidP="00687087">
            <w:pPr>
              <w:jc w:val="center"/>
              <w:rPr>
                <w:color w:val="000000"/>
              </w:rPr>
            </w:pPr>
            <w:r w:rsidRPr="004F5FB4">
              <w:rPr>
                <w:color w:val="000000"/>
              </w:rPr>
              <w:t>Adalimumab</w:t>
            </w:r>
          </w:p>
        </w:tc>
        <w:tc>
          <w:tcPr>
            <w:tcW w:w="720" w:type="dxa"/>
            <w:tcBorders>
              <w:top w:val="nil"/>
              <w:left w:val="nil"/>
              <w:bottom w:val="single" w:sz="4" w:space="0" w:color="auto"/>
              <w:right w:val="nil"/>
            </w:tcBorders>
            <w:hideMark/>
          </w:tcPr>
          <w:p w14:paraId="6B089BB5" w14:textId="77777777" w:rsidR="00535983" w:rsidRPr="004F5FB4" w:rsidRDefault="00535983" w:rsidP="00687087">
            <w:pPr>
              <w:jc w:val="center"/>
              <w:rPr>
                <w:color w:val="000000"/>
              </w:rPr>
            </w:pPr>
            <w:r w:rsidRPr="004F5FB4">
              <w:rPr>
                <w:color w:val="000000"/>
              </w:rPr>
              <w:t>115</w:t>
            </w:r>
          </w:p>
        </w:tc>
        <w:tc>
          <w:tcPr>
            <w:tcW w:w="1281" w:type="dxa"/>
            <w:tcBorders>
              <w:top w:val="nil"/>
              <w:left w:val="nil"/>
              <w:bottom w:val="single" w:sz="4" w:space="0" w:color="auto"/>
              <w:right w:val="nil"/>
            </w:tcBorders>
            <w:hideMark/>
          </w:tcPr>
          <w:p w14:paraId="444A5A93" w14:textId="77777777" w:rsidR="00535983" w:rsidRPr="004F5FB4" w:rsidRDefault="00535983" w:rsidP="00687087">
            <w:pPr>
              <w:jc w:val="center"/>
              <w:rPr>
                <w:color w:val="000000"/>
              </w:rPr>
            </w:pPr>
            <w:r w:rsidRPr="004F5FB4">
              <w:rPr>
                <w:color w:val="000000"/>
              </w:rPr>
              <w:t>45 (39,1)</w:t>
            </w:r>
          </w:p>
        </w:tc>
        <w:tc>
          <w:tcPr>
            <w:tcW w:w="1281" w:type="dxa"/>
            <w:tcBorders>
              <w:top w:val="nil"/>
              <w:left w:val="nil"/>
              <w:bottom w:val="single" w:sz="4" w:space="0" w:color="auto"/>
              <w:right w:val="nil"/>
            </w:tcBorders>
            <w:hideMark/>
          </w:tcPr>
          <w:p w14:paraId="7381A1ED" w14:textId="77777777" w:rsidR="00535983" w:rsidRPr="004F5FB4" w:rsidRDefault="00535983" w:rsidP="00687087">
            <w:pPr>
              <w:jc w:val="center"/>
              <w:rPr>
                <w:color w:val="000000"/>
              </w:rPr>
            </w:pPr>
            <w:r w:rsidRPr="004F5FB4">
              <w:rPr>
                <w:color w:val="000000"/>
              </w:rPr>
              <w:t>n. b.</w:t>
            </w:r>
            <w:r w:rsidRPr="004F5FB4">
              <w:rPr>
                <w:color w:val="000000"/>
                <w:vertAlign w:val="superscript"/>
              </w:rPr>
              <w:t>c</w:t>
            </w:r>
          </w:p>
        </w:tc>
        <w:tc>
          <w:tcPr>
            <w:tcW w:w="1281" w:type="dxa"/>
            <w:tcBorders>
              <w:top w:val="nil"/>
              <w:left w:val="nil"/>
              <w:bottom w:val="single" w:sz="4" w:space="0" w:color="auto"/>
              <w:right w:val="nil"/>
            </w:tcBorders>
            <w:hideMark/>
          </w:tcPr>
          <w:p w14:paraId="4F2DE9D9" w14:textId="77777777" w:rsidR="00535983" w:rsidRPr="004F5FB4" w:rsidRDefault="00535983" w:rsidP="00687087">
            <w:pPr>
              <w:jc w:val="center"/>
              <w:rPr>
                <w:color w:val="000000"/>
              </w:rPr>
            </w:pPr>
            <w:r w:rsidRPr="004F5FB4">
              <w:rPr>
                <w:color w:val="000000"/>
              </w:rPr>
              <w:t>0,57</w:t>
            </w:r>
          </w:p>
        </w:tc>
        <w:tc>
          <w:tcPr>
            <w:tcW w:w="1281" w:type="dxa"/>
            <w:tcBorders>
              <w:top w:val="nil"/>
              <w:left w:val="nil"/>
              <w:bottom w:val="single" w:sz="4" w:space="0" w:color="auto"/>
              <w:right w:val="nil"/>
            </w:tcBorders>
            <w:hideMark/>
          </w:tcPr>
          <w:p w14:paraId="2F710146" w14:textId="77777777" w:rsidR="00535983" w:rsidRPr="004F5FB4" w:rsidRDefault="00535983" w:rsidP="00687087">
            <w:pPr>
              <w:jc w:val="center"/>
              <w:rPr>
                <w:color w:val="000000"/>
              </w:rPr>
            </w:pPr>
            <w:r w:rsidRPr="004F5FB4">
              <w:rPr>
                <w:color w:val="000000"/>
              </w:rPr>
              <w:t>0,39; 0,84</w:t>
            </w:r>
          </w:p>
        </w:tc>
        <w:tc>
          <w:tcPr>
            <w:tcW w:w="1281" w:type="dxa"/>
            <w:tcBorders>
              <w:top w:val="nil"/>
              <w:left w:val="nil"/>
              <w:bottom w:val="single" w:sz="4" w:space="0" w:color="auto"/>
              <w:right w:val="nil"/>
            </w:tcBorders>
            <w:hideMark/>
          </w:tcPr>
          <w:p w14:paraId="1D4AB34C" w14:textId="77777777" w:rsidR="00535983" w:rsidRPr="004F5FB4" w:rsidRDefault="00535983" w:rsidP="00687087">
            <w:pPr>
              <w:jc w:val="center"/>
              <w:rPr>
                <w:color w:val="000000"/>
              </w:rPr>
            </w:pPr>
            <w:r w:rsidRPr="004F5FB4">
              <w:rPr>
                <w:color w:val="000000"/>
              </w:rPr>
              <w:t>0,004</w:t>
            </w:r>
          </w:p>
        </w:tc>
      </w:tr>
      <w:tr w:rsidR="00CC0C3D" w:rsidRPr="004F5FB4" w14:paraId="1E67B0B8" w14:textId="77777777" w:rsidTr="00CC0C3D">
        <w:tc>
          <w:tcPr>
            <w:tcW w:w="9303" w:type="dxa"/>
            <w:gridSpan w:val="7"/>
            <w:tcBorders>
              <w:top w:val="single" w:sz="4" w:space="0" w:color="auto"/>
              <w:left w:val="nil"/>
              <w:bottom w:val="nil"/>
              <w:right w:val="nil"/>
            </w:tcBorders>
          </w:tcPr>
          <w:p w14:paraId="3B7AA779" w14:textId="77777777" w:rsidR="00CC0C3D" w:rsidRPr="00206AEA" w:rsidRDefault="00CC0C3D" w:rsidP="00CC0C3D">
            <w:pPr>
              <w:rPr>
                <w:color w:val="000000"/>
                <w:sz w:val="20"/>
              </w:rPr>
            </w:pPr>
            <w:r w:rsidRPr="00206AEA">
              <w:rPr>
                <w:color w:val="000000"/>
                <w:sz w:val="20"/>
              </w:rPr>
              <w:t>Hinweis: Ein Behandlungsversagen in oder nach Woche</w:t>
            </w:r>
            <w:r w:rsidR="00D17FA4" w:rsidRPr="00206AEA">
              <w:rPr>
                <w:color w:val="000000"/>
                <w:sz w:val="20"/>
              </w:rPr>
              <w:t> </w:t>
            </w:r>
            <w:r w:rsidRPr="00206AEA">
              <w:rPr>
                <w:color w:val="000000"/>
                <w:sz w:val="20"/>
              </w:rPr>
              <w:t>6 (Studie UV I) bzw. in oder nach Woche</w:t>
            </w:r>
            <w:r w:rsidR="00D17FA4" w:rsidRPr="00206AEA">
              <w:rPr>
                <w:color w:val="000000"/>
                <w:sz w:val="20"/>
              </w:rPr>
              <w:t> </w:t>
            </w:r>
            <w:r w:rsidRPr="00206AEA">
              <w:rPr>
                <w:color w:val="000000"/>
                <w:sz w:val="20"/>
              </w:rPr>
              <w:t>2 (Studie UV</w:t>
            </w:r>
            <w:r w:rsidR="00974476" w:rsidRPr="00206AEA">
              <w:rPr>
                <w:color w:val="000000"/>
                <w:sz w:val="20"/>
              </w:rPr>
              <w:t> </w:t>
            </w:r>
            <w:r w:rsidRPr="00206AEA">
              <w:rPr>
                <w:color w:val="000000"/>
                <w:sz w:val="20"/>
              </w:rPr>
              <w:t xml:space="preserve">II) wurde als Ereignis gewertet. Ein Ausscheiden aus anderen Gründen als Behandlungsversagen wurde zum Zeitpunkt des Ausscheidens zensiert. </w:t>
            </w:r>
          </w:p>
          <w:p w14:paraId="6B77964F" w14:textId="77777777" w:rsidR="00CC0C3D" w:rsidRPr="00206AEA" w:rsidRDefault="00CC0C3D" w:rsidP="00CC0C3D">
            <w:pPr>
              <w:ind w:left="270" w:hanging="270"/>
              <w:rPr>
                <w:color w:val="000000"/>
                <w:sz w:val="20"/>
              </w:rPr>
            </w:pPr>
            <w:r w:rsidRPr="00206AEA">
              <w:rPr>
                <w:color w:val="000000"/>
                <w:sz w:val="20"/>
                <w:vertAlign w:val="superscript"/>
              </w:rPr>
              <w:t>a</w:t>
            </w:r>
            <w:r w:rsidRPr="00206AEA">
              <w:rPr>
                <w:color w:val="000000"/>
                <w:sz w:val="20"/>
              </w:rPr>
              <w:tab/>
              <w:t xml:space="preserve">HR von Adalimumab gegenüber Placebo der Cox-Regressionsanalyse mit Behandlung als Faktor </w:t>
            </w:r>
          </w:p>
          <w:p w14:paraId="65CE4E3B" w14:textId="77777777" w:rsidR="00CC0C3D" w:rsidRPr="00206AEA" w:rsidRDefault="00CC0C3D" w:rsidP="00CC0C3D">
            <w:pPr>
              <w:ind w:left="270" w:hanging="270"/>
              <w:rPr>
                <w:color w:val="000000"/>
                <w:sz w:val="20"/>
              </w:rPr>
            </w:pPr>
            <w:r w:rsidRPr="00206AEA">
              <w:rPr>
                <w:color w:val="000000"/>
                <w:sz w:val="20"/>
                <w:vertAlign w:val="superscript"/>
              </w:rPr>
              <w:t>b</w:t>
            </w:r>
            <w:r w:rsidRPr="00206AEA">
              <w:rPr>
                <w:color w:val="000000"/>
                <w:sz w:val="20"/>
              </w:rPr>
              <w:tab/>
              <w:t>2</w:t>
            </w:r>
            <w:r w:rsidRPr="00206AEA">
              <w:rPr>
                <w:color w:val="000000"/>
                <w:sz w:val="20"/>
              </w:rPr>
              <w:noBreakHyphen/>
              <w:t xml:space="preserve">seitiger p-Wert vom Log-Rank-Test </w:t>
            </w:r>
          </w:p>
          <w:p w14:paraId="369C1F40" w14:textId="77777777" w:rsidR="00CC0C3D" w:rsidRPr="00206AEA" w:rsidRDefault="00CC0C3D" w:rsidP="00CC0C3D">
            <w:pPr>
              <w:ind w:left="270" w:hanging="270"/>
              <w:rPr>
                <w:color w:val="000000"/>
                <w:sz w:val="20"/>
              </w:rPr>
            </w:pPr>
            <w:r w:rsidRPr="00206AEA">
              <w:rPr>
                <w:color w:val="000000"/>
                <w:sz w:val="20"/>
                <w:vertAlign w:val="superscript"/>
              </w:rPr>
              <w:t>c</w:t>
            </w:r>
            <w:r w:rsidRPr="00206AEA">
              <w:rPr>
                <w:color w:val="000000"/>
                <w:sz w:val="20"/>
              </w:rPr>
              <w:tab/>
              <w:t xml:space="preserve">n. b. = nicht bestimmbar. Bei weniger als der Hälfte der Risikopatienten kam es zu einem Ereignis. </w:t>
            </w:r>
          </w:p>
        </w:tc>
      </w:tr>
    </w:tbl>
    <w:p w14:paraId="0AF34DDA" w14:textId="77777777" w:rsidR="00535983" w:rsidRPr="004F5FB4" w:rsidRDefault="00535983" w:rsidP="00982118">
      <w:pPr>
        <w:rPr>
          <w:color w:val="000000"/>
        </w:rPr>
      </w:pPr>
    </w:p>
    <w:p w14:paraId="32FE50DB" w14:textId="77777777" w:rsidR="00533B44" w:rsidRPr="004F5FB4" w:rsidRDefault="00533B44" w:rsidP="00687087">
      <w:pPr>
        <w:keepNext/>
        <w:rPr>
          <w:color w:val="000000"/>
        </w:rPr>
      </w:pPr>
      <w:r w:rsidRPr="004F5FB4">
        <w:rPr>
          <w:b/>
          <w:color w:val="000000"/>
        </w:rPr>
        <w:t xml:space="preserve">Abb. </w:t>
      </w:r>
      <w:r w:rsidR="007004B8">
        <w:rPr>
          <w:b/>
          <w:color w:val="000000"/>
        </w:rPr>
        <w:t>1</w:t>
      </w:r>
      <w:r w:rsidR="003D7C9D" w:rsidRPr="004F5FB4">
        <w:rPr>
          <w:b/>
          <w:color w:val="000000"/>
        </w:rPr>
        <w:t>.</w:t>
      </w:r>
      <w:r w:rsidRPr="004F5FB4">
        <w:rPr>
          <w:b/>
          <w:color w:val="000000"/>
        </w:rPr>
        <w:t xml:space="preserve"> Kaplan-Meier-Kurven zur Darstellung der Dauer bis zum Behandlungsversagen in oder nach Woche 6 (Studie UV I) bzw. Woche 2 (Studie UV II)</w:t>
      </w:r>
    </w:p>
    <w:p w14:paraId="61709EEC" w14:textId="01CCA21F" w:rsidR="00533B44" w:rsidRPr="004F5FB4" w:rsidRDefault="00032CD3" w:rsidP="00387D0C">
      <w:pPr>
        <w:keepNext/>
        <w:rPr>
          <w:color w:val="000000"/>
        </w:rPr>
      </w:pPr>
      <w:r w:rsidRPr="004F5FB4">
        <w:rPr>
          <w:noProof/>
          <w:color w:val="000000"/>
        </w:rPr>
        <mc:AlternateContent>
          <mc:Choice Requires="wps">
            <w:drawing>
              <wp:anchor distT="0" distB="0" distL="114300" distR="114300" simplePos="0" relativeHeight="251658243" behindDoc="0" locked="0" layoutInCell="1" allowOverlap="1" wp14:anchorId="650D84E5" wp14:editId="795660CD">
                <wp:simplePos x="0" y="0"/>
                <wp:positionH relativeFrom="column">
                  <wp:posOffset>-95250</wp:posOffset>
                </wp:positionH>
                <wp:positionV relativeFrom="paragraph">
                  <wp:posOffset>85725</wp:posOffset>
                </wp:positionV>
                <wp:extent cx="369570" cy="2882265"/>
                <wp:effectExtent l="0" t="0" r="0" b="0"/>
                <wp:wrapNone/>
                <wp:docPr id="31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17806BF1" w14:textId="77777777" w:rsidR="008F3710" w:rsidRPr="007C4B2C" w:rsidRDefault="008F3710" w:rsidP="007C4B2C">
                            <w:pPr>
                              <w:jc w:val="center"/>
                              <w:rPr>
                                <w:b/>
                                <w:bCs/>
                                <w:sz w:val="18"/>
                                <w:szCs w:val="18"/>
                              </w:rPr>
                            </w:pPr>
                            <w:r>
                              <w:rPr>
                                <w:b/>
                                <w:bCs/>
                                <w:sz w:val="18"/>
                                <w:szCs w:val="18"/>
                              </w:rPr>
                              <w:t>RATE BEHANDLUNGSVERSAGEN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D84E5" id="_x0000_t202" coordsize="21600,21600" o:spt="202" path="m,l,21600r21600,l21600,xe">
                <v:stroke joinstyle="miter"/>
                <v:path gradientshapeok="t" o:connecttype="rect"/>
              </v:shapetype>
              <v:shape id="Text Box 199" o:spid="_x0000_s1026" type="#_x0000_t202" style="position:absolute;margin-left:-7.5pt;margin-top:6.75pt;width:29.1pt;height:226.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" stroked="f">
                <v:textbox style="layout-flow:vertical;mso-layout-flow-alt:bottom-to-top">
                  <w:txbxContent>
                    <w:p w14:paraId="17806BF1" w14:textId="77777777" w:rsidR="008F3710" w:rsidRPr="007C4B2C" w:rsidRDefault="008F3710" w:rsidP="007C4B2C">
                      <w:pPr>
                        <w:jc w:val="center"/>
                        <w:rPr>
                          <w:b/>
                          <w:bCs/>
                          <w:sz w:val="18"/>
                          <w:szCs w:val="18"/>
                        </w:rPr>
                      </w:pPr>
                      <w:r>
                        <w:rPr>
                          <w:b/>
                          <w:bCs/>
                          <w:sz w:val="18"/>
                          <w:szCs w:val="18"/>
                        </w:rPr>
                        <w:t>RATE BEHANDLUNGSVERSAGEN (%)</w:t>
                      </w:r>
                    </w:p>
                  </w:txbxContent>
                </v:textbox>
              </v:shape>
            </w:pict>
          </mc:Fallback>
        </mc:AlternateContent>
      </w:r>
    </w:p>
    <w:p w14:paraId="388DBADF" w14:textId="21C76B10" w:rsidR="00535983" w:rsidRPr="004F5FB4" w:rsidRDefault="00032CD3" w:rsidP="00982118">
      <w:pPr>
        <w:rPr>
          <w:color w:val="000000"/>
        </w:rPr>
      </w:pPr>
      <w:r w:rsidRPr="004F5FB4">
        <w:rPr>
          <w:noProof/>
          <w:color w:val="000000"/>
        </w:rPr>
        <mc:AlternateContent>
          <mc:Choice Requires="wps">
            <w:drawing>
              <wp:anchor distT="0" distB="0" distL="114300" distR="114300" simplePos="0" relativeHeight="251658245" behindDoc="0" locked="0" layoutInCell="1" allowOverlap="1" wp14:anchorId="52B03908" wp14:editId="6B7C7CAA">
                <wp:simplePos x="0" y="0"/>
                <wp:positionH relativeFrom="column">
                  <wp:posOffset>1694815</wp:posOffset>
                </wp:positionH>
                <wp:positionV relativeFrom="paragraph">
                  <wp:posOffset>2605405</wp:posOffset>
                </wp:positionV>
                <wp:extent cx="1171575" cy="212725"/>
                <wp:effectExtent l="0" t="0" r="0" b="0"/>
                <wp:wrapNone/>
                <wp:docPr id="30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12725"/>
                        </a:xfrm>
                        <a:prstGeom prst="rect">
                          <a:avLst/>
                        </a:prstGeom>
                        <a:solidFill>
                          <a:srgbClr val="FFFFFF"/>
                        </a:solidFill>
                        <a:ln>
                          <a:noFill/>
                        </a:ln>
                      </wps:spPr>
                      <wps:txbx>
                        <w:txbxContent>
                          <w:p w14:paraId="5340E71A" w14:textId="77777777" w:rsidR="008F3710" w:rsidRPr="007C4B2C" w:rsidRDefault="008F3710" w:rsidP="007C4B2C">
                            <w:pPr>
                              <w:rPr>
                                <w:sz w:val="18"/>
                                <w:szCs w:val="18"/>
                              </w:rPr>
                            </w:pPr>
                            <w:r>
                              <w:rPr>
                                <w:sz w:val="18"/>
                                <w:szCs w:val="18"/>
                              </w:rPr>
                              <w:t>Behandlung</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03908" id="Text Box 201" o:spid="_x0000_s1027" type="#_x0000_t202" style="position:absolute;margin-left:133.45pt;margin-top:205.15pt;width:92.25pt;height:1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" stroked="f">
                <v:textbox>
                  <w:txbxContent>
                    <w:p w14:paraId="5340E71A" w14:textId="77777777" w:rsidR="008F3710" w:rsidRPr="007C4B2C" w:rsidRDefault="008F3710" w:rsidP="007C4B2C">
                      <w:pPr>
                        <w:rPr>
                          <w:sz w:val="18"/>
                          <w:szCs w:val="18"/>
                        </w:rPr>
                      </w:pPr>
                      <w:r>
                        <w:rPr>
                          <w:sz w:val="18"/>
                          <w:szCs w:val="18"/>
                        </w:rPr>
                        <w:t>Behandlung</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48" behindDoc="0" locked="0" layoutInCell="1" allowOverlap="1" wp14:anchorId="4D88BAB4" wp14:editId="0A0E25C8">
                <wp:simplePos x="0" y="0"/>
                <wp:positionH relativeFrom="column">
                  <wp:posOffset>275590</wp:posOffset>
                </wp:positionH>
                <wp:positionV relativeFrom="paragraph">
                  <wp:posOffset>2643505</wp:posOffset>
                </wp:positionV>
                <wp:extent cx="1123950" cy="211455"/>
                <wp:effectExtent l="0" t="0" r="0" b="0"/>
                <wp:wrapNone/>
                <wp:docPr id="31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11455"/>
                        </a:xfrm>
                        <a:prstGeom prst="rect">
                          <a:avLst/>
                        </a:prstGeom>
                        <a:solidFill>
                          <a:srgbClr val="FFFFFF"/>
                        </a:solidFill>
                        <a:ln>
                          <a:noFill/>
                        </a:ln>
                      </wps:spPr>
                      <wps:txbx>
                        <w:txbxContent>
                          <w:p w14:paraId="0E7D5EE4" w14:textId="77777777" w:rsidR="008F3710" w:rsidRPr="007C4B2C" w:rsidRDefault="008F3710" w:rsidP="007C4B2C">
                            <w:pPr>
                              <w:rPr>
                                <w:sz w:val="18"/>
                                <w:szCs w:val="18"/>
                              </w:rPr>
                            </w:pPr>
                            <w:r>
                              <w:rPr>
                                <w:sz w:val="18"/>
                                <w:szCs w:val="18"/>
                              </w:rPr>
                              <w:t>Studie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8BAB4" id="Text Box 204" o:spid="_x0000_s1028" type="#_x0000_t202" style="position:absolute;margin-left:21.7pt;margin-top:208.15pt;width:88.5pt;height:16.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" stroked="f">
                <v:textbox>
                  <w:txbxContent>
                    <w:p w14:paraId="0E7D5EE4" w14:textId="77777777" w:rsidR="008F3710" w:rsidRPr="007C4B2C" w:rsidRDefault="008F3710" w:rsidP="007C4B2C">
                      <w:pPr>
                        <w:rPr>
                          <w:sz w:val="18"/>
                          <w:szCs w:val="18"/>
                        </w:rPr>
                      </w:pPr>
                      <w:r>
                        <w:rPr>
                          <w:sz w:val="18"/>
                          <w:szCs w:val="18"/>
                        </w:rPr>
                        <w:t>Studie UV I</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47" behindDoc="0" locked="0" layoutInCell="1" allowOverlap="1" wp14:anchorId="116F5A38" wp14:editId="2CA948C4">
                <wp:simplePos x="0" y="0"/>
                <wp:positionH relativeFrom="column">
                  <wp:posOffset>4718050</wp:posOffset>
                </wp:positionH>
                <wp:positionV relativeFrom="paragraph">
                  <wp:posOffset>2605405</wp:posOffset>
                </wp:positionV>
                <wp:extent cx="840740" cy="212725"/>
                <wp:effectExtent l="0" t="0" r="0" b="0"/>
                <wp:wrapNone/>
                <wp:docPr id="31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04464F37" w14:textId="77777777" w:rsidR="008F3710" w:rsidRPr="007C4B2C" w:rsidRDefault="008F3710" w:rsidP="007C4B2C">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F5A38" id="Text Box 203" o:spid="_x0000_s1029" type="#_x0000_t202" style="position:absolute;margin-left:371.5pt;margin-top:205.15pt;width:66.2pt;height:1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" stroked="f">
                <v:textbox>
                  <w:txbxContent>
                    <w:p w14:paraId="04464F37" w14:textId="77777777" w:rsidR="008F3710" w:rsidRPr="007C4B2C" w:rsidRDefault="008F3710" w:rsidP="007C4B2C">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46" behindDoc="0" locked="0" layoutInCell="1" allowOverlap="1" wp14:anchorId="77E4CD1D" wp14:editId="3432868A">
                <wp:simplePos x="0" y="0"/>
                <wp:positionH relativeFrom="column">
                  <wp:posOffset>3165475</wp:posOffset>
                </wp:positionH>
                <wp:positionV relativeFrom="paragraph">
                  <wp:posOffset>2651760</wp:posOffset>
                </wp:positionV>
                <wp:extent cx="713105" cy="201930"/>
                <wp:effectExtent l="0" t="0" r="0" b="0"/>
                <wp:wrapNone/>
                <wp:docPr id="309"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40ADFDB2" w14:textId="77777777" w:rsidR="008F3710" w:rsidRPr="007C4B2C" w:rsidRDefault="008F3710" w:rsidP="007C4B2C">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4CD1D" id="Text Box 202" o:spid="_x0000_s1030" type="#_x0000_t202" style="position:absolute;margin-left:249.25pt;margin-top:208.8pt;width:56.15pt;height:15.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" stroked="f">
                <v:textbox>
                  <w:txbxContent>
                    <w:p w14:paraId="40ADFDB2" w14:textId="77777777" w:rsidR="008F3710" w:rsidRPr="007C4B2C" w:rsidRDefault="008F3710" w:rsidP="007C4B2C">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44" behindDoc="0" locked="0" layoutInCell="1" allowOverlap="1" wp14:anchorId="1F9DC946" wp14:editId="3B3B57DE">
                <wp:simplePos x="0" y="0"/>
                <wp:positionH relativeFrom="column">
                  <wp:posOffset>2434590</wp:posOffset>
                </wp:positionH>
                <wp:positionV relativeFrom="paragraph">
                  <wp:posOffset>2477135</wp:posOffset>
                </wp:positionV>
                <wp:extent cx="1181100" cy="196215"/>
                <wp:effectExtent l="0" t="0" r="0" b="0"/>
                <wp:wrapNone/>
                <wp:docPr id="30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5512418D" w14:textId="77777777" w:rsidR="008F3710" w:rsidRPr="007C4B2C" w:rsidRDefault="008F3710" w:rsidP="007C4B2C">
                            <w:pPr>
                              <w:rPr>
                                <w:b/>
                                <w:bCs/>
                                <w:sz w:val="16"/>
                                <w:szCs w:val="16"/>
                              </w:rPr>
                            </w:pPr>
                            <w:r>
                              <w:rPr>
                                <w:b/>
                                <w:bCs/>
                                <w:sz w:val="16"/>
                                <w:szCs w:val="16"/>
                              </w:rPr>
                              <w:t>DAUER (MONATE)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DC946" id="Text Box 200" o:spid="_x0000_s1031" type="#_x0000_t202" style="position:absolute;margin-left:191.7pt;margin-top:195.05pt;width:93pt;height:15.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" stroked="f">
                <v:textbox>
                  <w:txbxContent>
                    <w:p w14:paraId="5512418D" w14:textId="77777777" w:rsidR="008F3710" w:rsidRPr="007C4B2C" w:rsidRDefault="008F3710" w:rsidP="007C4B2C">
                      <w:pPr>
                        <w:rPr>
                          <w:b/>
                          <w:bCs/>
                          <w:sz w:val="16"/>
                          <w:szCs w:val="16"/>
                        </w:rPr>
                      </w:pPr>
                      <w:r>
                        <w:rPr>
                          <w:b/>
                          <w:bCs/>
                          <w:sz w:val="16"/>
                          <w:szCs w:val="16"/>
                        </w:rPr>
                        <w:t>DAUER (MONATE)</w:t>
                      </w:r>
                    </w:p>
                  </w:txbxContent>
                </v:textbox>
              </v:shape>
            </w:pict>
          </mc:Fallback>
        </mc:AlternateContent>
      </w:r>
      <w:r w:rsidRPr="004F5FB4">
        <w:rPr>
          <w:noProof/>
          <w:color w:val="000000"/>
          <w:lang w:eastAsia="de-DE"/>
        </w:rPr>
        <w:drawing>
          <wp:inline distT="0" distB="0" distL="0" distR="0" wp14:anchorId="03E0C6F8" wp14:editId="75BFC5B8">
            <wp:extent cx="5943600" cy="28289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3046CF82" w14:textId="77777777" w:rsidR="00535983" w:rsidRPr="004F5FB4" w:rsidRDefault="00535983" w:rsidP="00982118">
      <w:pPr>
        <w:rPr>
          <w:color w:val="000000"/>
          <w:lang w:val="en-GB"/>
        </w:rPr>
      </w:pPr>
    </w:p>
    <w:p w14:paraId="2793878B" w14:textId="3B28F86D" w:rsidR="00533B44" w:rsidRPr="004F5FB4" w:rsidRDefault="00032CD3" w:rsidP="00982118">
      <w:pPr>
        <w:rPr>
          <w:color w:val="000000"/>
        </w:rPr>
      </w:pPr>
      <w:r w:rsidRPr="004F5FB4">
        <w:rPr>
          <w:noProof/>
          <w:color w:val="000000"/>
        </w:rPr>
        <w:lastRenderedPageBreak/>
        <mc:AlternateContent>
          <mc:Choice Requires="wps">
            <w:drawing>
              <wp:anchor distT="0" distB="0" distL="114300" distR="114300" simplePos="0" relativeHeight="251658260" behindDoc="0" locked="0" layoutInCell="1" allowOverlap="1" wp14:anchorId="033F401A" wp14:editId="72CCF03B">
                <wp:simplePos x="0" y="0"/>
                <wp:positionH relativeFrom="column">
                  <wp:posOffset>4736465</wp:posOffset>
                </wp:positionH>
                <wp:positionV relativeFrom="paragraph">
                  <wp:posOffset>2592070</wp:posOffset>
                </wp:positionV>
                <wp:extent cx="814705" cy="204470"/>
                <wp:effectExtent l="0" t="0" r="0" b="0"/>
                <wp:wrapNone/>
                <wp:docPr id="30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49B5C48C" w14:textId="77777777" w:rsidR="008F3710" w:rsidRPr="007C4B2C" w:rsidRDefault="008F3710" w:rsidP="00146E68">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F401A" id="Text Box 211" o:spid="_x0000_s1032" type="#_x0000_t202" style="position:absolute;margin-left:372.95pt;margin-top:204.1pt;width:64.15pt;height:16.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" stroked="f">
                <v:textbox>
                  <w:txbxContent>
                    <w:p w14:paraId="49B5C48C" w14:textId="77777777" w:rsidR="008F3710" w:rsidRPr="007C4B2C" w:rsidRDefault="008F3710" w:rsidP="00146E68">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8" behindDoc="0" locked="0" layoutInCell="1" allowOverlap="1" wp14:anchorId="2C8AC55E" wp14:editId="0B9551D6">
                <wp:simplePos x="0" y="0"/>
                <wp:positionH relativeFrom="column">
                  <wp:posOffset>3226435</wp:posOffset>
                </wp:positionH>
                <wp:positionV relativeFrom="paragraph">
                  <wp:posOffset>2592070</wp:posOffset>
                </wp:positionV>
                <wp:extent cx="814705" cy="204470"/>
                <wp:effectExtent l="0" t="0" r="0" b="0"/>
                <wp:wrapNone/>
                <wp:docPr id="30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4B31B73B" w14:textId="77777777" w:rsidR="008F3710" w:rsidRPr="007C4B2C" w:rsidRDefault="008F3710" w:rsidP="00146E68">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AC55E" id="Text Box 210" o:spid="_x0000_s1033" type="#_x0000_t202" style="position:absolute;margin-left:254.05pt;margin-top:204.1pt;width:64.15pt;height:16.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" stroked="f">
                <v:textbox>
                  <w:txbxContent>
                    <w:p w14:paraId="4B31B73B" w14:textId="77777777" w:rsidR="008F3710" w:rsidRPr="007C4B2C" w:rsidRDefault="008F3710" w:rsidP="00146E68">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5" behindDoc="0" locked="0" layoutInCell="1" allowOverlap="1" wp14:anchorId="62C26929" wp14:editId="1CA8F0E8">
                <wp:simplePos x="0" y="0"/>
                <wp:positionH relativeFrom="column">
                  <wp:posOffset>1727200</wp:posOffset>
                </wp:positionH>
                <wp:positionV relativeFrom="paragraph">
                  <wp:posOffset>2592070</wp:posOffset>
                </wp:positionV>
                <wp:extent cx="814705" cy="204470"/>
                <wp:effectExtent l="0" t="0" r="0" b="0"/>
                <wp:wrapNone/>
                <wp:docPr id="30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724840C1" w14:textId="77777777" w:rsidR="008F3710" w:rsidRPr="007C4B2C" w:rsidRDefault="008F3710" w:rsidP="00146E68">
                            <w:pPr>
                              <w:rPr>
                                <w:sz w:val="18"/>
                                <w:szCs w:val="18"/>
                              </w:rPr>
                            </w:pPr>
                            <w:r>
                              <w:rPr>
                                <w:sz w:val="18"/>
                                <w:szCs w:val="18"/>
                              </w:rPr>
                              <w:t>Behandlung</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26929" id="Text Box 209" o:spid="_x0000_s1034" type="#_x0000_t202" style="position:absolute;margin-left:136pt;margin-top:204.1pt;width:64.15pt;height:16.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oL9QEAANA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" stroked="f">
                <v:textbox>
                  <w:txbxContent>
                    <w:p w14:paraId="724840C1" w14:textId="77777777" w:rsidR="008F3710" w:rsidRPr="007C4B2C" w:rsidRDefault="008F3710" w:rsidP="00146E68">
                      <w:pPr>
                        <w:rPr>
                          <w:sz w:val="18"/>
                          <w:szCs w:val="18"/>
                        </w:rPr>
                      </w:pPr>
                      <w:r>
                        <w:rPr>
                          <w:sz w:val="18"/>
                          <w:szCs w:val="18"/>
                        </w:rPr>
                        <w:t>Behandlung</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3" behindDoc="0" locked="0" layoutInCell="1" allowOverlap="1" wp14:anchorId="57493BB6" wp14:editId="2E7F43F8">
                <wp:simplePos x="0" y="0"/>
                <wp:positionH relativeFrom="column">
                  <wp:posOffset>2447925</wp:posOffset>
                </wp:positionH>
                <wp:positionV relativeFrom="paragraph">
                  <wp:posOffset>2453005</wp:posOffset>
                </wp:positionV>
                <wp:extent cx="1181100" cy="196215"/>
                <wp:effectExtent l="0" t="0" r="0" b="0"/>
                <wp:wrapNone/>
                <wp:docPr id="302"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00DAD945" w14:textId="77777777" w:rsidR="008F3710" w:rsidRPr="007C4B2C" w:rsidRDefault="008F3710" w:rsidP="007C4B2C">
                            <w:pPr>
                              <w:rPr>
                                <w:b/>
                                <w:bCs/>
                                <w:sz w:val="16"/>
                                <w:szCs w:val="16"/>
                              </w:rPr>
                            </w:pPr>
                            <w:r>
                              <w:rPr>
                                <w:b/>
                                <w:bCs/>
                                <w:sz w:val="16"/>
                                <w:szCs w:val="16"/>
                              </w:rPr>
                              <w:t>DAUER (MONATE)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93BB6" id="Text Box 208" o:spid="_x0000_s1035" type="#_x0000_t202" style="position:absolute;margin-left:192.75pt;margin-top:193.15pt;width:93pt;height:15.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" stroked="f">
                <v:textbox>
                  <w:txbxContent>
                    <w:p w14:paraId="00DAD945" w14:textId="77777777" w:rsidR="008F3710" w:rsidRPr="007C4B2C" w:rsidRDefault="008F3710" w:rsidP="007C4B2C">
                      <w:pPr>
                        <w:rPr>
                          <w:b/>
                          <w:bCs/>
                          <w:sz w:val="16"/>
                          <w:szCs w:val="16"/>
                        </w:rPr>
                      </w:pPr>
                      <w:r>
                        <w:rPr>
                          <w:b/>
                          <w:bCs/>
                          <w:sz w:val="16"/>
                          <w:szCs w:val="16"/>
                        </w:rPr>
                        <w:t>DAUER (MONATE)</w:t>
                      </w:r>
                    </w:p>
                  </w:txbxContent>
                </v:textbox>
              </v:shape>
            </w:pict>
          </mc:Fallback>
        </mc:AlternateContent>
      </w:r>
      <w:r w:rsidRPr="004F5FB4">
        <w:rPr>
          <w:noProof/>
          <w:color w:val="000000"/>
        </w:rPr>
        <mc:AlternateContent>
          <mc:Choice Requires="wps">
            <w:drawing>
              <wp:anchor distT="0" distB="0" distL="114300" distR="114300" simplePos="0" relativeHeight="251658250" behindDoc="0" locked="0" layoutInCell="1" allowOverlap="1" wp14:anchorId="2F848B96" wp14:editId="4E0C2C65">
                <wp:simplePos x="0" y="0"/>
                <wp:positionH relativeFrom="column">
                  <wp:posOffset>373380</wp:posOffset>
                </wp:positionH>
                <wp:positionV relativeFrom="paragraph">
                  <wp:posOffset>2592070</wp:posOffset>
                </wp:positionV>
                <wp:extent cx="814705" cy="204470"/>
                <wp:effectExtent l="0" t="0" r="0" b="0"/>
                <wp:wrapNone/>
                <wp:docPr id="30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7FFAAC36" w14:textId="77777777" w:rsidR="008F3710" w:rsidRPr="007C4B2C" w:rsidRDefault="008F3710" w:rsidP="007C4B2C">
                            <w:pPr>
                              <w:rPr>
                                <w:sz w:val="18"/>
                                <w:szCs w:val="18"/>
                              </w:rPr>
                            </w:pPr>
                            <w:r>
                              <w:rPr>
                                <w:sz w:val="18"/>
                                <w:szCs w:val="18"/>
                              </w:rPr>
                              <w:t>Studie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8B96" id="Text Box 207" o:spid="_x0000_s1036" type="#_x0000_t202" style="position:absolute;margin-left:29.4pt;margin-top:204.1pt;width:64.15pt;height:16.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59QEAANE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" stroked="f">
                <v:textbox>
                  <w:txbxContent>
                    <w:p w14:paraId="7FFAAC36" w14:textId="77777777" w:rsidR="008F3710" w:rsidRPr="007C4B2C" w:rsidRDefault="008F3710" w:rsidP="007C4B2C">
                      <w:pPr>
                        <w:rPr>
                          <w:sz w:val="18"/>
                          <w:szCs w:val="18"/>
                        </w:rPr>
                      </w:pPr>
                      <w:r>
                        <w:rPr>
                          <w:sz w:val="18"/>
                          <w:szCs w:val="18"/>
                        </w:rPr>
                        <w:t>Studie UV II</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49" behindDoc="0" locked="0" layoutInCell="1" allowOverlap="1" wp14:anchorId="0AEBC480" wp14:editId="23C64B32">
                <wp:simplePos x="0" y="0"/>
                <wp:positionH relativeFrom="column">
                  <wp:posOffset>67310</wp:posOffset>
                </wp:positionH>
                <wp:positionV relativeFrom="paragraph">
                  <wp:posOffset>81915</wp:posOffset>
                </wp:positionV>
                <wp:extent cx="306070" cy="2510155"/>
                <wp:effectExtent l="0" t="0" r="0" b="0"/>
                <wp:wrapNone/>
                <wp:docPr id="30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765716A6" w14:textId="77777777" w:rsidR="008F3710" w:rsidRPr="007C4B2C" w:rsidRDefault="008F3710" w:rsidP="007C4B2C">
                            <w:pPr>
                              <w:jc w:val="center"/>
                              <w:rPr>
                                <w:b/>
                                <w:bCs/>
                                <w:sz w:val="18"/>
                                <w:szCs w:val="18"/>
                              </w:rPr>
                            </w:pPr>
                            <w:r>
                              <w:rPr>
                                <w:b/>
                                <w:bCs/>
                                <w:sz w:val="18"/>
                                <w:szCs w:val="18"/>
                              </w:rPr>
                              <w:t>RATE BEHANDLUNGSVERSAGEN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BC480" id="Text Box 206" o:spid="_x0000_s1037" type="#_x0000_t202" style="position:absolute;margin-left:5.3pt;margin-top:6.45pt;width:24.1pt;height:197.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" stroked="f">
                <v:textbox style="layout-flow:vertical;mso-layout-flow-alt:bottom-to-top">
                  <w:txbxContent>
                    <w:p w14:paraId="765716A6" w14:textId="77777777" w:rsidR="008F3710" w:rsidRPr="007C4B2C" w:rsidRDefault="008F3710" w:rsidP="007C4B2C">
                      <w:pPr>
                        <w:jc w:val="center"/>
                        <w:rPr>
                          <w:b/>
                          <w:bCs/>
                          <w:sz w:val="18"/>
                          <w:szCs w:val="18"/>
                        </w:rPr>
                      </w:pPr>
                      <w:r>
                        <w:rPr>
                          <w:b/>
                          <w:bCs/>
                          <w:sz w:val="18"/>
                          <w:szCs w:val="18"/>
                        </w:rPr>
                        <w:t>RATE BEHANDLUNGSVERSAGEN (%)</w:t>
                      </w:r>
                    </w:p>
                  </w:txbxContent>
                </v:textbox>
              </v:shape>
            </w:pict>
          </mc:Fallback>
        </mc:AlternateContent>
      </w:r>
      <w:r w:rsidRPr="004F5FB4">
        <w:rPr>
          <w:noProof/>
          <w:color w:val="000000"/>
          <w:lang w:eastAsia="de-DE"/>
        </w:rPr>
        <w:drawing>
          <wp:inline distT="0" distB="0" distL="0" distR="0" wp14:anchorId="613DBB4F" wp14:editId="4456A1E3">
            <wp:extent cx="5943600" cy="2800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800350"/>
                    </a:xfrm>
                    <a:prstGeom prst="rect">
                      <a:avLst/>
                    </a:prstGeom>
                    <a:noFill/>
                    <a:ln>
                      <a:noFill/>
                    </a:ln>
                  </pic:spPr>
                </pic:pic>
              </a:graphicData>
            </a:graphic>
          </wp:inline>
        </w:drawing>
      </w:r>
    </w:p>
    <w:p w14:paraId="61C3A6C0" w14:textId="77777777" w:rsidR="00964AFD" w:rsidRPr="00206AEA" w:rsidRDefault="00964AFD" w:rsidP="00387D0C">
      <w:pPr>
        <w:pStyle w:val="BodyText"/>
        <w:widowControl/>
        <w:kinsoku w:val="0"/>
        <w:overflowPunct w:val="0"/>
        <w:ind w:left="0"/>
        <w:rPr>
          <w:color w:val="000000"/>
          <w:sz w:val="20"/>
        </w:rPr>
      </w:pPr>
      <w:r w:rsidRPr="00206AEA">
        <w:rPr>
          <w:color w:val="000000"/>
          <w:sz w:val="20"/>
        </w:rPr>
        <w:t>Hinweis: P#</w:t>
      </w:r>
      <w:r w:rsidR="008F1D0D" w:rsidRPr="00206AEA">
        <w:rPr>
          <w:color w:val="000000"/>
          <w:sz w:val="20"/>
        </w:rPr>
        <w:t> </w:t>
      </w:r>
      <w:r w:rsidRPr="00206AEA">
        <w:rPr>
          <w:color w:val="000000"/>
          <w:sz w:val="20"/>
        </w:rPr>
        <w:t>=</w:t>
      </w:r>
      <w:r w:rsidR="008F1D0D" w:rsidRPr="00206AEA">
        <w:rPr>
          <w:color w:val="000000"/>
          <w:sz w:val="20"/>
        </w:rPr>
        <w:t> </w:t>
      </w:r>
      <w:r w:rsidRPr="00206AEA">
        <w:rPr>
          <w:color w:val="000000"/>
          <w:sz w:val="20"/>
        </w:rPr>
        <w:t>Placebo (Anzahl Ereignisse/Anzahl Risikopatienten); A#</w:t>
      </w:r>
      <w:r w:rsidR="008F1D0D" w:rsidRPr="00206AEA">
        <w:rPr>
          <w:color w:val="000000"/>
          <w:sz w:val="20"/>
        </w:rPr>
        <w:t> </w:t>
      </w:r>
      <w:r w:rsidRPr="00206AEA">
        <w:rPr>
          <w:color w:val="000000"/>
          <w:sz w:val="20"/>
        </w:rPr>
        <w:t>=</w:t>
      </w:r>
      <w:r w:rsidR="008F1D0D" w:rsidRPr="00206AEA">
        <w:rPr>
          <w:color w:val="000000"/>
          <w:sz w:val="20"/>
        </w:rPr>
        <w:t> </w:t>
      </w:r>
      <w:r w:rsidRPr="00206AEA">
        <w:rPr>
          <w:color w:val="000000"/>
          <w:sz w:val="20"/>
        </w:rPr>
        <w:t>Adalimumab (Anzahl Ereignisse/Anzahl Risikopatienten)</w:t>
      </w:r>
    </w:p>
    <w:p w14:paraId="29E109FD" w14:textId="77777777" w:rsidR="00964AFD" w:rsidRPr="004F5FB4" w:rsidRDefault="00964AFD" w:rsidP="00387D0C">
      <w:pPr>
        <w:pStyle w:val="BodyText"/>
        <w:widowControl/>
        <w:kinsoku w:val="0"/>
        <w:overflowPunct w:val="0"/>
        <w:ind w:left="0"/>
        <w:rPr>
          <w:color w:val="000000"/>
        </w:rPr>
      </w:pPr>
    </w:p>
    <w:p w14:paraId="3948FA83" w14:textId="77777777" w:rsidR="00964AFD" w:rsidRPr="004F5FB4" w:rsidRDefault="00964AFD" w:rsidP="00387D0C">
      <w:pPr>
        <w:pStyle w:val="BodyText"/>
        <w:widowControl/>
        <w:kinsoku w:val="0"/>
        <w:overflowPunct w:val="0"/>
        <w:ind w:left="0"/>
        <w:rPr>
          <w:color w:val="000000"/>
        </w:rPr>
      </w:pPr>
      <w:r w:rsidRPr="004F5FB4">
        <w:rPr>
          <w:color w:val="000000"/>
        </w:rPr>
        <w:t>In der Studie</w:t>
      </w:r>
      <w:r w:rsidR="003D7C9D" w:rsidRPr="004F5FB4">
        <w:rPr>
          <w:color w:val="000000"/>
        </w:rPr>
        <w:t> </w:t>
      </w:r>
      <w:r w:rsidRPr="004F5FB4">
        <w:rPr>
          <w:color w:val="000000"/>
        </w:rPr>
        <w:t>UV</w:t>
      </w:r>
      <w:r w:rsidR="003D7C9D" w:rsidRPr="004F5FB4">
        <w:rPr>
          <w:color w:val="000000"/>
        </w:rPr>
        <w:t> </w:t>
      </w:r>
      <w:r w:rsidRPr="004F5FB4">
        <w:rPr>
          <w:color w:val="000000"/>
        </w:rPr>
        <w:t>I wurden für jede Komponente des Behandlungsversagens statistisch signifikante Unterschiede zugunsten von Adalimumab gegenüber Placebo festgestellt. In der Studie</w:t>
      </w:r>
      <w:r w:rsidR="00630E5A" w:rsidRPr="004F5FB4">
        <w:rPr>
          <w:color w:val="000000"/>
        </w:rPr>
        <w:t> </w:t>
      </w:r>
      <w:r w:rsidRPr="004F5FB4">
        <w:rPr>
          <w:color w:val="000000"/>
        </w:rPr>
        <w:t>UV</w:t>
      </w:r>
      <w:r w:rsidR="00630E5A" w:rsidRPr="004F5FB4">
        <w:rPr>
          <w:color w:val="000000"/>
        </w:rPr>
        <w:t> </w:t>
      </w:r>
      <w:r w:rsidRPr="004F5FB4">
        <w:rPr>
          <w:color w:val="000000"/>
        </w:rPr>
        <w:t>II wurden statistisch signifikante Unterschiede nur für die Sehschärfe festgestellt, doch die Ergebnisse der anderen Komponenten fielen numerisch zugunsten von Adalimumab aus.</w:t>
      </w:r>
    </w:p>
    <w:p w14:paraId="3FBF57FE" w14:textId="77777777" w:rsidR="00964AFD" w:rsidRPr="004F5FB4" w:rsidRDefault="00964AFD" w:rsidP="00387D0C">
      <w:pPr>
        <w:pStyle w:val="BodyText"/>
        <w:widowControl/>
        <w:kinsoku w:val="0"/>
        <w:overflowPunct w:val="0"/>
        <w:ind w:left="0"/>
        <w:rPr>
          <w:color w:val="000000"/>
        </w:rPr>
      </w:pPr>
    </w:p>
    <w:p w14:paraId="2A9F9466" w14:textId="77777777" w:rsidR="00964AFD" w:rsidRPr="004F5FB4" w:rsidRDefault="00964AFD" w:rsidP="00387D0C">
      <w:pPr>
        <w:pStyle w:val="BodyText"/>
        <w:widowControl/>
        <w:kinsoku w:val="0"/>
        <w:overflowPunct w:val="0"/>
        <w:ind w:left="0"/>
        <w:rPr>
          <w:color w:val="000000"/>
        </w:rPr>
      </w:pPr>
      <w:r w:rsidRPr="004F5FB4">
        <w:rPr>
          <w:color w:val="000000"/>
        </w:rPr>
        <w:t xml:space="preserve">Von den </w:t>
      </w:r>
      <w:r w:rsidR="00630E5A" w:rsidRPr="004F5FB4">
        <w:rPr>
          <w:color w:val="000000"/>
        </w:rPr>
        <w:t>424</w:t>
      </w:r>
      <w:r w:rsidRPr="004F5FB4">
        <w:rPr>
          <w:color w:val="000000"/>
        </w:rPr>
        <w:t> Studienteilnehmern, die in die unkontrollierte Langzeit-</w:t>
      </w:r>
      <w:r w:rsidR="008F1D0D" w:rsidRPr="004F5FB4">
        <w:rPr>
          <w:color w:val="000000"/>
        </w:rPr>
        <w:t xml:space="preserve">Fortsetzungsstudie von </w:t>
      </w:r>
      <w:r w:rsidRPr="004F5FB4">
        <w:rPr>
          <w:color w:val="000000"/>
        </w:rPr>
        <w:t>de</w:t>
      </w:r>
      <w:r w:rsidR="008F1D0D" w:rsidRPr="004F5FB4">
        <w:rPr>
          <w:color w:val="000000"/>
        </w:rPr>
        <w:t>n</w:t>
      </w:r>
      <w:r w:rsidRPr="004F5FB4">
        <w:rPr>
          <w:color w:val="000000"/>
        </w:rPr>
        <w:t xml:space="preserve"> Studien</w:t>
      </w:r>
      <w:r w:rsidR="00630E5A" w:rsidRPr="004F5FB4">
        <w:rPr>
          <w:color w:val="000000"/>
        </w:rPr>
        <w:t> </w:t>
      </w:r>
      <w:r w:rsidRPr="004F5FB4">
        <w:rPr>
          <w:color w:val="000000"/>
        </w:rPr>
        <w:t xml:space="preserve">UV I und UV II eingeschlossen waren, erwiesen sich </w:t>
      </w:r>
      <w:r w:rsidR="00630E5A" w:rsidRPr="004F5FB4">
        <w:rPr>
          <w:color w:val="000000"/>
        </w:rPr>
        <w:t>60</w:t>
      </w:r>
      <w:r w:rsidRPr="004F5FB4">
        <w:rPr>
          <w:color w:val="000000"/>
        </w:rPr>
        <w:t xml:space="preserve"> Studienteilnehmer als nicht auswertbar (z. B. </w:t>
      </w:r>
      <w:r w:rsidR="00630E5A" w:rsidRPr="004F5FB4">
        <w:rPr>
          <w:color w:val="000000"/>
        </w:rPr>
        <w:t xml:space="preserve">aufgrund von Abweichungen oder </w:t>
      </w:r>
      <w:r w:rsidR="008F1D0D" w:rsidRPr="004F5FB4">
        <w:rPr>
          <w:color w:val="000000"/>
        </w:rPr>
        <w:t xml:space="preserve">durch </w:t>
      </w:r>
      <w:r w:rsidRPr="004F5FB4">
        <w:rPr>
          <w:color w:val="000000"/>
        </w:rPr>
        <w:t xml:space="preserve">Komplikationen nachrangig einer diabetischen Retinopathie, </w:t>
      </w:r>
      <w:r w:rsidR="00353C1C" w:rsidRPr="004F5FB4">
        <w:rPr>
          <w:color w:val="000000"/>
        </w:rPr>
        <w:t>die auf</w:t>
      </w:r>
      <w:r w:rsidR="00974476" w:rsidRPr="004F5FB4">
        <w:rPr>
          <w:color w:val="000000"/>
        </w:rPr>
        <w:t xml:space="preserve"> eine </w:t>
      </w:r>
      <w:r w:rsidRPr="004F5FB4">
        <w:rPr>
          <w:color w:val="000000"/>
        </w:rPr>
        <w:t>Operation des grauen Stars oder Glaskörperentfernung</w:t>
      </w:r>
      <w:r w:rsidR="00353C1C" w:rsidRPr="004F5FB4">
        <w:rPr>
          <w:color w:val="000000"/>
        </w:rPr>
        <w:t xml:space="preserve"> zurückzuführen waren</w:t>
      </w:r>
      <w:r w:rsidRPr="004F5FB4">
        <w:rPr>
          <w:color w:val="000000"/>
        </w:rPr>
        <w:t xml:space="preserve">). Sie wurden deshalb von der primären Wirksamkeitsanalyse ausgeschlossen. Von den </w:t>
      </w:r>
      <w:r w:rsidR="00115510" w:rsidRPr="004F5FB4">
        <w:rPr>
          <w:color w:val="000000"/>
        </w:rPr>
        <w:t>364 </w:t>
      </w:r>
      <w:r w:rsidRPr="004F5FB4">
        <w:rPr>
          <w:color w:val="000000"/>
        </w:rPr>
        <w:t xml:space="preserve">verbleibenden Patienten </w:t>
      </w:r>
      <w:r w:rsidR="00353C1C" w:rsidRPr="004F5FB4">
        <w:rPr>
          <w:color w:val="000000"/>
        </w:rPr>
        <w:t>waren</w:t>
      </w:r>
      <w:r w:rsidRPr="004F5FB4">
        <w:rPr>
          <w:color w:val="000000"/>
        </w:rPr>
        <w:t xml:space="preserve"> </w:t>
      </w:r>
      <w:r w:rsidR="00115510" w:rsidRPr="004F5FB4">
        <w:rPr>
          <w:color w:val="000000"/>
        </w:rPr>
        <w:t>269</w:t>
      </w:r>
      <w:r w:rsidRPr="004F5FB4">
        <w:rPr>
          <w:color w:val="000000"/>
        </w:rPr>
        <w:t xml:space="preserve"> Patienten </w:t>
      </w:r>
      <w:r w:rsidR="00115510" w:rsidRPr="004F5FB4">
        <w:rPr>
          <w:color w:val="000000"/>
        </w:rPr>
        <w:t xml:space="preserve">(74 %) </w:t>
      </w:r>
      <w:r w:rsidRPr="004F5FB4">
        <w:rPr>
          <w:color w:val="000000"/>
        </w:rPr>
        <w:t>eine 78</w:t>
      </w:r>
      <w:r w:rsidR="00353C1C" w:rsidRPr="004F5FB4">
        <w:rPr>
          <w:color w:val="000000"/>
        </w:rPr>
        <w:t> Wochen noch auf</w:t>
      </w:r>
      <w:r w:rsidRPr="004F5FB4">
        <w:rPr>
          <w:color w:val="000000"/>
        </w:rPr>
        <w:t xml:space="preserve"> Adalimumab</w:t>
      </w:r>
      <w:r w:rsidR="00353C1C" w:rsidRPr="004F5FB4">
        <w:rPr>
          <w:color w:val="000000"/>
        </w:rPr>
        <w:t>-Therapie</w:t>
      </w:r>
      <w:r w:rsidRPr="004F5FB4">
        <w:rPr>
          <w:color w:val="000000"/>
        </w:rPr>
        <w:t xml:space="preserve">. Basierend auf dem betrachteten datenbasierten Ansatz waren </w:t>
      </w:r>
      <w:r w:rsidR="00115510" w:rsidRPr="004F5FB4">
        <w:rPr>
          <w:color w:val="000000"/>
        </w:rPr>
        <w:t>216 </w:t>
      </w:r>
      <w:r w:rsidRPr="004F5FB4">
        <w:rPr>
          <w:color w:val="000000"/>
        </w:rPr>
        <w:t>(80,</w:t>
      </w:r>
      <w:r w:rsidR="00115510" w:rsidRPr="004F5FB4">
        <w:rPr>
          <w:color w:val="000000"/>
        </w:rPr>
        <w:t>3</w:t>
      </w:r>
      <w:r w:rsidR="00D17FA4" w:rsidRPr="004F5FB4">
        <w:rPr>
          <w:color w:val="000000"/>
        </w:rPr>
        <w:t> </w:t>
      </w:r>
      <w:r w:rsidRPr="004F5FB4">
        <w:rPr>
          <w:color w:val="000000"/>
        </w:rPr>
        <w:t>%) Patienten symptomfrei (keine aktiven entzündlichen Läsionen, Grad der Vorderkammerzellen</w:t>
      </w:r>
      <w:r w:rsidR="00115510" w:rsidRPr="004F5FB4">
        <w:rPr>
          <w:color w:val="000000"/>
        </w:rPr>
        <w:t> </w:t>
      </w:r>
      <w:r w:rsidRPr="004F5FB4">
        <w:rPr>
          <w:color w:val="000000"/>
        </w:rPr>
        <w:t>≤</w:t>
      </w:r>
      <w:r w:rsidR="00D17FA4" w:rsidRPr="004F5FB4">
        <w:rPr>
          <w:color w:val="000000"/>
        </w:rPr>
        <w:t> </w:t>
      </w:r>
      <w:r w:rsidRPr="004F5FB4">
        <w:rPr>
          <w:color w:val="000000"/>
        </w:rPr>
        <w:t>0,5+, Grad der Glaskörpertrübung</w:t>
      </w:r>
      <w:r w:rsidR="00115510" w:rsidRPr="004F5FB4">
        <w:rPr>
          <w:color w:val="000000"/>
        </w:rPr>
        <w:t> </w:t>
      </w:r>
      <w:r w:rsidRPr="004F5FB4">
        <w:rPr>
          <w:color w:val="000000"/>
        </w:rPr>
        <w:t>≤</w:t>
      </w:r>
      <w:r w:rsidR="00D17FA4" w:rsidRPr="004F5FB4">
        <w:rPr>
          <w:color w:val="000000"/>
        </w:rPr>
        <w:t> </w:t>
      </w:r>
      <w:r w:rsidRPr="004F5FB4">
        <w:rPr>
          <w:color w:val="000000"/>
        </w:rPr>
        <w:t>0,5+) mit einer einhergehenden Steroiddosis</w:t>
      </w:r>
      <w:r w:rsidR="00115510" w:rsidRPr="004F5FB4">
        <w:rPr>
          <w:color w:val="000000"/>
        </w:rPr>
        <w:t> </w:t>
      </w:r>
      <w:r w:rsidRPr="004F5FB4">
        <w:rPr>
          <w:color w:val="000000"/>
        </w:rPr>
        <w:t>≤</w:t>
      </w:r>
      <w:r w:rsidR="00D17FA4" w:rsidRPr="004F5FB4">
        <w:rPr>
          <w:color w:val="000000"/>
        </w:rPr>
        <w:t> </w:t>
      </w:r>
      <w:r w:rsidRPr="004F5FB4">
        <w:rPr>
          <w:color w:val="000000"/>
        </w:rPr>
        <w:t>7,5</w:t>
      </w:r>
      <w:r w:rsidR="00115510" w:rsidRPr="004F5FB4">
        <w:rPr>
          <w:color w:val="000000"/>
        </w:rPr>
        <w:t> </w:t>
      </w:r>
      <w:r w:rsidRPr="004F5FB4">
        <w:rPr>
          <w:color w:val="000000"/>
        </w:rPr>
        <w:t xml:space="preserve">mg pro Tag und </w:t>
      </w:r>
      <w:r w:rsidR="00115510" w:rsidRPr="004F5FB4">
        <w:rPr>
          <w:color w:val="000000"/>
        </w:rPr>
        <w:t>178 </w:t>
      </w:r>
      <w:r w:rsidRPr="004F5FB4">
        <w:rPr>
          <w:color w:val="000000"/>
        </w:rPr>
        <w:t>(66,</w:t>
      </w:r>
      <w:r w:rsidR="00115510" w:rsidRPr="004F5FB4">
        <w:rPr>
          <w:color w:val="000000"/>
        </w:rPr>
        <w:t>2</w:t>
      </w:r>
      <w:r w:rsidR="00D17FA4" w:rsidRPr="004F5FB4">
        <w:rPr>
          <w:color w:val="000000"/>
        </w:rPr>
        <w:t> </w:t>
      </w:r>
      <w:r w:rsidRPr="004F5FB4">
        <w:rPr>
          <w:color w:val="000000"/>
        </w:rPr>
        <w:t>%) waren in einer steroidfreien Ruhephase. In Woche</w:t>
      </w:r>
      <w:r w:rsidR="00D17FA4" w:rsidRPr="004F5FB4">
        <w:rPr>
          <w:color w:val="000000"/>
        </w:rPr>
        <w:t> </w:t>
      </w:r>
      <w:r w:rsidRPr="004F5FB4">
        <w:rPr>
          <w:color w:val="000000"/>
        </w:rPr>
        <w:t>78 wurde bei 88,</w:t>
      </w:r>
      <w:r w:rsidR="00115510" w:rsidRPr="004F5FB4">
        <w:rPr>
          <w:color w:val="000000"/>
        </w:rPr>
        <w:t>6</w:t>
      </w:r>
      <w:r w:rsidR="00D17FA4" w:rsidRPr="004F5FB4">
        <w:rPr>
          <w:color w:val="000000"/>
        </w:rPr>
        <w:t> </w:t>
      </w:r>
      <w:r w:rsidRPr="004F5FB4">
        <w:rPr>
          <w:color w:val="000000"/>
        </w:rPr>
        <w:t>% der Augen der bestkorrigierte Visus (</w:t>
      </w:r>
      <w:r w:rsidRPr="004F5FB4">
        <w:rPr>
          <w:i/>
          <w:color w:val="000000"/>
        </w:rPr>
        <w:t>best corrected visual acuity</w:t>
      </w:r>
      <w:r w:rsidRPr="004F5FB4">
        <w:rPr>
          <w:color w:val="000000"/>
        </w:rPr>
        <w:t>, BCVA) entweder verbessert oder erhalten (</w:t>
      </w:r>
      <w:r w:rsidR="00165A70" w:rsidRPr="004F5FB4">
        <w:rPr>
          <w:color w:val="000000"/>
        </w:rPr>
        <w:t xml:space="preserve">&lt; 5 Zeichen der </w:t>
      </w:r>
      <w:r w:rsidRPr="004F5FB4">
        <w:rPr>
          <w:color w:val="000000"/>
        </w:rPr>
        <w:t>Verschlechterung).</w:t>
      </w:r>
      <w:r w:rsidR="00115510" w:rsidRPr="004F5FB4">
        <w:rPr>
          <w:color w:val="000000"/>
        </w:rPr>
        <w:t xml:space="preserve"> Die Daten</w:t>
      </w:r>
      <w:r w:rsidR="00165A70" w:rsidRPr="004F5FB4">
        <w:rPr>
          <w:color w:val="000000"/>
        </w:rPr>
        <w:t xml:space="preserve">, die über die Woche 78 hinaus erhoben wurden, waren </w:t>
      </w:r>
      <w:r w:rsidR="00115510" w:rsidRPr="004F5FB4">
        <w:rPr>
          <w:color w:val="000000"/>
        </w:rPr>
        <w:t>im Allgemeinen</w:t>
      </w:r>
      <w:r w:rsidR="00165A70" w:rsidRPr="004F5FB4">
        <w:rPr>
          <w:color w:val="000000"/>
        </w:rPr>
        <w:t xml:space="preserve"> übereinstimmend mit diesen Daten, aber</w:t>
      </w:r>
      <w:r w:rsidR="00115510" w:rsidRPr="004F5FB4">
        <w:rPr>
          <w:color w:val="000000"/>
        </w:rPr>
        <w:t xml:space="preserve"> die Anzahl </w:t>
      </w:r>
      <w:r w:rsidR="00165A70" w:rsidRPr="004F5FB4">
        <w:rPr>
          <w:color w:val="000000"/>
        </w:rPr>
        <w:t xml:space="preserve">von eingeschlossenen </w:t>
      </w:r>
      <w:r w:rsidR="00115510" w:rsidRPr="004F5FB4">
        <w:rPr>
          <w:color w:val="000000"/>
        </w:rPr>
        <w:t>Studienteilnehmern</w:t>
      </w:r>
      <w:r w:rsidR="00165A70" w:rsidRPr="004F5FB4">
        <w:rPr>
          <w:color w:val="000000"/>
        </w:rPr>
        <w:t xml:space="preserve"> war</w:t>
      </w:r>
      <w:r w:rsidR="00115510" w:rsidRPr="004F5FB4">
        <w:rPr>
          <w:color w:val="000000"/>
        </w:rPr>
        <w:t xml:space="preserve"> nach diese</w:t>
      </w:r>
      <w:r w:rsidR="00165A70" w:rsidRPr="004F5FB4">
        <w:rPr>
          <w:color w:val="000000"/>
        </w:rPr>
        <w:t>r</w:t>
      </w:r>
      <w:r w:rsidR="00115510" w:rsidRPr="004F5FB4">
        <w:rPr>
          <w:color w:val="000000"/>
        </w:rPr>
        <w:t xml:space="preserve"> Zeit zurück</w:t>
      </w:r>
      <w:r w:rsidR="00165A70" w:rsidRPr="004F5FB4">
        <w:rPr>
          <w:color w:val="000000"/>
        </w:rPr>
        <w:t>gegangen</w:t>
      </w:r>
      <w:r w:rsidR="00115510" w:rsidRPr="004F5FB4">
        <w:rPr>
          <w:color w:val="000000"/>
        </w:rPr>
        <w:t>.</w:t>
      </w:r>
      <w:r w:rsidRPr="004F5FB4">
        <w:rPr>
          <w:color w:val="000000"/>
        </w:rPr>
        <w:t xml:space="preserve"> </w:t>
      </w:r>
      <w:r w:rsidR="00894ABE" w:rsidRPr="004F5FB4">
        <w:rPr>
          <w:color w:val="000000"/>
        </w:rPr>
        <w:t>U</w:t>
      </w:r>
      <w:r w:rsidRPr="004F5FB4">
        <w:rPr>
          <w:color w:val="000000"/>
        </w:rPr>
        <w:t xml:space="preserve">rsächlich für die vorzeitige Beendigung der Studie waren in </w:t>
      </w:r>
      <w:r w:rsidR="00115510" w:rsidRPr="004F5FB4">
        <w:rPr>
          <w:color w:val="000000"/>
        </w:rPr>
        <w:t>18</w:t>
      </w:r>
      <w:r w:rsidRPr="004F5FB4">
        <w:rPr>
          <w:color w:val="000000"/>
        </w:rPr>
        <w:t xml:space="preserve"> % der Fälle das Auftreten von Nebenwirkungen und in </w:t>
      </w:r>
      <w:r w:rsidR="00115510" w:rsidRPr="004F5FB4">
        <w:rPr>
          <w:color w:val="000000"/>
        </w:rPr>
        <w:t>8</w:t>
      </w:r>
      <w:r w:rsidRPr="004F5FB4">
        <w:rPr>
          <w:color w:val="000000"/>
        </w:rPr>
        <w:t> % der Fälle ein unzureichendes Ansprechen auf die Behandlung mit Adalimumab.</w:t>
      </w:r>
    </w:p>
    <w:p w14:paraId="470CE0D3" w14:textId="77777777" w:rsidR="00964AFD" w:rsidRPr="004F5FB4" w:rsidRDefault="00964AFD" w:rsidP="00387D0C">
      <w:pPr>
        <w:pStyle w:val="BodyText"/>
        <w:widowControl/>
        <w:kinsoku w:val="0"/>
        <w:overflowPunct w:val="0"/>
        <w:ind w:left="0"/>
        <w:rPr>
          <w:color w:val="000000"/>
        </w:rPr>
      </w:pPr>
    </w:p>
    <w:p w14:paraId="5419DB56" w14:textId="77777777" w:rsidR="00964AFD" w:rsidRPr="004F5FB4" w:rsidRDefault="00964AFD" w:rsidP="00ED34EF">
      <w:pPr>
        <w:pStyle w:val="BodyText"/>
        <w:keepNext/>
        <w:widowControl/>
        <w:kinsoku w:val="0"/>
        <w:overflowPunct w:val="0"/>
        <w:ind w:left="0"/>
        <w:rPr>
          <w:color w:val="000000"/>
        </w:rPr>
      </w:pPr>
      <w:r w:rsidRPr="004F5FB4">
        <w:rPr>
          <w:i/>
          <w:iCs/>
          <w:color w:val="000000"/>
          <w:u w:val="single"/>
        </w:rPr>
        <w:t>Lebensqualität</w:t>
      </w:r>
    </w:p>
    <w:p w14:paraId="7F006687" w14:textId="77777777" w:rsidR="00964AFD" w:rsidRPr="004F5FB4" w:rsidRDefault="00964AFD" w:rsidP="00ED34EF">
      <w:pPr>
        <w:pStyle w:val="BodyText"/>
        <w:keepNext/>
        <w:widowControl/>
        <w:kinsoku w:val="0"/>
        <w:overflowPunct w:val="0"/>
        <w:ind w:left="0"/>
        <w:rPr>
          <w:i/>
          <w:iCs/>
          <w:color w:val="000000"/>
          <w:szCs w:val="15"/>
        </w:rPr>
      </w:pPr>
    </w:p>
    <w:p w14:paraId="4D6A45A6" w14:textId="77777777" w:rsidR="00964AFD" w:rsidRPr="004F5FB4" w:rsidRDefault="00964AFD" w:rsidP="00387D0C">
      <w:pPr>
        <w:pStyle w:val="BodyText"/>
        <w:widowControl/>
        <w:kinsoku w:val="0"/>
        <w:overflowPunct w:val="0"/>
        <w:ind w:left="0"/>
        <w:rPr>
          <w:color w:val="000000"/>
        </w:rPr>
      </w:pPr>
      <w:r w:rsidRPr="004F5FB4">
        <w:rPr>
          <w:color w:val="000000"/>
        </w:rPr>
        <w:t>In beiden klinischen Studien wurde die Therapiebewertung aus Patientensicht (patient reported outcome, PRO) hinsichtlich des Sehvermögens mithilfe des NEI VFQ-25 beurteilt. Bei den meisten Subscores fielen die Ergebnisse numerisch zugunsten von Adalimumab aus – ein statistisch signifikanter mittlerer Unterschied bestand in der Studie</w:t>
      </w:r>
      <w:r w:rsidR="00115510" w:rsidRPr="004F5FB4">
        <w:rPr>
          <w:color w:val="000000"/>
        </w:rPr>
        <w:t> </w:t>
      </w:r>
      <w:r w:rsidRPr="004F5FB4">
        <w:rPr>
          <w:color w:val="000000"/>
        </w:rPr>
        <w:t>UV</w:t>
      </w:r>
      <w:r w:rsidR="00D17FA4" w:rsidRPr="004F5FB4">
        <w:rPr>
          <w:color w:val="000000"/>
        </w:rPr>
        <w:t> </w:t>
      </w:r>
      <w:r w:rsidRPr="004F5FB4">
        <w:rPr>
          <w:color w:val="000000"/>
        </w:rPr>
        <w:t>I beim allgemeinen Sehvermögen, bei Augenschmerzen, Nahsicht, mentaler Gesundheit und dem Gesamtscore, in der Studie</w:t>
      </w:r>
      <w:r w:rsidR="00115510" w:rsidRPr="004F5FB4">
        <w:rPr>
          <w:color w:val="000000"/>
        </w:rPr>
        <w:t> </w:t>
      </w:r>
      <w:r w:rsidRPr="004F5FB4">
        <w:rPr>
          <w:color w:val="000000"/>
        </w:rPr>
        <w:t>UV</w:t>
      </w:r>
      <w:r w:rsidR="00D17FA4" w:rsidRPr="004F5FB4">
        <w:rPr>
          <w:color w:val="000000"/>
        </w:rPr>
        <w:t> </w:t>
      </w:r>
      <w:r w:rsidRPr="004F5FB4">
        <w:rPr>
          <w:color w:val="000000"/>
        </w:rPr>
        <w:t>II beim allgemeinen Sehvermögen und der mentalen Gesundheit. Weitere Wirkungen in Bezug auf das Sehvermögen fielen in der Studie</w:t>
      </w:r>
      <w:r w:rsidR="00115510" w:rsidRPr="004F5FB4">
        <w:rPr>
          <w:color w:val="000000"/>
        </w:rPr>
        <w:t> </w:t>
      </w:r>
      <w:r w:rsidRPr="004F5FB4">
        <w:rPr>
          <w:color w:val="000000"/>
        </w:rPr>
        <w:t>UV</w:t>
      </w:r>
      <w:r w:rsidR="00D17FA4" w:rsidRPr="004F5FB4">
        <w:rPr>
          <w:color w:val="000000"/>
        </w:rPr>
        <w:t> </w:t>
      </w:r>
      <w:r w:rsidRPr="004F5FB4">
        <w:rPr>
          <w:color w:val="000000"/>
        </w:rPr>
        <w:t>I beim Farbsehen und in der Studie</w:t>
      </w:r>
      <w:r w:rsidR="00115510" w:rsidRPr="004F5FB4">
        <w:rPr>
          <w:color w:val="000000"/>
        </w:rPr>
        <w:t> </w:t>
      </w:r>
      <w:r w:rsidRPr="004F5FB4">
        <w:rPr>
          <w:color w:val="000000"/>
        </w:rPr>
        <w:t>UV</w:t>
      </w:r>
      <w:r w:rsidR="00D17FA4" w:rsidRPr="004F5FB4">
        <w:rPr>
          <w:color w:val="000000"/>
        </w:rPr>
        <w:t> </w:t>
      </w:r>
      <w:r w:rsidRPr="004F5FB4">
        <w:rPr>
          <w:color w:val="000000"/>
        </w:rPr>
        <w:t>II beim Farbsehen, dem peripheren Sehen und der Nahsicht numerisch nicht zugunsten von Adalimumab aus.</w:t>
      </w:r>
    </w:p>
    <w:p w14:paraId="00FECDD8" w14:textId="77777777" w:rsidR="00964AFD" w:rsidRPr="004F5FB4" w:rsidRDefault="00964AFD" w:rsidP="00387D0C">
      <w:pPr>
        <w:pStyle w:val="BodyText"/>
        <w:widowControl/>
        <w:kinsoku w:val="0"/>
        <w:overflowPunct w:val="0"/>
        <w:ind w:left="0"/>
        <w:rPr>
          <w:color w:val="000000"/>
        </w:rPr>
      </w:pPr>
    </w:p>
    <w:p w14:paraId="4A2B9775" w14:textId="77777777" w:rsidR="00964AFD" w:rsidRPr="004F5FB4" w:rsidRDefault="00964AFD" w:rsidP="00ED34EF">
      <w:pPr>
        <w:pStyle w:val="BodyText"/>
        <w:keepNext/>
        <w:widowControl/>
        <w:kinsoku w:val="0"/>
        <w:overflowPunct w:val="0"/>
        <w:ind w:left="0"/>
        <w:rPr>
          <w:color w:val="000000"/>
        </w:rPr>
      </w:pPr>
      <w:r w:rsidRPr="004F5FB4">
        <w:rPr>
          <w:color w:val="000000"/>
          <w:u w:val="single"/>
        </w:rPr>
        <w:t>Immunogenität</w:t>
      </w:r>
    </w:p>
    <w:p w14:paraId="055E41FE" w14:textId="77777777" w:rsidR="00964AFD" w:rsidRPr="004F5FB4" w:rsidRDefault="00964AFD" w:rsidP="00ED34EF">
      <w:pPr>
        <w:pStyle w:val="BodyText"/>
        <w:keepNext/>
        <w:widowControl/>
        <w:kinsoku w:val="0"/>
        <w:overflowPunct w:val="0"/>
        <w:ind w:left="0"/>
        <w:rPr>
          <w:color w:val="000000"/>
          <w:szCs w:val="15"/>
        </w:rPr>
      </w:pPr>
    </w:p>
    <w:p w14:paraId="0C166E17" w14:textId="77777777" w:rsidR="00964AFD" w:rsidRPr="004F5FB4" w:rsidRDefault="00C27FEF" w:rsidP="00387D0C">
      <w:pPr>
        <w:pStyle w:val="BodyText"/>
        <w:widowControl/>
        <w:kinsoku w:val="0"/>
        <w:overflowPunct w:val="0"/>
        <w:ind w:left="0"/>
        <w:rPr>
          <w:color w:val="000000"/>
        </w:rPr>
      </w:pPr>
      <w:r w:rsidRPr="004F5FB4">
        <w:rPr>
          <w:color w:val="000000"/>
        </w:rPr>
        <w:t>Während der Behandlung mit Adalimumab können sich Anti-Adalimumab-Antikörper entwickeln. Die Bildung von Anti</w:t>
      </w:r>
      <w:r w:rsidRPr="004F5FB4">
        <w:rPr>
          <w:color w:val="000000"/>
        </w:rPr>
        <w:noBreakHyphen/>
        <w:t xml:space="preserve">Adalimumab-Antikörpern ist mit einer erhöhten Clearance und einer </w:t>
      </w:r>
      <w:r w:rsidRPr="004F5FB4">
        <w:rPr>
          <w:color w:val="000000"/>
        </w:rPr>
        <w:lastRenderedPageBreak/>
        <w:t>verminderten Wirksamkeit von Adalimumab verbunden. Zwischen der Anwesenheit von Anti-Adalimumab-Antikörpern und dem Auftreten von unerwünschten Ereignissen gibt es keinen offensichtlichen Zusammenhang.</w:t>
      </w:r>
    </w:p>
    <w:p w14:paraId="538A2067" w14:textId="77777777" w:rsidR="00964AFD" w:rsidRPr="004F5FB4" w:rsidRDefault="00964AFD" w:rsidP="00387D0C">
      <w:pPr>
        <w:pStyle w:val="BodyText"/>
        <w:widowControl/>
        <w:kinsoku w:val="0"/>
        <w:overflowPunct w:val="0"/>
        <w:ind w:left="0"/>
        <w:rPr>
          <w:color w:val="000000"/>
        </w:rPr>
      </w:pPr>
    </w:p>
    <w:p w14:paraId="7509E429" w14:textId="77777777" w:rsidR="00964AFD" w:rsidRPr="004F5FB4" w:rsidRDefault="00964AFD" w:rsidP="002510E7">
      <w:pPr>
        <w:pStyle w:val="BodyText"/>
        <w:keepNext/>
        <w:widowControl/>
        <w:kinsoku w:val="0"/>
        <w:overflowPunct w:val="0"/>
        <w:ind w:left="0"/>
        <w:rPr>
          <w:color w:val="000000"/>
        </w:rPr>
      </w:pPr>
      <w:r w:rsidRPr="004F5FB4">
        <w:rPr>
          <w:color w:val="000000"/>
          <w:u w:val="single"/>
        </w:rPr>
        <w:t>Kinder und Jugendliche</w:t>
      </w:r>
    </w:p>
    <w:p w14:paraId="1782E372" w14:textId="77777777" w:rsidR="00964AFD" w:rsidRPr="004F5FB4" w:rsidRDefault="00964AFD" w:rsidP="002510E7">
      <w:pPr>
        <w:pStyle w:val="BodyText"/>
        <w:keepNext/>
        <w:widowControl/>
        <w:kinsoku w:val="0"/>
        <w:overflowPunct w:val="0"/>
        <w:ind w:left="0"/>
        <w:rPr>
          <w:color w:val="000000"/>
        </w:rPr>
      </w:pPr>
    </w:p>
    <w:p w14:paraId="135C4B48" w14:textId="77777777" w:rsidR="002E7CBA" w:rsidRPr="002E7CBA" w:rsidRDefault="002E7CBA" w:rsidP="002E7CBA">
      <w:pPr>
        <w:pStyle w:val="BodyText"/>
        <w:kinsoku w:val="0"/>
        <w:overflowPunct w:val="0"/>
        <w:ind w:left="0"/>
        <w:rPr>
          <w:i/>
          <w:iCs/>
          <w:color w:val="000000"/>
        </w:rPr>
      </w:pPr>
      <w:r w:rsidRPr="002E7CBA">
        <w:rPr>
          <w:i/>
          <w:iCs/>
          <w:color w:val="000000"/>
        </w:rPr>
        <w:t>Juvenile idiopathische Arthritis (JIA)</w:t>
      </w:r>
    </w:p>
    <w:p w14:paraId="56C0CBD7" w14:textId="77777777" w:rsidR="002E7CBA" w:rsidRDefault="002E7CBA" w:rsidP="002E7CBA">
      <w:pPr>
        <w:pStyle w:val="BodyText"/>
        <w:kinsoku w:val="0"/>
        <w:overflowPunct w:val="0"/>
        <w:ind w:left="0"/>
        <w:rPr>
          <w:i/>
          <w:iCs/>
          <w:color w:val="000000"/>
        </w:rPr>
      </w:pPr>
    </w:p>
    <w:p w14:paraId="3D58EA45" w14:textId="77777777" w:rsidR="002E7CBA" w:rsidRPr="00E26948" w:rsidRDefault="002E7CBA" w:rsidP="002E7CBA">
      <w:pPr>
        <w:pStyle w:val="BodyText"/>
        <w:kinsoku w:val="0"/>
        <w:overflowPunct w:val="0"/>
        <w:ind w:left="0"/>
        <w:rPr>
          <w:i/>
          <w:iCs/>
          <w:color w:val="000000"/>
          <w:u w:val="single"/>
        </w:rPr>
      </w:pPr>
      <w:r w:rsidRPr="00E26948">
        <w:rPr>
          <w:i/>
          <w:iCs/>
          <w:color w:val="000000"/>
          <w:u w:val="single"/>
        </w:rPr>
        <w:t>Polyartikuläre juvenile idiopathische Arthritis (pJIA)</w:t>
      </w:r>
    </w:p>
    <w:p w14:paraId="172039E0" w14:textId="77777777" w:rsidR="002E7CBA" w:rsidRDefault="002E7CBA" w:rsidP="002E7CBA">
      <w:pPr>
        <w:pStyle w:val="BodyText"/>
        <w:kinsoku w:val="0"/>
        <w:overflowPunct w:val="0"/>
        <w:ind w:left="0"/>
        <w:rPr>
          <w:color w:val="000000"/>
        </w:rPr>
      </w:pPr>
    </w:p>
    <w:p w14:paraId="4A5913ED" w14:textId="77777777" w:rsidR="002E7CBA" w:rsidRPr="002E7CBA" w:rsidRDefault="002E7CBA" w:rsidP="002E7CBA">
      <w:pPr>
        <w:pStyle w:val="BodyText"/>
        <w:kinsoku w:val="0"/>
        <w:overflowPunct w:val="0"/>
        <w:ind w:left="0"/>
        <w:rPr>
          <w:color w:val="000000"/>
        </w:rPr>
      </w:pPr>
      <w:r w:rsidRPr="002E7CBA">
        <w:rPr>
          <w:color w:val="000000"/>
        </w:rPr>
        <w:t xml:space="preserve">Die Sicherheit und Wirksamkeit von </w:t>
      </w:r>
      <w:r>
        <w:rPr>
          <w:color w:val="000000"/>
        </w:rPr>
        <w:t>Adalimumab</w:t>
      </w:r>
      <w:r w:rsidRPr="002E7CBA">
        <w:rPr>
          <w:color w:val="000000"/>
        </w:rPr>
        <w:t xml:space="preserve"> wurden in zwei Studien (pJIA I und II) an Kindern mit</w:t>
      </w:r>
      <w:r>
        <w:rPr>
          <w:color w:val="000000"/>
        </w:rPr>
        <w:t xml:space="preserve"> </w:t>
      </w:r>
      <w:r w:rsidRPr="002E7CBA">
        <w:rPr>
          <w:color w:val="000000"/>
        </w:rPr>
        <w:t>aktiver polyartikulärer juveniler idiopathischer Arthritis oder polyartikulärem Verlauf untersucht, die</w:t>
      </w:r>
      <w:r>
        <w:rPr>
          <w:color w:val="000000"/>
        </w:rPr>
        <w:t xml:space="preserve"> </w:t>
      </w:r>
      <w:r w:rsidRPr="002E7CBA">
        <w:rPr>
          <w:color w:val="000000"/>
        </w:rPr>
        <w:t>zu Erkrankungsbeginn verschiedene Subtypen der juvenilen idiopathischen Arthritis aufwiesen (am</w:t>
      </w:r>
      <w:r>
        <w:rPr>
          <w:color w:val="000000"/>
        </w:rPr>
        <w:t xml:space="preserve"> </w:t>
      </w:r>
      <w:r w:rsidRPr="002E7CBA">
        <w:rPr>
          <w:color w:val="000000"/>
        </w:rPr>
        <w:t>häufigsten waren Rheumafaktor</w:t>
      </w:r>
      <w:r>
        <w:rPr>
          <w:color w:val="000000"/>
        </w:rPr>
        <w:t>-</w:t>
      </w:r>
      <w:r w:rsidRPr="002E7CBA">
        <w:rPr>
          <w:color w:val="000000"/>
        </w:rPr>
        <w:t xml:space="preserve">negative oder </w:t>
      </w:r>
      <w:r>
        <w:rPr>
          <w:color w:val="000000"/>
        </w:rPr>
        <w:t>-</w:t>
      </w:r>
      <w:r w:rsidRPr="002E7CBA">
        <w:rPr>
          <w:color w:val="000000"/>
        </w:rPr>
        <w:t>positive Polyarthritis und erweiterte Oligoarthritis).</w:t>
      </w:r>
    </w:p>
    <w:p w14:paraId="565E44DC" w14:textId="77777777" w:rsidR="002E7CBA" w:rsidRDefault="002E7CBA" w:rsidP="002E7CBA">
      <w:pPr>
        <w:pStyle w:val="BodyText"/>
        <w:kinsoku w:val="0"/>
        <w:overflowPunct w:val="0"/>
        <w:ind w:left="0"/>
        <w:rPr>
          <w:color w:val="000000"/>
        </w:rPr>
      </w:pPr>
    </w:p>
    <w:p w14:paraId="79849CFC" w14:textId="77777777" w:rsidR="002E7CBA" w:rsidRPr="002E7CBA" w:rsidRDefault="002E7CBA" w:rsidP="002E7CBA">
      <w:pPr>
        <w:pStyle w:val="BodyText"/>
        <w:kinsoku w:val="0"/>
        <w:overflowPunct w:val="0"/>
        <w:ind w:left="0"/>
        <w:rPr>
          <w:color w:val="000000"/>
        </w:rPr>
      </w:pPr>
      <w:r w:rsidRPr="002E7CBA">
        <w:rPr>
          <w:color w:val="000000"/>
        </w:rPr>
        <w:t>pJIA I</w:t>
      </w:r>
    </w:p>
    <w:p w14:paraId="6F87736B" w14:textId="77777777" w:rsidR="002E7CBA" w:rsidRDefault="002E7CBA" w:rsidP="002E7CBA">
      <w:pPr>
        <w:pStyle w:val="BodyText"/>
        <w:kinsoku w:val="0"/>
        <w:overflowPunct w:val="0"/>
        <w:ind w:left="0"/>
        <w:rPr>
          <w:color w:val="000000"/>
        </w:rPr>
      </w:pPr>
    </w:p>
    <w:p w14:paraId="3A63C416" w14:textId="77777777" w:rsidR="002E7CBA" w:rsidRPr="002E7CBA" w:rsidRDefault="002E7CBA" w:rsidP="002E7CBA">
      <w:pPr>
        <w:kinsoku w:val="0"/>
        <w:overflowPunct w:val="0"/>
        <w:rPr>
          <w:color w:val="000000"/>
        </w:rPr>
      </w:pPr>
      <w:r w:rsidRPr="002E7CBA">
        <w:rPr>
          <w:color w:val="000000"/>
        </w:rPr>
        <w:t>Die Sicherheit und Wirksamkeit von Adalimumab wurden in einer multizentrischen, randomisierten, doppelblinden Parallelgruppenstudie an 171 Kindern und Jugendlichen (4 – 17 Jahre alt) mit polyartikulärer JIA untersucht. In der offenen Einleitungsphase (OL-LI) wurden die Patienten in zwei Gruppen stratifiziert: mit Methotrexat (MTX) behandelte oder nicht mit MTX behandelte Patienten. Patienten, die im Nicht-MTX-Arm waren, waren entweder MTX-naiv oder MTX war mindestens zwei Wochen vor Verabreichung der Studienmedikation abgesetzt worden. Die Patienten erhielten stabile Dosen eines nicht steroidalen Antirheumatikums (NSAR) und/oder Prednison (≤ 0,2 mg/kg/Tag oder maximal 10 mg/Tag). In der OL-LI-Phase erhielten alle Patienten 16 Wochen lang 24 mg/m</w:t>
      </w:r>
      <w:r w:rsidRPr="002E7CBA">
        <w:rPr>
          <w:color w:val="000000"/>
          <w:vertAlign w:val="superscript"/>
        </w:rPr>
        <w:t>2</w:t>
      </w:r>
      <w:r w:rsidRPr="002E7CBA">
        <w:rPr>
          <w:color w:val="000000"/>
        </w:rPr>
        <w:t xml:space="preserve"> bis zu einer Maximaldosis von 40 mg Adalimumab jede zweite Woche. Die Patientenverteilung nach Alter und minimaler, mittlerer und maximaler Dosis, wie sie während der OL-LI-Phase verabreicht wurde, ist in Tabelle </w:t>
      </w:r>
      <w:r>
        <w:rPr>
          <w:color w:val="000000"/>
        </w:rPr>
        <w:t>1</w:t>
      </w:r>
      <w:r w:rsidRPr="002E7CBA">
        <w:rPr>
          <w:color w:val="000000"/>
        </w:rPr>
        <w:t>7 dargestellt.</w:t>
      </w:r>
    </w:p>
    <w:p w14:paraId="20664F58" w14:textId="77777777" w:rsidR="002E7CBA" w:rsidRDefault="002E7CBA" w:rsidP="00387D0C">
      <w:pPr>
        <w:pStyle w:val="BodyText"/>
        <w:widowControl/>
        <w:kinsoku w:val="0"/>
        <w:overflowPunct w:val="0"/>
        <w:ind w:left="0"/>
        <w:rPr>
          <w:color w:val="000000"/>
        </w:rPr>
      </w:pPr>
    </w:p>
    <w:p w14:paraId="0FFEA429" w14:textId="77777777" w:rsidR="002E7CBA" w:rsidRPr="002E7CBA" w:rsidRDefault="00324DDA" w:rsidP="002E7CBA">
      <w:pPr>
        <w:kinsoku w:val="0"/>
        <w:overflowPunct w:val="0"/>
        <w:rPr>
          <w:b/>
          <w:color w:val="000000"/>
        </w:rPr>
      </w:pPr>
      <w:r>
        <w:rPr>
          <w:b/>
          <w:color w:val="000000"/>
        </w:rPr>
        <w:t>Tabelle </w:t>
      </w:r>
      <w:r w:rsidR="002E7CBA">
        <w:rPr>
          <w:b/>
          <w:color w:val="000000"/>
        </w:rPr>
        <w:t>1</w:t>
      </w:r>
      <w:r w:rsidR="002E7CBA" w:rsidRPr="002E7CBA">
        <w:rPr>
          <w:b/>
          <w:color w:val="000000"/>
        </w:rPr>
        <w:t>7</w:t>
      </w:r>
    </w:p>
    <w:p w14:paraId="36EC6D6C" w14:textId="77777777" w:rsidR="002E7CBA" w:rsidRPr="002E7CBA" w:rsidRDefault="002E7CBA" w:rsidP="002E7CBA">
      <w:pPr>
        <w:kinsoku w:val="0"/>
        <w:overflowPunct w:val="0"/>
        <w:rPr>
          <w:b/>
          <w:color w:val="000000"/>
        </w:rPr>
      </w:pPr>
      <w:r w:rsidRPr="002E7CBA">
        <w:rPr>
          <w:b/>
          <w:color w:val="000000"/>
        </w:rPr>
        <w:t>Patientenverteilung nach Alter und verabreichter Adalimumab-Dosis während der OL-LI-Phase</w:t>
      </w:r>
    </w:p>
    <w:p w14:paraId="272E8860" w14:textId="77777777" w:rsidR="002E7CBA" w:rsidRPr="002E7CBA" w:rsidRDefault="002E7CBA" w:rsidP="002E7CBA">
      <w:pPr>
        <w:keepNext/>
        <w:keepLines/>
        <w:kinsoku w:val="0"/>
        <w:overflowPunct w:val="0"/>
        <w:rPr>
          <w:b/>
          <w:bCs/>
          <w:color w:val="000000"/>
          <w:szCs w:val="24"/>
        </w:rPr>
      </w:pPr>
    </w:p>
    <w:tbl>
      <w:tblPr>
        <w:tblW w:w="5000" w:type="pct"/>
        <w:tblInd w:w="5" w:type="dxa"/>
        <w:tblLayout w:type="fixed"/>
        <w:tblCellMar>
          <w:left w:w="0" w:type="dxa"/>
          <w:right w:w="0" w:type="dxa"/>
        </w:tblCellMar>
        <w:tblLook w:val="0000" w:firstRow="0" w:lastRow="0" w:firstColumn="0" w:lastColumn="0" w:noHBand="0" w:noVBand="0"/>
      </w:tblPr>
      <w:tblGrid>
        <w:gridCol w:w="2389"/>
        <w:gridCol w:w="3476"/>
        <w:gridCol w:w="3200"/>
      </w:tblGrid>
      <w:tr w:rsidR="002E7CBA" w:rsidRPr="002E7CBA" w14:paraId="5D744FAF" w14:textId="77777777" w:rsidTr="00465659">
        <w:tc>
          <w:tcPr>
            <w:tcW w:w="2394" w:type="dxa"/>
            <w:tcBorders>
              <w:top w:val="single" w:sz="4" w:space="0" w:color="000000"/>
              <w:left w:val="single" w:sz="4" w:space="0" w:color="000000"/>
              <w:bottom w:val="single" w:sz="4" w:space="0" w:color="000000"/>
              <w:right w:val="single" w:sz="4" w:space="0" w:color="000000"/>
            </w:tcBorders>
          </w:tcPr>
          <w:p w14:paraId="3F3290EF" w14:textId="77777777" w:rsidR="002E7CBA" w:rsidRPr="002E7CBA" w:rsidRDefault="002E7CBA" w:rsidP="008419B6">
            <w:pPr>
              <w:keepNext/>
              <w:keepLines/>
              <w:kinsoku w:val="0"/>
              <w:overflowPunct w:val="0"/>
              <w:ind w:left="102"/>
              <w:jc w:val="center"/>
              <w:rPr>
                <w:rFonts w:eastAsia="Calibri"/>
                <w:b/>
                <w:color w:val="000000"/>
              </w:rPr>
            </w:pPr>
            <w:r w:rsidRPr="002E7CBA">
              <w:rPr>
                <w:rFonts w:eastAsia="Calibri"/>
                <w:b/>
                <w:color w:val="000000"/>
              </w:rPr>
              <w:t>Altersgruppe</w:t>
            </w:r>
          </w:p>
        </w:tc>
        <w:tc>
          <w:tcPr>
            <w:tcW w:w="3484" w:type="dxa"/>
            <w:tcBorders>
              <w:top w:val="single" w:sz="4" w:space="0" w:color="000000"/>
              <w:left w:val="single" w:sz="4" w:space="0" w:color="000000"/>
              <w:bottom w:val="single" w:sz="4" w:space="0" w:color="000000"/>
              <w:right w:val="single" w:sz="4" w:space="0" w:color="000000"/>
            </w:tcBorders>
          </w:tcPr>
          <w:p w14:paraId="11EEF44C" w14:textId="77777777" w:rsidR="002E7CBA" w:rsidRPr="002E7CBA" w:rsidRDefault="002E7CBA" w:rsidP="008419B6">
            <w:pPr>
              <w:keepNext/>
              <w:keepLines/>
              <w:kinsoku w:val="0"/>
              <w:overflowPunct w:val="0"/>
              <w:ind w:left="101" w:right="679"/>
              <w:jc w:val="center"/>
              <w:rPr>
                <w:rFonts w:eastAsia="Calibri"/>
                <w:b/>
                <w:color w:val="000000"/>
              </w:rPr>
            </w:pPr>
            <w:r w:rsidRPr="002E7CBA">
              <w:rPr>
                <w:rFonts w:eastAsia="Calibri"/>
                <w:b/>
                <w:color w:val="000000"/>
              </w:rPr>
              <w:t>Patientenanzahl zu Studienbeginn</w:t>
            </w:r>
          </w:p>
          <w:p w14:paraId="171EC86D" w14:textId="77777777" w:rsidR="002E7CBA" w:rsidRPr="002E7CBA" w:rsidRDefault="002E7CBA" w:rsidP="008419B6">
            <w:pPr>
              <w:keepNext/>
              <w:keepLines/>
              <w:kinsoku w:val="0"/>
              <w:overflowPunct w:val="0"/>
              <w:ind w:left="101" w:right="679"/>
              <w:jc w:val="center"/>
              <w:rPr>
                <w:rFonts w:eastAsia="Calibri"/>
                <w:b/>
                <w:color w:val="000000"/>
              </w:rPr>
            </w:pPr>
            <w:r w:rsidRPr="002E7CBA">
              <w:rPr>
                <w:rFonts w:eastAsia="Calibri"/>
                <w:b/>
                <w:color w:val="000000"/>
              </w:rPr>
              <w:t>n (%)</w:t>
            </w:r>
          </w:p>
        </w:tc>
        <w:tc>
          <w:tcPr>
            <w:tcW w:w="3207" w:type="dxa"/>
            <w:tcBorders>
              <w:top w:val="single" w:sz="4" w:space="0" w:color="000000"/>
              <w:left w:val="single" w:sz="4" w:space="0" w:color="000000"/>
              <w:bottom w:val="single" w:sz="4" w:space="0" w:color="000000"/>
              <w:right w:val="single" w:sz="4" w:space="0" w:color="000000"/>
            </w:tcBorders>
          </w:tcPr>
          <w:p w14:paraId="12FBB5A6" w14:textId="77777777" w:rsidR="002E7CBA" w:rsidRPr="002E7CBA" w:rsidRDefault="002E7CBA" w:rsidP="008419B6">
            <w:pPr>
              <w:keepNext/>
              <w:keepLines/>
              <w:kinsoku w:val="0"/>
              <w:overflowPunct w:val="0"/>
              <w:ind w:left="102" w:right="165"/>
              <w:jc w:val="center"/>
              <w:rPr>
                <w:rFonts w:eastAsia="Calibri"/>
                <w:b/>
                <w:color w:val="000000"/>
              </w:rPr>
            </w:pPr>
            <w:r w:rsidRPr="002E7CBA">
              <w:rPr>
                <w:rFonts w:eastAsia="Calibri"/>
                <w:b/>
                <w:color w:val="000000"/>
              </w:rPr>
              <w:t>Minimale, mittlere und maximale Dosis</w:t>
            </w:r>
          </w:p>
        </w:tc>
      </w:tr>
      <w:tr w:rsidR="002E7CBA" w:rsidRPr="002E7CBA" w14:paraId="34B0C8E3" w14:textId="77777777" w:rsidTr="00465659">
        <w:tc>
          <w:tcPr>
            <w:tcW w:w="2394" w:type="dxa"/>
            <w:tcBorders>
              <w:top w:val="single" w:sz="4" w:space="0" w:color="000000"/>
              <w:left w:val="single" w:sz="4" w:space="0" w:color="000000"/>
              <w:bottom w:val="single" w:sz="4" w:space="0" w:color="000000"/>
              <w:right w:val="single" w:sz="4" w:space="0" w:color="000000"/>
            </w:tcBorders>
          </w:tcPr>
          <w:p w14:paraId="5221D71F" w14:textId="77777777" w:rsidR="002E7CBA" w:rsidRPr="002E7CBA" w:rsidRDefault="002E7CBA" w:rsidP="008419B6">
            <w:pPr>
              <w:kinsoku w:val="0"/>
              <w:overflowPunct w:val="0"/>
              <w:ind w:left="102"/>
              <w:jc w:val="center"/>
              <w:rPr>
                <w:rFonts w:eastAsia="Calibri"/>
                <w:color w:val="000000"/>
              </w:rPr>
            </w:pPr>
            <w:r w:rsidRPr="002E7CBA">
              <w:rPr>
                <w:rFonts w:eastAsia="Calibri"/>
                <w:color w:val="000000"/>
              </w:rPr>
              <w:t>4 bis 7 Jahre</w:t>
            </w:r>
          </w:p>
        </w:tc>
        <w:tc>
          <w:tcPr>
            <w:tcW w:w="3484" w:type="dxa"/>
            <w:tcBorders>
              <w:top w:val="single" w:sz="4" w:space="0" w:color="000000"/>
              <w:left w:val="single" w:sz="4" w:space="0" w:color="000000"/>
              <w:bottom w:val="single" w:sz="4" w:space="0" w:color="000000"/>
              <w:right w:val="single" w:sz="4" w:space="0" w:color="000000"/>
            </w:tcBorders>
          </w:tcPr>
          <w:p w14:paraId="7746A556" w14:textId="77777777" w:rsidR="002E7CBA" w:rsidRPr="002E7CBA" w:rsidRDefault="002E7CBA" w:rsidP="008419B6">
            <w:pPr>
              <w:kinsoku w:val="0"/>
              <w:overflowPunct w:val="0"/>
              <w:ind w:left="101"/>
              <w:jc w:val="center"/>
              <w:rPr>
                <w:rFonts w:eastAsia="Calibri"/>
                <w:color w:val="000000"/>
              </w:rPr>
            </w:pPr>
            <w:r w:rsidRPr="002E7CBA">
              <w:rPr>
                <w:rFonts w:eastAsia="Calibri"/>
                <w:color w:val="000000"/>
              </w:rPr>
              <w:t>31 (18,1)</w:t>
            </w:r>
          </w:p>
        </w:tc>
        <w:tc>
          <w:tcPr>
            <w:tcW w:w="3207" w:type="dxa"/>
            <w:tcBorders>
              <w:top w:val="single" w:sz="4" w:space="0" w:color="000000"/>
              <w:left w:val="single" w:sz="4" w:space="0" w:color="000000"/>
              <w:bottom w:val="single" w:sz="4" w:space="0" w:color="000000"/>
              <w:right w:val="single" w:sz="4" w:space="0" w:color="000000"/>
            </w:tcBorders>
          </w:tcPr>
          <w:p w14:paraId="6C41D5B7" w14:textId="77777777" w:rsidR="002E7CBA" w:rsidRPr="002E7CBA" w:rsidRDefault="002E7CBA" w:rsidP="008419B6">
            <w:pPr>
              <w:kinsoku w:val="0"/>
              <w:overflowPunct w:val="0"/>
              <w:ind w:left="102"/>
              <w:jc w:val="center"/>
              <w:rPr>
                <w:rFonts w:eastAsia="Calibri"/>
                <w:color w:val="000000"/>
              </w:rPr>
            </w:pPr>
            <w:r w:rsidRPr="002E7CBA">
              <w:rPr>
                <w:rFonts w:eastAsia="Calibri"/>
                <w:color w:val="000000"/>
              </w:rPr>
              <w:t>10, 20 und 25 mg</w:t>
            </w:r>
          </w:p>
        </w:tc>
      </w:tr>
      <w:tr w:rsidR="002E7CBA" w:rsidRPr="002E7CBA" w14:paraId="17E9DBE6" w14:textId="77777777" w:rsidTr="00465659">
        <w:tc>
          <w:tcPr>
            <w:tcW w:w="2394" w:type="dxa"/>
            <w:tcBorders>
              <w:top w:val="single" w:sz="4" w:space="0" w:color="000000"/>
              <w:left w:val="single" w:sz="4" w:space="0" w:color="000000"/>
              <w:bottom w:val="single" w:sz="4" w:space="0" w:color="000000"/>
              <w:right w:val="single" w:sz="4" w:space="0" w:color="000000"/>
            </w:tcBorders>
          </w:tcPr>
          <w:p w14:paraId="7D178C98" w14:textId="77777777" w:rsidR="002E7CBA" w:rsidRPr="002E7CBA" w:rsidRDefault="002E7CBA" w:rsidP="008419B6">
            <w:pPr>
              <w:kinsoku w:val="0"/>
              <w:overflowPunct w:val="0"/>
              <w:ind w:left="102"/>
              <w:jc w:val="center"/>
              <w:rPr>
                <w:rFonts w:eastAsia="Calibri"/>
                <w:color w:val="000000"/>
              </w:rPr>
            </w:pPr>
            <w:r w:rsidRPr="002E7CBA">
              <w:rPr>
                <w:rFonts w:eastAsia="Calibri"/>
                <w:color w:val="000000"/>
              </w:rPr>
              <w:t>8 bis 12 Jahre</w:t>
            </w:r>
          </w:p>
        </w:tc>
        <w:tc>
          <w:tcPr>
            <w:tcW w:w="3484" w:type="dxa"/>
            <w:tcBorders>
              <w:top w:val="single" w:sz="4" w:space="0" w:color="000000"/>
              <w:left w:val="single" w:sz="4" w:space="0" w:color="000000"/>
              <w:bottom w:val="single" w:sz="4" w:space="0" w:color="000000"/>
              <w:right w:val="single" w:sz="4" w:space="0" w:color="000000"/>
            </w:tcBorders>
          </w:tcPr>
          <w:p w14:paraId="0B79A526" w14:textId="77777777" w:rsidR="002E7CBA" w:rsidRPr="002E7CBA" w:rsidRDefault="002E7CBA" w:rsidP="008419B6">
            <w:pPr>
              <w:kinsoku w:val="0"/>
              <w:overflowPunct w:val="0"/>
              <w:ind w:left="101"/>
              <w:jc w:val="center"/>
              <w:rPr>
                <w:rFonts w:eastAsia="Calibri"/>
                <w:color w:val="000000"/>
              </w:rPr>
            </w:pPr>
            <w:r w:rsidRPr="002E7CBA">
              <w:rPr>
                <w:rFonts w:eastAsia="Calibri"/>
                <w:color w:val="000000"/>
              </w:rPr>
              <w:t>71 (41,5)</w:t>
            </w:r>
          </w:p>
        </w:tc>
        <w:tc>
          <w:tcPr>
            <w:tcW w:w="3207" w:type="dxa"/>
            <w:tcBorders>
              <w:top w:val="single" w:sz="4" w:space="0" w:color="000000"/>
              <w:left w:val="single" w:sz="4" w:space="0" w:color="000000"/>
              <w:bottom w:val="single" w:sz="4" w:space="0" w:color="000000"/>
              <w:right w:val="single" w:sz="4" w:space="0" w:color="000000"/>
            </w:tcBorders>
          </w:tcPr>
          <w:p w14:paraId="54C15515" w14:textId="77777777" w:rsidR="002E7CBA" w:rsidRPr="002E7CBA" w:rsidRDefault="002E7CBA" w:rsidP="008419B6">
            <w:pPr>
              <w:kinsoku w:val="0"/>
              <w:overflowPunct w:val="0"/>
              <w:ind w:left="102"/>
              <w:jc w:val="center"/>
              <w:rPr>
                <w:rFonts w:eastAsia="Calibri"/>
                <w:color w:val="000000"/>
              </w:rPr>
            </w:pPr>
            <w:r w:rsidRPr="002E7CBA">
              <w:rPr>
                <w:rFonts w:eastAsia="Calibri"/>
                <w:color w:val="000000"/>
              </w:rPr>
              <w:t>20, 25 und 40 mg</w:t>
            </w:r>
          </w:p>
        </w:tc>
      </w:tr>
      <w:tr w:rsidR="002E7CBA" w:rsidRPr="002E7CBA" w14:paraId="3641929F" w14:textId="77777777" w:rsidTr="00465659">
        <w:tc>
          <w:tcPr>
            <w:tcW w:w="2394" w:type="dxa"/>
            <w:tcBorders>
              <w:top w:val="single" w:sz="4" w:space="0" w:color="000000"/>
              <w:left w:val="single" w:sz="4" w:space="0" w:color="000000"/>
              <w:bottom w:val="single" w:sz="4" w:space="0" w:color="000000"/>
              <w:right w:val="single" w:sz="4" w:space="0" w:color="000000"/>
            </w:tcBorders>
          </w:tcPr>
          <w:p w14:paraId="01A5D529" w14:textId="77777777" w:rsidR="002E7CBA" w:rsidRPr="002E7CBA" w:rsidRDefault="002E7CBA" w:rsidP="008419B6">
            <w:pPr>
              <w:kinsoku w:val="0"/>
              <w:overflowPunct w:val="0"/>
              <w:ind w:left="102"/>
              <w:jc w:val="center"/>
              <w:rPr>
                <w:rFonts w:eastAsia="Calibri"/>
                <w:color w:val="000000"/>
              </w:rPr>
            </w:pPr>
            <w:r w:rsidRPr="002E7CBA">
              <w:rPr>
                <w:rFonts w:eastAsia="Calibri"/>
                <w:color w:val="000000"/>
              </w:rPr>
              <w:t>13 bis 17 Jahre</w:t>
            </w:r>
          </w:p>
        </w:tc>
        <w:tc>
          <w:tcPr>
            <w:tcW w:w="3484" w:type="dxa"/>
            <w:tcBorders>
              <w:top w:val="single" w:sz="4" w:space="0" w:color="000000"/>
              <w:left w:val="single" w:sz="4" w:space="0" w:color="000000"/>
              <w:bottom w:val="single" w:sz="4" w:space="0" w:color="000000"/>
              <w:right w:val="single" w:sz="4" w:space="0" w:color="000000"/>
            </w:tcBorders>
          </w:tcPr>
          <w:p w14:paraId="51EF27C3" w14:textId="77777777" w:rsidR="002E7CBA" w:rsidRPr="002E7CBA" w:rsidRDefault="002E7CBA" w:rsidP="008419B6">
            <w:pPr>
              <w:kinsoku w:val="0"/>
              <w:overflowPunct w:val="0"/>
              <w:ind w:left="101"/>
              <w:jc w:val="center"/>
              <w:rPr>
                <w:rFonts w:eastAsia="Calibri"/>
                <w:color w:val="000000"/>
              </w:rPr>
            </w:pPr>
            <w:r w:rsidRPr="002E7CBA">
              <w:rPr>
                <w:rFonts w:eastAsia="Calibri"/>
                <w:color w:val="000000"/>
              </w:rPr>
              <w:t>69 (40,4)</w:t>
            </w:r>
          </w:p>
        </w:tc>
        <w:tc>
          <w:tcPr>
            <w:tcW w:w="3207" w:type="dxa"/>
            <w:tcBorders>
              <w:top w:val="single" w:sz="4" w:space="0" w:color="000000"/>
              <w:left w:val="single" w:sz="4" w:space="0" w:color="000000"/>
              <w:bottom w:val="single" w:sz="4" w:space="0" w:color="000000"/>
              <w:right w:val="single" w:sz="4" w:space="0" w:color="000000"/>
            </w:tcBorders>
          </w:tcPr>
          <w:p w14:paraId="5ED54193" w14:textId="77777777" w:rsidR="002E7CBA" w:rsidRPr="002E7CBA" w:rsidRDefault="002E7CBA" w:rsidP="008419B6">
            <w:pPr>
              <w:kinsoku w:val="0"/>
              <w:overflowPunct w:val="0"/>
              <w:ind w:left="102"/>
              <w:jc w:val="center"/>
              <w:rPr>
                <w:rFonts w:eastAsia="Calibri"/>
                <w:color w:val="000000"/>
              </w:rPr>
            </w:pPr>
            <w:r w:rsidRPr="002E7CBA">
              <w:rPr>
                <w:rFonts w:eastAsia="Calibri"/>
                <w:color w:val="000000"/>
              </w:rPr>
              <w:t>25, 40 und 40 mg</w:t>
            </w:r>
          </w:p>
        </w:tc>
      </w:tr>
    </w:tbl>
    <w:p w14:paraId="0CA2BF06" w14:textId="77777777" w:rsidR="002E7CBA" w:rsidRPr="002E7CBA" w:rsidRDefault="002E7CBA" w:rsidP="002E7CBA">
      <w:pPr>
        <w:kinsoku w:val="0"/>
        <w:overflowPunct w:val="0"/>
        <w:rPr>
          <w:bCs/>
          <w:color w:val="000000"/>
          <w:lang w:val="en-GB"/>
        </w:rPr>
      </w:pPr>
    </w:p>
    <w:p w14:paraId="5A86F3D0" w14:textId="77777777" w:rsidR="002E7CBA" w:rsidRPr="002E7CBA" w:rsidRDefault="002E7CBA" w:rsidP="002E7CBA">
      <w:pPr>
        <w:kinsoku w:val="0"/>
        <w:overflowPunct w:val="0"/>
        <w:rPr>
          <w:color w:val="000000"/>
        </w:rPr>
      </w:pPr>
      <w:r w:rsidRPr="002E7CBA">
        <w:rPr>
          <w:color w:val="000000"/>
        </w:rPr>
        <w:t>Die Patienten, die ein pädiatrisches ACR-30-Ansprechen in Woche 16 zeigten, waren für die Randomisierung in die doppelblinde (DB-)Studienphase geeignet und erhielten entweder Adalimumab (24 mg/m</w:t>
      </w:r>
      <w:r w:rsidRPr="002E7CBA">
        <w:rPr>
          <w:color w:val="000000"/>
          <w:vertAlign w:val="superscript"/>
        </w:rPr>
        <w:t>2</w:t>
      </w:r>
      <w:r w:rsidRPr="002E7CBA">
        <w:rPr>
          <w:color w:val="000000"/>
        </w:rPr>
        <w:t xml:space="preserve"> bis zu einer maximalen </w:t>
      </w:r>
      <w:r w:rsidR="00A56AC9">
        <w:rPr>
          <w:color w:val="000000"/>
        </w:rPr>
        <w:t>Einzeld</w:t>
      </w:r>
      <w:r w:rsidR="00874BBD">
        <w:rPr>
          <w:color w:val="000000"/>
        </w:rPr>
        <w:t>osis</w:t>
      </w:r>
      <w:r w:rsidRPr="002E7CBA">
        <w:rPr>
          <w:color w:val="000000"/>
        </w:rPr>
        <w:t xml:space="preserve"> von 40 mg) oder Placebo jede zweite Woche für weitere 32 Wochen oder bis zu einem Wiederaufflammen der Erkrankung. Kriterien für ein Wiederaufflammen der Erkrankung waren definiert als eine Verschlechterung von ≥ 30 % im Vergleich zu Studienbeginn bei ≥ 3 von 6 pädiatrischen ACR-Core-Kriterien, ≥ 2 aktive Gelenke und eine Verbesserung von &gt; 30 % in nicht mehr als einem der 6 Kriterien. Nach 32 Wochen oder bei Wiederaufflammen der Erkrankung waren die Patienten für die Überführung in die offene Fortsetzungsphase (OLE) geeignet.</w:t>
      </w:r>
    </w:p>
    <w:p w14:paraId="064459F8" w14:textId="77777777" w:rsidR="002E7CBA" w:rsidRPr="002E7CBA" w:rsidRDefault="002E7CBA" w:rsidP="002E7CBA">
      <w:pPr>
        <w:rPr>
          <w:color w:val="000000"/>
        </w:rPr>
      </w:pPr>
    </w:p>
    <w:p w14:paraId="073C25B0" w14:textId="77777777" w:rsidR="002E7CBA" w:rsidRPr="002E7CBA" w:rsidRDefault="00324DDA" w:rsidP="002E7CBA">
      <w:pPr>
        <w:keepNext/>
        <w:keepLines/>
        <w:kinsoku w:val="0"/>
        <w:overflowPunct w:val="0"/>
        <w:rPr>
          <w:b/>
          <w:color w:val="000000"/>
        </w:rPr>
      </w:pPr>
      <w:r>
        <w:rPr>
          <w:b/>
          <w:color w:val="000000"/>
        </w:rPr>
        <w:lastRenderedPageBreak/>
        <w:t>Tabelle </w:t>
      </w:r>
      <w:r w:rsidR="00F2653A">
        <w:rPr>
          <w:b/>
          <w:color w:val="000000"/>
        </w:rPr>
        <w:t>1</w:t>
      </w:r>
      <w:r w:rsidR="002E7CBA" w:rsidRPr="002E7CBA">
        <w:rPr>
          <w:b/>
          <w:color w:val="000000"/>
        </w:rPr>
        <w:t>8</w:t>
      </w:r>
    </w:p>
    <w:p w14:paraId="297E72F5" w14:textId="77777777" w:rsidR="002E7CBA" w:rsidRPr="002E7CBA" w:rsidRDefault="002E7CBA" w:rsidP="002E7CBA">
      <w:pPr>
        <w:keepNext/>
        <w:keepLines/>
        <w:kinsoku w:val="0"/>
        <w:overflowPunct w:val="0"/>
        <w:rPr>
          <w:b/>
          <w:color w:val="000000"/>
        </w:rPr>
      </w:pPr>
      <w:r w:rsidRPr="002E7CBA">
        <w:rPr>
          <w:b/>
          <w:color w:val="000000"/>
        </w:rPr>
        <w:t>Pädiatrisches ACR-30-Ansprechen in der JIA-Studie</w:t>
      </w:r>
    </w:p>
    <w:p w14:paraId="730CE64F" w14:textId="77777777" w:rsidR="002E7CBA" w:rsidRPr="002E7CBA" w:rsidRDefault="002E7CBA" w:rsidP="002E7CBA">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1915"/>
        <w:gridCol w:w="1654"/>
        <w:gridCol w:w="1826"/>
        <w:gridCol w:w="1311"/>
      </w:tblGrid>
      <w:tr w:rsidR="002E7CBA" w:rsidRPr="002E7CBA" w14:paraId="35B37DF0" w14:textId="77777777" w:rsidTr="00465659">
        <w:trPr>
          <w:tblHeader/>
        </w:trPr>
        <w:tc>
          <w:tcPr>
            <w:tcW w:w="1311" w:type="pct"/>
            <w:tcBorders>
              <w:top w:val="single" w:sz="4" w:space="0" w:color="auto"/>
              <w:left w:val="single" w:sz="4" w:space="0" w:color="auto"/>
              <w:bottom w:val="single" w:sz="4" w:space="0" w:color="auto"/>
              <w:right w:val="single" w:sz="4" w:space="0" w:color="auto"/>
            </w:tcBorders>
            <w:hideMark/>
          </w:tcPr>
          <w:p w14:paraId="50EC6593" w14:textId="77777777" w:rsidR="002E7CBA" w:rsidRPr="002E7CBA" w:rsidRDefault="002E7CBA" w:rsidP="002E7CBA">
            <w:pPr>
              <w:keepNext/>
              <w:keepLines/>
              <w:rPr>
                <w:b/>
                <w:color w:val="000000"/>
              </w:rPr>
            </w:pPr>
            <w:r w:rsidRPr="002E7CBA">
              <w:rPr>
                <w:b/>
                <w:color w:val="000000"/>
              </w:rPr>
              <w:t>Studienarm</w:t>
            </w:r>
          </w:p>
        </w:tc>
        <w:tc>
          <w:tcPr>
            <w:tcW w:w="1939" w:type="pct"/>
            <w:gridSpan w:val="2"/>
            <w:tcBorders>
              <w:top w:val="single" w:sz="4" w:space="0" w:color="auto"/>
              <w:left w:val="single" w:sz="4" w:space="0" w:color="auto"/>
              <w:bottom w:val="single" w:sz="4" w:space="0" w:color="auto"/>
              <w:right w:val="single" w:sz="4" w:space="0" w:color="auto"/>
            </w:tcBorders>
            <w:hideMark/>
          </w:tcPr>
          <w:p w14:paraId="1801A26E" w14:textId="77777777" w:rsidR="002E7CBA" w:rsidRPr="002E7CBA" w:rsidRDefault="002E7CBA" w:rsidP="002E7CBA">
            <w:pPr>
              <w:keepNext/>
              <w:keepLines/>
              <w:jc w:val="center"/>
              <w:rPr>
                <w:b/>
                <w:color w:val="000000"/>
              </w:rPr>
            </w:pPr>
            <w:r w:rsidRPr="002E7CBA">
              <w:rPr>
                <w:b/>
                <w:color w:val="000000"/>
              </w:rPr>
              <w:t>Methotrexat (MTX)</w:t>
            </w:r>
          </w:p>
        </w:tc>
        <w:tc>
          <w:tcPr>
            <w:tcW w:w="1750" w:type="pct"/>
            <w:gridSpan w:val="2"/>
            <w:tcBorders>
              <w:top w:val="single" w:sz="4" w:space="0" w:color="auto"/>
              <w:left w:val="single" w:sz="4" w:space="0" w:color="auto"/>
              <w:bottom w:val="single" w:sz="4" w:space="0" w:color="auto"/>
              <w:right w:val="single" w:sz="4" w:space="0" w:color="auto"/>
            </w:tcBorders>
            <w:hideMark/>
          </w:tcPr>
          <w:p w14:paraId="11C10A44" w14:textId="77777777" w:rsidR="002E7CBA" w:rsidRPr="002E7CBA" w:rsidRDefault="002E7CBA" w:rsidP="002E7CBA">
            <w:pPr>
              <w:keepNext/>
              <w:keepLines/>
              <w:jc w:val="center"/>
              <w:rPr>
                <w:b/>
                <w:color w:val="000000"/>
              </w:rPr>
            </w:pPr>
            <w:r w:rsidRPr="002E7CBA">
              <w:rPr>
                <w:b/>
                <w:color w:val="000000"/>
              </w:rPr>
              <w:t>Ohne MTX</w:t>
            </w:r>
          </w:p>
        </w:tc>
      </w:tr>
      <w:tr w:rsidR="002E7CBA" w:rsidRPr="002E7CBA" w14:paraId="0684D1AB" w14:textId="77777777" w:rsidTr="00465659">
        <w:trPr>
          <w:tblHeader/>
        </w:trPr>
        <w:tc>
          <w:tcPr>
            <w:tcW w:w="1311" w:type="pct"/>
            <w:tcBorders>
              <w:top w:val="single" w:sz="4" w:space="0" w:color="auto"/>
              <w:left w:val="single" w:sz="4" w:space="0" w:color="auto"/>
              <w:bottom w:val="single" w:sz="4" w:space="0" w:color="auto"/>
              <w:right w:val="single" w:sz="4" w:space="0" w:color="auto"/>
            </w:tcBorders>
            <w:hideMark/>
          </w:tcPr>
          <w:p w14:paraId="41F3329C" w14:textId="77777777" w:rsidR="002E7CBA" w:rsidRPr="002E7CBA" w:rsidRDefault="002E7CBA" w:rsidP="002E7CBA">
            <w:pPr>
              <w:keepNext/>
              <w:keepLines/>
              <w:rPr>
                <w:b/>
                <w:color w:val="000000"/>
              </w:rPr>
            </w:pPr>
            <w:r w:rsidRPr="002E7CBA">
              <w:rPr>
                <w:b/>
                <w:color w:val="000000"/>
              </w:rPr>
              <w:t>Phase</w:t>
            </w:r>
          </w:p>
        </w:tc>
        <w:tc>
          <w:tcPr>
            <w:tcW w:w="1939" w:type="pct"/>
            <w:gridSpan w:val="2"/>
            <w:tcBorders>
              <w:top w:val="single" w:sz="4" w:space="0" w:color="auto"/>
              <w:left w:val="single" w:sz="4" w:space="0" w:color="auto"/>
              <w:bottom w:val="single" w:sz="4" w:space="0" w:color="auto"/>
              <w:right w:val="single" w:sz="4" w:space="0" w:color="auto"/>
            </w:tcBorders>
          </w:tcPr>
          <w:p w14:paraId="29E95D05" w14:textId="77777777" w:rsidR="002E7CBA" w:rsidRPr="002E7CBA" w:rsidRDefault="002E7CBA" w:rsidP="002E7CBA">
            <w:pPr>
              <w:keepNext/>
              <w:keepLines/>
              <w:jc w:val="center"/>
              <w:rPr>
                <w:color w:val="000000"/>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78A25431" w14:textId="77777777" w:rsidR="002E7CBA" w:rsidRPr="002E7CBA" w:rsidRDefault="002E7CBA" w:rsidP="002E7CBA">
            <w:pPr>
              <w:keepNext/>
              <w:keepLines/>
              <w:jc w:val="center"/>
              <w:rPr>
                <w:color w:val="000000"/>
                <w:lang w:val="en-GB"/>
              </w:rPr>
            </w:pPr>
          </w:p>
        </w:tc>
      </w:tr>
      <w:tr w:rsidR="002E7CBA" w:rsidRPr="002E7CBA" w14:paraId="708889CB" w14:textId="77777777" w:rsidTr="00465659">
        <w:tc>
          <w:tcPr>
            <w:tcW w:w="1311" w:type="pct"/>
            <w:tcBorders>
              <w:top w:val="single" w:sz="4" w:space="0" w:color="auto"/>
              <w:left w:val="single" w:sz="4" w:space="0" w:color="auto"/>
              <w:bottom w:val="single" w:sz="4" w:space="0" w:color="auto"/>
              <w:right w:val="single" w:sz="4" w:space="0" w:color="auto"/>
            </w:tcBorders>
            <w:hideMark/>
          </w:tcPr>
          <w:p w14:paraId="306C35F5" w14:textId="77777777" w:rsidR="002E7CBA" w:rsidRPr="002E7CBA" w:rsidRDefault="002E7CBA" w:rsidP="002E7CBA">
            <w:pPr>
              <w:keepNext/>
              <w:rPr>
                <w:color w:val="000000"/>
              </w:rPr>
            </w:pPr>
            <w:r w:rsidRPr="002E7CBA">
              <w:rPr>
                <w:color w:val="000000"/>
              </w:rPr>
              <w:t>OL-LI 16 Wochen</w:t>
            </w:r>
          </w:p>
        </w:tc>
        <w:tc>
          <w:tcPr>
            <w:tcW w:w="1939" w:type="pct"/>
            <w:gridSpan w:val="2"/>
            <w:tcBorders>
              <w:top w:val="single" w:sz="4" w:space="0" w:color="auto"/>
              <w:left w:val="single" w:sz="4" w:space="0" w:color="auto"/>
              <w:bottom w:val="single" w:sz="4" w:space="0" w:color="auto"/>
              <w:right w:val="single" w:sz="4" w:space="0" w:color="auto"/>
            </w:tcBorders>
          </w:tcPr>
          <w:p w14:paraId="425ED19E" w14:textId="77777777" w:rsidR="002E7CBA" w:rsidRPr="002E7CBA" w:rsidRDefault="002E7CBA" w:rsidP="002E7CBA">
            <w:pPr>
              <w:keepNext/>
              <w:jc w:val="center"/>
              <w:rPr>
                <w:color w:val="000000"/>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4A9C7D87" w14:textId="77777777" w:rsidR="002E7CBA" w:rsidRPr="002E7CBA" w:rsidRDefault="002E7CBA" w:rsidP="002E7CBA">
            <w:pPr>
              <w:keepNext/>
              <w:jc w:val="center"/>
              <w:rPr>
                <w:color w:val="000000"/>
                <w:lang w:val="en-GB"/>
              </w:rPr>
            </w:pPr>
          </w:p>
        </w:tc>
      </w:tr>
      <w:tr w:rsidR="002E7CBA" w:rsidRPr="002E7CBA" w14:paraId="53D52FC4" w14:textId="77777777" w:rsidTr="00465659">
        <w:tc>
          <w:tcPr>
            <w:tcW w:w="1311" w:type="pct"/>
            <w:tcBorders>
              <w:top w:val="single" w:sz="4" w:space="0" w:color="auto"/>
              <w:left w:val="single" w:sz="4" w:space="0" w:color="auto"/>
              <w:bottom w:val="single" w:sz="4" w:space="0" w:color="auto"/>
              <w:right w:val="single" w:sz="4" w:space="0" w:color="auto"/>
            </w:tcBorders>
            <w:hideMark/>
          </w:tcPr>
          <w:p w14:paraId="411B2436" w14:textId="77777777" w:rsidR="002E7CBA" w:rsidRPr="002E7CBA" w:rsidRDefault="002E7CBA" w:rsidP="002E7CBA">
            <w:pPr>
              <w:keepNext/>
              <w:ind w:left="180"/>
              <w:rPr>
                <w:color w:val="000000"/>
              </w:rPr>
            </w:pPr>
            <w:r w:rsidRPr="002E7CBA">
              <w:rPr>
                <w:color w:val="000000"/>
              </w:rPr>
              <w:t>pädiatrisches ACR-30-Ansprechen (n/n)</w:t>
            </w:r>
          </w:p>
        </w:tc>
        <w:tc>
          <w:tcPr>
            <w:tcW w:w="1939" w:type="pct"/>
            <w:gridSpan w:val="2"/>
            <w:tcBorders>
              <w:top w:val="single" w:sz="4" w:space="0" w:color="auto"/>
              <w:left w:val="single" w:sz="4" w:space="0" w:color="auto"/>
              <w:bottom w:val="single" w:sz="4" w:space="0" w:color="auto"/>
              <w:right w:val="single" w:sz="4" w:space="0" w:color="auto"/>
            </w:tcBorders>
            <w:hideMark/>
          </w:tcPr>
          <w:p w14:paraId="49490202" w14:textId="77777777" w:rsidR="002E7CBA" w:rsidRPr="002E7CBA" w:rsidRDefault="002E7CBA" w:rsidP="002E7CBA">
            <w:pPr>
              <w:keepNext/>
              <w:jc w:val="center"/>
              <w:rPr>
                <w:color w:val="000000"/>
              </w:rPr>
            </w:pPr>
            <w:r w:rsidRPr="002E7CBA">
              <w:rPr>
                <w:color w:val="000000"/>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10DEF121" w14:textId="77777777" w:rsidR="002E7CBA" w:rsidRPr="002E7CBA" w:rsidRDefault="002E7CBA" w:rsidP="002E7CBA">
            <w:pPr>
              <w:keepNext/>
              <w:jc w:val="center"/>
              <w:rPr>
                <w:color w:val="000000"/>
              </w:rPr>
            </w:pPr>
            <w:r w:rsidRPr="002E7CBA">
              <w:rPr>
                <w:color w:val="000000"/>
              </w:rPr>
              <w:t>74,4 % (64/86)</w:t>
            </w:r>
          </w:p>
        </w:tc>
      </w:tr>
      <w:tr w:rsidR="002E7CBA" w:rsidRPr="002E7CBA" w14:paraId="065D233F" w14:textId="77777777" w:rsidTr="00465659">
        <w:tc>
          <w:tcPr>
            <w:tcW w:w="5000" w:type="pct"/>
            <w:gridSpan w:val="5"/>
            <w:tcBorders>
              <w:top w:val="single" w:sz="4" w:space="0" w:color="auto"/>
              <w:left w:val="single" w:sz="4" w:space="0" w:color="auto"/>
              <w:bottom w:val="single" w:sz="4" w:space="0" w:color="auto"/>
              <w:right w:val="single" w:sz="4" w:space="0" w:color="auto"/>
            </w:tcBorders>
            <w:hideMark/>
          </w:tcPr>
          <w:p w14:paraId="3496558F" w14:textId="77777777" w:rsidR="002E7CBA" w:rsidRPr="002E7CBA" w:rsidRDefault="002E7CBA" w:rsidP="002E7CBA">
            <w:pPr>
              <w:jc w:val="center"/>
              <w:rPr>
                <w:color w:val="000000"/>
              </w:rPr>
            </w:pPr>
            <w:r w:rsidRPr="002E7CBA">
              <w:rPr>
                <w:color w:val="000000"/>
              </w:rPr>
              <w:t>Ergebnisse zur Wirksamkeit</w:t>
            </w:r>
          </w:p>
        </w:tc>
      </w:tr>
      <w:tr w:rsidR="002E7CBA" w:rsidRPr="002E7CBA" w14:paraId="2FA9093C" w14:textId="77777777" w:rsidTr="00465659">
        <w:tc>
          <w:tcPr>
            <w:tcW w:w="1311" w:type="pct"/>
            <w:tcBorders>
              <w:top w:val="single" w:sz="4" w:space="0" w:color="auto"/>
              <w:left w:val="single" w:sz="4" w:space="0" w:color="auto"/>
              <w:bottom w:val="single" w:sz="4" w:space="0" w:color="auto"/>
              <w:right w:val="single" w:sz="4" w:space="0" w:color="auto"/>
            </w:tcBorders>
            <w:hideMark/>
          </w:tcPr>
          <w:p w14:paraId="3E1DE8A0" w14:textId="77777777" w:rsidR="002E7CBA" w:rsidRPr="002E7CBA" w:rsidRDefault="002E7CBA" w:rsidP="002E7CBA">
            <w:pPr>
              <w:rPr>
                <w:color w:val="000000"/>
              </w:rPr>
            </w:pPr>
            <w:r w:rsidRPr="002E7CBA">
              <w:rPr>
                <w:color w:val="000000"/>
              </w:rPr>
              <w:t>Doppelblind 32 Wochen</w:t>
            </w:r>
          </w:p>
        </w:tc>
        <w:tc>
          <w:tcPr>
            <w:tcW w:w="1017" w:type="pct"/>
            <w:tcBorders>
              <w:top w:val="single" w:sz="4" w:space="0" w:color="auto"/>
              <w:left w:val="single" w:sz="4" w:space="0" w:color="auto"/>
              <w:bottom w:val="single" w:sz="4" w:space="0" w:color="auto"/>
              <w:right w:val="single" w:sz="4" w:space="0" w:color="auto"/>
            </w:tcBorders>
            <w:hideMark/>
          </w:tcPr>
          <w:p w14:paraId="1C721992" w14:textId="77777777" w:rsidR="002E7CBA" w:rsidRPr="002E7CBA" w:rsidRDefault="002E7CBA" w:rsidP="008419B6">
            <w:pPr>
              <w:jc w:val="center"/>
              <w:rPr>
                <w:color w:val="000000"/>
              </w:rPr>
            </w:pPr>
            <w:r w:rsidRPr="002E7CBA">
              <w:rPr>
                <w:color w:val="000000"/>
              </w:rPr>
              <w:t>Adalimumab/MTX</w:t>
            </w:r>
          </w:p>
          <w:p w14:paraId="604BA88A" w14:textId="77777777" w:rsidR="002E7CBA" w:rsidRPr="002E7CBA" w:rsidRDefault="002E7CBA" w:rsidP="008419B6">
            <w:pPr>
              <w:jc w:val="center"/>
              <w:rPr>
                <w:color w:val="000000"/>
              </w:rPr>
            </w:pPr>
            <w:r w:rsidRPr="002E7CBA">
              <w:rPr>
                <w:color w:val="000000"/>
              </w:rPr>
              <w:t>(n = 38)</w:t>
            </w:r>
          </w:p>
        </w:tc>
        <w:tc>
          <w:tcPr>
            <w:tcW w:w="922" w:type="pct"/>
            <w:tcBorders>
              <w:top w:val="single" w:sz="4" w:space="0" w:color="auto"/>
              <w:left w:val="single" w:sz="4" w:space="0" w:color="auto"/>
              <w:bottom w:val="single" w:sz="4" w:space="0" w:color="auto"/>
              <w:right w:val="single" w:sz="4" w:space="0" w:color="auto"/>
            </w:tcBorders>
            <w:hideMark/>
          </w:tcPr>
          <w:p w14:paraId="518DA04E" w14:textId="77777777" w:rsidR="002E7CBA" w:rsidRPr="002E7CBA" w:rsidRDefault="002E7CBA" w:rsidP="008419B6">
            <w:pPr>
              <w:jc w:val="center"/>
              <w:rPr>
                <w:color w:val="000000"/>
              </w:rPr>
            </w:pPr>
            <w:r w:rsidRPr="002E7CBA">
              <w:rPr>
                <w:color w:val="000000"/>
              </w:rPr>
              <w:t>Placebo/MTX</w:t>
            </w:r>
          </w:p>
          <w:p w14:paraId="414BB8F0" w14:textId="77777777" w:rsidR="002E7CBA" w:rsidRPr="002E7CBA" w:rsidRDefault="002E7CBA" w:rsidP="008419B6">
            <w:pPr>
              <w:jc w:val="center"/>
              <w:rPr>
                <w:color w:val="000000"/>
              </w:rPr>
            </w:pPr>
            <w:r w:rsidRPr="002E7CBA">
              <w:rPr>
                <w:color w:val="000000"/>
              </w:rPr>
              <w:t>(n = 37)</w:t>
            </w:r>
          </w:p>
        </w:tc>
        <w:tc>
          <w:tcPr>
            <w:tcW w:w="1017" w:type="pct"/>
            <w:tcBorders>
              <w:top w:val="single" w:sz="4" w:space="0" w:color="auto"/>
              <w:left w:val="single" w:sz="4" w:space="0" w:color="auto"/>
              <w:bottom w:val="single" w:sz="4" w:space="0" w:color="auto"/>
              <w:right w:val="single" w:sz="4" w:space="0" w:color="auto"/>
            </w:tcBorders>
            <w:hideMark/>
          </w:tcPr>
          <w:p w14:paraId="1102988C" w14:textId="77777777" w:rsidR="002E7CBA" w:rsidRPr="002E7CBA" w:rsidRDefault="002E7CBA" w:rsidP="008419B6">
            <w:pPr>
              <w:jc w:val="center"/>
              <w:rPr>
                <w:color w:val="000000"/>
              </w:rPr>
            </w:pPr>
            <w:r w:rsidRPr="002E7CBA">
              <w:rPr>
                <w:color w:val="000000"/>
              </w:rPr>
              <w:t>Adalimumab</w:t>
            </w:r>
          </w:p>
          <w:p w14:paraId="2BA2DFAB" w14:textId="77777777" w:rsidR="002E7CBA" w:rsidRPr="002E7CBA" w:rsidRDefault="002E7CBA" w:rsidP="008419B6">
            <w:pPr>
              <w:jc w:val="center"/>
              <w:rPr>
                <w:color w:val="000000"/>
              </w:rPr>
            </w:pPr>
            <w:r w:rsidRPr="002E7CBA">
              <w:rPr>
                <w:color w:val="000000"/>
              </w:rPr>
              <w:t>(n = 30)</w:t>
            </w:r>
          </w:p>
        </w:tc>
        <w:tc>
          <w:tcPr>
            <w:tcW w:w="733" w:type="pct"/>
            <w:tcBorders>
              <w:top w:val="single" w:sz="4" w:space="0" w:color="auto"/>
              <w:left w:val="single" w:sz="4" w:space="0" w:color="auto"/>
              <w:bottom w:val="single" w:sz="4" w:space="0" w:color="auto"/>
              <w:right w:val="single" w:sz="4" w:space="0" w:color="auto"/>
            </w:tcBorders>
            <w:hideMark/>
          </w:tcPr>
          <w:p w14:paraId="226B6E6D" w14:textId="77777777" w:rsidR="002E7CBA" w:rsidRPr="002E7CBA" w:rsidRDefault="002E7CBA" w:rsidP="008419B6">
            <w:pPr>
              <w:jc w:val="center"/>
              <w:rPr>
                <w:color w:val="000000"/>
              </w:rPr>
            </w:pPr>
            <w:r w:rsidRPr="002E7CBA">
              <w:rPr>
                <w:color w:val="000000"/>
              </w:rPr>
              <w:t>Placebo</w:t>
            </w:r>
          </w:p>
          <w:p w14:paraId="0E781422" w14:textId="77777777" w:rsidR="002E7CBA" w:rsidRPr="002E7CBA" w:rsidRDefault="002E7CBA" w:rsidP="008419B6">
            <w:pPr>
              <w:jc w:val="center"/>
              <w:rPr>
                <w:color w:val="000000"/>
              </w:rPr>
            </w:pPr>
            <w:r w:rsidRPr="002E7CBA">
              <w:rPr>
                <w:color w:val="000000"/>
              </w:rPr>
              <w:t>(n = 28)</w:t>
            </w:r>
          </w:p>
        </w:tc>
      </w:tr>
      <w:tr w:rsidR="002E7CBA" w:rsidRPr="002E7CBA" w14:paraId="48A4C2CA" w14:textId="77777777" w:rsidTr="00465659">
        <w:tc>
          <w:tcPr>
            <w:tcW w:w="1311" w:type="pct"/>
            <w:tcBorders>
              <w:top w:val="single" w:sz="4" w:space="0" w:color="auto"/>
              <w:left w:val="single" w:sz="4" w:space="0" w:color="auto"/>
              <w:bottom w:val="single" w:sz="4" w:space="0" w:color="auto"/>
              <w:right w:val="single" w:sz="4" w:space="0" w:color="auto"/>
            </w:tcBorders>
            <w:hideMark/>
          </w:tcPr>
          <w:p w14:paraId="02D41512" w14:textId="77777777" w:rsidR="002E7CBA" w:rsidRPr="002E7CBA" w:rsidRDefault="002E7CBA" w:rsidP="002E7CBA">
            <w:pPr>
              <w:ind w:left="180"/>
              <w:rPr>
                <w:color w:val="000000"/>
              </w:rPr>
            </w:pPr>
            <w:r w:rsidRPr="002E7CBA">
              <w:rPr>
                <w:color w:val="000000"/>
              </w:rPr>
              <w:t>Wiederaufflammen der Erkrankung nach 32 Wochen</w:t>
            </w:r>
            <w:r w:rsidRPr="002E7CBA">
              <w:rPr>
                <w:color w:val="000000"/>
                <w:vertAlign w:val="superscript"/>
              </w:rPr>
              <w:t>a</w:t>
            </w:r>
            <w:r w:rsidRPr="002E7CBA">
              <w:rPr>
                <w:color w:val="000000"/>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1D3917F3" w14:textId="77777777" w:rsidR="002E7CBA" w:rsidRPr="002E7CBA" w:rsidRDefault="002E7CBA" w:rsidP="008419B6">
            <w:pPr>
              <w:jc w:val="center"/>
              <w:rPr>
                <w:color w:val="000000"/>
              </w:rPr>
            </w:pPr>
            <w:r w:rsidRPr="002E7CBA">
              <w:rPr>
                <w:color w:val="000000"/>
              </w:rPr>
              <w:t>36,8 % (14/38)</w:t>
            </w:r>
          </w:p>
        </w:tc>
        <w:tc>
          <w:tcPr>
            <w:tcW w:w="922" w:type="pct"/>
            <w:tcBorders>
              <w:top w:val="single" w:sz="4" w:space="0" w:color="auto"/>
              <w:left w:val="single" w:sz="4" w:space="0" w:color="auto"/>
              <w:bottom w:val="single" w:sz="4" w:space="0" w:color="auto"/>
              <w:right w:val="single" w:sz="4" w:space="0" w:color="auto"/>
            </w:tcBorders>
            <w:hideMark/>
          </w:tcPr>
          <w:p w14:paraId="325898E7" w14:textId="77777777" w:rsidR="002E7CBA" w:rsidRPr="002E7CBA" w:rsidRDefault="002E7CBA" w:rsidP="008419B6">
            <w:pPr>
              <w:jc w:val="center"/>
              <w:rPr>
                <w:color w:val="000000"/>
              </w:rPr>
            </w:pPr>
            <w:r w:rsidRPr="002E7CBA">
              <w:rPr>
                <w:color w:val="000000"/>
              </w:rPr>
              <w:t>64,9 % (24/37)</w:t>
            </w:r>
            <w:r w:rsidRPr="002E7CBA">
              <w:rPr>
                <w:color w:val="000000"/>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0BEE9550" w14:textId="77777777" w:rsidR="002E7CBA" w:rsidRPr="002E7CBA" w:rsidRDefault="002E7CBA" w:rsidP="008419B6">
            <w:pPr>
              <w:jc w:val="center"/>
              <w:rPr>
                <w:color w:val="000000"/>
              </w:rPr>
            </w:pPr>
            <w:r w:rsidRPr="002E7CBA">
              <w:rPr>
                <w:color w:val="000000"/>
              </w:rPr>
              <w:t>43,3 % (13/30)</w:t>
            </w:r>
          </w:p>
        </w:tc>
        <w:tc>
          <w:tcPr>
            <w:tcW w:w="733" w:type="pct"/>
            <w:tcBorders>
              <w:top w:val="single" w:sz="4" w:space="0" w:color="auto"/>
              <w:left w:val="single" w:sz="4" w:space="0" w:color="auto"/>
              <w:bottom w:val="single" w:sz="4" w:space="0" w:color="auto"/>
              <w:right w:val="single" w:sz="4" w:space="0" w:color="auto"/>
            </w:tcBorders>
            <w:hideMark/>
          </w:tcPr>
          <w:p w14:paraId="5AE2C4CD" w14:textId="77777777" w:rsidR="002E7CBA" w:rsidRPr="002E7CBA" w:rsidRDefault="002E7CBA" w:rsidP="008419B6">
            <w:pPr>
              <w:jc w:val="center"/>
              <w:rPr>
                <w:color w:val="000000"/>
              </w:rPr>
            </w:pPr>
            <w:r w:rsidRPr="002E7CBA">
              <w:rPr>
                <w:color w:val="000000"/>
              </w:rPr>
              <w:t>71,4 % (20/28)</w:t>
            </w:r>
            <w:r w:rsidRPr="002E7CBA">
              <w:rPr>
                <w:color w:val="000000"/>
                <w:vertAlign w:val="superscript"/>
              </w:rPr>
              <w:t>c</w:t>
            </w:r>
          </w:p>
        </w:tc>
      </w:tr>
      <w:tr w:rsidR="002E7CBA" w:rsidRPr="002E7CBA" w14:paraId="5A64BF47" w14:textId="77777777" w:rsidTr="00465659">
        <w:tc>
          <w:tcPr>
            <w:tcW w:w="1311" w:type="pct"/>
            <w:tcBorders>
              <w:top w:val="single" w:sz="4" w:space="0" w:color="auto"/>
              <w:left w:val="single" w:sz="4" w:space="0" w:color="auto"/>
              <w:bottom w:val="single" w:sz="4" w:space="0" w:color="auto"/>
              <w:right w:val="single" w:sz="4" w:space="0" w:color="auto"/>
            </w:tcBorders>
            <w:hideMark/>
          </w:tcPr>
          <w:p w14:paraId="73D1A2CF" w14:textId="77777777" w:rsidR="002E7CBA" w:rsidRPr="002E7CBA" w:rsidRDefault="002E7CBA" w:rsidP="002E7CBA">
            <w:pPr>
              <w:ind w:left="180"/>
              <w:rPr>
                <w:color w:val="000000"/>
              </w:rPr>
            </w:pPr>
            <w:r w:rsidRPr="002E7CBA">
              <w:rPr>
                <w:color w:val="000000"/>
              </w:rPr>
              <w:t>Mittlere Zeit bis zum Wiederaufflammen der Erkrankung</w:t>
            </w:r>
          </w:p>
        </w:tc>
        <w:tc>
          <w:tcPr>
            <w:tcW w:w="1017" w:type="pct"/>
            <w:tcBorders>
              <w:top w:val="single" w:sz="4" w:space="0" w:color="auto"/>
              <w:left w:val="single" w:sz="4" w:space="0" w:color="auto"/>
              <w:bottom w:val="single" w:sz="4" w:space="0" w:color="auto"/>
              <w:right w:val="single" w:sz="4" w:space="0" w:color="auto"/>
            </w:tcBorders>
            <w:hideMark/>
          </w:tcPr>
          <w:p w14:paraId="4C5FE0D3" w14:textId="77777777" w:rsidR="002E7CBA" w:rsidRPr="002E7CBA" w:rsidRDefault="002E7CBA" w:rsidP="008419B6">
            <w:pPr>
              <w:jc w:val="center"/>
              <w:rPr>
                <w:color w:val="000000"/>
              </w:rPr>
            </w:pPr>
            <w:r w:rsidRPr="002E7CBA">
              <w:rPr>
                <w:color w:val="000000"/>
              </w:rPr>
              <w:t>&gt; 32 Wochen</w:t>
            </w:r>
          </w:p>
        </w:tc>
        <w:tc>
          <w:tcPr>
            <w:tcW w:w="922" w:type="pct"/>
            <w:tcBorders>
              <w:top w:val="single" w:sz="4" w:space="0" w:color="auto"/>
              <w:left w:val="single" w:sz="4" w:space="0" w:color="auto"/>
              <w:bottom w:val="single" w:sz="4" w:space="0" w:color="auto"/>
              <w:right w:val="single" w:sz="4" w:space="0" w:color="auto"/>
            </w:tcBorders>
            <w:hideMark/>
          </w:tcPr>
          <w:p w14:paraId="1540E1C9" w14:textId="77777777" w:rsidR="002E7CBA" w:rsidRPr="002E7CBA" w:rsidRDefault="002E7CBA" w:rsidP="008419B6">
            <w:pPr>
              <w:jc w:val="center"/>
              <w:rPr>
                <w:color w:val="000000"/>
              </w:rPr>
            </w:pPr>
            <w:r w:rsidRPr="002E7CBA">
              <w:rPr>
                <w:color w:val="000000"/>
              </w:rPr>
              <w:t>20 Wochen</w:t>
            </w:r>
          </w:p>
        </w:tc>
        <w:tc>
          <w:tcPr>
            <w:tcW w:w="1017" w:type="pct"/>
            <w:tcBorders>
              <w:top w:val="single" w:sz="4" w:space="0" w:color="auto"/>
              <w:left w:val="single" w:sz="4" w:space="0" w:color="auto"/>
              <w:bottom w:val="single" w:sz="4" w:space="0" w:color="auto"/>
              <w:right w:val="single" w:sz="4" w:space="0" w:color="auto"/>
            </w:tcBorders>
            <w:hideMark/>
          </w:tcPr>
          <w:p w14:paraId="75229B68" w14:textId="77777777" w:rsidR="002E7CBA" w:rsidRPr="002E7CBA" w:rsidRDefault="002E7CBA" w:rsidP="008419B6">
            <w:pPr>
              <w:jc w:val="center"/>
              <w:rPr>
                <w:color w:val="000000"/>
              </w:rPr>
            </w:pPr>
            <w:r w:rsidRPr="002E7CBA">
              <w:rPr>
                <w:color w:val="000000"/>
              </w:rPr>
              <w:t>&gt; 32 Wochen</w:t>
            </w:r>
          </w:p>
        </w:tc>
        <w:tc>
          <w:tcPr>
            <w:tcW w:w="733" w:type="pct"/>
            <w:tcBorders>
              <w:top w:val="single" w:sz="4" w:space="0" w:color="auto"/>
              <w:left w:val="single" w:sz="4" w:space="0" w:color="auto"/>
              <w:bottom w:val="single" w:sz="4" w:space="0" w:color="auto"/>
              <w:right w:val="single" w:sz="4" w:space="0" w:color="auto"/>
            </w:tcBorders>
            <w:hideMark/>
          </w:tcPr>
          <w:p w14:paraId="4BB0D83F" w14:textId="77777777" w:rsidR="002E7CBA" w:rsidRPr="002E7CBA" w:rsidRDefault="002E7CBA" w:rsidP="008419B6">
            <w:pPr>
              <w:jc w:val="center"/>
              <w:rPr>
                <w:color w:val="000000"/>
              </w:rPr>
            </w:pPr>
            <w:r w:rsidRPr="002E7CBA">
              <w:rPr>
                <w:color w:val="000000"/>
              </w:rPr>
              <w:t>14 Wochen</w:t>
            </w:r>
          </w:p>
        </w:tc>
      </w:tr>
      <w:tr w:rsidR="002E7CBA" w:rsidRPr="002E7CBA" w14:paraId="6A496B93" w14:textId="77777777" w:rsidTr="00465659">
        <w:tc>
          <w:tcPr>
            <w:tcW w:w="5000" w:type="pct"/>
            <w:gridSpan w:val="5"/>
            <w:tcBorders>
              <w:top w:val="single" w:sz="4" w:space="0" w:color="auto"/>
              <w:left w:val="nil"/>
              <w:bottom w:val="nil"/>
              <w:right w:val="nil"/>
            </w:tcBorders>
          </w:tcPr>
          <w:p w14:paraId="660AF130" w14:textId="77777777" w:rsidR="002E7CBA" w:rsidRPr="00206AEA" w:rsidRDefault="002E7CBA" w:rsidP="002E7CBA">
            <w:pPr>
              <w:kinsoku w:val="0"/>
              <w:overflowPunct w:val="0"/>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pädiatrisches ACR-30/50/70-Ansprechen in Woche 48 war signifikant größer als bei mit Placebo behandelten Patienten</w:t>
            </w:r>
          </w:p>
          <w:p w14:paraId="4CD3BBF1" w14:textId="77777777" w:rsidR="002E7CBA" w:rsidRPr="00206AEA" w:rsidRDefault="002E7CBA" w:rsidP="002E7CBA">
            <w:pPr>
              <w:kinsoku w:val="0"/>
              <w:overflowPunct w:val="0"/>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p = 0,015</w:t>
            </w:r>
          </w:p>
          <w:p w14:paraId="71DDEFE7" w14:textId="77777777" w:rsidR="002E7CBA" w:rsidRPr="00206AEA" w:rsidRDefault="002E7CBA" w:rsidP="002E7CBA">
            <w:pPr>
              <w:kinsoku w:val="0"/>
              <w:overflowPunct w:val="0"/>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 p = 0,031</w:t>
            </w:r>
          </w:p>
        </w:tc>
      </w:tr>
    </w:tbl>
    <w:p w14:paraId="1DB0CD95" w14:textId="77777777" w:rsidR="002E7CBA" w:rsidRPr="002E7CBA" w:rsidRDefault="002E7CBA" w:rsidP="002E7CBA">
      <w:pPr>
        <w:kinsoku w:val="0"/>
        <w:overflowPunct w:val="0"/>
        <w:rPr>
          <w:color w:val="000000"/>
          <w:lang w:val="en-GB"/>
        </w:rPr>
      </w:pPr>
    </w:p>
    <w:p w14:paraId="22CB852D" w14:textId="77777777" w:rsidR="002E7CBA" w:rsidRPr="002E7CBA" w:rsidRDefault="002E7CBA" w:rsidP="002E7CBA">
      <w:pPr>
        <w:kinsoku w:val="0"/>
        <w:overflowPunct w:val="0"/>
        <w:rPr>
          <w:color w:val="000000"/>
        </w:rPr>
      </w:pPr>
      <w:r w:rsidRPr="002E7CBA">
        <w:rPr>
          <w:color w:val="000000"/>
        </w:rPr>
        <w:t>Unter den Patienten, die in Woche 16 (n = 144) ansprachen, wurde das pädiatrische ACR-30/50/70/90-Ansprechen für bis zu sechs Jahre in der OLE-Phase bei denjenigen aufrechterhalten, die Adalimumab während der ganzen Studie über erhielten. Insgesamt wurden 19 Patienten (11 zu Studienbeginn in der Altersgruppe von 4 bis 12 Jahren und 8 zu Studienbeginn in der Altersgruppe von 13 bis 17 Jahren) 6 Jahre oder länger behandelt.</w:t>
      </w:r>
    </w:p>
    <w:p w14:paraId="74C0E417" w14:textId="77777777" w:rsidR="002E7CBA" w:rsidRPr="002E7CBA" w:rsidRDefault="002E7CBA" w:rsidP="002E7CBA">
      <w:pPr>
        <w:kinsoku w:val="0"/>
        <w:overflowPunct w:val="0"/>
        <w:rPr>
          <w:color w:val="000000"/>
        </w:rPr>
      </w:pPr>
    </w:p>
    <w:p w14:paraId="26FB30E8" w14:textId="77777777" w:rsidR="002E7CBA" w:rsidRPr="002E7CBA" w:rsidRDefault="002E7CBA" w:rsidP="002E7CBA">
      <w:pPr>
        <w:kinsoku w:val="0"/>
        <w:overflowPunct w:val="0"/>
        <w:rPr>
          <w:color w:val="000000"/>
        </w:rPr>
      </w:pPr>
      <w:r w:rsidRPr="002E7CBA">
        <w:rPr>
          <w:color w:val="000000"/>
        </w:rPr>
        <w:t>Das Gesamtansprechen bei der Kombinationstherapie von Adalimumab und MTX war allgemein besser und weniger Patienten entwickelten Antikörper im Vergleich zur Adalimumab-Monotherapie. Unter Berücksichtigung dieser Ergebnisse wird der Einsatz von Adalimumab in Kombination mit MTX empfohlen. Bei Patienten, bei denen der MTX-Einsatz nicht geeignet ist, wird eine Monotherapie mit Adalimumab empfohlen (siehe Abschnitt 4.2).</w:t>
      </w:r>
    </w:p>
    <w:p w14:paraId="0D8FF326" w14:textId="77777777" w:rsidR="002E7CBA" w:rsidRPr="002E7CBA" w:rsidRDefault="002E7CBA" w:rsidP="002E7CBA">
      <w:pPr>
        <w:rPr>
          <w:color w:val="000000"/>
        </w:rPr>
      </w:pPr>
    </w:p>
    <w:p w14:paraId="666FBB7D" w14:textId="77777777" w:rsidR="002E7CBA" w:rsidRPr="002E7CBA" w:rsidRDefault="002E7CBA" w:rsidP="002E7CBA">
      <w:pPr>
        <w:keepNext/>
        <w:kinsoku w:val="0"/>
        <w:overflowPunct w:val="0"/>
        <w:rPr>
          <w:color w:val="000000"/>
        </w:rPr>
      </w:pPr>
      <w:r w:rsidRPr="002E7CBA">
        <w:rPr>
          <w:color w:val="000000"/>
        </w:rPr>
        <w:t>pJIA II</w:t>
      </w:r>
    </w:p>
    <w:p w14:paraId="67789D93" w14:textId="77777777" w:rsidR="002E7CBA" w:rsidRPr="002E7CBA" w:rsidRDefault="002E7CBA" w:rsidP="002E7CBA">
      <w:pPr>
        <w:keepNext/>
        <w:kinsoku w:val="0"/>
        <w:overflowPunct w:val="0"/>
        <w:rPr>
          <w:color w:val="000000"/>
        </w:rPr>
      </w:pPr>
    </w:p>
    <w:p w14:paraId="1941F136" w14:textId="77777777" w:rsidR="002E7CBA" w:rsidRPr="002E7CBA" w:rsidRDefault="002E7CBA" w:rsidP="002E7CBA">
      <w:pPr>
        <w:kinsoku w:val="0"/>
        <w:overflowPunct w:val="0"/>
        <w:rPr>
          <w:color w:val="000000"/>
        </w:rPr>
      </w:pPr>
      <w:r w:rsidRPr="002E7CBA">
        <w:rPr>
          <w:color w:val="000000"/>
        </w:rPr>
        <w:t>Die Sicherheit und Wirksamkeit von Adalimumab wurden in einer offenen, multizentrischen Studie an 32 Kleinkindern/Kindern (im Alter von 2 – &lt; 4 Jahren oder im Alter von 4 Jahren und älter mit einem Körpergewicht &lt; 15 kg) mit mittelschwerer bis schwerer aktiver polyartikulärer JIA untersucht. Die Patienten erhielten als Einzeldosis mittels subkutaner Injektion mindestens 24 Wochen lang jede zweite Woche 24 mg Adalimumab/m</w:t>
      </w:r>
      <w:r w:rsidRPr="002E7CBA">
        <w:rPr>
          <w:color w:val="000000"/>
          <w:vertAlign w:val="superscript"/>
        </w:rPr>
        <w:t>2</w:t>
      </w:r>
      <w:r w:rsidRPr="002E7CBA">
        <w:rPr>
          <w:color w:val="000000"/>
        </w:rPr>
        <w:t xml:space="preserve"> Körperoberfläche bis zu einer maximalen Dosis von 20 mg. Während der Studie verwendeten die meisten Patienten eine MTX-Begleittherapie, die Anwendung von </w:t>
      </w:r>
      <w:r w:rsidR="002504AA">
        <w:rPr>
          <w:color w:val="000000"/>
        </w:rPr>
        <w:t>K</w:t>
      </w:r>
      <w:r w:rsidRPr="002E7CBA">
        <w:rPr>
          <w:color w:val="000000"/>
        </w:rPr>
        <w:t>ortiko</w:t>
      </w:r>
      <w:r w:rsidR="002504AA">
        <w:rPr>
          <w:color w:val="000000"/>
        </w:rPr>
        <w:t>stero</w:t>
      </w:r>
      <w:r w:rsidRPr="002E7CBA">
        <w:rPr>
          <w:color w:val="000000"/>
        </w:rPr>
        <w:t>iden oder NSARs wurde seltener berichtet.</w:t>
      </w:r>
    </w:p>
    <w:p w14:paraId="11CF722C" w14:textId="77777777" w:rsidR="002E7CBA" w:rsidRPr="002E7CBA" w:rsidRDefault="002E7CBA" w:rsidP="002E7CBA">
      <w:pPr>
        <w:kinsoku w:val="0"/>
        <w:overflowPunct w:val="0"/>
        <w:rPr>
          <w:color w:val="000000"/>
          <w:szCs w:val="21"/>
        </w:rPr>
      </w:pPr>
    </w:p>
    <w:p w14:paraId="5E5BB562" w14:textId="77777777" w:rsidR="002E7CBA" w:rsidRPr="002E7CBA" w:rsidRDefault="002E7CBA" w:rsidP="002E7CBA">
      <w:pPr>
        <w:kinsoku w:val="0"/>
        <w:overflowPunct w:val="0"/>
        <w:rPr>
          <w:color w:val="000000"/>
        </w:rPr>
      </w:pPr>
      <w:r w:rsidRPr="002E7CBA">
        <w:rPr>
          <w:color w:val="000000"/>
        </w:rPr>
        <w:t>In Woche 12 und Woche 24 betrug unter Auswertung der beobachteten Daten das pädiatrische ACR-30-Ansprechen 93,5 % bzw. 90,0 %. Die Anteile an Patienten mit pädiatrischem ACR-50/70/90-Ansprechen betrugen 90,3 %/61,3 %/38,7 % bzw. 83,3 %/73,3 %/36,7 % in Woche 12 und Woche 24. Von den Patienten, die in Woche 24 ein pädiatrisches ACR-30-Ansprechen zeigten (n = 27 von 30 Patienten), wurde das pädiatrische ACR-30-Ansprechen bis zu 60 Wochen in der OLE-Phase bei den Patienten aufrechterhalten, die Adalimumab über diesen Zeitraum erhielten. Insgesamt wurden 20 Patienten 60 Wochen oder länger behandelt.</w:t>
      </w:r>
    </w:p>
    <w:p w14:paraId="7F4A61AA" w14:textId="77777777" w:rsidR="002E7CBA" w:rsidRPr="002E7CBA" w:rsidRDefault="002E7CBA" w:rsidP="002E7CBA">
      <w:pPr>
        <w:kinsoku w:val="0"/>
        <w:overflowPunct w:val="0"/>
        <w:rPr>
          <w:color w:val="000000"/>
        </w:rPr>
      </w:pPr>
    </w:p>
    <w:p w14:paraId="6391BAA1" w14:textId="77777777" w:rsidR="002E7CBA" w:rsidRPr="002E7CBA" w:rsidRDefault="002E7CBA" w:rsidP="002E7CBA">
      <w:pPr>
        <w:keepNext/>
        <w:kinsoku w:val="0"/>
        <w:overflowPunct w:val="0"/>
        <w:rPr>
          <w:color w:val="000000"/>
        </w:rPr>
      </w:pPr>
      <w:r w:rsidRPr="002E7CBA">
        <w:rPr>
          <w:i/>
          <w:iCs/>
          <w:color w:val="000000"/>
          <w:u w:val="single"/>
        </w:rPr>
        <w:t>Enthesitis-assoziierte Arthritis</w:t>
      </w:r>
    </w:p>
    <w:p w14:paraId="68B1A6B3" w14:textId="77777777" w:rsidR="002E7CBA" w:rsidRPr="002E7CBA" w:rsidRDefault="002E7CBA" w:rsidP="002E7CBA">
      <w:pPr>
        <w:keepNext/>
        <w:kinsoku w:val="0"/>
        <w:overflowPunct w:val="0"/>
        <w:rPr>
          <w:i/>
          <w:iCs/>
          <w:color w:val="000000"/>
        </w:rPr>
      </w:pPr>
    </w:p>
    <w:p w14:paraId="025516AB" w14:textId="77777777" w:rsidR="002E7CBA" w:rsidRDefault="002E7CBA" w:rsidP="002E7CBA">
      <w:pPr>
        <w:kinsoku w:val="0"/>
        <w:overflowPunct w:val="0"/>
        <w:rPr>
          <w:color w:val="000000"/>
        </w:rPr>
      </w:pPr>
      <w:r w:rsidRPr="002E7CBA">
        <w:rPr>
          <w:color w:val="000000"/>
        </w:rPr>
        <w:t xml:space="preserve">Die Sicherheit und Wirksamkeit von Adalimumab wurden in einer multizentrischen, randomisierten, doppelblinden Studie bei 46 Kindern und Jugendlichen (im Alter von 6 bis 17 Jahren) mit mittelschwerer Enthesitis-assoziierter Arthritis untersucht. Die Patienten wurden randomisiert und </w:t>
      </w:r>
      <w:r w:rsidRPr="002E7CBA">
        <w:rPr>
          <w:color w:val="000000"/>
        </w:rPr>
        <w:lastRenderedPageBreak/>
        <w:t>erhielten 12 Wochen lang entweder 24 mg Adalimumab/m</w:t>
      </w:r>
      <w:r w:rsidRPr="002E7CBA">
        <w:rPr>
          <w:color w:val="000000"/>
          <w:vertAlign w:val="superscript"/>
        </w:rPr>
        <w:t>2</w:t>
      </w:r>
      <w:r w:rsidRPr="002E7CBA">
        <w:rPr>
          <w:color w:val="000000"/>
        </w:rPr>
        <w:t xml:space="preserve"> Körperoberfläche (KOF) bis zu maximal 40 mg Adalimumab oder Placebo jede zweite Woche. Der doppelblinden Phase folgte eine offene Fortsetzungsphase</w:t>
      </w:r>
      <w:r w:rsidR="00A56AC9">
        <w:rPr>
          <w:color w:val="000000"/>
        </w:rPr>
        <w:t xml:space="preserve"> </w:t>
      </w:r>
      <w:r w:rsidR="00A56AC9" w:rsidRPr="002E7CBA">
        <w:rPr>
          <w:color w:val="000000"/>
        </w:rPr>
        <w:t>(OL)</w:t>
      </w:r>
      <w:r w:rsidRPr="002E7CBA">
        <w:rPr>
          <w:color w:val="000000"/>
        </w:rPr>
        <w:t>. Während dieser Zeit erhielten die Patienten subkutan bis zu weitere</w:t>
      </w:r>
      <w:r w:rsidR="00A56AC9">
        <w:rPr>
          <w:color w:val="000000"/>
        </w:rPr>
        <w:t>n</w:t>
      </w:r>
      <w:r w:rsidRPr="002E7CBA">
        <w:rPr>
          <w:color w:val="000000"/>
        </w:rPr>
        <w:t xml:space="preserve"> 192 Wochen jede zweite Woche 24 mg Adalimumab/m</w:t>
      </w:r>
      <w:r w:rsidRPr="002E7CBA">
        <w:rPr>
          <w:color w:val="000000"/>
          <w:vertAlign w:val="superscript"/>
        </w:rPr>
        <w:t>2</w:t>
      </w:r>
      <w:r w:rsidRPr="002E7CBA">
        <w:rPr>
          <w:color w:val="000000"/>
        </w:rPr>
        <w:t xml:space="preserve"> KOF bis zu maximal 40 mg Adalimumab. Der primäre Endpunkt war die prozentuale Veränderung in der Anzahl der aktiven Gelenke mit Arthritis (Schwellung nicht als Folge von Deformierung oder Gelenke mit Bewegungsverlust plus Schmerzen und/oder Druckschmerzempfindlichkeit) zu Woche 12 gegenüber dem Therapiebeginn. Er wurde mit einer durchschnittlichen prozentualen Abnahme von -62,6 % (Median der prozentualen Abnahme -88,9 %) bei Patienten in der Adalimumab-Gruppe im Vergleich zu -11,6 % (Median der prozentualen Abnahme -50 %) bei Patienten in der Placebogruppe erreicht. Die Verbesserung in der Anzahl der aktiven Gelenke mit Arthritis wurde während der OL-Phase bis Woche 156 für 26 von 31 (84 %) Patienten der Adalimumab-Gruppe, die in der Studie verblieben sind, aufrechterhalten. Obwohl statistisch nicht signifikant, zeigte die Mehrheit der Patienten eine klinische Verbesserung bei den sekundären Endpunkten, wie z. B. Anzahl der Stellen mit Enthesitis, Anzahl schmerzempfindlicher Gelenke (TJC), Anzahl geschwollener Gelenke (SJC), pädiatrisches ACR-50-Ansprechen und pädiatrisches ACR-70-Ansprechen.</w:t>
      </w:r>
    </w:p>
    <w:p w14:paraId="15535858" w14:textId="77777777" w:rsidR="009D79A6" w:rsidRPr="002E7CBA" w:rsidRDefault="009D79A6" w:rsidP="002E7CBA">
      <w:pPr>
        <w:kinsoku w:val="0"/>
        <w:overflowPunct w:val="0"/>
        <w:rPr>
          <w:color w:val="000000"/>
        </w:rPr>
      </w:pPr>
    </w:p>
    <w:p w14:paraId="3970E09E" w14:textId="77777777" w:rsidR="009D79A6" w:rsidRPr="009D79A6" w:rsidRDefault="009D79A6" w:rsidP="009D79A6">
      <w:pPr>
        <w:keepNext/>
        <w:kinsoku w:val="0"/>
        <w:overflowPunct w:val="0"/>
        <w:rPr>
          <w:color w:val="000000"/>
        </w:rPr>
      </w:pPr>
      <w:r w:rsidRPr="009D79A6">
        <w:rPr>
          <w:i/>
          <w:iCs/>
          <w:color w:val="000000"/>
        </w:rPr>
        <w:t>Plaque-Psoriasis bei Kindern und Jugendlichen</w:t>
      </w:r>
    </w:p>
    <w:p w14:paraId="3A65E42B" w14:textId="77777777" w:rsidR="009D79A6" w:rsidRPr="009D79A6" w:rsidRDefault="009D79A6" w:rsidP="009D79A6">
      <w:pPr>
        <w:keepNext/>
        <w:kinsoku w:val="0"/>
        <w:overflowPunct w:val="0"/>
        <w:rPr>
          <w:i/>
          <w:iCs/>
          <w:color w:val="000000"/>
        </w:rPr>
      </w:pPr>
    </w:p>
    <w:p w14:paraId="71EF0622" w14:textId="77777777" w:rsidR="009D79A6" w:rsidRPr="009D79A6" w:rsidRDefault="009D79A6" w:rsidP="009D79A6">
      <w:pPr>
        <w:kinsoku w:val="0"/>
        <w:overflowPunct w:val="0"/>
        <w:rPr>
          <w:color w:val="000000"/>
        </w:rPr>
      </w:pPr>
      <w:r w:rsidRPr="009D79A6">
        <w:rPr>
          <w:color w:val="000000"/>
        </w:rPr>
        <w:t>Die Wirksamkeit von Adalimumab wurde in einer randomisierten, doppelblinden, kontrollierten Studie mit 114 Kindern und Jugendlichen ab 4 Jahren mit schwerer chronischer Plaque-Psoriasis untersucht, deren topische Therapie und Heliotherapie oder Phototherapie unzureichend war (</w:t>
      </w:r>
      <w:r>
        <w:rPr>
          <w:color w:val="000000"/>
        </w:rPr>
        <w:t>s</w:t>
      </w:r>
      <w:r w:rsidRPr="009D79A6">
        <w:rPr>
          <w:color w:val="000000"/>
        </w:rPr>
        <w:t>chwere chronische Plaque-Psoriasis ist definiert durch einen Wert im Physician’s Global Assessment [PGA] ≥ 4 oder &gt; 20 % KOF-Beteiligung oder &gt; 10 % KOF-Beteiligung mit sehr dicken Läsionen oder Psoriasis Area and Severity Index [PASI] ≥ 20 oder ≥ 10 mit klinisch relevanter Beteiligung von Gesicht, Genitalbereich oder Händen/Füßen).</w:t>
      </w:r>
    </w:p>
    <w:p w14:paraId="79CB2F3F" w14:textId="77777777" w:rsidR="009D79A6" w:rsidRPr="009D79A6" w:rsidRDefault="009D79A6" w:rsidP="009D79A6">
      <w:pPr>
        <w:kinsoku w:val="0"/>
        <w:overflowPunct w:val="0"/>
        <w:rPr>
          <w:color w:val="000000"/>
        </w:rPr>
      </w:pPr>
    </w:p>
    <w:p w14:paraId="02E08F7B" w14:textId="77777777" w:rsidR="009D79A6" w:rsidRPr="009D79A6" w:rsidRDefault="009D79A6" w:rsidP="009D79A6">
      <w:pPr>
        <w:kinsoku w:val="0"/>
        <w:overflowPunct w:val="0"/>
        <w:rPr>
          <w:color w:val="000000"/>
        </w:rPr>
      </w:pPr>
      <w:r w:rsidRPr="009D79A6">
        <w:rPr>
          <w:color w:val="000000"/>
        </w:rPr>
        <w:t>Patienten erhielten Adalimumab 0,8 mg/kg jede zweite Woche (bis zu 40 mg), 0,4 mg/kg jede zweite Woche (bis zu 20 mg) oder Methotrexat 0,1 – 0,4 mg/kg wöchentlich (bis zu 25 mg). In Woche 16 hatten mehr Patienten, die in die Adalimumab-Gruppe mit 0,8 mg/kg randomisiert waren, positive Wirksamkeitsnachweise (z. B. PASI-75) als jene, die in die Gruppe mit 0,4 mg/kg jede zweite Woche oder in die MTX-Gruppe randomisiert waren.</w:t>
      </w:r>
    </w:p>
    <w:p w14:paraId="7BED2471" w14:textId="77777777" w:rsidR="009D79A6" w:rsidRPr="009D79A6" w:rsidRDefault="009D79A6" w:rsidP="009D79A6">
      <w:pPr>
        <w:kinsoku w:val="0"/>
        <w:overflowPunct w:val="0"/>
        <w:rPr>
          <w:color w:val="000000"/>
          <w:szCs w:val="23"/>
        </w:rPr>
      </w:pPr>
    </w:p>
    <w:p w14:paraId="539BFD2F" w14:textId="77777777" w:rsidR="009D79A6" w:rsidRPr="009D79A6" w:rsidRDefault="00324DDA" w:rsidP="001376C9">
      <w:pPr>
        <w:keepNext/>
        <w:keepLines/>
        <w:kinsoku w:val="0"/>
        <w:overflowPunct w:val="0"/>
        <w:rPr>
          <w:b/>
          <w:color w:val="000000"/>
        </w:rPr>
      </w:pPr>
      <w:r>
        <w:rPr>
          <w:b/>
          <w:color w:val="000000"/>
        </w:rPr>
        <w:t>Tabelle </w:t>
      </w:r>
      <w:r w:rsidR="009D79A6">
        <w:rPr>
          <w:b/>
          <w:color w:val="000000"/>
        </w:rPr>
        <w:t>19</w:t>
      </w:r>
    </w:p>
    <w:p w14:paraId="224CE7D7" w14:textId="77777777" w:rsidR="009D79A6" w:rsidRPr="009D79A6" w:rsidRDefault="009D79A6" w:rsidP="001376C9">
      <w:pPr>
        <w:keepNext/>
        <w:keepLines/>
        <w:kinsoku w:val="0"/>
        <w:overflowPunct w:val="0"/>
        <w:rPr>
          <w:b/>
          <w:color w:val="000000"/>
        </w:rPr>
      </w:pPr>
      <w:r w:rsidRPr="009D79A6">
        <w:rPr>
          <w:b/>
          <w:color w:val="000000"/>
        </w:rPr>
        <w:t>Wirksamkeitsergebnisse bei pädiatrischer Plaque-Psoriasis in Woche 16</w:t>
      </w:r>
    </w:p>
    <w:p w14:paraId="7B66EEEE" w14:textId="77777777" w:rsidR="009D79A6" w:rsidRPr="009D79A6" w:rsidRDefault="009D79A6" w:rsidP="009D79A6">
      <w:pPr>
        <w:keepNext/>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2980"/>
        <w:gridCol w:w="3031"/>
      </w:tblGrid>
      <w:tr w:rsidR="009D79A6" w:rsidRPr="009D79A6" w14:paraId="4698D65D" w14:textId="77777777" w:rsidTr="00465659">
        <w:trPr>
          <w:cantSplit/>
          <w:tblHeader/>
        </w:trPr>
        <w:tc>
          <w:tcPr>
            <w:tcW w:w="3118" w:type="dxa"/>
            <w:tcBorders>
              <w:top w:val="single" w:sz="4" w:space="0" w:color="auto"/>
              <w:left w:val="single" w:sz="4" w:space="0" w:color="auto"/>
              <w:bottom w:val="single" w:sz="4" w:space="0" w:color="auto"/>
              <w:right w:val="single" w:sz="4" w:space="0" w:color="auto"/>
            </w:tcBorders>
          </w:tcPr>
          <w:p w14:paraId="36E919C5" w14:textId="77777777" w:rsidR="009D79A6" w:rsidRPr="009D79A6" w:rsidRDefault="009D79A6" w:rsidP="009D79A6">
            <w:pPr>
              <w:keepNext/>
              <w:jc w:val="center"/>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278E7768" w14:textId="77777777" w:rsidR="009D79A6" w:rsidRPr="009D79A6" w:rsidRDefault="009D79A6" w:rsidP="009D79A6">
            <w:pPr>
              <w:keepNext/>
              <w:jc w:val="center"/>
              <w:rPr>
                <w:b/>
                <w:color w:val="000000"/>
                <w:vertAlign w:val="superscript"/>
              </w:rPr>
            </w:pPr>
            <w:r w:rsidRPr="009D79A6">
              <w:rPr>
                <w:b/>
                <w:color w:val="000000"/>
              </w:rPr>
              <w:t>MTX</w:t>
            </w:r>
            <w:r w:rsidRPr="009D79A6">
              <w:rPr>
                <w:b/>
                <w:color w:val="000000"/>
                <w:vertAlign w:val="superscript"/>
              </w:rPr>
              <w:t>a</w:t>
            </w:r>
          </w:p>
          <w:p w14:paraId="1F878648" w14:textId="77777777" w:rsidR="009D79A6" w:rsidRPr="009D79A6" w:rsidRDefault="009D79A6" w:rsidP="009D79A6">
            <w:pPr>
              <w:keepNext/>
              <w:jc w:val="center"/>
              <w:rPr>
                <w:b/>
                <w:color w:val="000000"/>
              </w:rPr>
            </w:pPr>
            <w:r w:rsidRPr="009D79A6">
              <w:rPr>
                <w:b/>
                <w:color w:val="000000"/>
              </w:rPr>
              <w:t>n = 37</w:t>
            </w:r>
          </w:p>
        </w:tc>
        <w:tc>
          <w:tcPr>
            <w:tcW w:w="3108" w:type="dxa"/>
            <w:tcBorders>
              <w:top w:val="single" w:sz="4" w:space="0" w:color="auto"/>
              <w:left w:val="single" w:sz="4" w:space="0" w:color="auto"/>
              <w:bottom w:val="single" w:sz="4" w:space="0" w:color="auto"/>
              <w:right w:val="single" w:sz="4" w:space="0" w:color="auto"/>
            </w:tcBorders>
            <w:hideMark/>
          </w:tcPr>
          <w:p w14:paraId="2D374628" w14:textId="77777777" w:rsidR="009D79A6" w:rsidRPr="009D79A6" w:rsidRDefault="009D79A6" w:rsidP="009D79A6">
            <w:pPr>
              <w:keepNext/>
              <w:jc w:val="center"/>
              <w:rPr>
                <w:b/>
                <w:color w:val="000000"/>
              </w:rPr>
            </w:pPr>
            <w:r w:rsidRPr="009D79A6">
              <w:rPr>
                <w:b/>
                <w:color w:val="000000"/>
              </w:rPr>
              <w:t>Adalimumab 0,8 mg/kg jede zweite Woche</w:t>
            </w:r>
          </w:p>
          <w:p w14:paraId="3C8B49BE" w14:textId="77777777" w:rsidR="009D79A6" w:rsidRPr="009D79A6" w:rsidRDefault="009D79A6" w:rsidP="009D79A6">
            <w:pPr>
              <w:keepNext/>
              <w:jc w:val="center"/>
              <w:rPr>
                <w:b/>
                <w:color w:val="000000"/>
              </w:rPr>
            </w:pPr>
            <w:r w:rsidRPr="009D79A6">
              <w:rPr>
                <w:b/>
                <w:color w:val="000000"/>
              </w:rPr>
              <w:t>n = 38</w:t>
            </w:r>
          </w:p>
        </w:tc>
      </w:tr>
      <w:tr w:rsidR="009D79A6" w:rsidRPr="009D79A6" w14:paraId="5F88819D" w14:textId="77777777" w:rsidTr="00465659">
        <w:trPr>
          <w:cantSplit/>
        </w:trPr>
        <w:tc>
          <w:tcPr>
            <w:tcW w:w="3118" w:type="dxa"/>
            <w:tcBorders>
              <w:top w:val="single" w:sz="4" w:space="0" w:color="auto"/>
              <w:left w:val="single" w:sz="4" w:space="0" w:color="auto"/>
              <w:bottom w:val="single" w:sz="4" w:space="0" w:color="auto"/>
              <w:right w:val="single" w:sz="4" w:space="0" w:color="auto"/>
            </w:tcBorders>
            <w:hideMark/>
          </w:tcPr>
          <w:p w14:paraId="70648D8A" w14:textId="77777777" w:rsidR="009D79A6" w:rsidRPr="009D79A6" w:rsidRDefault="009D79A6" w:rsidP="009D79A6">
            <w:pPr>
              <w:keepNext/>
              <w:rPr>
                <w:color w:val="000000"/>
              </w:rPr>
            </w:pPr>
            <w:r w:rsidRPr="009D79A6">
              <w:rPr>
                <w:color w:val="000000"/>
              </w:rPr>
              <w:t>PASI 75</w:t>
            </w:r>
            <w:r w:rsidRPr="009D79A6">
              <w:rPr>
                <w:color w:val="000000"/>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5C96EC94" w14:textId="77777777" w:rsidR="009D79A6" w:rsidRPr="009D79A6" w:rsidRDefault="009D79A6" w:rsidP="009D79A6">
            <w:pPr>
              <w:keepNext/>
              <w:jc w:val="center"/>
              <w:rPr>
                <w:color w:val="000000"/>
              </w:rPr>
            </w:pPr>
            <w:r w:rsidRPr="009D79A6">
              <w:rPr>
                <w:color w:val="000000"/>
              </w:rPr>
              <w:t>12 (32,4 %)</w:t>
            </w:r>
          </w:p>
        </w:tc>
        <w:tc>
          <w:tcPr>
            <w:tcW w:w="3108" w:type="dxa"/>
            <w:tcBorders>
              <w:top w:val="single" w:sz="4" w:space="0" w:color="auto"/>
              <w:left w:val="single" w:sz="4" w:space="0" w:color="auto"/>
              <w:bottom w:val="single" w:sz="4" w:space="0" w:color="auto"/>
              <w:right w:val="single" w:sz="4" w:space="0" w:color="auto"/>
            </w:tcBorders>
            <w:hideMark/>
          </w:tcPr>
          <w:p w14:paraId="24FED6F0" w14:textId="77777777" w:rsidR="009D79A6" w:rsidRPr="009D79A6" w:rsidRDefault="009D79A6" w:rsidP="009D79A6">
            <w:pPr>
              <w:keepNext/>
              <w:jc w:val="center"/>
              <w:rPr>
                <w:color w:val="000000"/>
              </w:rPr>
            </w:pPr>
            <w:r w:rsidRPr="009D79A6">
              <w:rPr>
                <w:color w:val="000000"/>
              </w:rPr>
              <w:t>22 (57,9 %)</w:t>
            </w:r>
          </w:p>
        </w:tc>
      </w:tr>
      <w:tr w:rsidR="009D79A6" w:rsidRPr="009D79A6" w14:paraId="7A464D5C" w14:textId="77777777" w:rsidTr="00465659">
        <w:trPr>
          <w:cantSplit/>
        </w:trPr>
        <w:tc>
          <w:tcPr>
            <w:tcW w:w="3118" w:type="dxa"/>
            <w:tcBorders>
              <w:top w:val="single" w:sz="4" w:space="0" w:color="auto"/>
              <w:left w:val="single" w:sz="4" w:space="0" w:color="auto"/>
              <w:bottom w:val="single" w:sz="4" w:space="0" w:color="auto"/>
              <w:right w:val="single" w:sz="4" w:space="0" w:color="auto"/>
            </w:tcBorders>
            <w:hideMark/>
          </w:tcPr>
          <w:p w14:paraId="12E1485E" w14:textId="77777777" w:rsidR="009D79A6" w:rsidRPr="009D79A6" w:rsidRDefault="009D79A6" w:rsidP="009D79A6">
            <w:pPr>
              <w:keepNext/>
              <w:rPr>
                <w:color w:val="000000"/>
              </w:rPr>
            </w:pPr>
            <w:r w:rsidRPr="009D79A6">
              <w:rPr>
                <w:color w:val="000000"/>
              </w:rPr>
              <w:t>PGA: erscheinungsfrei/ minimal</w:t>
            </w:r>
            <w:r w:rsidRPr="009D79A6">
              <w:rPr>
                <w:color w:val="000000"/>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67A1F9F0" w14:textId="77777777" w:rsidR="009D79A6" w:rsidRPr="009D79A6" w:rsidRDefault="009D79A6" w:rsidP="009D79A6">
            <w:pPr>
              <w:keepNext/>
              <w:jc w:val="center"/>
              <w:rPr>
                <w:color w:val="000000"/>
              </w:rPr>
            </w:pPr>
            <w:r w:rsidRPr="009D79A6">
              <w:rPr>
                <w:color w:val="000000"/>
              </w:rPr>
              <w:t>15 (40,5 %)</w:t>
            </w:r>
          </w:p>
        </w:tc>
        <w:tc>
          <w:tcPr>
            <w:tcW w:w="3108" w:type="dxa"/>
            <w:tcBorders>
              <w:top w:val="single" w:sz="4" w:space="0" w:color="auto"/>
              <w:left w:val="single" w:sz="4" w:space="0" w:color="auto"/>
              <w:bottom w:val="single" w:sz="4" w:space="0" w:color="auto"/>
              <w:right w:val="single" w:sz="4" w:space="0" w:color="auto"/>
            </w:tcBorders>
            <w:hideMark/>
          </w:tcPr>
          <w:p w14:paraId="4BFE6A71" w14:textId="77777777" w:rsidR="009D79A6" w:rsidRPr="009D79A6" w:rsidRDefault="009D79A6" w:rsidP="009D79A6">
            <w:pPr>
              <w:keepNext/>
              <w:jc w:val="center"/>
              <w:rPr>
                <w:color w:val="000000"/>
              </w:rPr>
            </w:pPr>
            <w:r w:rsidRPr="009D79A6">
              <w:rPr>
                <w:color w:val="000000"/>
              </w:rPr>
              <w:t>23 (60,5 %)</w:t>
            </w:r>
          </w:p>
        </w:tc>
      </w:tr>
      <w:tr w:rsidR="009D79A6" w:rsidRPr="00D42C63" w14:paraId="335E3BC7" w14:textId="77777777" w:rsidTr="00465659">
        <w:trPr>
          <w:cantSplit/>
        </w:trPr>
        <w:tc>
          <w:tcPr>
            <w:tcW w:w="9303" w:type="dxa"/>
            <w:gridSpan w:val="3"/>
            <w:tcBorders>
              <w:top w:val="single" w:sz="4" w:space="0" w:color="auto"/>
              <w:left w:val="nil"/>
              <w:bottom w:val="nil"/>
              <w:right w:val="nil"/>
            </w:tcBorders>
          </w:tcPr>
          <w:p w14:paraId="7612BA3B" w14:textId="77777777" w:rsidR="009D79A6" w:rsidRPr="00CB30D8" w:rsidRDefault="009D79A6" w:rsidP="009D79A6">
            <w:pPr>
              <w:ind w:left="270" w:hanging="270"/>
              <w:rPr>
                <w:color w:val="000000"/>
                <w:sz w:val="20"/>
              </w:rPr>
            </w:pPr>
            <w:r w:rsidRPr="00CB30D8">
              <w:rPr>
                <w:color w:val="000000"/>
                <w:sz w:val="20"/>
                <w:vertAlign w:val="superscript"/>
              </w:rPr>
              <w:t>a</w:t>
            </w:r>
            <w:r w:rsidRPr="00CB30D8">
              <w:rPr>
                <w:color w:val="000000"/>
                <w:sz w:val="20"/>
              </w:rPr>
              <w:t xml:space="preserve"> </w:t>
            </w:r>
            <w:r w:rsidRPr="00CB30D8">
              <w:rPr>
                <w:color w:val="000000"/>
                <w:sz w:val="20"/>
              </w:rPr>
              <w:tab/>
              <w:t>MTX = Methotrexat</w:t>
            </w:r>
          </w:p>
          <w:p w14:paraId="477F545B" w14:textId="77777777" w:rsidR="009D79A6" w:rsidRPr="00CB30D8" w:rsidRDefault="009D79A6" w:rsidP="009D79A6">
            <w:pPr>
              <w:ind w:left="270" w:hanging="270"/>
              <w:rPr>
                <w:color w:val="000000"/>
                <w:sz w:val="20"/>
              </w:rPr>
            </w:pPr>
            <w:r w:rsidRPr="00CB30D8">
              <w:rPr>
                <w:color w:val="000000"/>
                <w:sz w:val="20"/>
                <w:vertAlign w:val="superscript"/>
              </w:rPr>
              <w:t>b</w:t>
            </w:r>
            <w:r w:rsidRPr="00CB30D8">
              <w:rPr>
                <w:color w:val="000000"/>
                <w:sz w:val="20"/>
              </w:rPr>
              <w:t xml:space="preserve"> </w:t>
            </w:r>
            <w:r w:rsidRPr="00CB30D8">
              <w:rPr>
                <w:color w:val="000000"/>
                <w:sz w:val="20"/>
              </w:rPr>
              <w:tab/>
              <w:t xml:space="preserve">p = 0,027; Adalimumab 0,8 mg/kg </w:t>
            </w:r>
            <w:r w:rsidRPr="00CB30D8">
              <w:rPr>
                <w:i/>
                <w:iCs/>
                <w:color w:val="000000"/>
                <w:sz w:val="20"/>
              </w:rPr>
              <w:t>versus</w:t>
            </w:r>
            <w:r w:rsidRPr="00CB30D8">
              <w:rPr>
                <w:color w:val="000000"/>
                <w:sz w:val="20"/>
              </w:rPr>
              <w:t xml:space="preserve"> MTX</w:t>
            </w:r>
          </w:p>
          <w:p w14:paraId="7AD408B0" w14:textId="77777777" w:rsidR="009D79A6" w:rsidRPr="00206AEA" w:rsidRDefault="009D79A6" w:rsidP="009D79A6">
            <w:pPr>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p = 0,083; Adalimumab 0,8 mg/kg </w:t>
            </w:r>
            <w:r w:rsidRPr="00206AEA">
              <w:rPr>
                <w:i/>
                <w:iCs/>
                <w:color w:val="000000"/>
                <w:sz w:val="20"/>
              </w:rPr>
              <w:t>versus</w:t>
            </w:r>
            <w:r w:rsidRPr="00206AEA">
              <w:rPr>
                <w:color w:val="000000"/>
                <w:sz w:val="20"/>
              </w:rPr>
              <w:t xml:space="preserve"> MTX</w:t>
            </w:r>
          </w:p>
        </w:tc>
      </w:tr>
    </w:tbl>
    <w:p w14:paraId="4128143D" w14:textId="77777777" w:rsidR="009D79A6" w:rsidRPr="00D42C63" w:rsidRDefault="009D79A6" w:rsidP="009D79A6">
      <w:pPr>
        <w:rPr>
          <w:color w:val="000000"/>
        </w:rPr>
      </w:pPr>
    </w:p>
    <w:p w14:paraId="399D44EC" w14:textId="77777777" w:rsidR="009D79A6" w:rsidRPr="009D79A6" w:rsidRDefault="009D79A6" w:rsidP="009D79A6">
      <w:pPr>
        <w:kinsoku w:val="0"/>
        <w:overflowPunct w:val="0"/>
        <w:rPr>
          <w:color w:val="000000"/>
        </w:rPr>
      </w:pPr>
      <w:r w:rsidRPr="009D79A6">
        <w:rPr>
          <w:color w:val="000000"/>
        </w:rPr>
        <w:t>Bei Patienten, die PASI-75 und einen PGA, definiert als „erscheinungsfrei“ oder „minimal“, erreichten, wurde die Behandlung bis zu 36 Wochen lang abgesetzt. Diese Patienten wurden dahingehend beobachtet, ob sie einen Rückfall erlitten (z. B. Verschlechterung des PGA um mindestens zwei Grade). Die Behandlung der Patienten wurde dann wieder mit 0,8 mg Adalimumab/kg jede zweite Woche für weitere 16 Wochen aufgenommen. Die Ansprechraten, die während der erneuten Behandlung beobachtet wurden, waren vergleichbar mit denen in der vorherigen doppelblinden Phase: PASI-75-Ansprechen von 78,9 % (15 von 19 Patienten) und PGA (definiert als „erscheinungsfrei“ oder „minimal“) von 52,6 % (10 von 19 Patienten).</w:t>
      </w:r>
    </w:p>
    <w:p w14:paraId="6169E6A0" w14:textId="77777777" w:rsidR="009D79A6" w:rsidRPr="009D79A6" w:rsidRDefault="009D79A6" w:rsidP="009D79A6">
      <w:pPr>
        <w:kinsoku w:val="0"/>
        <w:overflowPunct w:val="0"/>
        <w:rPr>
          <w:color w:val="000000"/>
        </w:rPr>
      </w:pPr>
    </w:p>
    <w:p w14:paraId="36C1809C" w14:textId="77777777" w:rsidR="009D79A6" w:rsidRPr="009D79A6" w:rsidRDefault="009D79A6" w:rsidP="009D79A6">
      <w:pPr>
        <w:kinsoku w:val="0"/>
        <w:overflowPunct w:val="0"/>
        <w:rPr>
          <w:color w:val="000000"/>
        </w:rPr>
      </w:pPr>
      <w:r w:rsidRPr="009D79A6">
        <w:rPr>
          <w:color w:val="000000"/>
        </w:rPr>
        <w:lastRenderedPageBreak/>
        <w:t>In der offenen Fortsetzungsphase der Studie wurden für bis zu weitere</w:t>
      </w:r>
      <w:r w:rsidR="00501DE5">
        <w:rPr>
          <w:color w:val="000000"/>
        </w:rPr>
        <w:t>n</w:t>
      </w:r>
      <w:r w:rsidRPr="009D79A6">
        <w:rPr>
          <w:color w:val="000000"/>
        </w:rPr>
        <w:t xml:space="preserve"> 52 Wochen ein PASI-75-Ansprechen und PGA, definiert als „erscheinungsfrei“ oder „minimal“, aufrechterhalten; es gab keine neuen Erkenntnisse zur Sicherheit.</w:t>
      </w:r>
    </w:p>
    <w:p w14:paraId="386FBD82" w14:textId="77777777" w:rsidR="002E7CBA" w:rsidRDefault="002E7CBA" w:rsidP="00387D0C">
      <w:pPr>
        <w:pStyle w:val="BodyText"/>
        <w:widowControl/>
        <w:kinsoku w:val="0"/>
        <w:overflowPunct w:val="0"/>
        <w:ind w:left="0"/>
        <w:rPr>
          <w:color w:val="000000"/>
        </w:rPr>
      </w:pPr>
    </w:p>
    <w:p w14:paraId="31C60017" w14:textId="77777777" w:rsidR="009D79A6" w:rsidRPr="009D79A6" w:rsidRDefault="009D79A6" w:rsidP="009D79A6">
      <w:pPr>
        <w:keepNext/>
        <w:kinsoku w:val="0"/>
        <w:overflowPunct w:val="0"/>
        <w:rPr>
          <w:i/>
          <w:iCs/>
          <w:color w:val="000000"/>
        </w:rPr>
      </w:pPr>
      <w:r w:rsidRPr="009D79A6">
        <w:rPr>
          <w:i/>
          <w:iCs/>
          <w:color w:val="000000"/>
        </w:rPr>
        <w:t>Morbus Crohn bei Kindern und Jugendlichen</w:t>
      </w:r>
    </w:p>
    <w:p w14:paraId="13FE405C" w14:textId="77777777" w:rsidR="009D79A6" w:rsidRPr="009D79A6" w:rsidRDefault="009D79A6" w:rsidP="009D79A6">
      <w:pPr>
        <w:keepNext/>
        <w:kinsoku w:val="0"/>
        <w:overflowPunct w:val="0"/>
        <w:rPr>
          <w:color w:val="000000"/>
        </w:rPr>
      </w:pPr>
    </w:p>
    <w:p w14:paraId="1BF7C046" w14:textId="77777777" w:rsidR="009D79A6" w:rsidRPr="009D79A6" w:rsidRDefault="009D79A6" w:rsidP="009D79A6">
      <w:pPr>
        <w:kinsoku w:val="0"/>
        <w:overflowPunct w:val="0"/>
        <w:rPr>
          <w:color w:val="000000"/>
        </w:rPr>
      </w:pPr>
      <w:r w:rsidRPr="009D79A6">
        <w:rPr>
          <w:color w:val="000000"/>
        </w:rPr>
        <w:t xml:space="preserve">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Morbus-Crohn-Aktivitätsindex(PCDAI)-Score &gt; 30, eingeschlossen. Die Dosis war abhängig vom Körpergewicht (&lt; 40 kg oder ≥ 40 kg). Eingeschlossen wurden Patienten, bei denen eine konventionelle MC-Therapie (einschließlich eines </w:t>
      </w:r>
      <w:r w:rsidR="002504AA">
        <w:rPr>
          <w:color w:val="000000"/>
        </w:rPr>
        <w:t>K</w:t>
      </w:r>
      <w:r w:rsidRPr="009D79A6">
        <w:rPr>
          <w:color w:val="000000"/>
        </w:rPr>
        <w:t>ortiko</w:t>
      </w:r>
      <w:r w:rsidR="002504AA">
        <w:rPr>
          <w:color w:val="000000"/>
        </w:rPr>
        <w:t>stero</w:t>
      </w:r>
      <w:r w:rsidRPr="009D79A6">
        <w:rPr>
          <w:color w:val="000000"/>
        </w:rPr>
        <w:t xml:space="preserve">ids und/oder eines Immunsuppressivums) versagt hatte. Es wurden auch Patienten eingeschlossen, die unter Infliximab-Therapie einen Verlust des klinischen Ansprechens oder eine Unverträglichkeit </w:t>
      </w:r>
      <w:r w:rsidR="00501DE5">
        <w:rPr>
          <w:color w:val="000000"/>
        </w:rPr>
        <w:t>entwickelt</w:t>
      </w:r>
      <w:r w:rsidRPr="009D79A6">
        <w:rPr>
          <w:color w:val="000000"/>
        </w:rPr>
        <w:t xml:space="preserve"> hatten.</w:t>
      </w:r>
    </w:p>
    <w:p w14:paraId="0A97EF69" w14:textId="77777777" w:rsidR="009D79A6" w:rsidRPr="009D79A6" w:rsidRDefault="009D79A6" w:rsidP="009D79A6">
      <w:pPr>
        <w:kinsoku w:val="0"/>
        <w:overflowPunct w:val="0"/>
        <w:rPr>
          <w:color w:val="000000"/>
        </w:rPr>
      </w:pPr>
    </w:p>
    <w:p w14:paraId="01C8488B" w14:textId="77777777" w:rsidR="009D79A6" w:rsidRPr="009D79A6" w:rsidRDefault="009D79A6" w:rsidP="009D79A6">
      <w:pPr>
        <w:kinsoku w:val="0"/>
        <w:overflowPunct w:val="0"/>
        <w:rPr>
          <w:color w:val="000000"/>
        </w:rPr>
      </w:pPr>
      <w:r w:rsidRPr="009D79A6">
        <w:rPr>
          <w:color w:val="000000"/>
        </w:rPr>
        <w:t>Alle Patienten erhielten eine offene Induktionstherapie mit einer Dosis auf Basis des Körpergewichts zu Studienbeginn: 160 mg zu Woche 0 und 80 mg zu Woche 2 für Patienten ≥ 40 kg bzw. 80 mg und 40 mg für Patienten &lt; 40 kg.</w:t>
      </w:r>
    </w:p>
    <w:p w14:paraId="7B93B537" w14:textId="77777777" w:rsidR="009D79A6" w:rsidRPr="009D79A6" w:rsidRDefault="009D79A6" w:rsidP="009D79A6">
      <w:pPr>
        <w:kinsoku w:val="0"/>
        <w:overflowPunct w:val="0"/>
        <w:rPr>
          <w:color w:val="000000"/>
        </w:rPr>
      </w:pPr>
    </w:p>
    <w:p w14:paraId="6C9BEC13" w14:textId="77777777" w:rsidR="009D79A6" w:rsidRPr="009D79A6" w:rsidRDefault="009D79A6" w:rsidP="009D79A6">
      <w:pPr>
        <w:kinsoku w:val="0"/>
        <w:overflowPunct w:val="0"/>
        <w:rPr>
          <w:color w:val="000000"/>
        </w:rPr>
      </w:pPr>
      <w:r w:rsidRPr="009D79A6">
        <w:rPr>
          <w:color w:val="000000"/>
        </w:rPr>
        <w:t xml:space="preserve">Zu Woche 4 wurden die Patienten 1:1 auf Basis des derzeitigen Körpergewichts </w:t>
      </w:r>
      <w:r w:rsidR="00501DE5">
        <w:rPr>
          <w:color w:val="000000"/>
        </w:rPr>
        <w:t xml:space="preserve">entweder </w:t>
      </w:r>
      <w:r w:rsidR="00D07CFF" w:rsidRPr="00D07CFF">
        <w:rPr>
          <w:color w:val="000000"/>
        </w:rPr>
        <w:t>einem Behandlungsschema mit niedriger Dosis oder Standarddosis</w:t>
      </w:r>
      <w:r w:rsidRPr="009D79A6">
        <w:rPr>
          <w:color w:val="000000"/>
        </w:rPr>
        <w:t xml:space="preserve"> nach dem Zufallsprinzip zugeteilt (siehe Tabelle </w:t>
      </w:r>
      <w:r w:rsidR="00324DDA">
        <w:rPr>
          <w:color w:val="000000"/>
        </w:rPr>
        <w:t>20</w:t>
      </w:r>
      <w:r w:rsidRPr="009D79A6">
        <w:rPr>
          <w:color w:val="000000"/>
        </w:rPr>
        <w:t>).</w:t>
      </w:r>
    </w:p>
    <w:p w14:paraId="34BC97CE" w14:textId="77777777" w:rsidR="009D79A6" w:rsidRPr="009D79A6" w:rsidRDefault="009D79A6" w:rsidP="009D79A6">
      <w:pPr>
        <w:kinsoku w:val="0"/>
        <w:overflowPunct w:val="0"/>
        <w:rPr>
          <w:color w:val="000000"/>
        </w:rPr>
      </w:pPr>
    </w:p>
    <w:p w14:paraId="421879E6" w14:textId="77777777" w:rsidR="009D79A6" w:rsidRPr="009D79A6" w:rsidRDefault="009D79A6" w:rsidP="009D79A6">
      <w:pPr>
        <w:kinsoku w:val="0"/>
        <w:overflowPunct w:val="0"/>
        <w:rPr>
          <w:b/>
          <w:color w:val="000000"/>
        </w:rPr>
      </w:pPr>
      <w:r w:rsidRPr="009D79A6">
        <w:rPr>
          <w:b/>
          <w:color w:val="000000"/>
        </w:rPr>
        <w:t>Tabelle </w:t>
      </w:r>
      <w:r w:rsidR="00324DDA">
        <w:rPr>
          <w:b/>
          <w:color w:val="000000"/>
        </w:rPr>
        <w:t>20</w:t>
      </w:r>
    </w:p>
    <w:p w14:paraId="40095202" w14:textId="77777777" w:rsidR="009D79A6" w:rsidRPr="009D79A6" w:rsidRDefault="009D79A6" w:rsidP="009D79A6">
      <w:pPr>
        <w:kinsoku w:val="0"/>
        <w:overflowPunct w:val="0"/>
        <w:rPr>
          <w:b/>
          <w:color w:val="000000"/>
        </w:rPr>
      </w:pPr>
      <w:r w:rsidRPr="009D79A6">
        <w:rPr>
          <w:b/>
          <w:color w:val="000000"/>
        </w:rPr>
        <w:t>Erhaltungsdosis</w:t>
      </w:r>
    </w:p>
    <w:p w14:paraId="409BEE51" w14:textId="77777777" w:rsidR="009D79A6" w:rsidRPr="009D79A6" w:rsidRDefault="009D79A6" w:rsidP="009D79A6">
      <w:pPr>
        <w:kinsoku w:val="0"/>
        <w:overflowPunct w:val="0"/>
        <w:rPr>
          <w:b/>
          <w:color w:val="000000"/>
        </w:rPr>
      </w:pPr>
    </w:p>
    <w:tbl>
      <w:tblPr>
        <w:tblW w:w="4684" w:type="pct"/>
        <w:tblLayout w:type="fixed"/>
        <w:tblCellMar>
          <w:left w:w="0" w:type="dxa"/>
          <w:right w:w="0" w:type="dxa"/>
        </w:tblCellMar>
        <w:tblLook w:val="0000" w:firstRow="0" w:lastRow="0" w:firstColumn="0" w:lastColumn="0" w:noHBand="0" w:noVBand="0"/>
      </w:tblPr>
      <w:tblGrid>
        <w:gridCol w:w="3117"/>
        <w:gridCol w:w="2405"/>
        <w:gridCol w:w="2970"/>
      </w:tblGrid>
      <w:tr w:rsidR="009D79A6" w:rsidRPr="009D79A6" w14:paraId="4934CF02" w14:textId="77777777" w:rsidTr="008419B6">
        <w:trPr>
          <w:cantSplit/>
          <w:tblHeader/>
        </w:trPr>
        <w:tc>
          <w:tcPr>
            <w:tcW w:w="3124" w:type="dxa"/>
            <w:tcBorders>
              <w:top w:val="single" w:sz="4" w:space="0" w:color="000000"/>
              <w:left w:val="single" w:sz="4" w:space="0" w:color="000000"/>
              <w:bottom w:val="single" w:sz="4" w:space="0" w:color="000000"/>
              <w:right w:val="single" w:sz="4" w:space="0" w:color="000000"/>
            </w:tcBorders>
          </w:tcPr>
          <w:p w14:paraId="3912803A" w14:textId="77777777" w:rsidR="009D79A6" w:rsidRPr="009D79A6" w:rsidRDefault="009D79A6" w:rsidP="008419B6">
            <w:pPr>
              <w:keepNext/>
              <w:kinsoku w:val="0"/>
              <w:overflowPunct w:val="0"/>
              <w:ind w:left="102" w:right="188"/>
              <w:jc w:val="center"/>
              <w:rPr>
                <w:rFonts w:eastAsia="Calibri"/>
                <w:color w:val="000000"/>
              </w:rPr>
            </w:pPr>
            <w:r w:rsidRPr="009D79A6">
              <w:rPr>
                <w:rFonts w:eastAsia="Calibri"/>
                <w:b/>
                <w:bCs/>
                <w:color w:val="000000"/>
              </w:rPr>
              <w:t>Patienten</w:t>
            </w:r>
            <w:r w:rsidR="00501DE5">
              <w:rPr>
                <w:rFonts w:eastAsia="Calibri"/>
                <w:b/>
                <w:bCs/>
                <w:color w:val="000000"/>
              </w:rPr>
              <w:t>gewicht</w:t>
            </w:r>
          </w:p>
        </w:tc>
        <w:tc>
          <w:tcPr>
            <w:tcW w:w="2410" w:type="dxa"/>
            <w:tcBorders>
              <w:top w:val="single" w:sz="4" w:space="0" w:color="000000"/>
              <w:left w:val="single" w:sz="4" w:space="0" w:color="000000"/>
              <w:bottom w:val="single" w:sz="4" w:space="0" w:color="000000"/>
              <w:right w:val="single" w:sz="4" w:space="0" w:color="000000"/>
            </w:tcBorders>
          </w:tcPr>
          <w:p w14:paraId="15CE1301" w14:textId="77777777" w:rsidR="009D79A6" w:rsidRPr="009D79A6" w:rsidRDefault="009D79A6" w:rsidP="008419B6">
            <w:pPr>
              <w:keepNext/>
              <w:kinsoku w:val="0"/>
              <w:overflowPunct w:val="0"/>
              <w:spacing w:line="251" w:lineRule="exact"/>
              <w:ind w:left="100"/>
              <w:jc w:val="center"/>
              <w:rPr>
                <w:rFonts w:eastAsia="Calibri"/>
                <w:color w:val="000000"/>
              </w:rPr>
            </w:pPr>
            <w:r w:rsidRPr="009D79A6">
              <w:rPr>
                <w:rFonts w:eastAsia="Calibri"/>
                <w:b/>
                <w:bCs/>
                <w:color w:val="000000"/>
              </w:rPr>
              <w:t>Niedrige Dosis</w:t>
            </w:r>
          </w:p>
        </w:tc>
        <w:tc>
          <w:tcPr>
            <w:tcW w:w="2976" w:type="dxa"/>
            <w:tcBorders>
              <w:top w:val="single" w:sz="4" w:space="0" w:color="000000"/>
              <w:left w:val="single" w:sz="4" w:space="0" w:color="000000"/>
              <w:bottom w:val="single" w:sz="4" w:space="0" w:color="000000"/>
              <w:right w:val="single" w:sz="4" w:space="0" w:color="000000"/>
            </w:tcBorders>
          </w:tcPr>
          <w:p w14:paraId="1DBBD05A" w14:textId="77777777" w:rsidR="009D79A6" w:rsidRPr="009D79A6" w:rsidRDefault="009D79A6" w:rsidP="008419B6">
            <w:pPr>
              <w:keepNext/>
              <w:kinsoku w:val="0"/>
              <w:overflowPunct w:val="0"/>
              <w:ind w:left="102" w:right="213"/>
              <w:jc w:val="center"/>
              <w:rPr>
                <w:rFonts w:eastAsia="Calibri"/>
                <w:color w:val="000000"/>
              </w:rPr>
            </w:pPr>
            <w:r w:rsidRPr="009D79A6">
              <w:rPr>
                <w:rFonts w:eastAsia="Calibri"/>
                <w:b/>
                <w:bCs/>
                <w:color w:val="000000"/>
              </w:rPr>
              <w:t>Standarddosis</w:t>
            </w:r>
          </w:p>
        </w:tc>
      </w:tr>
      <w:tr w:rsidR="009D79A6" w:rsidRPr="009D79A6" w14:paraId="799D79AD" w14:textId="77777777" w:rsidTr="008419B6">
        <w:trPr>
          <w:cantSplit/>
        </w:trPr>
        <w:tc>
          <w:tcPr>
            <w:tcW w:w="3124" w:type="dxa"/>
            <w:tcBorders>
              <w:top w:val="single" w:sz="4" w:space="0" w:color="000000"/>
              <w:left w:val="single" w:sz="4" w:space="0" w:color="000000"/>
              <w:bottom w:val="single" w:sz="4" w:space="0" w:color="000000"/>
              <w:right w:val="single" w:sz="4" w:space="0" w:color="000000"/>
            </w:tcBorders>
          </w:tcPr>
          <w:p w14:paraId="09F6500E" w14:textId="77777777" w:rsidR="009D79A6" w:rsidRPr="009D79A6" w:rsidRDefault="009D79A6" w:rsidP="008419B6">
            <w:pPr>
              <w:kinsoku w:val="0"/>
              <w:overflowPunct w:val="0"/>
              <w:spacing w:line="249" w:lineRule="exact"/>
              <w:ind w:left="102"/>
              <w:jc w:val="center"/>
              <w:rPr>
                <w:rFonts w:eastAsia="Calibri"/>
                <w:color w:val="000000"/>
              </w:rPr>
            </w:pPr>
            <w:r w:rsidRPr="009D79A6">
              <w:rPr>
                <w:rFonts w:eastAsia="Calibri"/>
                <w:color w:val="000000"/>
              </w:rPr>
              <w:t>&lt; 40 kg</w:t>
            </w:r>
          </w:p>
        </w:tc>
        <w:tc>
          <w:tcPr>
            <w:tcW w:w="2410" w:type="dxa"/>
            <w:tcBorders>
              <w:top w:val="single" w:sz="4" w:space="0" w:color="000000"/>
              <w:left w:val="single" w:sz="4" w:space="0" w:color="000000"/>
              <w:bottom w:val="single" w:sz="4" w:space="0" w:color="000000"/>
              <w:right w:val="single" w:sz="4" w:space="0" w:color="000000"/>
            </w:tcBorders>
          </w:tcPr>
          <w:p w14:paraId="4969D1C6" w14:textId="77777777" w:rsidR="009D79A6" w:rsidRPr="009D79A6" w:rsidRDefault="009D79A6" w:rsidP="008419B6">
            <w:pPr>
              <w:kinsoku w:val="0"/>
              <w:overflowPunct w:val="0"/>
              <w:spacing w:line="249" w:lineRule="exact"/>
              <w:ind w:left="100"/>
              <w:jc w:val="center"/>
              <w:rPr>
                <w:rFonts w:eastAsia="Calibri"/>
                <w:color w:val="000000"/>
              </w:rPr>
            </w:pPr>
            <w:r w:rsidRPr="009D79A6">
              <w:rPr>
                <w:rFonts w:eastAsia="Calibri"/>
                <w:color w:val="000000"/>
              </w:rPr>
              <w:t xml:space="preserve">10 mg </w:t>
            </w:r>
            <w:r w:rsidR="002504AA">
              <w:rPr>
                <w:rFonts w:eastAsia="Calibri"/>
                <w:color w:val="000000"/>
              </w:rPr>
              <w:t xml:space="preserve">jede zweite Woche </w:t>
            </w:r>
          </w:p>
        </w:tc>
        <w:tc>
          <w:tcPr>
            <w:tcW w:w="2976" w:type="dxa"/>
            <w:tcBorders>
              <w:top w:val="single" w:sz="4" w:space="0" w:color="000000"/>
              <w:left w:val="single" w:sz="4" w:space="0" w:color="000000"/>
              <w:bottom w:val="single" w:sz="4" w:space="0" w:color="000000"/>
              <w:right w:val="single" w:sz="4" w:space="0" w:color="000000"/>
            </w:tcBorders>
          </w:tcPr>
          <w:p w14:paraId="7BA1649B" w14:textId="77777777" w:rsidR="009D79A6" w:rsidRPr="009D79A6" w:rsidRDefault="009D79A6" w:rsidP="008419B6">
            <w:pPr>
              <w:kinsoku w:val="0"/>
              <w:overflowPunct w:val="0"/>
              <w:spacing w:line="249" w:lineRule="exact"/>
              <w:ind w:left="102"/>
              <w:jc w:val="center"/>
              <w:rPr>
                <w:rFonts w:eastAsia="Calibri"/>
                <w:color w:val="000000"/>
              </w:rPr>
            </w:pPr>
            <w:r w:rsidRPr="009D79A6">
              <w:rPr>
                <w:rFonts w:eastAsia="Calibri"/>
                <w:color w:val="000000"/>
              </w:rPr>
              <w:t xml:space="preserve">20 mg </w:t>
            </w:r>
            <w:r w:rsidR="002504AA">
              <w:rPr>
                <w:rFonts w:eastAsia="Calibri"/>
                <w:color w:val="000000"/>
              </w:rPr>
              <w:t>jede zweite Woche</w:t>
            </w:r>
          </w:p>
        </w:tc>
      </w:tr>
      <w:tr w:rsidR="009D79A6" w:rsidRPr="009D79A6" w14:paraId="67153628" w14:textId="77777777" w:rsidTr="008419B6">
        <w:trPr>
          <w:cantSplit/>
        </w:trPr>
        <w:tc>
          <w:tcPr>
            <w:tcW w:w="3124" w:type="dxa"/>
            <w:tcBorders>
              <w:top w:val="single" w:sz="4" w:space="0" w:color="000000"/>
              <w:left w:val="single" w:sz="4" w:space="0" w:color="000000"/>
              <w:bottom w:val="single" w:sz="4" w:space="0" w:color="000000"/>
              <w:right w:val="single" w:sz="4" w:space="0" w:color="000000"/>
            </w:tcBorders>
          </w:tcPr>
          <w:p w14:paraId="2951ED4A" w14:textId="77777777" w:rsidR="009D79A6" w:rsidRPr="009D79A6" w:rsidRDefault="009D79A6" w:rsidP="008419B6">
            <w:pPr>
              <w:kinsoku w:val="0"/>
              <w:overflowPunct w:val="0"/>
              <w:spacing w:line="251" w:lineRule="exact"/>
              <w:ind w:left="102"/>
              <w:jc w:val="center"/>
              <w:rPr>
                <w:rFonts w:eastAsia="Calibri"/>
                <w:color w:val="000000"/>
              </w:rPr>
            </w:pPr>
            <w:r w:rsidRPr="009D79A6">
              <w:rPr>
                <w:rFonts w:eastAsia="Calibri"/>
                <w:color w:val="000000"/>
              </w:rPr>
              <w:t>≥ 40 kg</w:t>
            </w:r>
          </w:p>
        </w:tc>
        <w:tc>
          <w:tcPr>
            <w:tcW w:w="2410" w:type="dxa"/>
            <w:tcBorders>
              <w:top w:val="single" w:sz="4" w:space="0" w:color="000000"/>
              <w:left w:val="single" w:sz="4" w:space="0" w:color="000000"/>
              <w:bottom w:val="single" w:sz="4" w:space="0" w:color="000000"/>
              <w:right w:val="single" w:sz="4" w:space="0" w:color="000000"/>
            </w:tcBorders>
          </w:tcPr>
          <w:p w14:paraId="47090B12" w14:textId="77777777" w:rsidR="009D79A6" w:rsidRPr="009D79A6" w:rsidRDefault="009D79A6" w:rsidP="008419B6">
            <w:pPr>
              <w:kinsoku w:val="0"/>
              <w:overflowPunct w:val="0"/>
              <w:spacing w:line="251" w:lineRule="exact"/>
              <w:ind w:left="100"/>
              <w:jc w:val="center"/>
              <w:rPr>
                <w:rFonts w:eastAsia="Calibri"/>
                <w:color w:val="000000"/>
              </w:rPr>
            </w:pPr>
            <w:r w:rsidRPr="009D79A6">
              <w:rPr>
                <w:rFonts w:eastAsia="Calibri"/>
                <w:color w:val="000000"/>
              </w:rPr>
              <w:t xml:space="preserve">20 mg </w:t>
            </w:r>
            <w:r w:rsidR="002504AA">
              <w:rPr>
                <w:rFonts w:eastAsia="Calibri"/>
                <w:color w:val="000000"/>
              </w:rPr>
              <w:t xml:space="preserve">jede zweite Woche </w:t>
            </w:r>
          </w:p>
        </w:tc>
        <w:tc>
          <w:tcPr>
            <w:tcW w:w="2976" w:type="dxa"/>
            <w:tcBorders>
              <w:top w:val="single" w:sz="4" w:space="0" w:color="000000"/>
              <w:left w:val="single" w:sz="4" w:space="0" w:color="000000"/>
              <w:bottom w:val="single" w:sz="4" w:space="0" w:color="000000"/>
              <w:right w:val="single" w:sz="4" w:space="0" w:color="000000"/>
            </w:tcBorders>
          </w:tcPr>
          <w:p w14:paraId="40FA8D8D" w14:textId="77777777" w:rsidR="009D79A6" w:rsidRPr="009D79A6" w:rsidRDefault="009D79A6" w:rsidP="008419B6">
            <w:pPr>
              <w:kinsoku w:val="0"/>
              <w:overflowPunct w:val="0"/>
              <w:spacing w:line="251" w:lineRule="exact"/>
              <w:ind w:left="102"/>
              <w:jc w:val="center"/>
              <w:rPr>
                <w:rFonts w:eastAsia="Calibri"/>
                <w:color w:val="000000"/>
              </w:rPr>
            </w:pPr>
            <w:r w:rsidRPr="009D79A6">
              <w:rPr>
                <w:rFonts w:eastAsia="Calibri"/>
                <w:color w:val="000000"/>
              </w:rPr>
              <w:t xml:space="preserve">40 mg </w:t>
            </w:r>
            <w:r w:rsidR="002504AA">
              <w:rPr>
                <w:rFonts w:eastAsia="Calibri"/>
                <w:color w:val="000000"/>
              </w:rPr>
              <w:t>jede zweite Woche</w:t>
            </w:r>
          </w:p>
        </w:tc>
      </w:tr>
    </w:tbl>
    <w:p w14:paraId="33CB97DD" w14:textId="77777777" w:rsidR="009D79A6" w:rsidRPr="009D79A6" w:rsidRDefault="009D79A6" w:rsidP="009D79A6">
      <w:pPr>
        <w:kinsoku w:val="0"/>
        <w:overflowPunct w:val="0"/>
        <w:rPr>
          <w:bCs/>
          <w:color w:val="000000"/>
          <w:lang w:val="en-GB"/>
        </w:rPr>
      </w:pPr>
    </w:p>
    <w:p w14:paraId="248DD260" w14:textId="77777777" w:rsidR="009D79A6" w:rsidRPr="009D79A6" w:rsidRDefault="009D79A6" w:rsidP="001376C9">
      <w:pPr>
        <w:keepNext/>
        <w:keepLines/>
        <w:kinsoku w:val="0"/>
        <w:overflowPunct w:val="0"/>
        <w:rPr>
          <w:color w:val="000000"/>
        </w:rPr>
      </w:pPr>
      <w:r w:rsidRPr="009D79A6">
        <w:rPr>
          <w:i/>
          <w:iCs/>
          <w:color w:val="000000"/>
          <w:u w:val="single"/>
        </w:rPr>
        <w:t>Ergebnisse zur Wirksamkeit</w:t>
      </w:r>
    </w:p>
    <w:p w14:paraId="6FCC8596" w14:textId="77777777" w:rsidR="009D79A6" w:rsidRPr="008419B6" w:rsidRDefault="009D79A6" w:rsidP="001376C9">
      <w:pPr>
        <w:keepNext/>
        <w:keepLines/>
        <w:kinsoku w:val="0"/>
        <w:overflowPunct w:val="0"/>
        <w:rPr>
          <w:i/>
          <w:iCs/>
          <w:color w:val="000000"/>
        </w:rPr>
      </w:pPr>
    </w:p>
    <w:p w14:paraId="142DCE18" w14:textId="77777777" w:rsidR="009D79A6" w:rsidRPr="009D79A6" w:rsidRDefault="009D79A6" w:rsidP="001376C9">
      <w:pPr>
        <w:keepNext/>
        <w:keepLines/>
        <w:kinsoku w:val="0"/>
        <w:overflowPunct w:val="0"/>
        <w:rPr>
          <w:color w:val="000000"/>
        </w:rPr>
      </w:pPr>
      <w:r w:rsidRPr="009D79A6">
        <w:rPr>
          <w:color w:val="000000"/>
        </w:rPr>
        <w:t xml:space="preserve">Der primäre Endpunkt der Studie war die klinische Remission </w:t>
      </w:r>
      <w:r w:rsidR="002504AA">
        <w:rPr>
          <w:color w:val="000000"/>
        </w:rPr>
        <w:t>in</w:t>
      </w:r>
      <w:r w:rsidRPr="009D79A6">
        <w:rPr>
          <w:color w:val="000000"/>
        </w:rPr>
        <w:t xml:space="preserve"> Woche 26, definiert als PCDAI-Score ≤ 10.</w:t>
      </w:r>
    </w:p>
    <w:p w14:paraId="3C483946" w14:textId="77777777" w:rsidR="009D79A6" w:rsidRPr="009D79A6" w:rsidRDefault="009D79A6" w:rsidP="009D79A6">
      <w:pPr>
        <w:kinsoku w:val="0"/>
        <w:overflowPunct w:val="0"/>
        <w:rPr>
          <w:color w:val="000000"/>
        </w:rPr>
      </w:pPr>
    </w:p>
    <w:p w14:paraId="39CA0201" w14:textId="77777777" w:rsidR="009D79A6" w:rsidRPr="009D79A6" w:rsidRDefault="009D79A6" w:rsidP="009D79A6">
      <w:pPr>
        <w:kinsoku w:val="0"/>
        <w:overflowPunct w:val="0"/>
        <w:rPr>
          <w:color w:val="000000"/>
        </w:rPr>
      </w:pPr>
      <w:r w:rsidRPr="009D79A6">
        <w:rPr>
          <w:color w:val="000000"/>
        </w:rPr>
        <w:t>Die Raten zur klinischen Remission und zum klinischen Ansprechen (definiert als Verringerung im PCDAI-Score um mindestens 15 Punkte im Vergleich zu Studienbeginn) sind in Tabelle </w:t>
      </w:r>
      <w:r w:rsidR="00324DDA">
        <w:rPr>
          <w:color w:val="000000"/>
        </w:rPr>
        <w:t>21</w:t>
      </w:r>
      <w:r w:rsidRPr="009D79A6">
        <w:rPr>
          <w:color w:val="000000"/>
        </w:rPr>
        <w:t xml:space="preserve"> dargestellt. Die Raten zum Absetzen von </w:t>
      </w:r>
      <w:r w:rsidR="002504AA">
        <w:rPr>
          <w:color w:val="000000"/>
        </w:rPr>
        <w:t>K</w:t>
      </w:r>
      <w:r w:rsidRPr="009D79A6">
        <w:rPr>
          <w:color w:val="000000"/>
        </w:rPr>
        <w:t>ortiko</w:t>
      </w:r>
      <w:r w:rsidR="002504AA">
        <w:rPr>
          <w:color w:val="000000"/>
        </w:rPr>
        <w:t>stero</w:t>
      </w:r>
      <w:r w:rsidRPr="009D79A6">
        <w:rPr>
          <w:color w:val="000000"/>
        </w:rPr>
        <w:t>iden oder Immunsuppressiva zeigt Tabelle </w:t>
      </w:r>
      <w:r w:rsidR="00324DDA">
        <w:rPr>
          <w:color w:val="000000"/>
        </w:rPr>
        <w:t>22</w:t>
      </w:r>
      <w:r w:rsidRPr="009D79A6">
        <w:rPr>
          <w:color w:val="000000"/>
        </w:rPr>
        <w:t>.</w:t>
      </w:r>
    </w:p>
    <w:p w14:paraId="15BBB675" w14:textId="77777777" w:rsidR="009D79A6" w:rsidRPr="009D79A6" w:rsidRDefault="009D79A6" w:rsidP="009D79A6">
      <w:pPr>
        <w:kinsoku w:val="0"/>
        <w:overflowPunct w:val="0"/>
        <w:rPr>
          <w:color w:val="000000"/>
        </w:rPr>
      </w:pPr>
    </w:p>
    <w:p w14:paraId="5D537507" w14:textId="77777777" w:rsidR="009D79A6" w:rsidRPr="009D79A6" w:rsidRDefault="009D79A6" w:rsidP="009D79A6">
      <w:pPr>
        <w:keepNext/>
        <w:kinsoku w:val="0"/>
        <w:overflowPunct w:val="0"/>
        <w:rPr>
          <w:b/>
          <w:color w:val="000000"/>
        </w:rPr>
      </w:pPr>
      <w:r w:rsidRPr="009D79A6">
        <w:rPr>
          <w:b/>
          <w:color w:val="000000"/>
        </w:rPr>
        <w:t>Tabelle </w:t>
      </w:r>
      <w:r w:rsidR="00324DDA">
        <w:rPr>
          <w:b/>
          <w:color w:val="000000"/>
        </w:rPr>
        <w:t>21</w:t>
      </w:r>
    </w:p>
    <w:p w14:paraId="65BD752B" w14:textId="77777777" w:rsidR="009D79A6" w:rsidRPr="009D79A6" w:rsidRDefault="009D79A6" w:rsidP="009D79A6">
      <w:pPr>
        <w:keepNext/>
        <w:kinsoku w:val="0"/>
        <w:overflowPunct w:val="0"/>
        <w:rPr>
          <w:b/>
          <w:color w:val="000000"/>
        </w:rPr>
      </w:pPr>
      <w:r w:rsidRPr="009D79A6">
        <w:rPr>
          <w:b/>
          <w:color w:val="000000"/>
        </w:rPr>
        <w:t>Morbus-Crohn-Studie bei Kindern und Jugendlichen – Klinische Remission und Ansprechen nach PCDAI</w:t>
      </w:r>
    </w:p>
    <w:p w14:paraId="3044D47B" w14:textId="77777777" w:rsidR="009D79A6" w:rsidRPr="009D79A6" w:rsidRDefault="009D79A6" w:rsidP="009D79A6">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285"/>
        <w:gridCol w:w="2258"/>
        <w:gridCol w:w="2245"/>
      </w:tblGrid>
      <w:tr w:rsidR="009D79A6" w:rsidRPr="009D79A6" w14:paraId="4C93CB70" w14:textId="77777777" w:rsidTr="00465659">
        <w:trPr>
          <w:tblHeader/>
        </w:trPr>
        <w:tc>
          <w:tcPr>
            <w:tcW w:w="2325" w:type="dxa"/>
            <w:tcBorders>
              <w:top w:val="single" w:sz="4" w:space="0" w:color="auto"/>
              <w:left w:val="single" w:sz="4" w:space="0" w:color="auto"/>
              <w:bottom w:val="single" w:sz="4" w:space="0" w:color="auto"/>
              <w:right w:val="single" w:sz="4" w:space="0" w:color="auto"/>
            </w:tcBorders>
          </w:tcPr>
          <w:p w14:paraId="5B982EB3" w14:textId="77777777" w:rsidR="009D79A6" w:rsidRPr="009D79A6" w:rsidRDefault="009D79A6" w:rsidP="009D79A6">
            <w:pPr>
              <w:keepNext/>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784475D2" w14:textId="77777777" w:rsidR="009D79A6" w:rsidRPr="009D79A6" w:rsidRDefault="009D79A6" w:rsidP="009D79A6">
            <w:pPr>
              <w:keepNext/>
              <w:jc w:val="center"/>
              <w:rPr>
                <w:b/>
                <w:color w:val="000000"/>
              </w:rPr>
            </w:pPr>
            <w:r w:rsidRPr="009D79A6">
              <w:rPr>
                <w:b/>
                <w:color w:val="000000"/>
              </w:rPr>
              <w:t>Standarddosis</w:t>
            </w:r>
          </w:p>
          <w:p w14:paraId="7568EF99" w14:textId="77777777" w:rsidR="009D79A6" w:rsidRPr="009D79A6" w:rsidRDefault="009D79A6" w:rsidP="009D79A6">
            <w:pPr>
              <w:keepNext/>
              <w:jc w:val="center"/>
              <w:rPr>
                <w:b/>
                <w:color w:val="000000"/>
              </w:rPr>
            </w:pPr>
            <w:r w:rsidRPr="009D79A6">
              <w:rPr>
                <w:b/>
                <w:color w:val="000000"/>
              </w:rPr>
              <w:t>40/20 mg jede zweite Woche</w:t>
            </w:r>
          </w:p>
          <w:p w14:paraId="55BCB997" w14:textId="77777777" w:rsidR="009D79A6" w:rsidRPr="009D79A6" w:rsidRDefault="009D79A6" w:rsidP="009D79A6">
            <w:pPr>
              <w:keepNext/>
              <w:jc w:val="center"/>
              <w:rPr>
                <w:b/>
                <w:color w:val="000000"/>
              </w:rPr>
            </w:pPr>
            <w:r w:rsidRPr="009D79A6">
              <w:rPr>
                <w:b/>
                <w:color w:val="000000"/>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428BD2F" w14:textId="77777777" w:rsidR="009D79A6" w:rsidRPr="009D79A6" w:rsidRDefault="009D79A6" w:rsidP="009D79A6">
            <w:pPr>
              <w:keepNext/>
              <w:jc w:val="center"/>
              <w:rPr>
                <w:b/>
                <w:color w:val="000000"/>
              </w:rPr>
            </w:pPr>
            <w:r w:rsidRPr="009D79A6">
              <w:rPr>
                <w:b/>
                <w:color w:val="000000"/>
              </w:rPr>
              <w:t>Niedrige Dosis</w:t>
            </w:r>
          </w:p>
          <w:p w14:paraId="69EE7A0E" w14:textId="77777777" w:rsidR="009D79A6" w:rsidRPr="009D79A6" w:rsidRDefault="009D79A6" w:rsidP="009D79A6">
            <w:pPr>
              <w:keepNext/>
              <w:jc w:val="center"/>
              <w:rPr>
                <w:b/>
                <w:color w:val="000000"/>
              </w:rPr>
            </w:pPr>
            <w:r w:rsidRPr="009D79A6">
              <w:rPr>
                <w:b/>
                <w:color w:val="000000"/>
              </w:rPr>
              <w:t>20/10 mg jede zweite Woche</w:t>
            </w:r>
          </w:p>
          <w:p w14:paraId="7CCD5DF3" w14:textId="77777777" w:rsidR="009D79A6" w:rsidRPr="009D79A6" w:rsidRDefault="009D79A6" w:rsidP="009D79A6">
            <w:pPr>
              <w:keepNext/>
              <w:jc w:val="center"/>
              <w:rPr>
                <w:b/>
                <w:color w:val="000000"/>
              </w:rPr>
            </w:pPr>
            <w:r w:rsidRPr="009D79A6">
              <w:rPr>
                <w:b/>
                <w:color w:val="000000"/>
              </w:rPr>
              <w:t>n = 95</w:t>
            </w:r>
          </w:p>
        </w:tc>
        <w:tc>
          <w:tcPr>
            <w:tcW w:w="2326" w:type="dxa"/>
            <w:tcBorders>
              <w:top w:val="single" w:sz="4" w:space="0" w:color="auto"/>
              <w:left w:val="single" w:sz="4" w:space="0" w:color="auto"/>
              <w:bottom w:val="single" w:sz="4" w:space="0" w:color="auto"/>
              <w:right w:val="single" w:sz="4" w:space="0" w:color="auto"/>
            </w:tcBorders>
            <w:hideMark/>
          </w:tcPr>
          <w:p w14:paraId="6D9A1E92" w14:textId="77777777" w:rsidR="009D79A6" w:rsidRPr="009D79A6" w:rsidRDefault="009D79A6" w:rsidP="009D79A6">
            <w:pPr>
              <w:keepNext/>
              <w:jc w:val="center"/>
              <w:rPr>
                <w:b/>
                <w:color w:val="000000"/>
              </w:rPr>
            </w:pPr>
            <w:r w:rsidRPr="009D79A6">
              <w:rPr>
                <w:b/>
                <w:color w:val="000000"/>
              </w:rPr>
              <w:t>p-Wert*</w:t>
            </w:r>
          </w:p>
        </w:tc>
      </w:tr>
      <w:tr w:rsidR="009D79A6" w:rsidRPr="009D79A6" w14:paraId="4FA06B88" w14:textId="77777777" w:rsidTr="00465659">
        <w:tc>
          <w:tcPr>
            <w:tcW w:w="2325" w:type="dxa"/>
            <w:tcBorders>
              <w:top w:val="single" w:sz="4" w:space="0" w:color="auto"/>
              <w:left w:val="single" w:sz="4" w:space="0" w:color="auto"/>
              <w:bottom w:val="single" w:sz="4" w:space="0" w:color="auto"/>
              <w:right w:val="single" w:sz="4" w:space="0" w:color="auto"/>
            </w:tcBorders>
            <w:hideMark/>
          </w:tcPr>
          <w:p w14:paraId="5CF06007" w14:textId="77777777" w:rsidR="009D79A6" w:rsidRPr="009D79A6" w:rsidRDefault="009D79A6" w:rsidP="009D79A6">
            <w:pPr>
              <w:keepNext/>
              <w:rPr>
                <w:b/>
                <w:color w:val="000000"/>
              </w:rPr>
            </w:pPr>
            <w:r w:rsidRPr="009D79A6">
              <w:rPr>
                <w:b/>
                <w:color w:val="000000"/>
              </w:rPr>
              <w:t>Woche 26</w:t>
            </w:r>
          </w:p>
        </w:tc>
        <w:tc>
          <w:tcPr>
            <w:tcW w:w="2326" w:type="dxa"/>
            <w:tcBorders>
              <w:top w:val="single" w:sz="4" w:space="0" w:color="auto"/>
              <w:left w:val="single" w:sz="4" w:space="0" w:color="auto"/>
              <w:bottom w:val="single" w:sz="4" w:space="0" w:color="auto"/>
              <w:right w:val="single" w:sz="4" w:space="0" w:color="auto"/>
            </w:tcBorders>
            <w:vAlign w:val="center"/>
          </w:tcPr>
          <w:p w14:paraId="0CA0CC4E" w14:textId="77777777" w:rsidR="009D79A6" w:rsidRPr="009D79A6" w:rsidRDefault="009D79A6" w:rsidP="009D79A6">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FCA850F" w14:textId="77777777" w:rsidR="009D79A6" w:rsidRPr="009D79A6" w:rsidRDefault="009D79A6" w:rsidP="009D79A6">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675F572E" w14:textId="77777777" w:rsidR="009D79A6" w:rsidRPr="009D79A6" w:rsidRDefault="009D79A6" w:rsidP="009D79A6">
            <w:pPr>
              <w:keepNext/>
              <w:jc w:val="center"/>
              <w:rPr>
                <w:color w:val="000000"/>
                <w:lang w:val="en-GB"/>
              </w:rPr>
            </w:pPr>
          </w:p>
        </w:tc>
      </w:tr>
      <w:tr w:rsidR="009D79A6" w:rsidRPr="009D79A6" w14:paraId="61472215" w14:textId="77777777" w:rsidTr="00465659">
        <w:tc>
          <w:tcPr>
            <w:tcW w:w="2325" w:type="dxa"/>
            <w:tcBorders>
              <w:top w:val="single" w:sz="4" w:space="0" w:color="auto"/>
              <w:left w:val="single" w:sz="4" w:space="0" w:color="auto"/>
              <w:bottom w:val="single" w:sz="4" w:space="0" w:color="auto"/>
              <w:right w:val="single" w:sz="4" w:space="0" w:color="auto"/>
            </w:tcBorders>
            <w:hideMark/>
          </w:tcPr>
          <w:p w14:paraId="584A28DB" w14:textId="77777777" w:rsidR="009D79A6" w:rsidRPr="009D79A6" w:rsidRDefault="009D79A6" w:rsidP="009D79A6">
            <w:pPr>
              <w:keepNext/>
              <w:ind w:left="180"/>
              <w:rPr>
                <w:color w:val="000000"/>
              </w:rPr>
            </w:pPr>
            <w:r w:rsidRPr="009D79A6">
              <w:rPr>
                <w:color w:val="000000"/>
              </w:rPr>
              <w:t>Klinische Remission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00E3B57" w14:textId="77777777" w:rsidR="009D79A6" w:rsidRPr="009D79A6" w:rsidRDefault="009D79A6" w:rsidP="009D79A6">
            <w:pPr>
              <w:keepNext/>
              <w:jc w:val="center"/>
              <w:rPr>
                <w:color w:val="000000"/>
              </w:rPr>
            </w:pPr>
            <w:r w:rsidRPr="009D79A6">
              <w:rPr>
                <w:color w:val="000000"/>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D075405" w14:textId="77777777" w:rsidR="009D79A6" w:rsidRPr="009D79A6" w:rsidRDefault="009D79A6" w:rsidP="009D79A6">
            <w:pPr>
              <w:keepNext/>
              <w:jc w:val="center"/>
              <w:rPr>
                <w:color w:val="000000"/>
              </w:rPr>
            </w:pPr>
            <w:r w:rsidRPr="009D79A6">
              <w:rPr>
                <w:color w:val="000000"/>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D2F0E60" w14:textId="77777777" w:rsidR="009D79A6" w:rsidRPr="009D79A6" w:rsidRDefault="009D79A6" w:rsidP="009D79A6">
            <w:pPr>
              <w:keepNext/>
              <w:jc w:val="center"/>
              <w:rPr>
                <w:color w:val="000000"/>
              </w:rPr>
            </w:pPr>
            <w:r w:rsidRPr="009D79A6">
              <w:rPr>
                <w:color w:val="000000"/>
              </w:rPr>
              <w:t>0,075</w:t>
            </w:r>
          </w:p>
        </w:tc>
      </w:tr>
      <w:tr w:rsidR="009D79A6" w:rsidRPr="009D79A6" w14:paraId="72FD8A40" w14:textId="77777777" w:rsidTr="00465659">
        <w:tc>
          <w:tcPr>
            <w:tcW w:w="2325" w:type="dxa"/>
            <w:tcBorders>
              <w:top w:val="single" w:sz="4" w:space="0" w:color="auto"/>
              <w:left w:val="single" w:sz="4" w:space="0" w:color="auto"/>
              <w:bottom w:val="single" w:sz="4" w:space="0" w:color="auto"/>
              <w:right w:val="single" w:sz="4" w:space="0" w:color="auto"/>
            </w:tcBorders>
            <w:hideMark/>
          </w:tcPr>
          <w:p w14:paraId="00F37C17" w14:textId="77777777" w:rsidR="009D79A6" w:rsidRPr="009D79A6" w:rsidRDefault="009D79A6" w:rsidP="009D79A6">
            <w:pPr>
              <w:ind w:left="180"/>
              <w:rPr>
                <w:color w:val="000000"/>
              </w:rPr>
            </w:pPr>
            <w:r w:rsidRPr="009D79A6">
              <w:rPr>
                <w:color w:val="000000"/>
              </w:rPr>
              <w:t>Klinisches Ansprechen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7EC2685" w14:textId="77777777" w:rsidR="009D79A6" w:rsidRPr="009D79A6" w:rsidRDefault="009D79A6" w:rsidP="009D79A6">
            <w:pPr>
              <w:jc w:val="center"/>
              <w:rPr>
                <w:color w:val="000000"/>
              </w:rPr>
            </w:pPr>
            <w:r w:rsidRPr="009D79A6">
              <w:rPr>
                <w:color w:val="000000"/>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98E7D94" w14:textId="77777777" w:rsidR="009D79A6" w:rsidRPr="009D79A6" w:rsidRDefault="009D79A6" w:rsidP="009D79A6">
            <w:pPr>
              <w:jc w:val="center"/>
              <w:rPr>
                <w:color w:val="000000"/>
              </w:rPr>
            </w:pPr>
            <w:r w:rsidRPr="009D79A6">
              <w:rPr>
                <w:color w:val="000000"/>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A748420" w14:textId="77777777" w:rsidR="009D79A6" w:rsidRPr="009D79A6" w:rsidRDefault="009D79A6" w:rsidP="009D79A6">
            <w:pPr>
              <w:jc w:val="center"/>
              <w:rPr>
                <w:color w:val="000000"/>
              </w:rPr>
            </w:pPr>
            <w:r w:rsidRPr="009D79A6">
              <w:rPr>
                <w:color w:val="000000"/>
              </w:rPr>
              <w:t>0,073</w:t>
            </w:r>
          </w:p>
        </w:tc>
      </w:tr>
      <w:tr w:rsidR="009D79A6" w:rsidRPr="009D79A6" w14:paraId="2EEDAE5F" w14:textId="77777777" w:rsidTr="00465659">
        <w:tc>
          <w:tcPr>
            <w:tcW w:w="2325" w:type="dxa"/>
            <w:tcBorders>
              <w:top w:val="single" w:sz="4" w:space="0" w:color="auto"/>
              <w:left w:val="single" w:sz="4" w:space="0" w:color="auto"/>
              <w:bottom w:val="single" w:sz="4" w:space="0" w:color="auto"/>
              <w:right w:val="single" w:sz="4" w:space="0" w:color="auto"/>
            </w:tcBorders>
            <w:hideMark/>
          </w:tcPr>
          <w:p w14:paraId="03ADB629" w14:textId="77777777" w:rsidR="009D79A6" w:rsidRPr="009D79A6" w:rsidRDefault="009D79A6" w:rsidP="009D79A6">
            <w:pPr>
              <w:keepNext/>
              <w:rPr>
                <w:b/>
                <w:color w:val="000000"/>
              </w:rPr>
            </w:pPr>
            <w:r w:rsidRPr="009D79A6">
              <w:rPr>
                <w:b/>
                <w:color w:val="000000"/>
              </w:rPr>
              <w:t>Woche 52</w:t>
            </w:r>
          </w:p>
        </w:tc>
        <w:tc>
          <w:tcPr>
            <w:tcW w:w="2326" w:type="dxa"/>
            <w:tcBorders>
              <w:top w:val="single" w:sz="4" w:space="0" w:color="auto"/>
              <w:left w:val="single" w:sz="4" w:space="0" w:color="auto"/>
              <w:bottom w:val="single" w:sz="4" w:space="0" w:color="auto"/>
              <w:right w:val="single" w:sz="4" w:space="0" w:color="auto"/>
            </w:tcBorders>
            <w:vAlign w:val="center"/>
          </w:tcPr>
          <w:p w14:paraId="3A31EE94" w14:textId="77777777" w:rsidR="009D79A6" w:rsidRPr="009D79A6" w:rsidRDefault="009D79A6" w:rsidP="009D79A6">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289A79A3" w14:textId="77777777" w:rsidR="009D79A6" w:rsidRPr="009D79A6" w:rsidRDefault="009D79A6" w:rsidP="009D79A6">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49391BD6" w14:textId="77777777" w:rsidR="009D79A6" w:rsidRPr="009D79A6" w:rsidRDefault="009D79A6" w:rsidP="009D79A6">
            <w:pPr>
              <w:keepNext/>
              <w:jc w:val="center"/>
              <w:rPr>
                <w:color w:val="000000"/>
                <w:lang w:val="en-GB"/>
              </w:rPr>
            </w:pPr>
          </w:p>
        </w:tc>
      </w:tr>
      <w:tr w:rsidR="009D79A6" w:rsidRPr="009D79A6" w14:paraId="4E2D56FA" w14:textId="77777777" w:rsidTr="00465659">
        <w:tc>
          <w:tcPr>
            <w:tcW w:w="2325" w:type="dxa"/>
            <w:tcBorders>
              <w:top w:val="single" w:sz="4" w:space="0" w:color="auto"/>
              <w:left w:val="single" w:sz="4" w:space="0" w:color="auto"/>
              <w:bottom w:val="single" w:sz="4" w:space="0" w:color="auto"/>
              <w:right w:val="single" w:sz="4" w:space="0" w:color="auto"/>
            </w:tcBorders>
            <w:hideMark/>
          </w:tcPr>
          <w:p w14:paraId="6F472CE1" w14:textId="77777777" w:rsidR="009D79A6" w:rsidRPr="009D79A6" w:rsidRDefault="009D79A6" w:rsidP="009D79A6">
            <w:pPr>
              <w:keepNext/>
              <w:ind w:left="180"/>
              <w:rPr>
                <w:color w:val="000000"/>
              </w:rPr>
            </w:pPr>
            <w:r w:rsidRPr="009D79A6">
              <w:rPr>
                <w:color w:val="000000"/>
              </w:rPr>
              <w:t>Klinische Remission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891A0B0" w14:textId="77777777" w:rsidR="009D79A6" w:rsidRPr="009D79A6" w:rsidRDefault="009D79A6" w:rsidP="009D79A6">
            <w:pPr>
              <w:keepNext/>
              <w:jc w:val="center"/>
              <w:rPr>
                <w:color w:val="000000"/>
              </w:rPr>
            </w:pPr>
            <w:r w:rsidRPr="009D79A6">
              <w:rPr>
                <w:color w:val="000000"/>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5CE379C" w14:textId="77777777" w:rsidR="009D79A6" w:rsidRPr="009D79A6" w:rsidRDefault="009D79A6" w:rsidP="009D79A6">
            <w:pPr>
              <w:keepNext/>
              <w:jc w:val="center"/>
              <w:rPr>
                <w:color w:val="000000"/>
              </w:rPr>
            </w:pPr>
            <w:r w:rsidRPr="009D79A6">
              <w:rPr>
                <w:color w:val="000000"/>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33833EF" w14:textId="77777777" w:rsidR="009D79A6" w:rsidRPr="009D79A6" w:rsidRDefault="009D79A6" w:rsidP="009D79A6">
            <w:pPr>
              <w:keepNext/>
              <w:jc w:val="center"/>
              <w:rPr>
                <w:color w:val="000000"/>
              </w:rPr>
            </w:pPr>
            <w:r w:rsidRPr="009D79A6">
              <w:rPr>
                <w:color w:val="000000"/>
              </w:rPr>
              <w:t>0,100</w:t>
            </w:r>
          </w:p>
        </w:tc>
      </w:tr>
      <w:tr w:rsidR="009D79A6" w:rsidRPr="009D79A6" w14:paraId="36C9A61C" w14:textId="77777777" w:rsidTr="00465659">
        <w:tc>
          <w:tcPr>
            <w:tcW w:w="2325" w:type="dxa"/>
            <w:tcBorders>
              <w:top w:val="single" w:sz="4" w:space="0" w:color="auto"/>
              <w:left w:val="single" w:sz="4" w:space="0" w:color="auto"/>
              <w:bottom w:val="single" w:sz="4" w:space="0" w:color="auto"/>
              <w:right w:val="single" w:sz="4" w:space="0" w:color="auto"/>
            </w:tcBorders>
            <w:hideMark/>
          </w:tcPr>
          <w:p w14:paraId="3C6E981A" w14:textId="77777777" w:rsidR="009D79A6" w:rsidRPr="009D79A6" w:rsidRDefault="009D79A6" w:rsidP="009D79A6">
            <w:pPr>
              <w:keepNext/>
              <w:ind w:left="180"/>
              <w:rPr>
                <w:color w:val="000000"/>
              </w:rPr>
            </w:pPr>
            <w:r w:rsidRPr="009D79A6">
              <w:rPr>
                <w:color w:val="000000"/>
              </w:rPr>
              <w:t>Klinisches Ansprechen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9CDEAC5" w14:textId="77777777" w:rsidR="009D79A6" w:rsidRPr="009D79A6" w:rsidRDefault="009D79A6" w:rsidP="009D79A6">
            <w:pPr>
              <w:keepNext/>
              <w:jc w:val="center"/>
              <w:rPr>
                <w:color w:val="000000"/>
              </w:rPr>
            </w:pPr>
            <w:r w:rsidRPr="009D79A6">
              <w:rPr>
                <w:color w:val="000000"/>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BB472C9" w14:textId="77777777" w:rsidR="009D79A6" w:rsidRPr="009D79A6" w:rsidRDefault="009D79A6" w:rsidP="009D79A6">
            <w:pPr>
              <w:keepNext/>
              <w:jc w:val="center"/>
              <w:rPr>
                <w:color w:val="000000"/>
              </w:rPr>
            </w:pPr>
            <w:r w:rsidRPr="009D79A6">
              <w:rPr>
                <w:color w:val="000000"/>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4A48687" w14:textId="77777777" w:rsidR="009D79A6" w:rsidRPr="009D79A6" w:rsidRDefault="009D79A6" w:rsidP="009D79A6">
            <w:pPr>
              <w:keepNext/>
              <w:jc w:val="center"/>
              <w:rPr>
                <w:color w:val="000000"/>
              </w:rPr>
            </w:pPr>
            <w:r w:rsidRPr="009D79A6">
              <w:rPr>
                <w:color w:val="000000"/>
              </w:rPr>
              <w:t>0,038</w:t>
            </w:r>
          </w:p>
        </w:tc>
      </w:tr>
      <w:tr w:rsidR="009D79A6" w:rsidRPr="009D79A6" w14:paraId="361E944E" w14:textId="77777777" w:rsidTr="00465659">
        <w:tc>
          <w:tcPr>
            <w:tcW w:w="9303" w:type="dxa"/>
            <w:gridSpan w:val="4"/>
            <w:tcBorders>
              <w:top w:val="single" w:sz="4" w:space="0" w:color="auto"/>
              <w:left w:val="nil"/>
              <w:bottom w:val="nil"/>
              <w:right w:val="nil"/>
            </w:tcBorders>
          </w:tcPr>
          <w:p w14:paraId="70F65B6F" w14:textId="77777777" w:rsidR="009D79A6" w:rsidRPr="00206AEA" w:rsidRDefault="009D79A6" w:rsidP="009D79A6">
            <w:pPr>
              <w:ind w:left="274" w:hanging="274"/>
              <w:rPr>
                <w:color w:val="000000"/>
                <w:sz w:val="20"/>
              </w:rPr>
            </w:pPr>
            <w:r w:rsidRPr="00206AEA">
              <w:rPr>
                <w:color w:val="000000"/>
                <w:sz w:val="20"/>
              </w:rPr>
              <w:t>* p-Wert für Vergleich von Standarddosis gegenüber Niedrigdosis</w:t>
            </w:r>
          </w:p>
        </w:tc>
      </w:tr>
    </w:tbl>
    <w:p w14:paraId="4E2C4C3A" w14:textId="77777777" w:rsidR="009D79A6" w:rsidRPr="009D79A6" w:rsidRDefault="009D79A6" w:rsidP="009D79A6">
      <w:pPr>
        <w:rPr>
          <w:color w:val="000000"/>
        </w:rPr>
      </w:pPr>
    </w:p>
    <w:p w14:paraId="14752963" w14:textId="77777777" w:rsidR="009D79A6" w:rsidRPr="009D79A6" w:rsidRDefault="009D79A6" w:rsidP="009D79A6">
      <w:pPr>
        <w:keepNext/>
        <w:keepLines/>
        <w:rPr>
          <w:b/>
          <w:color w:val="000000"/>
        </w:rPr>
      </w:pPr>
      <w:r w:rsidRPr="009D79A6">
        <w:rPr>
          <w:b/>
          <w:color w:val="000000"/>
        </w:rPr>
        <w:t>Tabelle</w:t>
      </w:r>
      <w:r w:rsidR="00324DDA">
        <w:rPr>
          <w:b/>
          <w:color w:val="000000"/>
        </w:rPr>
        <w:t> 22</w:t>
      </w:r>
    </w:p>
    <w:p w14:paraId="6DC1660C" w14:textId="77777777" w:rsidR="009D79A6" w:rsidRPr="009D79A6" w:rsidRDefault="009D79A6" w:rsidP="009D79A6">
      <w:pPr>
        <w:keepNext/>
        <w:keepLines/>
        <w:rPr>
          <w:b/>
          <w:color w:val="000000"/>
        </w:rPr>
      </w:pPr>
      <w:r w:rsidRPr="009D79A6">
        <w:rPr>
          <w:b/>
          <w:color w:val="000000"/>
        </w:rPr>
        <w:t xml:space="preserve">Morbus-Crohn-Studie bei Kindern und Jugendlichen – Absetzen von </w:t>
      </w:r>
      <w:r w:rsidR="002504AA">
        <w:rPr>
          <w:b/>
          <w:color w:val="000000"/>
        </w:rPr>
        <w:t>K</w:t>
      </w:r>
      <w:r w:rsidRPr="009D79A6">
        <w:rPr>
          <w:b/>
          <w:color w:val="000000"/>
        </w:rPr>
        <w:t>ortiko</w:t>
      </w:r>
      <w:r w:rsidR="002504AA">
        <w:rPr>
          <w:b/>
          <w:color w:val="000000"/>
        </w:rPr>
        <w:t>stero</w:t>
      </w:r>
      <w:r w:rsidRPr="009D79A6">
        <w:rPr>
          <w:b/>
          <w:color w:val="000000"/>
        </w:rPr>
        <w:t>iden oder Immunsuppressiva und Remission von Fisteln</w:t>
      </w:r>
    </w:p>
    <w:p w14:paraId="2F74C535" w14:textId="77777777" w:rsidR="009D79A6" w:rsidRPr="009D79A6" w:rsidRDefault="009D79A6" w:rsidP="009D79A6">
      <w:pPr>
        <w:keepNext/>
        <w:keepLines/>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1705"/>
        <w:gridCol w:w="1675"/>
        <w:gridCol w:w="1656"/>
      </w:tblGrid>
      <w:tr w:rsidR="009D79A6" w:rsidRPr="009D79A6" w14:paraId="0EFAD8A6" w14:textId="77777777" w:rsidTr="00465659">
        <w:tc>
          <w:tcPr>
            <w:tcW w:w="4158" w:type="dxa"/>
            <w:tcBorders>
              <w:top w:val="single" w:sz="4" w:space="0" w:color="auto"/>
              <w:left w:val="single" w:sz="4" w:space="0" w:color="auto"/>
              <w:bottom w:val="single" w:sz="4" w:space="0" w:color="auto"/>
              <w:right w:val="single" w:sz="4" w:space="0" w:color="auto"/>
            </w:tcBorders>
          </w:tcPr>
          <w:p w14:paraId="2DBE5CFE" w14:textId="77777777" w:rsidR="009D79A6" w:rsidRPr="009D79A6" w:rsidRDefault="009D79A6" w:rsidP="009D79A6">
            <w:pPr>
              <w:keepNext/>
              <w:keepLines/>
              <w:rPr>
                <w:color w:val="000000"/>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7B0254D6" w14:textId="77777777" w:rsidR="009D79A6" w:rsidRPr="009D79A6" w:rsidRDefault="009D79A6" w:rsidP="009D79A6">
            <w:pPr>
              <w:keepNext/>
              <w:keepLines/>
              <w:jc w:val="center"/>
              <w:rPr>
                <w:b/>
                <w:color w:val="000000"/>
              </w:rPr>
            </w:pPr>
            <w:r w:rsidRPr="009D79A6">
              <w:rPr>
                <w:b/>
                <w:color w:val="000000"/>
              </w:rPr>
              <w:t>Standarddosis</w:t>
            </w:r>
          </w:p>
          <w:p w14:paraId="237D8A68" w14:textId="77777777" w:rsidR="009D79A6" w:rsidRPr="009D79A6" w:rsidRDefault="009D79A6" w:rsidP="009D79A6">
            <w:pPr>
              <w:keepNext/>
              <w:keepLines/>
              <w:jc w:val="center"/>
              <w:rPr>
                <w:b/>
                <w:color w:val="000000"/>
              </w:rPr>
            </w:pPr>
            <w:r w:rsidRPr="009D79A6">
              <w:rPr>
                <w:b/>
                <w:color w:val="000000"/>
              </w:rPr>
              <w:t>40/20 mg jede zweite Woche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2338A94" w14:textId="77777777" w:rsidR="009D79A6" w:rsidRPr="009D79A6" w:rsidRDefault="009D79A6" w:rsidP="009D79A6">
            <w:pPr>
              <w:keepNext/>
              <w:keepLines/>
              <w:jc w:val="center"/>
              <w:rPr>
                <w:b/>
                <w:color w:val="000000"/>
              </w:rPr>
            </w:pPr>
            <w:r w:rsidRPr="009D79A6">
              <w:rPr>
                <w:b/>
                <w:color w:val="000000"/>
              </w:rPr>
              <w:t>Niedrige Dosis</w:t>
            </w:r>
          </w:p>
          <w:p w14:paraId="2E581E97" w14:textId="77777777" w:rsidR="009D79A6" w:rsidRPr="009D79A6" w:rsidRDefault="009D79A6" w:rsidP="009D79A6">
            <w:pPr>
              <w:keepNext/>
              <w:keepLines/>
              <w:jc w:val="center"/>
              <w:rPr>
                <w:b/>
                <w:color w:val="000000"/>
              </w:rPr>
            </w:pPr>
            <w:r w:rsidRPr="009D79A6">
              <w:rPr>
                <w:b/>
                <w:color w:val="000000"/>
              </w:rPr>
              <w:t>20/10 mg jede zweite Woche</w:t>
            </w:r>
          </w:p>
        </w:tc>
        <w:tc>
          <w:tcPr>
            <w:tcW w:w="1715" w:type="dxa"/>
            <w:tcBorders>
              <w:top w:val="single" w:sz="4" w:space="0" w:color="auto"/>
              <w:left w:val="single" w:sz="4" w:space="0" w:color="auto"/>
              <w:bottom w:val="single" w:sz="4" w:space="0" w:color="auto"/>
              <w:right w:val="single" w:sz="4" w:space="0" w:color="auto"/>
            </w:tcBorders>
            <w:hideMark/>
          </w:tcPr>
          <w:p w14:paraId="059A63FF" w14:textId="77777777" w:rsidR="009D79A6" w:rsidRPr="009D79A6" w:rsidRDefault="009D79A6" w:rsidP="009D79A6">
            <w:pPr>
              <w:keepNext/>
              <w:keepLines/>
              <w:jc w:val="center"/>
              <w:rPr>
                <w:b/>
                <w:color w:val="000000"/>
              </w:rPr>
            </w:pPr>
            <w:r w:rsidRPr="009D79A6">
              <w:rPr>
                <w:b/>
                <w:color w:val="000000"/>
              </w:rPr>
              <w:t>p-Wert</w:t>
            </w:r>
            <w:r w:rsidRPr="009D79A6">
              <w:rPr>
                <w:b/>
                <w:color w:val="000000"/>
                <w:vertAlign w:val="superscript"/>
              </w:rPr>
              <w:t>1</w:t>
            </w:r>
          </w:p>
        </w:tc>
      </w:tr>
      <w:tr w:rsidR="009D79A6" w:rsidRPr="009D79A6" w14:paraId="6282206C"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485615D2" w14:textId="77777777" w:rsidR="009D79A6" w:rsidRPr="009D79A6" w:rsidRDefault="009D79A6" w:rsidP="009D79A6">
            <w:pPr>
              <w:keepNext/>
              <w:keepLines/>
              <w:rPr>
                <w:b/>
                <w:color w:val="000000"/>
              </w:rPr>
            </w:pPr>
            <w:r w:rsidRPr="009D79A6">
              <w:rPr>
                <w:b/>
                <w:color w:val="000000"/>
              </w:rPr>
              <w:t xml:space="preserve">Abgesetzte </w:t>
            </w:r>
            <w:r w:rsidR="002504AA">
              <w:rPr>
                <w:b/>
                <w:color w:val="000000"/>
              </w:rPr>
              <w:t>K</w:t>
            </w:r>
            <w:r w:rsidRPr="009D79A6">
              <w:rPr>
                <w:b/>
                <w:color w:val="000000"/>
              </w:rPr>
              <w:t>ortiko</w:t>
            </w:r>
            <w:r w:rsidR="002504AA">
              <w:rPr>
                <w:b/>
                <w:color w:val="000000"/>
              </w:rPr>
              <w:t>stero</w:t>
            </w:r>
            <w:r w:rsidRPr="009D79A6">
              <w:rPr>
                <w:b/>
                <w:color w:val="000000"/>
              </w:rPr>
              <w:t>ide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98FF800" w14:textId="77777777" w:rsidR="009D79A6" w:rsidRPr="009D79A6" w:rsidRDefault="009D79A6" w:rsidP="009D79A6">
            <w:pPr>
              <w:keepNext/>
              <w:keepLines/>
              <w:jc w:val="center"/>
              <w:rPr>
                <w:b/>
                <w:color w:val="000000"/>
              </w:rPr>
            </w:pPr>
            <w:r w:rsidRPr="009D79A6">
              <w:rPr>
                <w:b/>
                <w:color w:val="000000"/>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329E242" w14:textId="77777777" w:rsidR="009D79A6" w:rsidRPr="009D79A6" w:rsidRDefault="009D79A6" w:rsidP="009D79A6">
            <w:pPr>
              <w:keepNext/>
              <w:keepLines/>
              <w:jc w:val="center"/>
              <w:rPr>
                <w:b/>
                <w:color w:val="000000"/>
              </w:rPr>
            </w:pPr>
            <w:r w:rsidRPr="009D79A6">
              <w:rPr>
                <w:b/>
                <w:color w:val="000000"/>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48D9B1AD" w14:textId="77777777" w:rsidR="009D79A6" w:rsidRPr="009D79A6" w:rsidRDefault="009D79A6" w:rsidP="009D79A6">
            <w:pPr>
              <w:keepNext/>
              <w:keepLines/>
              <w:jc w:val="center"/>
              <w:rPr>
                <w:b/>
                <w:color w:val="000000"/>
                <w:lang w:val="en-GB"/>
              </w:rPr>
            </w:pPr>
          </w:p>
        </w:tc>
      </w:tr>
      <w:tr w:rsidR="009D79A6" w:rsidRPr="009D79A6" w14:paraId="3BC5DD0A"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3522C2A0" w14:textId="77777777" w:rsidR="009D79A6" w:rsidRPr="009D79A6" w:rsidRDefault="009D79A6" w:rsidP="009D79A6">
            <w:pPr>
              <w:keepNext/>
              <w:keepLines/>
              <w:rPr>
                <w:color w:val="000000"/>
              </w:rPr>
            </w:pPr>
            <w:r w:rsidRPr="009D79A6">
              <w:rPr>
                <w:color w:val="000000"/>
              </w:rPr>
              <w:t>Woche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191437A" w14:textId="77777777" w:rsidR="009D79A6" w:rsidRPr="009D79A6" w:rsidRDefault="009D79A6" w:rsidP="009D79A6">
            <w:pPr>
              <w:keepNext/>
              <w:keepLines/>
              <w:jc w:val="center"/>
              <w:rPr>
                <w:color w:val="000000"/>
              </w:rPr>
            </w:pPr>
            <w:r w:rsidRPr="009D79A6">
              <w:rPr>
                <w:color w:val="000000"/>
              </w:rP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CD66083" w14:textId="77777777" w:rsidR="009D79A6" w:rsidRPr="009D79A6" w:rsidRDefault="009D79A6" w:rsidP="009D79A6">
            <w:pPr>
              <w:keepNext/>
              <w:keepLines/>
              <w:jc w:val="center"/>
              <w:rPr>
                <w:color w:val="000000"/>
              </w:rPr>
            </w:pPr>
            <w:r w:rsidRPr="009D79A6">
              <w:rPr>
                <w:color w:val="000000"/>
              </w:rP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741361E" w14:textId="77777777" w:rsidR="009D79A6" w:rsidRPr="009D79A6" w:rsidRDefault="009D79A6" w:rsidP="009D79A6">
            <w:pPr>
              <w:keepNext/>
              <w:keepLines/>
              <w:jc w:val="center"/>
              <w:rPr>
                <w:color w:val="000000"/>
              </w:rPr>
            </w:pPr>
            <w:r w:rsidRPr="009D79A6">
              <w:rPr>
                <w:color w:val="000000"/>
              </w:rPr>
              <w:t>0,066</w:t>
            </w:r>
          </w:p>
        </w:tc>
      </w:tr>
      <w:tr w:rsidR="009D79A6" w:rsidRPr="009D79A6" w14:paraId="45496904"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30BD8EB1" w14:textId="77777777" w:rsidR="009D79A6" w:rsidRPr="009D79A6" w:rsidRDefault="009D79A6" w:rsidP="009D79A6">
            <w:pPr>
              <w:keepNext/>
              <w:keepLines/>
              <w:rPr>
                <w:color w:val="000000"/>
              </w:rPr>
            </w:pPr>
            <w:r w:rsidRPr="009D79A6">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317EFC5" w14:textId="77777777" w:rsidR="009D79A6" w:rsidRPr="009D79A6" w:rsidRDefault="009D79A6" w:rsidP="009D79A6">
            <w:pPr>
              <w:keepNext/>
              <w:keepLines/>
              <w:jc w:val="center"/>
              <w:rPr>
                <w:color w:val="000000"/>
              </w:rPr>
            </w:pPr>
            <w:r w:rsidRPr="009D79A6">
              <w:rPr>
                <w:color w:val="000000"/>
              </w:rP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8563FBD" w14:textId="77777777" w:rsidR="009D79A6" w:rsidRPr="009D79A6" w:rsidRDefault="009D79A6" w:rsidP="009D79A6">
            <w:pPr>
              <w:keepNext/>
              <w:keepLines/>
              <w:jc w:val="center"/>
              <w:rPr>
                <w:color w:val="000000"/>
              </w:rPr>
            </w:pPr>
            <w:r w:rsidRPr="009D79A6">
              <w:rPr>
                <w:color w:val="000000"/>
              </w:rP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FD83A83" w14:textId="77777777" w:rsidR="009D79A6" w:rsidRPr="009D79A6" w:rsidRDefault="009D79A6" w:rsidP="009D79A6">
            <w:pPr>
              <w:keepNext/>
              <w:keepLines/>
              <w:jc w:val="center"/>
              <w:rPr>
                <w:color w:val="000000"/>
              </w:rPr>
            </w:pPr>
            <w:r w:rsidRPr="009D79A6">
              <w:rPr>
                <w:color w:val="000000"/>
              </w:rPr>
              <w:t>0,420</w:t>
            </w:r>
          </w:p>
        </w:tc>
      </w:tr>
      <w:tr w:rsidR="009D79A6" w:rsidRPr="009D79A6" w14:paraId="22F1A750"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2C4E857D" w14:textId="77777777" w:rsidR="009D79A6" w:rsidRPr="009D79A6" w:rsidRDefault="009D79A6" w:rsidP="009D79A6">
            <w:pPr>
              <w:keepNext/>
              <w:keepLines/>
              <w:rPr>
                <w:b/>
                <w:color w:val="000000"/>
              </w:rPr>
            </w:pPr>
            <w:r w:rsidRPr="009D79A6">
              <w:rPr>
                <w:b/>
                <w:color w:val="000000"/>
              </w:rPr>
              <w:t>Absetzen von Immunsuppressiva</w:t>
            </w:r>
            <w:r w:rsidRPr="009D79A6">
              <w:rPr>
                <w:b/>
                <w:color w:val="000000"/>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B63C761" w14:textId="77777777" w:rsidR="009D79A6" w:rsidRPr="009D79A6" w:rsidRDefault="009D79A6" w:rsidP="009D79A6">
            <w:pPr>
              <w:keepNext/>
              <w:keepLines/>
              <w:jc w:val="center"/>
              <w:rPr>
                <w:b/>
                <w:color w:val="000000"/>
              </w:rPr>
            </w:pPr>
            <w:r w:rsidRPr="009D79A6">
              <w:rPr>
                <w:b/>
                <w:color w:val="000000"/>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DE4AC35" w14:textId="77777777" w:rsidR="009D79A6" w:rsidRPr="009D79A6" w:rsidRDefault="009D79A6" w:rsidP="009D79A6">
            <w:pPr>
              <w:keepNext/>
              <w:keepLines/>
              <w:jc w:val="center"/>
              <w:rPr>
                <w:b/>
                <w:color w:val="000000"/>
              </w:rPr>
            </w:pPr>
            <w:r w:rsidRPr="009D79A6">
              <w:rPr>
                <w:b/>
                <w:color w:val="000000"/>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68AF2A2B" w14:textId="77777777" w:rsidR="009D79A6" w:rsidRPr="009D79A6" w:rsidRDefault="009D79A6" w:rsidP="009D79A6">
            <w:pPr>
              <w:keepNext/>
              <w:keepLines/>
              <w:jc w:val="center"/>
              <w:rPr>
                <w:b/>
                <w:color w:val="000000"/>
                <w:lang w:val="en-GB"/>
              </w:rPr>
            </w:pPr>
          </w:p>
        </w:tc>
      </w:tr>
      <w:tr w:rsidR="009D79A6" w:rsidRPr="009D79A6" w14:paraId="48E2BDF8"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2BAC6CEC" w14:textId="77777777" w:rsidR="009D79A6" w:rsidRPr="009D79A6" w:rsidRDefault="009D79A6" w:rsidP="009D79A6">
            <w:pPr>
              <w:keepNext/>
              <w:keepLines/>
              <w:rPr>
                <w:color w:val="000000"/>
              </w:rPr>
            </w:pPr>
            <w:r w:rsidRPr="009D79A6">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0DB70CE" w14:textId="77777777" w:rsidR="009D79A6" w:rsidRPr="009D79A6" w:rsidRDefault="009D79A6" w:rsidP="009D79A6">
            <w:pPr>
              <w:keepNext/>
              <w:keepLines/>
              <w:jc w:val="center"/>
              <w:rPr>
                <w:color w:val="000000"/>
              </w:rPr>
            </w:pPr>
            <w:r w:rsidRPr="009D79A6">
              <w:rPr>
                <w:color w:val="000000"/>
              </w:rP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D8344DC" w14:textId="77777777" w:rsidR="009D79A6" w:rsidRPr="009D79A6" w:rsidRDefault="009D79A6" w:rsidP="009D79A6">
            <w:pPr>
              <w:keepNext/>
              <w:keepLines/>
              <w:jc w:val="center"/>
              <w:rPr>
                <w:color w:val="000000"/>
              </w:rPr>
            </w:pPr>
            <w:r w:rsidRPr="009D79A6">
              <w:rPr>
                <w:color w:val="000000"/>
              </w:rP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FF58456" w14:textId="77777777" w:rsidR="009D79A6" w:rsidRPr="009D79A6" w:rsidRDefault="009D79A6" w:rsidP="009D79A6">
            <w:pPr>
              <w:keepNext/>
              <w:keepLines/>
              <w:jc w:val="center"/>
              <w:rPr>
                <w:color w:val="000000"/>
              </w:rPr>
            </w:pPr>
            <w:r w:rsidRPr="009D79A6">
              <w:rPr>
                <w:color w:val="000000"/>
              </w:rPr>
              <w:t>0,983</w:t>
            </w:r>
          </w:p>
        </w:tc>
      </w:tr>
      <w:tr w:rsidR="009D79A6" w:rsidRPr="009D79A6" w14:paraId="2740455B"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3D9EAE0F" w14:textId="77777777" w:rsidR="009D79A6" w:rsidRPr="009D79A6" w:rsidRDefault="009D79A6" w:rsidP="009D79A6">
            <w:pPr>
              <w:keepNext/>
              <w:keepLines/>
              <w:rPr>
                <w:b/>
                <w:color w:val="000000"/>
              </w:rPr>
            </w:pPr>
            <w:r w:rsidRPr="009D79A6">
              <w:rPr>
                <w:b/>
                <w:color w:val="000000"/>
              </w:rPr>
              <w:t>Fistelremission</w:t>
            </w:r>
            <w:r w:rsidRPr="009D79A6">
              <w:rPr>
                <w:b/>
                <w:color w:val="000000"/>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B883C8F" w14:textId="77777777" w:rsidR="009D79A6" w:rsidRPr="009D79A6" w:rsidRDefault="009D79A6" w:rsidP="009D79A6">
            <w:pPr>
              <w:keepNext/>
              <w:keepLines/>
              <w:jc w:val="center"/>
              <w:rPr>
                <w:b/>
                <w:color w:val="000000"/>
              </w:rPr>
            </w:pPr>
            <w:r w:rsidRPr="009D79A6">
              <w:rPr>
                <w:b/>
                <w:color w:val="000000"/>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487FBE4" w14:textId="77777777" w:rsidR="009D79A6" w:rsidRPr="009D79A6" w:rsidRDefault="009D79A6" w:rsidP="009D79A6">
            <w:pPr>
              <w:keepNext/>
              <w:keepLines/>
              <w:jc w:val="center"/>
              <w:rPr>
                <w:b/>
                <w:color w:val="000000"/>
              </w:rPr>
            </w:pPr>
            <w:r w:rsidRPr="009D79A6">
              <w:rPr>
                <w:b/>
                <w:color w:val="000000"/>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6FD7074F" w14:textId="77777777" w:rsidR="009D79A6" w:rsidRPr="009D79A6" w:rsidRDefault="009D79A6" w:rsidP="009D79A6">
            <w:pPr>
              <w:keepNext/>
              <w:keepLines/>
              <w:jc w:val="center"/>
              <w:rPr>
                <w:b/>
                <w:color w:val="000000"/>
                <w:lang w:val="en-GB"/>
              </w:rPr>
            </w:pPr>
          </w:p>
        </w:tc>
      </w:tr>
      <w:tr w:rsidR="009D79A6" w:rsidRPr="009D79A6" w14:paraId="7AEE573E"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67B17E03" w14:textId="77777777" w:rsidR="009D79A6" w:rsidRPr="009D79A6" w:rsidRDefault="009D79A6" w:rsidP="009D79A6">
            <w:pPr>
              <w:rPr>
                <w:color w:val="000000"/>
              </w:rPr>
            </w:pPr>
            <w:r w:rsidRPr="009D79A6">
              <w:rPr>
                <w:color w:val="000000"/>
              </w:rPr>
              <w:t>Woche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F3C1DA5" w14:textId="77777777" w:rsidR="009D79A6" w:rsidRPr="009D79A6" w:rsidRDefault="009D79A6" w:rsidP="009D79A6">
            <w:pPr>
              <w:jc w:val="center"/>
              <w:rPr>
                <w:color w:val="000000"/>
              </w:rPr>
            </w:pPr>
            <w:r w:rsidRPr="009D79A6">
              <w:rPr>
                <w:color w:val="000000"/>
              </w:rP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04A13A3" w14:textId="77777777" w:rsidR="009D79A6" w:rsidRPr="009D79A6" w:rsidRDefault="009D79A6" w:rsidP="009D79A6">
            <w:pPr>
              <w:jc w:val="center"/>
              <w:rPr>
                <w:color w:val="000000"/>
              </w:rPr>
            </w:pPr>
            <w:r w:rsidRPr="009D79A6">
              <w:rPr>
                <w:color w:val="000000"/>
              </w:rP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4E0461C" w14:textId="77777777" w:rsidR="009D79A6" w:rsidRPr="009D79A6" w:rsidRDefault="009D79A6" w:rsidP="009D79A6">
            <w:pPr>
              <w:jc w:val="center"/>
              <w:rPr>
                <w:color w:val="000000"/>
              </w:rPr>
            </w:pPr>
            <w:r w:rsidRPr="009D79A6">
              <w:rPr>
                <w:color w:val="000000"/>
              </w:rPr>
              <w:t>0,608</w:t>
            </w:r>
          </w:p>
        </w:tc>
      </w:tr>
      <w:tr w:rsidR="009D79A6" w:rsidRPr="009D79A6" w14:paraId="4C067999" w14:textId="77777777" w:rsidTr="00465659">
        <w:tc>
          <w:tcPr>
            <w:tcW w:w="4158" w:type="dxa"/>
            <w:tcBorders>
              <w:top w:val="single" w:sz="4" w:space="0" w:color="auto"/>
              <w:left w:val="single" w:sz="4" w:space="0" w:color="auto"/>
              <w:bottom w:val="single" w:sz="4" w:space="0" w:color="auto"/>
              <w:right w:val="single" w:sz="4" w:space="0" w:color="auto"/>
            </w:tcBorders>
            <w:hideMark/>
          </w:tcPr>
          <w:p w14:paraId="2495D2C5" w14:textId="77777777" w:rsidR="009D79A6" w:rsidRPr="009D79A6" w:rsidRDefault="009D79A6" w:rsidP="009D79A6">
            <w:pPr>
              <w:rPr>
                <w:color w:val="000000"/>
              </w:rPr>
            </w:pPr>
            <w:r w:rsidRPr="009D79A6">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2C3A31D" w14:textId="77777777" w:rsidR="009D79A6" w:rsidRPr="009D79A6" w:rsidRDefault="009D79A6" w:rsidP="009D79A6">
            <w:pPr>
              <w:jc w:val="center"/>
              <w:rPr>
                <w:color w:val="000000"/>
              </w:rPr>
            </w:pPr>
            <w:r w:rsidRPr="009D79A6">
              <w:rPr>
                <w:color w:val="000000"/>
              </w:rP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6555751" w14:textId="77777777" w:rsidR="009D79A6" w:rsidRPr="009D79A6" w:rsidRDefault="009D79A6" w:rsidP="009D79A6">
            <w:pPr>
              <w:jc w:val="center"/>
              <w:rPr>
                <w:color w:val="000000"/>
              </w:rPr>
            </w:pPr>
            <w:r w:rsidRPr="009D79A6">
              <w:rPr>
                <w:color w:val="000000"/>
              </w:rP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30398B7" w14:textId="77777777" w:rsidR="009D79A6" w:rsidRPr="009D79A6" w:rsidRDefault="009D79A6" w:rsidP="009D79A6">
            <w:pPr>
              <w:jc w:val="center"/>
              <w:rPr>
                <w:color w:val="000000"/>
              </w:rPr>
            </w:pPr>
            <w:r w:rsidRPr="009D79A6">
              <w:rPr>
                <w:color w:val="000000"/>
              </w:rPr>
              <w:t>0,303</w:t>
            </w:r>
          </w:p>
        </w:tc>
      </w:tr>
      <w:tr w:rsidR="009D79A6" w:rsidRPr="009D79A6" w14:paraId="501F6D65" w14:textId="77777777" w:rsidTr="00465659">
        <w:tc>
          <w:tcPr>
            <w:tcW w:w="9303" w:type="dxa"/>
            <w:gridSpan w:val="4"/>
            <w:tcBorders>
              <w:top w:val="single" w:sz="4" w:space="0" w:color="auto"/>
              <w:left w:val="nil"/>
              <w:bottom w:val="nil"/>
              <w:right w:val="nil"/>
            </w:tcBorders>
          </w:tcPr>
          <w:p w14:paraId="2F73C99C" w14:textId="77777777" w:rsidR="009D79A6" w:rsidRPr="00206AEA" w:rsidRDefault="009D79A6" w:rsidP="009D79A6">
            <w:pPr>
              <w:ind w:left="270" w:hanging="270"/>
              <w:rPr>
                <w:color w:val="000000"/>
                <w:sz w:val="20"/>
              </w:rPr>
            </w:pPr>
            <w:r w:rsidRPr="00206AEA">
              <w:rPr>
                <w:color w:val="000000"/>
                <w:sz w:val="20"/>
                <w:vertAlign w:val="superscript"/>
              </w:rPr>
              <w:t>1</w:t>
            </w:r>
            <w:r w:rsidRPr="00206AEA">
              <w:rPr>
                <w:color w:val="000000"/>
                <w:sz w:val="20"/>
              </w:rPr>
              <w:tab/>
              <w:t xml:space="preserve">p-Wert für Vergleich von Standarddosis gegenüber Niedrigdosis </w:t>
            </w:r>
          </w:p>
          <w:p w14:paraId="080A3626" w14:textId="77777777" w:rsidR="009D79A6" w:rsidRPr="00206AEA" w:rsidRDefault="009D79A6" w:rsidP="009D79A6">
            <w:pPr>
              <w:ind w:left="270" w:hanging="270"/>
              <w:rPr>
                <w:color w:val="000000"/>
                <w:sz w:val="20"/>
              </w:rPr>
            </w:pPr>
            <w:r w:rsidRPr="00206AEA">
              <w:rPr>
                <w:color w:val="000000"/>
                <w:sz w:val="20"/>
                <w:vertAlign w:val="superscript"/>
              </w:rPr>
              <w:t>2</w:t>
            </w:r>
            <w:r w:rsidRPr="00206AEA">
              <w:rPr>
                <w:color w:val="000000"/>
                <w:sz w:val="20"/>
              </w:rPr>
              <w:tab/>
              <w:t xml:space="preserve">Behandlung mit Immunsuppressiva konnte nach Ermessen des Prüfers erst zu oder nach </w:t>
            </w:r>
            <w:r w:rsidRPr="009D79A6">
              <w:rPr>
                <w:color w:val="000000"/>
              </w:rPr>
              <w:t>Woche 26</w:t>
            </w:r>
            <w:r w:rsidRPr="00206AEA">
              <w:rPr>
                <w:color w:val="000000"/>
                <w:sz w:val="20"/>
              </w:rPr>
              <w:t xml:space="preserve"> beendet werden, wenn der Patient das Kriterium für ein klinisches Ansprechen erfüllte </w:t>
            </w:r>
          </w:p>
          <w:p w14:paraId="0ACC066E" w14:textId="77777777" w:rsidR="009D79A6" w:rsidRPr="00206AEA" w:rsidRDefault="009D79A6" w:rsidP="009D79A6">
            <w:pPr>
              <w:ind w:left="270" w:hanging="270"/>
              <w:rPr>
                <w:color w:val="000000"/>
                <w:sz w:val="20"/>
              </w:rPr>
            </w:pPr>
            <w:r w:rsidRPr="00206AEA">
              <w:rPr>
                <w:color w:val="000000"/>
                <w:sz w:val="20"/>
                <w:vertAlign w:val="superscript"/>
              </w:rPr>
              <w:t>3</w:t>
            </w:r>
            <w:r w:rsidRPr="00206AEA">
              <w:rPr>
                <w:color w:val="000000"/>
                <w:sz w:val="20"/>
              </w:rPr>
              <w:tab/>
              <w:t>definiert als Verschluss aller zum Zeitpunkt des Studienbeginns drainierender Fisteln, nachgewiesen an mindestens zwei aufeinanderfolgenden Visiten im Studienverlauf</w:t>
            </w:r>
          </w:p>
        </w:tc>
      </w:tr>
    </w:tbl>
    <w:p w14:paraId="60B4A7D0" w14:textId="77777777" w:rsidR="009D79A6" w:rsidRPr="009D79A6" w:rsidRDefault="009D79A6" w:rsidP="009D79A6">
      <w:pPr>
        <w:rPr>
          <w:color w:val="000000"/>
        </w:rPr>
      </w:pPr>
    </w:p>
    <w:p w14:paraId="0D96B487" w14:textId="77777777" w:rsidR="009D79A6" w:rsidRPr="009D79A6" w:rsidRDefault="009D79A6" w:rsidP="009D79A6">
      <w:pPr>
        <w:kinsoku w:val="0"/>
        <w:overflowPunct w:val="0"/>
        <w:rPr>
          <w:color w:val="000000"/>
        </w:rPr>
      </w:pPr>
      <w:r w:rsidRPr="009D79A6">
        <w:rPr>
          <w:color w:val="000000"/>
        </w:rPr>
        <w:t>Statistisch signifikante Zunahmen (Verbesserungen) im Vergleich zum Studienbeginn wurden im Body-Mass-Index und der Körpergröße zu Woche 26 und Woche 52 für beide Behandlungsgruppen beobachtet.</w:t>
      </w:r>
    </w:p>
    <w:p w14:paraId="699849FA" w14:textId="77777777" w:rsidR="009D79A6" w:rsidRPr="009D79A6" w:rsidRDefault="009D79A6" w:rsidP="009D79A6">
      <w:pPr>
        <w:kinsoku w:val="0"/>
        <w:overflowPunct w:val="0"/>
        <w:rPr>
          <w:color w:val="000000"/>
        </w:rPr>
      </w:pPr>
    </w:p>
    <w:p w14:paraId="125AD8BC" w14:textId="77777777" w:rsidR="009D79A6" w:rsidRPr="009D79A6" w:rsidRDefault="009D79A6" w:rsidP="009D79A6">
      <w:pPr>
        <w:kinsoku w:val="0"/>
        <w:overflowPunct w:val="0"/>
        <w:rPr>
          <w:color w:val="000000"/>
        </w:rPr>
      </w:pPr>
      <w:r w:rsidRPr="009D79A6">
        <w:rPr>
          <w:color w:val="000000"/>
        </w:rPr>
        <w:t>Statistisch und klinisch signifikante Verbesserungen im Vergleich zum Studienbeginn wurden auch in beiden Behandlungsgruppen für die Parameter zur Lebensqualität (einschließlich IMPACT III) beobachtet.</w:t>
      </w:r>
    </w:p>
    <w:p w14:paraId="423960C4" w14:textId="77777777" w:rsidR="009D79A6" w:rsidRPr="009D79A6" w:rsidRDefault="009D79A6" w:rsidP="009D79A6">
      <w:pPr>
        <w:kinsoku w:val="0"/>
        <w:overflowPunct w:val="0"/>
        <w:rPr>
          <w:color w:val="000000"/>
          <w:szCs w:val="21"/>
        </w:rPr>
      </w:pPr>
    </w:p>
    <w:p w14:paraId="2E420915" w14:textId="77777777" w:rsidR="009D79A6" w:rsidRPr="009D79A6" w:rsidRDefault="009D79A6" w:rsidP="009D79A6">
      <w:pPr>
        <w:kinsoku w:val="0"/>
        <w:overflowPunct w:val="0"/>
        <w:rPr>
          <w:color w:val="000000"/>
        </w:rPr>
      </w:pPr>
      <w:r w:rsidRPr="009D79A6">
        <w:rPr>
          <w:color w:val="000000"/>
        </w:rPr>
        <w:t xml:space="preserve">Einhundert Patienten (n = 100) der Studie zu pädiatrischem Morbus Crohn setzten diese in einer offenen </w:t>
      </w:r>
      <w:r w:rsidR="002504AA">
        <w:rPr>
          <w:color w:val="000000"/>
        </w:rPr>
        <w:t>Fortsetzungsphase</w:t>
      </w:r>
      <w:r w:rsidRPr="009D79A6">
        <w:rPr>
          <w:color w:val="000000"/>
        </w:rPr>
        <w:t xml:space="preserve"> zur Langzeitanwendung fort. Nach fünf Jahren unter Adalimumab-Therapie wiesen 74,0 % (37/50) der 50 in der Studie verbliebenen Patienten weiterhin eine klinische Remission und 92,0 % (46/50) ein klinisches Ansprechen nach PCDAI auf.</w:t>
      </w:r>
    </w:p>
    <w:p w14:paraId="36634837" w14:textId="77777777" w:rsidR="002E7CBA" w:rsidRDefault="002E7CBA" w:rsidP="00387D0C">
      <w:pPr>
        <w:pStyle w:val="BodyText"/>
        <w:widowControl/>
        <w:kinsoku w:val="0"/>
        <w:overflowPunct w:val="0"/>
        <w:ind w:left="0"/>
        <w:rPr>
          <w:color w:val="000000"/>
        </w:rPr>
      </w:pPr>
    </w:p>
    <w:p w14:paraId="19D63ACD" w14:textId="77777777" w:rsidR="00324DDA" w:rsidRPr="00324DDA" w:rsidRDefault="00324DDA" w:rsidP="00324DDA">
      <w:pPr>
        <w:keepNext/>
        <w:kinsoku w:val="0"/>
        <w:overflowPunct w:val="0"/>
        <w:rPr>
          <w:color w:val="000000"/>
        </w:rPr>
      </w:pPr>
      <w:r w:rsidRPr="00324DDA">
        <w:rPr>
          <w:i/>
          <w:iCs/>
          <w:color w:val="000000"/>
        </w:rPr>
        <w:t>Uveitis bei Kindern und Jugendlichen</w:t>
      </w:r>
    </w:p>
    <w:p w14:paraId="4A9A95A0" w14:textId="77777777" w:rsidR="00324DDA" w:rsidRPr="00324DDA" w:rsidRDefault="00324DDA" w:rsidP="00324DDA">
      <w:pPr>
        <w:keepNext/>
        <w:kinsoku w:val="0"/>
        <w:overflowPunct w:val="0"/>
        <w:rPr>
          <w:i/>
          <w:iCs/>
          <w:color w:val="000000"/>
          <w:szCs w:val="21"/>
        </w:rPr>
      </w:pPr>
    </w:p>
    <w:p w14:paraId="276AFC16" w14:textId="77777777" w:rsidR="00324DDA" w:rsidRPr="00324DDA" w:rsidRDefault="00324DDA" w:rsidP="00324DDA">
      <w:pPr>
        <w:kinsoku w:val="0"/>
        <w:overflowPunct w:val="0"/>
        <w:rPr>
          <w:color w:val="000000"/>
        </w:rPr>
      </w:pPr>
      <w:r w:rsidRPr="00324DDA">
        <w:rPr>
          <w:color w:val="000000"/>
        </w:rPr>
        <w:t>Die Sicherheit und Wirksamkeit von Adalimumab wurden in einer randomisierten, doppelmaskierten, kontrollierten Studie mit 90 Kindern und Jugendlichen im Alter von 2 bis &lt; 18 Jahren mit aktiver JIA-assoziierter nicht infektiöser Uveitis anterior untersucht, die mindestens 12 Wochen lang nicht auf die Behandlung mit Methotrexat angesprochen hatten. Die Patienten erhielten alle zwei Wochen entweder Placebo oder 20 mg Adalimumab (sofern &lt; 30 kg) oder 40 mg Adalimumab (sofern ≥ 30 kg) jeweils in Kombination mit ihrer Ausgangsdosis Methotrexat.</w:t>
      </w:r>
    </w:p>
    <w:p w14:paraId="4E558D1E" w14:textId="77777777" w:rsidR="00324DDA" w:rsidRPr="00324DDA" w:rsidRDefault="00324DDA" w:rsidP="00324DDA">
      <w:pPr>
        <w:kinsoku w:val="0"/>
        <w:overflowPunct w:val="0"/>
        <w:rPr>
          <w:color w:val="000000"/>
        </w:rPr>
      </w:pPr>
    </w:p>
    <w:p w14:paraId="4313896C" w14:textId="77777777" w:rsidR="00324DDA" w:rsidRPr="00324DDA" w:rsidRDefault="00324DDA" w:rsidP="00324DDA">
      <w:pPr>
        <w:kinsoku w:val="0"/>
        <w:overflowPunct w:val="0"/>
        <w:rPr>
          <w:color w:val="000000"/>
        </w:rPr>
      </w:pPr>
      <w:r w:rsidRPr="00324DDA">
        <w:rPr>
          <w:color w:val="000000"/>
        </w:rPr>
        <w:t>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w:t>
      </w:r>
    </w:p>
    <w:p w14:paraId="5F8BBFB0" w14:textId="77777777" w:rsidR="00324DDA" w:rsidRPr="00324DDA" w:rsidRDefault="00324DDA" w:rsidP="00324DDA">
      <w:pPr>
        <w:kinsoku w:val="0"/>
        <w:overflowPunct w:val="0"/>
        <w:rPr>
          <w:color w:val="000000"/>
        </w:rPr>
      </w:pPr>
    </w:p>
    <w:p w14:paraId="0F459968" w14:textId="77777777" w:rsidR="00324DDA" w:rsidRPr="00324DDA" w:rsidRDefault="00324DDA" w:rsidP="00324DDA">
      <w:pPr>
        <w:keepNext/>
        <w:kinsoku w:val="0"/>
        <w:overflowPunct w:val="0"/>
        <w:rPr>
          <w:color w:val="000000"/>
        </w:rPr>
      </w:pPr>
      <w:r w:rsidRPr="00324DDA">
        <w:rPr>
          <w:i/>
          <w:iCs/>
          <w:color w:val="000000"/>
          <w:u w:val="single"/>
        </w:rPr>
        <w:t>Klinisches Ansprechen</w:t>
      </w:r>
    </w:p>
    <w:p w14:paraId="7C1AF5C8" w14:textId="77777777" w:rsidR="00324DDA" w:rsidRPr="00324DDA" w:rsidRDefault="00324DDA" w:rsidP="00324DDA">
      <w:pPr>
        <w:keepNext/>
        <w:kinsoku w:val="0"/>
        <w:overflowPunct w:val="0"/>
        <w:rPr>
          <w:i/>
          <w:iCs/>
          <w:color w:val="000000"/>
        </w:rPr>
      </w:pPr>
    </w:p>
    <w:p w14:paraId="3153F30B" w14:textId="77777777" w:rsidR="00324DDA" w:rsidRPr="00324DDA" w:rsidRDefault="00324DDA" w:rsidP="00324DDA">
      <w:pPr>
        <w:kinsoku w:val="0"/>
        <w:overflowPunct w:val="0"/>
        <w:rPr>
          <w:color w:val="000000"/>
        </w:rPr>
      </w:pPr>
      <w:r w:rsidRPr="00324DDA">
        <w:rPr>
          <w:color w:val="000000"/>
        </w:rPr>
        <w:t>Adalimumab verzögerte signifikant die Zeit bis zum Behandlungsversagen im Vergleich zu Placebo (siehe Abbildung </w:t>
      </w:r>
      <w:r w:rsidR="009305FA">
        <w:rPr>
          <w:color w:val="000000"/>
        </w:rPr>
        <w:t>2</w:t>
      </w:r>
      <w:r w:rsidRPr="00324DDA">
        <w:rPr>
          <w:color w:val="000000"/>
        </w:rPr>
        <w:t xml:space="preserve">, p &lt; 0,0001 beim Log-Rank-Test). Die mittlere Zeit bis zum Behandlungsversagen lag bei 24,1 Wochen für Patienten, die mit Placebo behandelt wurden, während die mittlere Zeit für das Behandlungsversagen für mit Adalimumab behandelte Patienten nicht abschätzbar war, da </w:t>
      </w:r>
      <w:r w:rsidRPr="00324DDA">
        <w:rPr>
          <w:color w:val="000000"/>
        </w:rPr>
        <w:lastRenderedPageBreak/>
        <w:t>weniger als die Hälfte dieser Patienten ein Behandlungsversagen erfahren haben. Adalimumab verminderte signifikant das Risiko eines Behandlungsversagens um 75 % im Vergleich zu Placebo, wie die Hazard Ratio (HR = 0,25 [95 % CI: 0,12; 0,49]) zeigt.</w:t>
      </w:r>
    </w:p>
    <w:p w14:paraId="7C9FAA5C" w14:textId="77777777" w:rsidR="00324DDA" w:rsidRPr="00324DDA" w:rsidRDefault="00324DDA" w:rsidP="00324DDA">
      <w:pPr>
        <w:rPr>
          <w:color w:val="000000"/>
        </w:rPr>
      </w:pPr>
    </w:p>
    <w:p w14:paraId="14578290" w14:textId="77777777" w:rsidR="00324DDA" w:rsidRPr="00324DDA" w:rsidRDefault="00324DDA" w:rsidP="00324DDA">
      <w:pPr>
        <w:keepNext/>
        <w:rPr>
          <w:color w:val="000000"/>
        </w:rPr>
      </w:pPr>
      <w:r w:rsidRPr="00324DDA">
        <w:rPr>
          <w:b/>
          <w:color w:val="000000"/>
        </w:rPr>
        <w:t xml:space="preserve">Abb. </w:t>
      </w:r>
      <w:r>
        <w:rPr>
          <w:b/>
          <w:color w:val="000000"/>
        </w:rPr>
        <w:t>2</w:t>
      </w:r>
      <w:r w:rsidRPr="00324DDA">
        <w:rPr>
          <w:b/>
          <w:color w:val="000000"/>
        </w:rPr>
        <w:t>. Kaplan-Meier-Kurven zur Darstellung der Dauer bis zum Behandlungsversagen in der pädiatrischen Uveitis-Studie</w:t>
      </w:r>
    </w:p>
    <w:p w14:paraId="7C387A97" w14:textId="7B9FAC0A" w:rsidR="00324DDA" w:rsidRPr="00324DDA" w:rsidRDefault="00032CD3" w:rsidP="00324DDA">
      <w:pPr>
        <w:rPr>
          <w:color w:val="000000"/>
          <w:highlight w:val="yellow"/>
        </w:rPr>
      </w:pPr>
      <w:r w:rsidRPr="004F30E6">
        <w:rPr>
          <w:noProof/>
          <w:color w:val="000000"/>
        </w:rPr>
        <w:drawing>
          <wp:inline distT="0" distB="0" distL="0" distR="0" wp14:anchorId="1847ADC7" wp14:editId="13854B1F">
            <wp:extent cx="5762625" cy="45815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581525"/>
                    </a:xfrm>
                    <a:prstGeom prst="rect">
                      <a:avLst/>
                    </a:prstGeom>
                    <a:noFill/>
                    <a:ln>
                      <a:noFill/>
                    </a:ln>
                  </pic:spPr>
                </pic:pic>
              </a:graphicData>
            </a:graphic>
          </wp:inline>
        </w:drawing>
      </w:r>
    </w:p>
    <w:p w14:paraId="1DC40079" w14:textId="77777777" w:rsidR="002E7CBA" w:rsidRPr="00206AEA" w:rsidRDefault="00324DDA" w:rsidP="008419B6">
      <w:pPr>
        <w:rPr>
          <w:color w:val="000000"/>
          <w:sz w:val="20"/>
        </w:rPr>
      </w:pPr>
      <w:r w:rsidRPr="00206AEA">
        <w:rPr>
          <w:color w:val="000000"/>
          <w:sz w:val="20"/>
        </w:rPr>
        <w:t>Hinweis: P = Placebo (Anzahl Risikopatienten); H = Adalimumab (Anzahl Risikopatienten).</w:t>
      </w:r>
    </w:p>
    <w:p w14:paraId="0352E120" w14:textId="77777777" w:rsidR="00964AFD" w:rsidRPr="004F5FB4" w:rsidRDefault="00964AFD" w:rsidP="00387D0C">
      <w:pPr>
        <w:pStyle w:val="BodyText"/>
        <w:widowControl/>
        <w:kinsoku w:val="0"/>
        <w:overflowPunct w:val="0"/>
        <w:ind w:left="0"/>
        <w:rPr>
          <w:color w:val="000000"/>
        </w:rPr>
      </w:pPr>
    </w:p>
    <w:p w14:paraId="1D9340D3" w14:textId="77777777" w:rsidR="00964AFD" w:rsidRPr="004F5FB4" w:rsidRDefault="00964AFD" w:rsidP="00CA7719">
      <w:pPr>
        <w:pStyle w:val="BodyText"/>
        <w:keepNext/>
        <w:widowControl/>
        <w:numPr>
          <w:ilvl w:val="1"/>
          <w:numId w:val="21"/>
        </w:numPr>
        <w:kinsoku w:val="0"/>
        <w:overflowPunct w:val="0"/>
        <w:autoSpaceDE w:val="0"/>
        <w:autoSpaceDN w:val="0"/>
        <w:adjustRightInd w:val="0"/>
        <w:ind w:left="0" w:firstLine="0"/>
        <w:rPr>
          <w:b/>
          <w:bCs/>
          <w:color w:val="000000"/>
        </w:rPr>
      </w:pPr>
      <w:r w:rsidRPr="00CA7719">
        <w:rPr>
          <w:b/>
          <w:bCs/>
          <w:color w:val="000000"/>
        </w:rPr>
        <w:t>Pharmakokinetische Eigenschaften</w:t>
      </w:r>
    </w:p>
    <w:p w14:paraId="352A9AF9" w14:textId="77777777" w:rsidR="00964AFD" w:rsidRPr="004F5FB4" w:rsidRDefault="00964AFD" w:rsidP="00ED34EF">
      <w:pPr>
        <w:pStyle w:val="BodyText"/>
        <w:keepNext/>
        <w:widowControl/>
        <w:kinsoku w:val="0"/>
        <w:overflowPunct w:val="0"/>
        <w:ind w:left="0"/>
        <w:rPr>
          <w:b/>
          <w:bCs/>
          <w:color w:val="000000"/>
          <w:szCs w:val="21"/>
          <w:lang w:val="en-GB"/>
        </w:rPr>
      </w:pPr>
    </w:p>
    <w:p w14:paraId="3E881567" w14:textId="77777777" w:rsidR="00964AFD" w:rsidRPr="004F5FB4" w:rsidRDefault="00964AFD" w:rsidP="00ED34EF">
      <w:pPr>
        <w:pStyle w:val="BodyText"/>
        <w:keepNext/>
        <w:widowControl/>
        <w:kinsoku w:val="0"/>
        <w:overflowPunct w:val="0"/>
        <w:ind w:left="0"/>
        <w:rPr>
          <w:color w:val="000000"/>
        </w:rPr>
      </w:pPr>
      <w:r w:rsidRPr="004F5FB4">
        <w:rPr>
          <w:color w:val="000000"/>
          <w:u w:val="single"/>
        </w:rPr>
        <w:t>Resorption und Verteilung</w:t>
      </w:r>
    </w:p>
    <w:p w14:paraId="05A9ED2F" w14:textId="77777777" w:rsidR="00964AFD" w:rsidRPr="004F5FB4" w:rsidRDefault="00964AFD" w:rsidP="00ED34EF">
      <w:pPr>
        <w:pStyle w:val="BodyText"/>
        <w:keepNext/>
        <w:widowControl/>
        <w:kinsoku w:val="0"/>
        <w:overflowPunct w:val="0"/>
        <w:ind w:left="0"/>
        <w:rPr>
          <w:color w:val="000000"/>
          <w:szCs w:val="19"/>
          <w:lang w:val="en-GB"/>
        </w:rPr>
      </w:pPr>
    </w:p>
    <w:p w14:paraId="62FCD29A" w14:textId="77777777" w:rsidR="00964AFD" w:rsidRPr="004F5FB4" w:rsidRDefault="00964AFD" w:rsidP="00387D0C">
      <w:pPr>
        <w:pStyle w:val="BodyText"/>
        <w:widowControl/>
        <w:kinsoku w:val="0"/>
        <w:overflowPunct w:val="0"/>
        <w:ind w:left="0"/>
        <w:rPr>
          <w:color w:val="000000"/>
        </w:rPr>
      </w:pPr>
      <w:r w:rsidRPr="004F5FB4">
        <w:rPr>
          <w:color w:val="000000"/>
        </w:rPr>
        <w:t>Nach subkutaner Verabreichung von 24 mg/m</w:t>
      </w:r>
      <w:r w:rsidRPr="004F5FB4">
        <w:rPr>
          <w:color w:val="000000"/>
          <w:vertAlign w:val="superscript"/>
        </w:rPr>
        <w:t>2</w:t>
      </w:r>
      <w:r w:rsidRPr="004F5FB4">
        <w:rPr>
          <w:color w:val="000000"/>
        </w:rPr>
        <w:t xml:space="preserve"> (</w:t>
      </w:r>
      <w:r w:rsidR="00324DDA">
        <w:rPr>
          <w:color w:val="000000"/>
        </w:rPr>
        <w:t>m</w:t>
      </w:r>
      <w:r w:rsidR="00324DDA" w:rsidRPr="004F5FB4">
        <w:rPr>
          <w:color w:val="000000"/>
        </w:rPr>
        <w:t xml:space="preserve">aximal </w:t>
      </w:r>
      <w:r w:rsidRPr="004F5FB4">
        <w:rPr>
          <w:color w:val="000000"/>
        </w:rPr>
        <w:t>40</w:t>
      </w:r>
      <w:r w:rsidR="00D17FA4" w:rsidRPr="004F5FB4">
        <w:rPr>
          <w:color w:val="000000"/>
        </w:rPr>
        <w:t> </w:t>
      </w:r>
      <w:r w:rsidRPr="004F5FB4">
        <w:rPr>
          <w:color w:val="000000"/>
        </w:rPr>
        <w:t>mg) jede zweite Woche an Patienten mit polyartikulärer juveniler idiopathischer Arthritis (JIA), die zwischen 4 und 17</w:t>
      </w:r>
      <w:r w:rsidR="008F58BB" w:rsidRPr="004F5FB4">
        <w:rPr>
          <w:color w:val="000000"/>
        </w:rPr>
        <w:t> </w:t>
      </w:r>
      <w:r w:rsidRPr="004F5FB4">
        <w:rPr>
          <w:color w:val="000000"/>
        </w:rPr>
        <w:t>Jahren alt waren, betrugen die mittleren Steady</w:t>
      </w:r>
      <w:r w:rsidRPr="004F5FB4">
        <w:rPr>
          <w:color w:val="000000"/>
        </w:rPr>
        <w:noBreakHyphen/>
        <w:t>State-Talkonzentrationen der Adalimumab-Serumspiegel für Adalimumab ohne Methotrexat-Begleittherapie 5,6</w:t>
      </w:r>
      <w:r w:rsidR="00115510" w:rsidRPr="004F5FB4">
        <w:rPr>
          <w:color w:val="000000"/>
        </w:rPr>
        <w:t> </w:t>
      </w:r>
      <w:r w:rsidRPr="004F5FB4">
        <w:rPr>
          <w:color w:val="000000"/>
        </w:rPr>
        <w:t>±</w:t>
      </w:r>
      <w:r w:rsidR="00115510" w:rsidRPr="004F5FB4">
        <w:rPr>
          <w:color w:val="000000"/>
        </w:rPr>
        <w:t> </w:t>
      </w:r>
      <w:r w:rsidRPr="004F5FB4">
        <w:rPr>
          <w:color w:val="000000"/>
        </w:rPr>
        <w:t>5,6</w:t>
      </w:r>
      <w:r w:rsidR="00D17FA4" w:rsidRPr="004F5FB4">
        <w:rPr>
          <w:color w:val="000000"/>
        </w:rPr>
        <w:t> </w:t>
      </w:r>
      <w:r w:rsidRPr="004F5FB4">
        <w:rPr>
          <w:color w:val="000000"/>
        </w:rPr>
        <w:t>µg/ml (102</w:t>
      </w:r>
      <w:r w:rsidR="00D17FA4" w:rsidRPr="004F5FB4">
        <w:rPr>
          <w:color w:val="000000"/>
        </w:rPr>
        <w:t> </w:t>
      </w:r>
      <w:r w:rsidRPr="004F5FB4">
        <w:rPr>
          <w:color w:val="000000"/>
        </w:rPr>
        <w:t>%</w:t>
      </w:r>
      <w:r w:rsidR="00115510" w:rsidRPr="004F5FB4">
        <w:rPr>
          <w:color w:val="000000"/>
        </w:rPr>
        <w:t> </w:t>
      </w:r>
      <w:r w:rsidRPr="004F5FB4">
        <w:rPr>
          <w:color w:val="000000"/>
        </w:rPr>
        <w:t>CV) und 10,9</w:t>
      </w:r>
      <w:r w:rsidR="00D17FA4" w:rsidRPr="004F5FB4">
        <w:rPr>
          <w:color w:val="000000"/>
        </w:rPr>
        <w:t> </w:t>
      </w:r>
      <w:r w:rsidRPr="004F5FB4">
        <w:rPr>
          <w:color w:val="000000"/>
        </w:rPr>
        <w:t>±</w:t>
      </w:r>
      <w:r w:rsidR="00D17FA4" w:rsidRPr="004F5FB4">
        <w:rPr>
          <w:color w:val="000000"/>
        </w:rPr>
        <w:t> </w:t>
      </w:r>
      <w:r w:rsidRPr="004F5FB4">
        <w:rPr>
          <w:color w:val="000000"/>
        </w:rPr>
        <w:t>5,2</w:t>
      </w:r>
      <w:r w:rsidR="00D17FA4" w:rsidRPr="004F5FB4">
        <w:rPr>
          <w:color w:val="000000"/>
        </w:rPr>
        <w:t> </w:t>
      </w:r>
      <w:r w:rsidRPr="004F5FB4">
        <w:rPr>
          <w:color w:val="000000"/>
        </w:rPr>
        <w:t>µg/ml (47,7</w:t>
      </w:r>
      <w:r w:rsidR="00D17FA4" w:rsidRPr="004F5FB4">
        <w:rPr>
          <w:color w:val="000000"/>
        </w:rPr>
        <w:t> </w:t>
      </w:r>
      <w:r w:rsidRPr="004F5FB4">
        <w:rPr>
          <w:color w:val="000000"/>
        </w:rPr>
        <w:t>%</w:t>
      </w:r>
      <w:r w:rsidR="00115510" w:rsidRPr="004F5FB4">
        <w:rPr>
          <w:color w:val="000000"/>
        </w:rPr>
        <w:t> </w:t>
      </w:r>
      <w:r w:rsidRPr="004F5FB4">
        <w:rPr>
          <w:color w:val="000000"/>
        </w:rPr>
        <w:t xml:space="preserve">CV) </w:t>
      </w:r>
      <w:r w:rsidR="00A86130" w:rsidRPr="004F5FB4">
        <w:rPr>
          <w:color w:val="000000"/>
        </w:rPr>
        <w:t xml:space="preserve">bei </w:t>
      </w:r>
      <w:r w:rsidR="00CF4681" w:rsidRPr="004F5FB4">
        <w:rPr>
          <w:color w:val="000000"/>
        </w:rPr>
        <w:t xml:space="preserve">Kombinationstherapie </w:t>
      </w:r>
      <w:r w:rsidRPr="004F5FB4">
        <w:rPr>
          <w:color w:val="000000"/>
        </w:rPr>
        <w:t>mit Methotrexat (die Messwerte wurden von Woche</w:t>
      </w:r>
      <w:r w:rsidR="00D17FA4" w:rsidRPr="004F5FB4">
        <w:rPr>
          <w:color w:val="000000"/>
        </w:rPr>
        <w:t> </w:t>
      </w:r>
      <w:r w:rsidRPr="004F5FB4">
        <w:rPr>
          <w:color w:val="000000"/>
        </w:rPr>
        <w:t>20 bis 48 erhoben).</w:t>
      </w:r>
    </w:p>
    <w:p w14:paraId="1828566F" w14:textId="77777777" w:rsidR="00964AFD" w:rsidRPr="004F5FB4" w:rsidRDefault="00964AFD" w:rsidP="00387D0C">
      <w:pPr>
        <w:pStyle w:val="BodyText"/>
        <w:widowControl/>
        <w:kinsoku w:val="0"/>
        <w:overflowPunct w:val="0"/>
        <w:ind w:left="0"/>
        <w:rPr>
          <w:color w:val="000000"/>
        </w:rPr>
      </w:pPr>
    </w:p>
    <w:p w14:paraId="5E8896CC" w14:textId="77777777" w:rsidR="002510E7" w:rsidRPr="004F5FB4" w:rsidRDefault="002510E7" w:rsidP="002510E7">
      <w:pPr>
        <w:rPr>
          <w:color w:val="000000"/>
        </w:rPr>
      </w:pPr>
      <w:r w:rsidRPr="004F5FB4">
        <w:rPr>
          <w:color w:val="000000"/>
        </w:rPr>
        <w:t>Bei Patienten mit polyartikulärer JIA, die 2</w:t>
      </w:r>
      <w:r w:rsidR="00FF3A91" w:rsidRPr="004F5FB4">
        <w:rPr>
          <w:color w:val="000000"/>
        </w:rPr>
        <w:t> </w:t>
      </w:r>
      <w:r w:rsidRPr="004F5FB4">
        <w:rPr>
          <w:color w:val="000000"/>
        </w:rPr>
        <w:t>bis &lt;</w:t>
      </w:r>
      <w:r w:rsidR="00D17FA4" w:rsidRPr="004F5FB4">
        <w:rPr>
          <w:color w:val="000000"/>
        </w:rPr>
        <w:t> </w:t>
      </w:r>
      <w:r w:rsidRPr="004F5FB4">
        <w:rPr>
          <w:color w:val="000000"/>
        </w:rPr>
        <w:t>4</w:t>
      </w:r>
      <w:r w:rsidR="00D17FA4" w:rsidRPr="004F5FB4">
        <w:rPr>
          <w:color w:val="000000"/>
        </w:rPr>
        <w:t> </w:t>
      </w:r>
      <w:r w:rsidRPr="004F5FB4">
        <w:rPr>
          <w:color w:val="000000"/>
        </w:rPr>
        <w:t>Jahre alt oder 4</w:t>
      </w:r>
      <w:r w:rsidR="00D17FA4" w:rsidRPr="004F5FB4">
        <w:rPr>
          <w:color w:val="000000"/>
        </w:rPr>
        <w:t> </w:t>
      </w:r>
      <w:r w:rsidRPr="004F5FB4">
        <w:rPr>
          <w:color w:val="000000"/>
        </w:rPr>
        <w:t>Jahre alt und älter waren und die &lt;</w:t>
      </w:r>
      <w:r w:rsidR="008F58BB" w:rsidRPr="004F5FB4">
        <w:rPr>
          <w:color w:val="000000"/>
        </w:rPr>
        <w:t> </w:t>
      </w:r>
      <w:r w:rsidRPr="004F5FB4">
        <w:rPr>
          <w:color w:val="000000"/>
        </w:rPr>
        <w:t>15 kg wogen und eine Dosis von 24 mg Adalimumab/m</w:t>
      </w:r>
      <w:r w:rsidRPr="004F5FB4">
        <w:rPr>
          <w:color w:val="000000"/>
          <w:vertAlign w:val="superscript"/>
        </w:rPr>
        <w:t>2</w:t>
      </w:r>
      <w:r w:rsidRPr="004F5FB4">
        <w:rPr>
          <w:color w:val="000000"/>
        </w:rPr>
        <w:t xml:space="preserve"> erhielten, betrug die mittlere Steady</w:t>
      </w:r>
      <w:r w:rsidRPr="004F5FB4">
        <w:rPr>
          <w:color w:val="000000"/>
        </w:rPr>
        <w:noBreakHyphen/>
        <w:t>State-Talkonzentration der Adalimumab-Serumspiegel für Adalimumab ohne Methotrexat-Begleittherapie 6,0</w:t>
      </w:r>
      <w:r w:rsidR="00D17FA4" w:rsidRPr="004F5FB4">
        <w:rPr>
          <w:color w:val="000000"/>
        </w:rPr>
        <w:t> </w:t>
      </w:r>
      <w:r w:rsidRPr="004F5FB4">
        <w:rPr>
          <w:color w:val="000000"/>
        </w:rPr>
        <w:t>±</w:t>
      </w:r>
      <w:r w:rsidR="00D17FA4" w:rsidRPr="004F5FB4">
        <w:rPr>
          <w:color w:val="000000"/>
        </w:rPr>
        <w:t> </w:t>
      </w:r>
      <w:r w:rsidRPr="004F5FB4">
        <w:rPr>
          <w:color w:val="000000"/>
        </w:rPr>
        <w:t>6,1 µg/ml (101</w:t>
      </w:r>
      <w:r w:rsidR="00D17FA4" w:rsidRPr="004F5FB4">
        <w:rPr>
          <w:color w:val="000000"/>
        </w:rPr>
        <w:t> </w:t>
      </w:r>
      <w:r w:rsidRPr="004F5FB4">
        <w:rPr>
          <w:color w:val="000000"/>
        </w:rPr>
        <w:t>%</w:t>
      </w:r>
      <w:r w:rsidR="00115510" w:rsidRPr="004F5FB4">
        <w:rPr>
          <w:color w:val="000000"/>
        </w:rPr>
        <w:t> </w:t>
      </w:r>
      <w:r w:rsidRPr="004F5FB4">
        <w:rPr>
          <w:color w:val="000000"/>
        </w:rPr>
        <w:t>CV) und 7,9</w:t>
      </w:r>
      <w:r w:rsidR="00D17FA4" w:rsidRPr="004F5FB4">
        <w:rPr>
          <w:color w:val="000000"/>
        </w:rPr>
        <w:t> </w:t>
      </w:r>
      <w:r w:rsidRPr="004F5FB4">
        <w:rPr>
          <w:color w:val="000000"/>
        </w:rPr>
        <w:t>±</w:t>
      </w:r>
      <w:r w:rsidR="00D17FA4" w:rsidRPr="004F5FB4">
        <w:rPr>
          <w:color w:val="000000"/>
        </w:rPr>
        <w:t> </w:t>
      </w:r>
      <w:r w:rsidRPr="004F5FB4">
        <w:rPr>
          <w:color w:val="000000"/>
        </w:rPr>
        <w:t>5,6 µg/ml (71,2</w:t>
      </w:r>
      <w:r w:rsidR="00D17FA4" w:rsidRPr="004F5FB4">
        <w:rPr>
          <w:color w:val="000000"/>
        </w:rPr>
        <w:t> </w:t>
      </w:r>
      <w:r w:rsidRPr="004F5FB4">
        <w:rPr>
          <w:color w:val="000000"/>
        </w:rPr>
        <w:t>%</w:t>
      </w:r>
      <w:r w:rsidR="00115510" w:rsidRPr="004F5FB4">
        <w:rPr>
          <w:color w:val="000000"/>
        </w:rPr>
        <w:t> </w:t>
      </w:r>
      <w:r w:rsidRPr="004F5FB4">
        <w:rPr>
          <w:color w:val="000000"/>
        </w:rPr>
        <w:t xml:space="preserve">CV) </w:t>
      </w:r>
      <w:r w:rsidR="00CF4681" w:rsidRPr="004F5FB4">
        <w:rPr>
          <w:color w:val="000000"/>
        </w:rPr>
        <w:t xml:space="preserve">bei Kombinationstherapie </w:t>
      </w:r>
      <w:r w:rsidRPr="004F5FB4">
        <w:rPr>
          <w:color w:val="000000"/>
        </w:rPr>
        <w:t xml:space="preserve">mit Methotrexat. </w:t>
      </w:r>
    </w:p>
    <w:p w14:paraId="390DEBF9" w14:textId="77777777" w:rsidR="00964AFD" w:rsidRPr="004F5FB4" w:rsidRDefault="00964AFD" w:rsidP="00387D0C">
      <w:pPr>
        <w:pStyle w:val="BodyText"/>
        <w:widowControl/>
        <w:kinsoku w:val="0"/>
        <w:overflowPunct w:val="0"/>
        <w:ind w:left="0"/>
        <w:rPr>
          <w:color w:val="000000"/>
          <w:szCs w:val="19"/>
        </w:rPr>
      </w:pPr>
    </w:p>
    <w:p w14:paraId="66227D75" w14:textId="77777777" w:rsidR="00964AFD" w:rsidRPr="004F5FB4" w:rsidRDefault="00964AFD" w:rsidP="00387D0C">
      <w:pPr>
        <w:pStyle w:val="BodyText"/>
        <w:widowControl/>
        <w:kinsoku w:val="0"/>
        <w:overflowPunct w:val="0"/>
        <w:ind w:left="0"/>
        <w:rPr>
          <w:color w:val="000000"/>
        </w:rPr>
      </w:pPr>
      <w:r w:rsidRPr="004F5FB4">
        <w:rPr>
          <w:color w:val="000000"/>
        </w:rPr>
        <w:t>Nach subkutaner Verabreichung von 24</w:t>
      </w:r>
      <w:r w:rsidR="00D17FA4" w:rsidRPr="004F5FB4">
        <w:rPr>
          <w:color w:val="000000"/>
        </w:rPr>
        <w:t> </w:t>
      </w:r>
      <w:r w:rsidRPr="004F5FB4">
        <w:rPr>
          <w:color w:val="000000"/>
        </w:rPr>
        <w:t>mg/m</w:t>
      </w:r>
      <w:r w:rsidRPr="004F5FB4">
        <w:rPr>
          <w:color w:val="000000"/>
          <w:vertAlign w:val="superscript"/>
        </w:rPr>
        <w:t>2</w:t>
      </w:r>
      <w:r w:rsidRPr="004F5FB4">
        <w:rPr>
          <w:color w:val="000000"/>
        </w:rPr>
        <w:t xml:space="preserve"> (maximal 40</w:t>
      </w:r>
      <w:r w:rsidR="00115510" w:rsidRPr="004F5FB4">
        <w:rPr>
          <w:color w:val="000000"/>
        </w:rPr>
        <w:t> </w:t>
      </w:r>
      <w:r w:rsidRPr="004F5FB4">
        <w:rPr>
          <w:color w:val="000000"/>
        </w:rPr>
        <w:t>mg) jede zweite Woche an Patienten mit Enthesitis-assoziierter Arthritis, die 6 bis 17</w:t>
      </w:r>
      <w:r w:rsidR="00D17FA4" w:rsidRPr="004F5FB4">
        <w:rPr>
          <w:color w:val="000000"/>
        </w:rPr>
        <w:t> </w:t>
      </w:r>
      <w:r w:rsidRPr="004F5FB4">
        <w:rPr>
          <w:color w:val="000000"/>
        </w:rPr>
        <w:t xml:space="preserve">Jahre alt waren, betrug die mittlere Steady-State-Talkonzentration der Adalimumab-Serumspiegel für Adalimumab ohne Methotrexat-Begleittherapie </w:t>
      </w:r>
      <w:r w:rsidRPr="004F5FB4">
        <w:rPr>
          <w:color w:val="000000"/>
        </w:rPr>
        <w:lastRenderedPageBreak/>
        <w:t>8,8</w:t>
      </w:r>
      <w:r w:rsidR="00D17FA4" w:rsidRPr="004F5FB4">
        <w:rPr>
          <w:color w:val="000000"/>
        </w:rPr>
        <w:t> </w:t>
      </w:r>
      <w:r w:rsidRPr="004F5FB4">
        <w:rPr>
          <w:color w:val="000000"/>
        </w:rPr>
        <w:t>±</w:t>
      </w:r>
      <w:r w:rsidR="00D17FA4" w:rsidRPr="004F5FB4">
        <w:rPr>
          <w:color w:val="000000"/>
        </w:rPr>
        <w:t> </w:t>
      </w:r>
      <w:r w:rsidRPr="004F5FB4">
        <w:rPr>
          <w:color w:val="000000"/>
        </w:rPr>
        <w:t>6,6</w:t>
      </w:r>
      <w:r w:rsidR="00D17FA4" w:rsidRPr="004F5FB4">
        <w:rPr>
          <w:color w:val="000000"/>
        </w:rPr>
        <w:t> </w:t>
      </w:r>
      <w:r w:rsidRPr="004F5FB4">
        <w:rPr>
          <w:color w:val="000000"/>
        </w:rPr>
        <w:t>µg/ml und 11,8</w:t>
      </w:r>
      <w:r w:rsidR="00D17FA4" w:rsidRPr="004F5FB4">
        <w:rPr>
          <w:color w:val="000000"/>
        </w:rPr>
        <w:t> </w:t>
      </w:r>
      <w:r w:rsidRPr="004F5FB4">
        <w:rPr>
          <w:color w:val="000000"/>
        </w:rPr>
        <w:t>±</w:t>
      </w:r>
      <w:r w:rsidR="00D17FA4" w:rsidRPr="004F5FB4">
        <w:rPr>
          <w:color w:val="000000"/>
        </w:rPr>
        <w:t> </w:t>
      </w:r>
      <w:r w:rsidRPr="004F5FB4">
        <w:rPr>
          <w:color w:val="000000"/>
        </w:rPr>
        <w:t>4,3</w:t>
      </w:r>
      <w:r w:rsidR="00D17FA4" w:rsidRPr="004F5FB4">
        <w:rPr>
          <w:color w:val="000000"/>
        </w:rPr>
        <w:t> </w:t>
      </w:r>
      <w:r w:rsidRPr="004F5FB4">
        <w:rPr>
          <w:color w:val="000000"/>
        </w:rPr>
        <w:t>µg/ml</w:t>
      </w:r>
      <w:r w:rsidR="00CF4681" w:rsidRPr="004F5FB4">
        <w:rPr>
          <w:color w:val="000000"/>
        </w:rPr>
        <w:t xml:space="preserve"> bei Kombinationstherapie</w:t>
      </w:r>
      <w:r w:rsidRPr="004F5FB4">
        <w:rPr>
          <w:color w:val="000000"/>
        </w:rPr>
        <w:t xml:space="preserve"> mit Methotrexat (die Messwerte wurden in Woche</w:t>
      </w:r>
      <w:r w:rsidR="00D17FA4" w:rsidRPr="004F5FB4">
        <w:rPr>
          <w:color w:val="000000"/>
        </w:rPr>
        <w:t> </w:t>
      </w:r>
      <w:r w:rsidRPr="004F5FB4">
        <w:rPr>
          <w:color w:val="000000"/>
        </w:rPr>
        <w:t>24 erhoben).</w:t>
      </w:r>
    </w:p>
    <w:p w14:paraId="5433CEB7" w14:textId="77777777" w:rsidR="00964AFD" w:rsidRPr="004F5FB4" w:rsidRDefault="00964AFD" w:rsidP="00387D0C">
      <w:pPr>
        <w:pStyle w:val="BodyText"/>
        <w:widowControl/>
        <w:kinsoku w:val="0"/>
        <w:overflowPunct w:val="0"/>
        <w:ind w:left="0"/>
        <w:rPr>
          <w:color w:val="000000"/>
        </w:rPr>
      </w:pPr>
    </w:p>
    <w:p w14:paraId="628E1AD2" w14:textId="77777777" w:rsidR="00964AFD" w:rsidRPr="004F5FB4" w:rsidRDefault="00964AFD" w:rsidP="00387D0C">
      <w:pPr>
        <w:pStyle w:val="BodyText"/>
        <w:widowControl/>
        <w:kinsoku w:val="0"/>
        <w:overflowPunct w:val="0"/>
        <w:ind w:left="0"/>
        <w:rPr>
          <w:color w:val="000000"/>
        </w:rPr>
      </w:pPr>
      <w:r w:rsidRPr="004F5FB4">
        <w:rPr>
          <w:color w:val="000000"/>
        </w:rPr>
        <w:t xml:space="preserve">Nachdem </w:t>
      </w:r>
      <w:r w:rsidR="00F944C6" w:rsidRPr="004F5FB4">
        <w:rPr>
          <w:color w:val="000000"/>
        </w:rPr>
        <w:t>Kinder und Jugendliche</w:t>
      </w:r>
      <w:r w:rsidRPr="004F5FB4">
        <w:rPr>
          <w:color w:val="000000"/>
        </w:rPr>
        <w:t xml:space="preserve"> mit chronischer Plaque-Psoriasis jede zweite Woche 0,8</w:t>
      </w:r>
      <w:r w:rsidR="00D17FA4" w:rsidRPr="004F5FB4">
        <w:rPr>
          <w:color w:val="000000"/>
        </w:rPr>
        <w:t> </w:t>
      </w:r>
      <w:r w:rsidRPr="004F5FB4">
        <w:rPr>
          <w:color w:val="000000"/>
        </w:rPr>
        <w:t>mg Adalimumab/kg (maximal 40</w:t>
      </w:r>
      <w:r w:rsidR="00D17FA4" w:rsidRPr="004F5FB4">
        <w:rPr>
          <w:color w:val="000000"/>
        </w:rPr>
        <w:t> </w:t>
      </w:r>
      <w:r w:rsidRPr="004F5FB4">
        <w:rPr>
          <w:color w:val="000000"/>
        </w:rPr>
        <w:t>mg) subkutan erhielten, betrugen die mittleren (±SD) Serumtalkonzentrationen von Adalimumab ungefähr 7,4</w:t>
      </w:r>
      <w:r w:rsidR="00D17FA4" w:rsidRPr="004F5FB4">
        <w:rPr>
          <w:color w:val="000000"/>
        </w:rPr>
        <w:t> </w:t>
      </w:r>
      <w:r w:rsidRPr="004F5FB4">
        <w:rPr>
          <w:color w:val="000000"/>
        </w:rPr>
        <w:t>±</w:t>
      </w:r>
      <w:r w:rsidR="00D17FA4" w:rsidRPr="004F5FB4">
        <w:rPr>
          <w:color w:val="000000"/>
        </w:rPr>
        <w:t> </w:t>
      </w:r>
      <w:r w:rsidRPr="004F5FB4">
        <w:rPr>
          <w:color w:val="000000"/>
        </w:rPr>
        <w:t>5,8</w:t>
      </w:r>
      <w:r w:rsidR="00D17FA4" w:rsidRPr="004F5FB4">
        <w:rPr>
          <w:color w:val="000000"/>
        </w:rPr>
        <w:t> </w:t>
      </w:r>
      <w:r w:rsidRPr="004F5FB4">
        <w:rPr>
          <w:color w:val="000000"/>
        </w:rPr>
        <w:t>μg/ml (79</w:t>
      </w:r>
      <w:r w:rsidR="00D17FA4" w:rsidRPr="004F5FB4">
        <w:rPr>
          <w:color w:val="000000"/>
        </w:rPr>
        <w:t> </w:t>
      </w:r>
      <w:r w:rsidRPr="004F5FB4">
        <w:rPr>
          <w:color w:val="000000"/>
        </w:rPr>
        <w:t>%</w:t>
      </w:r>
      <w:r w:rsidR="00115510" w:rsidRPr="004F5FB4">
        <w:rPr>
          <w:color w:val="000000"/>
        </w:rPr>
        <w:t> </w:t>
      </w:r>
      <w:r w:rsidRPr="004F5FB4">
        <w:rPr>
          <w:color w:val="000000"/>
        </w:rPr>
        <w:t>CV).</w:t>
      </w:r>
    </w:p>
    <w:p w14:paraId="00A7CA0D" w14:textId="77777777" w:rsidR="00964AFD" w:rsidRPr="004F5FB4" w:rsidRDefault="00964AFD" w:rsidP="00387D0C">
      <w:pPr>
        <w:pStyle w:val="BodyText"/>
        <w:widowControl/>
        <w:kinsoku w:val="0"/>
        <w:overflowPunct w:val="0"/>
        <w:ind w:left="0"/>
        <w:rPr>
          <w:color w:val="000000"/>
          <w:szCs w:val="21"/>
        </w:rPr>
      </w:pPr>
    </w:p>
    <w:p w14:paraId="3FFF0D72" w14:textId="77777777" w:rsidR="00964AFD" w:rsidRPr="004F5FB4" w:rsidRDefault="00964AFD" w:rsidP="00387D0C">
      <w:pPr>
        <w:pStyle w:val="BodyText"/>
        <w:widowControl/>
        <w:kinsoku w:val="0"/>
        <w:overflowPunct w:val="0"/>
        <w:ind w:left="0"/>
        <w:rPr>
          <w:color w:val="000000"/>
        </w:rPr>
      </w:pPr>
      <w:r w:rsidRPr="004F5FB4">
        <w:rPr>
          <w:color w:val="000000"/>
        </w:rPr>
        <w:t xml:space="preserve">Bei </w:t>
      </w:r>
      <w:r w:rsidR="00F944C6" w:rsidRPr="004F5FB4">
        <w:rPr>
          <w:color w:val="000000"/>
        </w:rPr>
        <w:t>Kindern und Jugendlichen</w:t>
      </w:r>
      <w:r w:rsidRPr="004F5FB4">
        <w:rPr>
          <w:color w:val="000000"/>
        </w:rPr>
        <w:t xml:space="preserve"> mit mittelschwerem bis schwerem Morbus Crohn war die offene Induktionsdosis von Adalimumab 160/80</w:t>
      </w:r>
      <w:r w:rsidR="00D17FA4" w:rsidRPr="004F5FB4">
        <w:rPr>
          <w:color w:val="000000"/>
        </w:rPr>
        <w:t> </w:t>
      </w:r>
      <w:r w:rsidRPr="004F5FB4">
        <w:rPr>
          <w:color w:val="000000"/>
        </w:rPr>
        <w:t>mg oder 80/40</w:t>
      </w:r>
      <w:r w:rsidR="00D17FA4" w:rsidRPr="004F5FB4">
        <w:rPr>
          <w:color w:val="000000"/>
        </w:rPr>
        <w:t> </w:t>
      </w:r>
      <w:r w:rsidRPr="004F5FB4">
        <w:rPr>
          <w:color w:val="000000"/>
        </w:rPr>
        <w:t>mg zu Woche</w:t>
      </w:r>
      <w:r w:rsidR="00D17FA4" w:rsidRPr="004F5FB4">
        <w:rPr>
          <w:color w:val="000000"/>
        </w:rPr>
        <w:t> </w:t>
      </w:r>
      <w:r w:rsidRPr="004F5FB4">
        <w:rPr>
          <w:color w:val="000000"/>
        </w:rPr>
        <w:t>0 bzw. 2, abhängig vom Körpergewicht mit einem Grenzwert von 40</w:t>
      </w:r>
      <w:r w:rsidR="00D17FA4" w:rsidRPr="004F5FB4">
        <w:rPr>
          <w:color w:val="000000"/>
        </w:rPr>
        <w:t> </w:t>
      </w:r>
      <w:r w:rsidRPr="004F5FB4">
        <w:rPr>
          <w:color w:val="000000"/>
        </w:rPr>
        <w:t>kg. Zu Woche</w:t>
      </w:r>
      <w:r w:rsidR="00D17FA4" w:rsidRPr="004F5FB4">
        <w:rPr>
          <w:color w:val="000000"/>
        </w:rPr>
        <w:t> </w:t>
      </w:r>
      <w:r w:rsidRPr="004F5FB4">
        <w:rPr>
          <w:color w:val="000000"/>
        </w:rPr>
        <w:t>4 wurden die Patienten auf Basis ihres Körpergewichts 1:1 entweder zur Erhaltungstherapie mit der Standarddosis (40/20</w:t>
      </w:r>
      <w:r w:rsidR="00B934FD" w:rsidRPr="004F5FB4">
        <w:rPr>
          <w:color w:val="000000"/>
        </w:rPr>
        <w:t> </w:t>
      </w:r>
      <w:r w:rsidRPr="004F5FB4">
        <w:rPr>
          <w:color w:val="000000"/>
        </w:rPr>
        <w:t>mg jede zweite Woche) oder mit der niedrigen Dosis (20/10</w:t>
      </w:r>
      <w:r w:rsidR="00B934FD" w:rsidRPr="004F5FB4">
        <w:rPr>
          <w:color w:val="000000"/>
        </w:rPr>
        <w:t> </w:t>
      </w:r>
      <w:r w:rsidRPr="004F5FB4">
        <w:rPr>
          <w:color w:val="000000"/>
        </w:rPr>
        <w:t>mg jede zweite Woche) randomisiert. Die mittleren (±SD) Serumtalkonzentrationen von Adalimumab, die zu Woche 4 erreicht wurden, betrugen für Patienten ≥ 40 kg (160/80 mg) 15,7 ± 6,6 μg/ml und für Patienten &lt; 40 kg (80/40 mg) 10,6 ± 6,1 μg/ml.</w:t>
      </w:r>
    </w:p>
    <w:p w14:paraId="36B39526" w14:textId="77777777" w:rsidR="00964AFD" w:rsidRPr="004F5FB4" w:rsidRDefault="00964AFD" w:rsidP="00387D0C">
      <w:pPr>
        <w:pStyle w:val="BodyText"/>
        <w:widowControl/>
        <w:kinsoku w:val="0"/>
        <w:overflowPunct w:val="0"/>
        <w:ind w:left="0"/>
        <w:rPr>
          <w:color w:val="000000"/>
          <w:szCs w:val="21"/>
        </w:rPr>
      </w:pPr>
    </w:p>
    <w:p w14:paraId="226DA3BB" w14:textId="77777777" w:rsidR="00964AFD" w:rsidRPr="004F5FB4" w:rsidRDefault="00964AFD" w:rsidP="00387D0C">
      <w:pPr>
        <w:pStyle w:val="BodyText"/>
        <w:widowControl/>
        <w:kinsoku w:val="0"/>
        <w:overflowPunct w:val="0"/>
        <w:ind w:left="0"/>
        <w:rPr>
          <w:color w:val="000000"/>
        </w:rPr>
      </w:pPr>
      <w:r w:rsidRPr="004F5FB4">
        <w:rPr>
          <w:color w:val="000000"/>
        </w:rPr>
        <w:t>Für Patienten, die bei der randomisierten Therapie blieben, betrugen zu Woche 52 die mittleren (±SD) Serumtalkonzentrationen von Adalimumab 9,5 ± 5,6 μg/ml für die Gruppe mit Standarddosis und 3,5 ± 2,2 μg/ml für die Gruppe mit der niedrigen Dosis. Die mittleren Talkonzentrationen blieben bei Patienten, die weiterhin jede zweite Woche eine Adalimumab-Behandlung erhielten, 52</w:t>
      </w:r>
      <w:r w:rsidR="00B934FD" w:rsidRPr="004F5FB4">
        <w:rPr>
          <w:color w:val="000000"/>
        </w:rPr>
        <w:t> </w:t>
      </w:r>
      <w:r w:rsidRPr="004F5FB4">
        <w:rPr>
          <w:color w:val="000000"/>
        </w:rPr>
        <w:t>Wochen lang erhalten. Für Patienten mit Dosiseskalation (Verabreichung wöchentlich statt jede zweite Woche) betrugen die mittleren (±SD) Serumtalkonzentrationen von Adalimumab zu Woche</w:t>
      </w:r>
      <w:r w:rsidR="00B934FD" w:rsidRPr="004F5FB4">
        <w:rPr>
          <w:color w:val="000000"/>
        </w:rPr>
        <w:t> </w:t>
      </w:r>
      <w:r w:rsidRPr="004F5FB4">
        <w:rPr>
          <w:color w:val="000000"/>
        </w:rPr>
        <w:t>52 15,3</w:t>
      </w:r>
      <w:r w:rsidR="00B934FD" w:rsidRPr="004F5FB4">
        <w:rPr>
          <w:color w:val="000000"/>
        </w:rPr>
        <w:t> </w:t>
      </w:r>
      <w:r w:rsidRPr="004F5FB4">
        <w:rPr>
          <w:color w:val="000000"/>
        </w:rPr>
        <w:t>±</w:t>
      </w:r>
      <w:r w:rsidR="00B934FD" w:rsidRPr="004F5FB4">
        <w:rPr>
          <w:color w:val="000000"/>
        </w:rPr>
        <w:t> </w:t>
      </w:r>
      <w:r w:rsidRPr="004F5FB4">
        <w:rPr>
          <w:color w:val="000000"/>
        </w:rPr>
        <w:t>11,4</w:t>
      </w:r>
      <w:r w:rsidR="008F58BB" w:rsidRPr="004F5FB4">
        <w:rPr>
          <w:color w:val="000000"/>
        </w:rPr>
        <w:t> </w:t>
      </w:r>
      <w:r w:rsidRPr="004F5FB4">
        <w:rPr>
          <w:color w:val="000000"/>
        </w:rPr>
        <w:t>μg/ml (40/20</w:t>
      </w:r>
      <w:r w:rsidR="00B934FD" w:rsidRPr="004F5FB4">
        <w:rPr>
          <w:color w:val="000000"/>
        </w:rPr>
        <w:t> </w:t>
      </w:r>
      <w:r w:rsidRPr="004F5FB4">
        <w:rPr>
          <w:color w:val="000000"/>
        </w:rPr>
        <w:t>mg, wöchentlich) bzw. 6,7</w:t>
      </w:r>
      <w:r w:rsidR="00B934FD" w:rsidRPr="004F5FB4">
        <w:rPr>
          <w:color w:val="000000"/>
        </w:rPr>
        <w:t> </w:t>
      </w:r>
      <w:r w:rsidRPr="004F5FB4">
        <w:rPr>
          <w:color w:val="000000"/>
        </w:rPr>
        <w:t>±</w:t>
      </w:r>
      <w:r w:rsidR="00B934FD" w:rsidRPr="004F5FB4">
        <w:rPr>
          <w:color w:val="000000"/>
        </w:rPr>
        <w:t> </w:t>
      </w:r>
      <w:r w:rsidRPr="004F5FB4">
        <w:rPr>
          <w:color w:val="000000"/>
        </w:rPr>
        <w:t>3,5</w:t>
      </w:r>
      <w:r w:rsidR="00B934FD" w:rsidRPr="004F5FB4">
        <w:rPr>
          <w:color w:val="000000"/>
        </w:rPr>
        <w:t> </w:t>
      </w:r>
      <w:r w:rsidRPr="004F5FB4">
        <w:rPr>
          <w:color w:val="000000"/>
        </w:rPr>
        <w:t>μg/ml (20/10</w:t>
      </w:r>
      <w:r w:rsidR="00B934FD" w:rsidRPr="004F5FB4">
        <w:rPr>
          <w:color w:val="000000"/>
        </w:rPr>
        <w:t> </w:t>
      </w:r>
      <w:r w:rsidRPr="004F5FB4">
        <w:rPr>
          <w:color w:val="000000"/>
        </w:rPr>
        <w:t>mg, wöchentlich).</w:t>
      </w:r>
    </w:p>
    <w:p w14:paraId="632EF700" w14:textId="77777777" w:rsidR="00964AFD" w:rsidRPr="004F5FB4" w:rsidRDefault="00964AFD" w:rsidP="00387D0C">
      <w:pPr>
        <w:pStyle w:val="BodyText"/>
        <w:widowControl/>
        <w:kinsoku w:val="0"/>
        <w:overflowPunct w:val="0"/>
        <w:ind w:left="0"/>
        <w:rPr>
          <w:color w:val="000000"/>
        </w:rPr>
      </w:pPr>
    </w:p>
    <w:p w14:paraId="1BC6B270" w14:textId="77777777" w:rsidR="00964AFD" w:rsidRPr="004F5FB4" w:rsidRDefault="00964AFD" w:rsidP="00387D0C">
      <w:pPr>
        <w:pStyle w:val="BodyText"/>
        <w:widowControl/>
        <w:kinsoku w:val="0"/>
        <w:overflowPunct w:val="0"/>
        <w:ind w:left="0"/>
        <w:rPr>
          <w:color w:val="000000"/>
        </w:rPr>
      </w:pPr>
      <w:r w:rsidRPr="004F5FB4">
        <w:rPr>
          <w:color w:val="000000"/>
        </w:rPr>
        <w:t xml:space="preserve">Die Adalimumab-Exposition bei pädiatrischen Uveitis-Patienten wurde anhand von pharmakokinetischen Populationsmodellen und von Simulationen auf Basis der indikationsübergreifenden Pharmakokinetik bei anderen </w:t>
      </w:r>
      <w:r w:rsidR="00F944C6" w:rsidRPr="004F5FB4">
        <w:rPr>
          <w:color w:val="000000"/>
        </w:rPr>
        <w:t>Kindern und Jugendlichen</w:t>
      </w:r>
      <w:r w:rsidRPr="004F5FB4">
        <w:rPr>
          <w:color w:val="000000"/>
        </w:rPr>
        <w:t xml:space="preserve"> (Psoriasis bei Kindern und Jugendlichen, juvenile idiopathische Arthritis, Morbus Crohn bei Kindern und Jugendlichen sowie Enthesitis-assoziierte Arthritis) bestimmt. Es gibt keine klinischen Expositionsdaten für die Verwendung einer Induktionsdosis bei Kindern &lt;</w:t>
      </w:r>
      <w:r w:rsidR="00B934FD" w:rsidRPr="004F5FB4">
        <w:rPr>
          <w:color w:val="000000"/>
        </w:rPr>
        <w:t> </w:t>
      </w:r>
      <w:r w:rsidRPr="004F5FB4">
        <w:rPr>
          <w:color w:val="000000"/>
        </w:rPr>
        <w:t>6</w:t>
      </w:r>
      <w:r w:rsidR="00B934FD" w:rsidRPr="004F5FB4">
        <w:rPr>
          <w:color w:val="000000"/>
        </w:rPr>
        <w:t> </w:t>
      </w:r>
      <w:r w:rsidRPr="004F5FB4">
        <w:rPr>
          <w:color w:val="000000"/>
        </w:rPr>
        <w:t>Jahren. Die prognostizierten Expositionen weisen darauf hin, dass in der Abwesenheit von Methotrexat eine Induktionsdosis zu einem anfänglichen Anstieg der systemischen Exposition führen könnte.</w:t>
      </w:r>
    </w:p>
    <w:p w14:paraId="30B83AB2" w14:textId="77777777" w:rsidR="00964AFD" w:rsidRPr="004F5FB4" w:rsidRDefault="00964AFD" w:rsidP="00387D0C">
      <w:pPr>
        <w:pStyle w:val="BodyText"/>
        <w:widowControl/>
        <w:kinsoku w:val="0"/>
        <w:overflowPunct w:val="0"/>
        <w:ind w:left="0"/>
        <w:rPr>
          <w:color w:val="000000"/>
        </w:rPr>
      </w:pPr>
    </w:p>
    <w:p w14:paraId="26B0877F" w14:textId="77777777" w:rsidR="00964AFD" w:rsidRPr="004F5FB4" w:rsidRDefault="00964AFD" w:rsidP="002510E7">
      <w:pPr>
        <w:pStyle w:val="BodyText"/>
        <w:keepNext/>
        <w:widowControl/>
        <w:kinsoku w:val="0"/>
        <w:overflowPunct w:val="0"/>
        <w:ind w:left="0"/>
        <w:rPr>
          <w:color w:val="000000"/>
          <w:u w:val="single"/>
        </w:rPr>
      </w:pPr>
      <w:r w:rsidRPr="004F5FB4">
        <w:rPr>
          <w:color w:val="000000"/>
          <w:u w:val="single"/>
        </w:rPr>
        <w:t xml:space="preserve">Dosis-Wirkungsbeziehung </w:t>
      </w:r>
      <w:r w:rsidR="00F944C6" w:rsidRPr="004F5FB4">
        <w:rPr>
          <w:color w:val="000000"/>
          <w:u w:val="single"/>
        </w:rPr>
        <w:t>bei Kindern und Jugendlichen</w:t>
      </w:r>
    </w:p>
    <w:p w14:paraId="5D4ADBE4" w14:textId="77777777" w:rsidR="00964AFD" w:rsidRPr="004F5FB4" w:rsidRDefault="00964AFD" w:rsidP="002510E7">
      <w:pPr>
        <w:pStyle w:val="BodyText"/>
        <w:keepNext/>
        <w:widowControl/>
        <w:kinsoku w:val="0"/>
        <w:overflowPunct w:val="0"/>
        <w:ind w:left="0"/>
        <w:rPr>
          <w:color w:val="000000"/>
        </w:rPr>
      </w:pPr>
    </w:p>
    <w:p w14:paraId="1BE2A1FB" w14:textId="77777777" w:rsidR="00964AFD" w:rsidRPr="004F5FB4" w:rsidRDefault="00964AFD" w:rsidP="00387D0C">
      <w:pPr>
        <w:pStyle w:val="BodyText"/>
        <w:widowControl/>
        <w:kinsoku w:val="0"/>
        <w:overflowPunct w:val="0"/>
        <w:ind w:left="0"/>
        <w:rPr>
          <w:color w:val="000000"/>
        </w:rPr>
      </w:pPr>
      <w:r w:rsidRPr="004F5FB4">
        <w:rPr>
          <w:color w:val="000000"/>
        </w:rPr>
        <w:t>Auf Basis klinischer Studiendaten von Patienten mit JIA (pJIA und EAA) wurde eine Dosis-Wirkungsbeziehung zwischen den Plasmakonzentrationen und dem PedACR-50-Ansprechen bestimmt. Die Adalimumab-Plasmakonzentration, die offenbar zur Hälfte der maximalen Wahrscheinlichkeit eines PedACR-50-Ansprechens (EC50) führt, lag bei 3</w:t>
      </w:r>
      <w:r w:rsidR="00B934FD" w:rsidRPr="004F5FB4">
        <w:rPr>
          <w:color w:val="000000"/>
        </w:rPr>
        <w:t> </w:t>
      </w:r>
      <w:r w:rsidRPr="004F5FB4">
        <w:rPr>
          <w:color w:val="000000"/>
        </w:rPr>
        <w:t>µg/ml (95</w:t>
      </w:r>
      <w:r w:rsidR="00B934FD" w:rsidRPr="004F5FB4">
        <w:rPr>
          <w:color w:val="000000"/>
        </w:rPr>
        <w:t> </w:t>
      </w:r>
      <w:r w:rsidRPr="004F5FB4">
        <w:rPr>
          <w:color w:val="000000"/>
        </w:rPr>
        <w:t>% CI: 1</w:t>
      </w:r>
      <w:r w:rsidR="00B934FD" w:rsidRPr="004F5FB4">
        <w:rPr>
          <w:color w:val="000000"/>
        </w:rPr>
        <w:t> </w:t>
      </w:r>
      <w:r w:rsidRPr="004F5FB4">
        <w:rPr>
          <w:color w:val="000000"/>
        </w:rPr>
        <w:t>–</w:t>
      </w:r>
      <w:r w:rsidR="00B934FD" w:rsidRPr="004F5FB4">
        <w:rPr>
          <w:color w:val="000000"/>
        </w:rPr>
        <w:t> </w:t>
      </w:r>
      <w:r w:rsidRPr="004F5FB4">
        <w:rPr>
          <w:color w:val="000000"/>
        </w:rPr>
        <w:t>6</w:t>
      </w:r>
      <w:r w:rsidR="008F58BB" w:rsidRPr="004F5FB4">
        <w:rPr>
          <w:color w:val="000000"/>
        </w:rPr>
        <w:t> </w:t>
      </w:r>
      <w:r w:rsidRPr="004F5FB4">
        <w:rPr>
          <w:color w:val="000000"/>
        </w:rPr>
        <w:t>µg/ml).</w:t>
      </w:r>
    </w:p>
    <w:p w14:paraId="606CE017" w14:textId="77777777" w:rsidR="00964AFD" w:rsidRPr="004F5FB4" w:rsidRDefault="00964AFD" w:rsidP="00387D0C">
      <w:pPr>
        <w:pStyle w:val="BodyText"/>
        <w:widowControl/>
        <w:kinsoku w:val="0"/>
        <w:overflowPunct w:val="0"/>
        <w:ind w:left="0"/>
        <w:rPr>
          <w:color w:val="000000"/>
        </w:rPr>
      </w:pPr>
    </w:p>
    <w:p w14:paraId="4BDDBE40" w14:textId="77777777" w:rsidR="00964AFD" w:rsidRPr="004F5FB4" w:rsidRDefault="00964AFD" w:rsidP="00387D0C">
      <w:pPr>
        <w:pStyle w:val="BodyText"/>
        <w:widowControl/>
        <w:kinsoku w:val="0"/>
        <w:overflowPunct w:val="0"/>
        <w:ind w:left="0"/>
        <w:rPr>
          <w:color w:val="000000"/>
        </w:rPr>
      </w:pPr>
      <w:r w:rsidRPr="004F5FB4">
        <w:rPr>
          <w:color w:val="000000"/>
        </w:rPr>
        <w:t xml:space="preserve">Dosis-Wirkungsbeziehungen zwischen der Adalimumab-Konzentration und der Wirksamkeit bei </w:t>
      </w:r>
      <w:r w:rsidR="00F944C6" w:rsidRPr="004F5FB4">
        <w:rPr>
          <w:color w:val="000000"/>
        </w:rPr>
        <w:t>Kindern und Jugendlichen</w:t>
      </w:r>
      <w:r w:rsidRPr="004F5FB4">
        <w:rPr>
          <w:color w:val="000000"/>
        </w:rPr>
        <w:t xml:space="preserve"> mit schwerer chronischer Plaque-Psoriasis wurden für den PASI-75 bzw. die PGA-Scores „</w:t>
      </w:r>
      <w:r w:rsidR="000D01FE" w:rsidRPr="004F5FB4">
        <w:rPr>
          <w:color w:val="000000"/>
        </w:rPr>
        <w:t>klares Hautbild</w:t>
      </w:r>
      <w:r w:rsidRPr="004F5FB4">
        <w:rPr>
          <w:color w:val="000000"/>
        </w:rPr>
        <w:t>“ oder „</w:t>
      </w:r>
      <w:r w:rsidR="00050D20" w:rsidRPr="004F5FB4">
        <w:rPr>
          <w:color w:val="000000"/>
        </w:rPr>
        <w:t>nahezu klares Hautbild</w:t>
      </w:r>
      <w:r w:rsidRPr="004F5FB4">
        <w:rPr>
          <w:color w:val="000000"/>
        </w:rPr>
        <w:t>“ festgelegt. Die Häufigkeiten des PASI-75 und der PGA-Scores „</w:t>
      </w:r>
      <w:r w:rsidR="00050D20" w:rsidRPr="004F5FB4">
        <w:rPr>
          <w:color w:val="000000"/>
        </w:rPr>
        <w:t>klares Hautbild“ oder „nahezu klares Hautbild</w:t>
      </w:r>
      <w:r w:rsidRPr="004F5FB4">
        <w:rPr>
          <w:color w:val="000000"/>
        </w:rPr>
        <w:t>“ nahmen mit zunehmender Adalimumab-Konzentration zu, beide mit einer offensichtlich vergleichbaren EC</w:t>
      </w:r>
      <w:r w:rsidRPr="004F5FB4">
        <w:rPr>
          <w:color w:val="000000"/>
          <w:vertAlign w:val="subscript"/>
        </w:rPr>
        <w:t>50</w:t>
      </w:r>
      <w:r w:rsidRPr="004F5FB4">
        <w:rPr>
          <w:color w:val="000000"/>
        </w:rPr>
        <w:t xml:space="preserve"> von etwa 4,5</w:t>
      </w:r>
      <w:r w:rsidR="00B934FD" w:rsidRPr="004F5FB4">
        <w:rPr>
          <w:color w:val="000000"/>
        </w:rPr>
        <w:t> </w:t>
      </w:r>
      <w:r w:rsidRPr="004F5FB4">
        <w:rPr>
          <w:color w:val="000000"/>
        </w:rPr>
        <w:t>µg/ml (95</w:t>
      </w:r>
      <w:r w:rsidR="00B934FD" w:rsidRPr="004F5FB4">
        <w:rPr>
          <w:color w:val="000000"/>
        </w:rPr>
        <w:t> </w:t>
      </w:r>
      <w:r w:rsidRPr="004F5FB4">
        <w:rPr>
          <w:color w:val="000000"/>
        </w:rPr>
        <w:t>% CI 0,4 – 47,6 beziehungsweise 1,9 – 10,5).</w:t>
      </w:r>
    </w:p>
    <w:p w14:paraId="14D88CAC" w14:textId="77777777" w:rsidR="00964AFD" w:rsidRPr="004F5FB4" w:rsidRDefault="00964AFD" w:rsidP="00387D0C">
      <w:pPr>
        <w:pStyle w:val="BodyText"/>
        <w:widowControl/>
        <w:kinsoku w:val="0"/>
        <w:overflowPunct w:val="0"/>
        <w:ind w:left="0"/>
        <w:rPr>
          <w:color w:val="000000"/>
        </w:rPr>
      </w:pPr>
    </w:p>
    <w:p w14:paraId="529959C8" w14:textId="77777777" w:rsidR="00964AFD" w:rsidRPr="004F5FB4" w:rsidRDefault="00964AFD" w:rsidP="00ED34EF">
      <w:pPr>
        <w:pStyle w:val="BodyText"/>
        <w:keepNext/>
        <w:widowControl/>
        <w:kinsoku w:val="0"/>
        <w:overflowPunct w:val="0"/>
        <w:ind w:left="0"/>
        <w:rPr>
          <w:color w:val="000000"/>
        </w:rPr>
      </w:pPr>
      <w:r w:rsidRPr="004F5FB4">
        <w:rPr>
          <w:color w:val="000000"/>
          <w:u w:val="single"/>
        </w:rPr>
        <w:t>Erwachsene</w:t>
      </w:r>
    </w:p>
    <w:p w14:paraId="60162971" w14:textId="77777777" w:rsidR="00964AFD" w:rsidRPr="004F5FB4" w:rsidRDefault="00964AFD" w:rsidP="00ED34EF">
      <w:pPr>
        <w:pStyle w:val="BodyText"/>
        <w:keepNext/>
        <w:widowControl/>
        <w:kinsoku w:val="0"/>
        <w:overflowPunct w:val="0"/>
        <w:ind w:left="0"/>
        <w:rPr>
          <w:color w:val="000000"/>
        </w:rPr>
      </w:pPr>
    </w:p>
    <w:p w14:paraId="4D40C172" w14:textId="77777777" w:rsidR="00964AFD" w:rsidRPr="004F5FB4" w:rsidRDefault="00964AFD" w:rsidP="00387D0C">
      <w:pPr>
        <w:pStyle w:val="BodyText"/>
        <w:widowControl/>
        <w:kinsoku w:val="0"/>
        <w:overflowPunct w:val="0"/>
        <w:ind w:left="0"/>
        <w:rPr>
          <w:color w:val="000000"/>
        </w:rPr>
      </w:pPr>
      <w:r w:rsidRPr="004F5FB4">
        <w:rPr>
          <w:color w:val="000000"/>
        </w:rPr>
        <w:t>Nach subkutaner Gabe einer Einzeldosis von 40</w:t>
      </w:r>
      <w:r w:rsidR="00B934FD" w:rsidRPr="004F5FB4">
        <w:rPr>
          <w:color w:val="000000"/>
        </w:rPr>
        <w:t> </w:t>
      </w:r>
      <w:r w:rsidRPr="004F5FB4">
        <w:rPr>
          <w:color w:val="000000"/>
        </w:rPr>
        <w:t>mg waren die Resorption und Verteilung von Adalimumab langsam. Die maximalen Serumkonzentrationen wurden ungefähr 5</w:t>
      </w:r>
      <w:r w:rsidR="00B934FD" w:rsidRPr="004F5FB4">
        <w:rPr>
          <w:color w:val="000000"/>
        </w:rPr>
        <w:t> </w:t>
      </w:r>
      <w:r w:rsidRPr="004F5FB4">
        <w:rPr>
          <w:color w:val="000000"/>
        </w:rPr>
        <w:t>Tage nach Verabreichung erreicht. Die auf Grundlage von drei Studien geschätzte, durchschnittliche absolute Bioverfügbarkeit von Adalimumab betrug nach Gabe einer einzelnen subkutanen Dosis von 40</w:t>
      </w:r>
      <w:r w:rsidR="00B934FD" w:rsidRPr="004F5FB4">
        <w:rPr>
          <w:color w:val="000000"/>
        </w:rPr>
        <w:t> </w:t>
      </w:r>
      <w:r w:rsidRPr="004F5FB4">
        <w:rPr>
          <w:color w:val="000000"/>
        </w:rPr>
        <w:t>mg 64</w:t>
      </w:r>
      <w:r w:rsidR="008F58BB" w:rsidRPr="004F5FB4">
        <w:rPr>
          <w:color w:val="000000"/>
        </w:rPr>
        <w:t> </w:t>
      </w:r>
      <w:r w:rsidRPr="004F5FB4">
        <w:rPr>
          <w:color w:val="000000"/>
        </w:rPr>
        <w:t>%. Nach intravenösen Einzeldosen von 0,25 bis 10</w:t>
      </w:r>
      <w:r w:rsidR="00B934FD" w:rsidRPr="004F5FB4">
        <w:rPr>
          <w:color w:val="000000"/>
        </w:rPr>
        <w:t> </w:t>
      </w:r>
      <w:r w:rsidRPr="004F5FB4">
        <w:rPr>
          <w:color w:val="000000"/>
        </w:rPr>
        <w:t>mg/kg waren die Konzentrationen proportional zur Dosis. Bei Dosen von 0,5</w:t>
      </w:r>
      <w:r w:rsidR="00B934FD" w:rsidRPr="004F5FB4">
        <w:rPr>
          <w:color w:val="000000"/>
        </w:rPr>
        <w:t> </w:t>
      </w:r>
      <w:r w:rsidRPr="004F5FB4">
        <w:rPr>
          <w:color w:val="000000"/>
        </w:rPr>
        <w:t>mg/kg (~ 40</w:t>
      </w:r>
      <w:r w:rsidR="00B934FD" w:rsidRPr="004F5FB4">
        <w:rPr>
          <w:color w:val="000000"/>
        </w:rPr>
        <w:t> </w:t>
      </w:r>
      <w:r w:rsidRPr="004F5FB4">
        <w:rPr>
          <w:color w:val="000000"/>
        </w:rPr>
        <w:t>mg) lag die Clearance zwischen 11 und 15</w:t>
      </w:r>
      <w:r w:rsidR="00B934FD" w:rsidRPr="004F5FB4">
        <w:rPr>
          <w:color w:val="000000"/>
        </w:rPr>
        <w:t> </w:t>
      </w:r>
      <w:r w:rsidRPr="004F5FB4">
        <w:rPr>
          <w:color w:val="000000"/>
        </w:rPr>
        <w:t>ml/h, das Verteilungsvolumen (V</w:t>
      </w:r>
      <w:r w:rsidRPr="004F5FB4">
        <w:rPr>
          <w:color w:val="000000"/>
          <w:vertAlign w:val="subscript"/>
        </w:rPr>
        <w:t>ss</w:t>
      </w:r>
      <w:r w:rsidRPr="004F5FB4">
        <w:rPr>
          <w:color w:val="000000"/>
        </w:rPr>
        <w:t>) betrug 5 bis 6</w:t>
      </w:r>
      <w:r w:rsidR="00B934FD" w:rsidRPr="004F5FB4">
        <w:rPr>
          <w:color w:val="000000"/>
        </w:rPr>
        <w:t> </w:t>
      </w:r>
      <w:r w:rsidRPr="004F5FB4">
        <w:rPr>
          <w:color w:val="000000"/>
        </w:rPr>
        <w:t xml:space="preserve">Liter, und die mittlere terminale Halbwertszeit lag bei </w:t>
      </w:r>
      <w:r w:rsidRPr="004F5FB4">
        <w:rPr>
          <w:color w:val="000000"/>
        </w:rPr>
        <w:lastRenderedPageBreak/>
        <w:t>ungefähr zwei Wochen. Die Adalimumab-Konzentrationen in der Synovialflüssigkeit mehrerer Patienten mit rheumatoider Arthritis lagen zwischen 31</w:t>
      </w:r>
      <w:r w:rsidR="00B934FD" w:rsidRPr="004F5FB4">
        <w:rPr>
          <w:color w:val="000000"/>
        </w:rPr>
        <w:t> </w:t>
      </w:r>
      <w:r w:rsidRPr="004F5FB4">
        <w:rPr>
          <w:color w:val="000000"/>
        </w:rPr>
        <w:t>% und 96</w:t>
      </w:r>
      <w:r w:rsidR="00B934FD" w:rsidRPr="004F5FB4">
        <w:rPr>
          <w:color w:val="000000"/>
        </w:rPr>
        <w:t> </w:t>
      </w:r>
      <w:r w:rsidRPr="004F5FB4">
        <w:rPr>
          <w:color w:val="000000"/>
        </w:rPr>
        <w:t>% der Serumkonzentrationen.</w:t>
      </w:r>
    </w:p>
    <w:p w14:paraId="484A13BF" w14:textId="77777777" w:rsidR="00964AFD" w:rsidRPr="004F5FB4" w:rsidRDefault="00964AFD" w:rsidP="00387D0C">
      <w:pPr>
        <w:pStyle w:val="BodyText"/>
        <w:widowControl/>
        <w:kinsoku w:val="0"/>
        <w:overflowPunct w:val="0"/>
        <w:ind w:left="0"/>
        <w:rPr>
          <w:color w:val="000000"/>
        </w:rPr>
      </w:pPr>
    </w:p>
    <w:p w14:paraId="5CE45E5A" w14:textId="77777777" w:rsidR="00964AFD" w:rsidRPr="004F5FB4" w:rsidRDefault="00964AFD" w:rsidP="00387D0C">
      <w:pPr>
        <w:pStyle w:val="BodyText"/>
        <w:widowControl/>
        <w:kinsoku w:val="0"/>
        <w:overflowPunct w:val="0"/>
        <w:ind w:left="0"/>
        <w:rPr>
          <w:color w:val="000000"/>
        </w:rPr>
      </w:pPr>
      <w:r w:rsidRPr="004F5FB4">
        <w:rPr>
          <w:color w:val="000000"/>
        </w:rPr>
        <w:t>Nach subkutaner Verabreichung von 40 mg Adalimumab jede zweite Woche an erwachsene Patienten mit rheumatoider Arthritis (RA) betrugen die mittleren Steady-State-Talkonzentrationen ca. 5 μg/ml (ohne gleichzeitige Gabe von Methotrexat) bzw. 8 – 9 μg/ml (in Kombination mit Methotrexat). Im Steady-State erhöhten sich die Talkonzentrationen der Adalimumab-Serumspiegel nach subkutaner Verabreichung von 20, 40 und 80</w:t>
      </w:r>
      <w:r w:rsidR="00B934FD" w:rsidRPr="004F5FB4">
        <w:rPr>
          <w:color w:val="000000"/>
        </w:rPr>
        <w:t> </w:t>
      </w:r>
      <w:r w:rsidRPr="004F5FB4">
        <w:rPr>
          <w:color w:val="000000"/>
        </w:rPr>
        <w:t>mg entweder jede zweite oder jede Woche ungefähr proportional zur Dosis.</w:t>
      </w:r>
    </w:p>
    <w:p w14:paraId="400485FA" w14:textId="77777777" w:rsidR="00964AFD" w:rsidRPr="004F5FB4" w:rsidRDefault="00964AFD" w:rsidP="00387D0C">
      <w:pPr>
        <w:pStyle w:val="BodyText"/>
        <w:widowControl/>
        <w:kinsoku w:val="0"/>
        <w:overflowPunct w:val="0"/>
        <w:ind w:left="0"/>
        <w:rPr>
          <w:color w:val="000000"/>
        </w:rPr>
      </w:pPr>
    </w:p>
    <w:p w14:paraId="08949526" w14:textId="77777777" w:rsidR="00964AFD" w:rsidRPr="004F5FB4" w:rsidRDefault="00964AFD" w:rsidP="00387D0C">
      <w:pPr>
        <w:pStyle w:val="BodyText"/>
        <w:widowControl/>
        <w:kinsoku w:val="0"/>
        <w:overflowPunct w:val="0"/>
        <w:ind w:left="0"/>
        <w:rPr>
          <w:color w:val="000000"/>
        </w:rPr>
      </w:pPr>
      <w:r w:rsidRPr="004F5FB4">
        <w:rPr>
          <w:color w:val="000000"/>
        </w:rPr>
        <w:t>Bei erwachsenen Psoriasispatienten betrug unter der Monotherapie mit 40 mg Adalimumab jede zweite Woche die mittlere Steady-State-Talkonzentration 5 μg/ml.</w:t>
      </w:r>
    </w:p>
    <w:p w14:paraId="472A97AA" w14:textId="77777777" w:rsidR="00964AFD" w:rsidRPr="004F5FB4" w:rsidRDefault="00964AFD" w:rsidP="00387D0C">
      <w:pPr>
        <w:pStyle w:val="BodyText"/>
        <w:widowControl/>
        <w:kinsoku w:val="0"/>
        <w:overflowPunct w:val="0"/>
        <w:ind w:left="0"/>
        <w:rPr>
          <w:color w:val="000000"/>
          <w:szCs w:val="21"/>
        </w:rPr>
      </w:pPr>
    </w:p>
    <w:p w14:paraId="48092BD3" w14:textId="77777777" w:rsidR="00964AFD" w:rsidRPr="004F5FB4" w:rsidRDefault="00964AFD" w:rsidP="00387D0C">
      <w:pPr>
        <w:pStyle w:val="BodyText"/>
        <w:widowControl/>
        <w:kinsoku w:val="0"/>
        <w:overflowPunct w:val="0"/>
        <w:ind w:left="0"/>
        <w:rPr>
          <w:color w:val="000000"/>
        </w:rPr>
      </w:pPr>
      <w:r w:rsidRPr="004F5FB4">
        <w:rPr>
          <w:color w:val="000000"/>
        </w:rPr>
        <w:t>Bei Patienten mit Morbus Crohn wurde mit der Induktionsdosis von 80 mg Adalimumab in Woche 0, gefolgt von 40 mg Adalimumab in Woche 2, eine Talkonzentration von Adalimumab im Serum von ca. 5,5 μg/ml während der Induktionsphase erreicht. Mit einer Induktionsdosis von 160 mg Adalimumab in Woche 0, gefolgt von 80 mg Adalimumab in Woche 2, wurde eine Talkonzentration von Adalimumab im Serum von ca. 12 μg/ml während der Induktionsphase erreicht. Die durchschnittliche Talkonzentration lag bei ca. 7 μg/ml bei Patienten mit Morbus Crohn, die eine Erhaltungsdosis von 40 mg Adalimumab alle zwei Wochen erhielten.</w:t>
      </w:r>
    </w:p>
    <w:p w14:paraId="22E31A0B" w14:textId="77777777" w:rsidR="00964AFD" w:rsidRPr="004F5FB4" w:rsidRDefault="00964AFD" w:rsidP="00387D0C">
      <w:pPr>
        <w:pStyle w:val="BodyText"/>
        <w:widowControl/>
        <w:kinsoku w:val="0"/>
        <w:overflowPunct w:val="0"/>
        <w:ind w:left="0"/>
        <w:rPr>
          <w:color w:val="000000"/>
          <w:szCs w:val="21"/>
        </w:rPr>
      </w:pPr>
    </w:p>
    <w:p w14:paraId="7D6ACA0B" w14:textId="77777777" w:rsidR="00964AFD" w:rsidRPr="004F5FB4" w:rsidRDefault="00964AFD" w:rsidP="00A13AE4">
      <w:pPr>
        <w:pStyle w:val="BodyText"/>
        <w:widowControl/>
        <w:kinsoku w:val="0"/>
        <w:overflowPunct w:val="0"/>
        <w:ind w:left="0"/>
        <w:rPr>
          <w:color w:val="000000"/>
        </w:rPr>
      </w:pPr>
      <w:r w:rsidRPr="004F5FB4">
        <w:rPr>
          <w:color w:val="000000"/>
        </w:rPr>
        <w:t>Bei erwachsenen Patienten mit Uveitis wurde mit einer Induktionsdosis von 80</w:t>
      </w:r>
      <w:r w:rsidR="00B934FD" w:rsidRPr="004F5FB4">
        <w:rPr>
          <w:color w:val="000000"/>
        </w:rPr>
        <w:t> </w:t>
      </w:r>
      <w:r w:rsidRPr="004F5FB4">
        <w:rPr>
          <w:color w:val="000000"/>
        </w:rPr>
        <w:t>mg Adalimumab in Woche</w:t>
      </w:r>
      <w:r w:rsidR="00B934FD" w:rsidRPr="004F5FB4">
        <w:rPr>
          <w:color w:val="000000"/>
        </w:rPr>
        <w:t> </w:t>
      </w:r>
      <w:r w:rsidRPr="004F5FB4">
        <w:rPr>
          <w:color w:val="000000"/>
        </w:rPr>
        <w:t>0, gefolgt von 40</w:t>
      </w:r>
      <w:r w:rsidR="00B934FD" w:rsidRPr="004F5FB4">
        <w:rPr>
          <w:color w:val="000000"/>
        </w:rPr>
        <w:t> </w:t>
      </w:r>
      <w:r w:rsidRPr="004F5FB4">
        <w:rPr>
          <w:color w:val="000000"/>
        </w:rPr>
        <w:t>mg Adalimumab alle zwei Wochen ab Woche</w:t>
      </w:r>
      <w:r w:rsidR="00B934FD" w:rsidRPr="004F5FB4">
        <w:rPr>
          <w:color w:val="000000"/>
        </w:rPr>
        <w:t> </w:t>
      </w:r>
      <w:r w:rsidRPr="004F5FB4">
        <w:rPr>
          <w:color w:val="000000"/>
        </w:rPr>
        <w:t>1, eine mittlere Steady-State-Konzentration von ca. 8 bis 10</w:t>
      </w:r>
      <w:r w:rsidR="00B934FD" w:rsidRPr="004F5FB4">
        <w:rPr>
          <w:color w:val="000000"/>
        </w:rPr>
        <w:t> </w:t>
      </w:r>
      <w:r w:rsidRPr="004F5FB4">
        <w:rPr>
          <w:color w:val="000000"/>
        </w:rPr>
        <w:t>μg/ml erreicht.</w:t>
      </w:r>
    </w:p>
    <w:p w14:paraId="04D61517" w14:textId="77777777" w:rsidR="00A35B02" w:rsidRPr="004F5FB4" w:rsidRDefault="00A35B02" w:rsidP="00771BD7">
      <w:pPr>
        <w:pStyle w:val="BodyText"/>
        <w:widowControl/>
        <w:kinsoku w:val="0"/>
        <w:overflowPunct w:val="0"/>
        <w:ind w:left="0"/>
        <w:rPr>
          <w:color w:val="000000"/>
        </w:rPr>
      </w:pPr>
    </w:p>
    <w:p w14:paraId="23F3C808" w14:textId="77777777" w:rsidR="00A35B02" w:rsidRPr="004F5FB4" w:rsidRDefault="00A35B02" w:rsidP="00387D0C">
      <w:pPr>
        <w:rPr>
          <w:color w:val="000000"/>
        </w:rPr>
      </w:pPr>
      <w:r w:rsidRPr="004F5FB4">
        <w:rPr>
          <w:color w:val="000000"/>
        </w:rPr>
        <w:t>Pharmakokinetische Populationsmodelle und pharmakokinetische/</w:t>
      </w:r>
      <w:r w:rsidR="00B934FD" w:rsidRPr="004F5FB4">
        <w:rPr>
          <w:color w:val="000000"/>
        </w:rPr>
        <w:t xml:space="preserve"> </w:t>
      </w:r>
      <w:r w:rsidRPr="004F5FB4">
        <w:rPr>
          <w:color w:val="000000"/>
        </w:rPr>
        <w:t>pharmakodynamische Modelle und Simulationen sagten für Patienten, die mit 80</w:t>
      </w:r>
      <w:r w:rsidR="00837305" w:rsidRPr="004F5FB4">
        <w:rPr>
          <w:color w:val="000000"/>
        </w:rPr>
        <w:t> </w:t>
      </w:r>
      <w:r w:rsidRPr="004F5FB4">
        <w:rPr>
          <w:color w:val="000000"/>
        </w:rPr>
        <w:t>mg jede zweite Woche behandelt wurden, eine vergleichbare Adalimumab-Exposition und Wirksamkeit voraus wie bei Patienten, die mit 40</w:t>
      </w:r>
      <w:r w:rsidR="00B934FD" w:rsidRPr="004F5FB4">
        <w:rPr>
          <w:color w:val="000000"/>
        </w:rPr>
        <w:t> </w:t>
      </w:r>
      <w:r w:rsidRPr="004F5FB4">
        <w:rPr>
          <w:color w:val="000000"/>
        </w:rPr>
        <w:t xml:space="preserve">mg jede Woche behandelt wurden (eingeschlossen waren erwachsene Patienten mit Rheumatoider Arthritis (RA), Hidradenitis suppurativa (HS), Colitis ulcerosa (CU), Morbus Crohn (MC) oder Psoriasis (Pso), jugendliche Patienten mit HS sowie </w:t>
      </w:r>
      <w:r w:rsidR="00F944C6" w:rsidRPr="004F5FB4">
        <w:rPr>
          <w:color w:val="000000"/>
        </w:rPr>
        <w:t>Kinder und Jugendliche</w:t>
      </w:r>
      <w:r w:rsidRPr="004F5FB4">
        <w:rPr>
          <w:color w:val="000000"/>
        </w:rPr>
        <w:t xml:space="preserve"> mit MC ≥</w:t>
      </w:r>
      <w:r w:rsidR="00B934FD" w:rsidRPr="004F5FB4">
        <w:rPr>
          <w:color w:val="000000"/>
        </w:rPr>
        <w:t> </w:t>
      </w:r>
      <w:r w:rsidRPr="004F5FB4">
        <w:rPr>
          <w:color w:val="000000"/>
        </w:rPr>
        <w:t>40</w:t>
      </w:r>
      <w:r w:rsidR="00B934FD" w:rsidRPr="004F5FB4">
        <w:rPr>
          <w:color w:val="000000"/>
        </w:rPr>
        <w:t> </w:t>
      </w:r>
      <w:r w:rsidRPr="004F5FB4">
        <w:rPr>
          <w:color w:val="000000"/>
        </w:rPr>
        <w:t>kg).</w:t>
      </w:r>
    </w:p>
    <w:p w14:paraId="5A4DA8FB" w14:textId="77777777" w:rsidR="00964AFD" w:rsidRPr="004F5FB4" w:rsidRDefault="00964AFD" w:rsidP="00387D0C">
      <w:pPr>
        <w:pStyle w:val="BodyText"/>
        <w:widowControl/>
        <w:kinsoku w:val="0"/>
        <w:overflowPunct w:val="0"/>
        <w:ind w:left="0"/>
        <w:rPr>
          <w:color w:val="000000"/>
          <w:szCs w:val="21"/>
        </w:rPr>
      </w:pPr>
    </w:p>
    <w:p w14:paraId="7058895C" w14:textId="77777777" w:rsidR="00964AFD" w:rsidRPr="004F5FB4" w:rsidRDefault="00964AFD" w:rsidP="00387D0C">
      <w:pPr>
        <w:pStyle w:val="BodyText"/>
        <w:keepNext/>
        <w:widowControl/>
        <w:kinsoku w:val="0"/>
        <w:overflowPunct w:val="0"/>
        <w:ind w:left="0"/>
        <w:rPr>
          <w:color w:val="000000"/>
        </w:rPr>
      </w:pPr>
      <w:r w:rsidRPr="004F5FB4">
        <w:rPr>
          <w:color w:val="000000"/>
          <w:u w:val="single"/>
        </w:rPr>
        <w:t>Elimination</w:t>
      </w:r>
    </w:p>
    <w:p w14:paraId="0F9A8902" w14:textId="77777777" w:rsidR="00964AFD" w:rsidRPr="004F5FB4" w:rsidRDefault="00964AFD" w:rsidP="00387D0C">
      <w:pPr>
        <w:pStyle w:val="BodyText"/>
        <w:keepNext/>
        <w:widowControl/>
        <w:kinsoku w:val="0"/>
        <w:overflowPunct w:val="0"/>
        <w:ind w:left="0"/>
        <w:rPr>
          <w:color w:val="000000"/>
        </w:rPr>
      </w:pPr>
    </w:p>
    <w:p w14:paraId="3686CB7F" w14:textId="77777777" w:rsidR="00964AFD" w:rsidRPr="004F5FB4" w:rsidRDefault="00964AFD" w:rsidP="00387D0C">
      <w:pPr>
        <w:pStyle w:val="BodyText"/>
        <w:keepNext/>
        <w:widowControl/>
        <w:kinsoku w:val="0"/>
        <w:overflowPunct w:val="0"/>
        <w:ind w:left="0"/>
        <w:rPr>
          <w:color w:val="000000"/>
        </w:rPr>
      </w:pPr>
      <w:r w:rsidRPr="004F5FB4">
        <w:rPr>
          <w:color w:val="000000"/>
        </w:rPr>
        <w:t>Pharmakokinetische Populationsanalysen anhand des Datenbestandes von über 1.300</w:t>
      </w:r>
      <w:r w:rsidR="00B934FD" w:rsidRPr="004F5FB4">
        <w:rPr>
          <w:color w:val="000000"/>
        </w:rPr>
        <w:t> </w:t>
      </w:r>
      <w:r w:rsidRPr="004F5FB4">
        <w:rPr>
          <w:color w:val="000000"/>
        </w:rPr>
        <w:t>RA-Patienten ergaben eine Tendenz zu einer höheren scheinbaren Adalimumab-Clearance bei steigendem Körpergewicht. Nach Korrektur hinsichtlich der Gewichtsunterschiede schien der Einfluss von Geschlecht und Alter auf die Adalimumab-Clearance gering zu sein. Die Serumkonzentrationen an freiem, nicht an Anti-Adalimumab-Antikörper (AAA) gebundenem Adalimumab waren niedriger bei Patienten mit messbaren AAA.</w:t>
      </w:r>
    </w:p>
    <w:p w14:paraId="6C39A2B2" w14:textId="77777777" w:rsidR="00964AFD" w:rsidRPr="004F5FB4" w:rsidRDefault="00964AFD" w:rsidP="00387D0C">
      <w:pPr>
        <w:pStyle w:val="BodyText"/>
        <w:widowControl/>
        <w:kinsoku w:val="0"/>
        <w:overflowPunct w:val="0"/>
        <w:ind w:left="0"/>
        <w:rPr>
          <w:color w:val="000000"/>
          <w:u w:val="single"/>
        </w:rPr>
      </w:pPr>
    </w:p>
    <w:p w14:paraId="7A238584" w14:textId="77777777" w:rsidR="00964AFD" w:rsidRPr="004F5FB4" w:rsidRDefault="00964AFD" w:rsidP="00ED34EF">
      <w:pPr>
        <w:pStyle w:val="BodyText"/>
        <w:keepNext/>
        <w:widowControl/>
        <w:kinsoku w:val="0"/>
        <w:overflowPunct w:val="0"/>
        <w:ind w:left="0"/>
        <w:rPr>
          <w:color w:val="000000"/>
        </w:rPr>
      </w:pPr>
      <w:r w:rsidRPr="004F5FB4">
        <w:rPr>
          <w:color w:val="000000"/>
          <w:u w:val="single"/>
        </w:rPr>
        <w:t>Eingeschränkte Leber- oder Nierenfunktion</w:t>
      </w:r>
    </w:p>
    <w:p w14:paraId="3FC606B9" w14:textId="77777777" w:rsidR="00964AFD" w:rsidRPr="004F5FB4" w:rsidRDefault="00964AFD" w:rsidP="00ED34EF">
      <w:pPr>
        <w:pStyle w:val="BodyText"/>
        <w:keepNext/>
        <w:widowControl/>
        <w:kinsoku w:val="0"/>
        <w:overflowPunct w:val="0"/>
        <w:ind w:left="0"/>
        <w:rPr>
          <w:color w:val="000000"/>
        </w:rPr>
      </w:pPr>
    </w:p>
    <w:p w14:paraId="2AFCC518" w14:textId="77777777" w:rsidR="00964AFD" w:rsidRPr="004F5FB4" w:rsidRDefault="00621663" w:rsidP="00387D0C">
      <w:pPr>
        <w:pStyle w:val="BodyText"/>
        <w:widowControl/>
        <w:kinsoku w:val="0"/>
        <w:overflowPunct w:val="0"/>
        <w:ind w:left="0"/>
        <w:rPr>
          <w:color w:val="000000"/>
        </w:rPr>
      </w:pPr>
      <w:r w:rsidRPr="004F5FB4">
        <w:rPr>
          <w:color w:val="000000"/>
        </w:rPr>
        <w:t>Adalimumab wurde bei Patienten mit eingeschränkter Leber- oder Nierenfunktion nicht untersucht.</w:t>
      </w:r>
    </w:p>
    <w:p w14:paraId="3E21F40C" w14:textId="77777777" w:rsidR="00533B44" w:rsidRPr="004F5FB4" w:rsidRDefault="00533B44" w:rsidP="00387D0C">
      <w:pPr>
        <w:rPr>
          <w:color w:val="000000"/>
        </w:rPr>
      </w:pPr>
    </w:p>
    <w:p w14:paraId="379C5164" w14:textId="77777777" w:rsidR="00964AFD" w:rsidRPr="004F5FB4" w:rsidRDefault="00964AFD" w:rsidP="00CA7719">
      <w:pPr>
        <w:pStyle w:val="BodyText"/>
        <w:keepNext/>
        <w:widowControl/>
        <w:numPr>
          <w:ilvl w:val="1"/>
          <w:numId w:val="21"/>
        </w:numPr>
        <w:kinsoku w:val="0"/>
        <w:overflowPunct w:val="0"/>
        <w:autoSpaceDE w:val="0"/>
        <w:autoSpaceDN w:val="0"/>
        <w:adjustRightInd w:val="0"/>
        <w:ind w:left="0" w:firstLine="0"/>
        <w:rPr>
          <w:b/>
          <w:bCs/>
          <w:color w:val="000000"/>
        </w:rPr>
      </w:pPr>
      <w:r w:rsidRPr="00CA7719">
        <w:rPr>
          <w:b/>
          <w:bCs/>
          <w:color w:val="000000"/>
        </w:rPr>
        <w:t>Präklinische Daten zur Sicherheit</w:t>
      </w:r>
    </w:p>
    <w:p w14:paraId="02EB4BCA" w14:textId="77777777" w:rsidR="00964AFD" w:rsidRPr="004F5FB4" w:rsidRDefault="00964AFD" w:rsidP="00ED34EF">
      <w:pPr>
        <w:pStyle w:val="BodyText"/>
        <w:keepNext/>
        <w:widowControl/>
        <w:kinsoku w:val="0"/>
        <w:overflowPunct w:val="0"/>
        <w:ind w:left="0"/>
        <w:rPr>
          <w:b/>
          <w:bCs/>
          <w:color w:val="000000"/>
          <w:szCs w:val="21"/>
        </w:rPr>
      </w:pPr>
    </w:p>
    <w:p w14:paraId="17C72B6C" w14:textId="77777777" w:rsidR="00964AFD" w:rsidRPr="004F5FB4" w:rsidRDefault="00F944C6" w:rsidP="00387D0C">
      <w:pPr>
        <w:pStyle w:val="BodyText"/>
        <w:widowControl/>
        <w:kinsoku w:val="0"/>
        <w:overflowPunct w:val="0"/>
        <w:ind w:left="0"/>
        <w:rPr>
          <w:color w:val="000000"/>
        </w:rPr>
      </w:pPr>
      <w:r w:rsidRPr="004F5FB4">
        <w:rPr>
          <w:color w:val="000000"/>
        </w:rPr>
        <w:t>Basierend auf den Studien</w:t>
      </w:r>
      <w:r w:rsidR="00964AFD" w:rsidRPr="004F5FB4">
        <w:rPr>
          <w:color w:val="000000"/>
        </w:rPr>
        <w:t xml:space="preserve"> zur Einzeldosistoxizität, Toxizität bei </w:t>
      </w:r>
      <w:r w:rsidRPr="004F5FB4">
        <w:rPr>
          <w:color w:val="000000"/>
        </w:rPr>
        <w:t xml:space="preserve">wiederholter Gabe </w:t>
      </w:r>
      <w:r w:rsidR="00964AFD" w:rsidRPr="004F5FB4">
        <w:rPr>
          <w:color w:val="000000"/>
        </w:rPr>
        <w:t>und Genotoxizität lassen</w:t>
      </w:r>
      <w:r w:rsidRPr="004F5FB4">
        <w:rPr>
          <w:color w:val="000000"/>
        </w:rPr>
        <w:t xml:space="preserve"> die präklinischen Daten keine</w:t>
      </w:r>
      <w:r w:rsidR="00964AFD" w:rsidRPr="004F5FB4">
        <w:rPr>
          <w:color w:val="000000"/>
        </w:rPr>
        <w:t xml:space="preserve"> besondere</w:t>
      </w:r>
      <w:r w:rsidRPr="004F5FB4">
        <w:rPr>
          <w:color w:val="000000"/>
        </w:rPr>
        <w:t>n</w:t>
      </w:r>
      <w:r w:rsidR="00964AFD" w:rsidRPr="004F5FB4">
        <w:rPr>
          <w:color w:val="000000"/>
        </w:rPr>
        <w:t xml:space="preserve"> Gefahr</w:t>
      </w:r>
      <w:r w:rsidRPr="004F5FB4">
        <w:rPr>
          <w:color w:val="000000"/>
        </w:rPr>
        <w:t>en</w:t>
      </w:r>
      <w:r w:rsidR="00964AFD" w:rsidRPr="004F5FB4">
        <w:rPr>
          <w:color w:val="000000"/>
        </w:rPr>
        <w:t xml:space="preserve"> für Menschen erkennen.</w:t>
      </w:r>
    </w:p>
    <w:p w14:paraId="4ED99A10" w14:textId="77777777" w:rsidR="00964AFD" w:rsidRPr="004F5FB4" w:rsidRDefault="00964AFD" w:rsidP="00387D0C">
      <w:pPr>
        <w:pStyle w:val="BodyText"/>
        <w:widowControl/>
        <w:kinsoku w:val="0"/>
        <w:overflowPunct w:val="0"/>
        <w:ind w:left="0"/>
        <w:rPr>
          <w:color w:val="000000"/>
        </w:rPr>
      </w:pPr>
    </w:p>
    <w:p w14:paraId="0CF841C4" w14:textId="77777777" w:rsidR="00964AFD" w:rsidRPr="004F5FB4" w:rsidRDefault="00964AFD" w:rsidP="00387D0C">
      <w:pPr>
        <w:pStyle w:val="BodyText"/>
        <w:widowControl/>
        <w:kinsoku w:val="0"/>
        <w:overflowPunct w:val="0"/>
        <w:ind w:left="0"/>
        <w:rPr>
          <w:color w:val="000000"/>
        </w:rPr>
      </w:pPr>
      <w:r w:rsidRPr="004F5FB4">
        <w:rPr>
          <w:color w:val="000000"/>
        </w:rPr>
        <w:t>Eine Studie zur Toxizität der embryofetalen/</w:t>
      </w:r>
      <w:r w:rsidR="007C6C68" w:rsidRPr="004F5FB4">
        <w:rPr>
          <w:color w:val="000000"/>
        </w:rPr>
        <w:t xml:space="preserve"> </w:t>
      </w:r>
      <w:r w:rsidRPr="004F5FB4">
        <w:rPr>
          <w:color w:val="000000"/>
        </w:rPr>
        <w:t>perinatalen Entwicklung wurde bei Cynomolgus-Affen mit 0,30 und 100</w:t>
      </w:r>
      <w:r w:rsidR="00B934FD" w:rsidRPr="004F5FB4">
        <w:rPr>
          <w:color w:val="000000"/>
        </w:rPr>
        <w:t> </w:t>
      </w:r>
      <w:r w:rsidRPr="004F5FB4">
        <w:rPr>
          <w:color w:val="000000"/>
        </w:rPr>
        <w:t>mg/kg (9 – 17</w:t>
      </w:r>
      <w:r w:rsidR="00B934FD" w:rsidRPr="004F5FB4">
        <w:rPr>
          <w:color w:val="000000"/>
        </w:rPr>
        <w:t> </w:t>
      </w:r>
      <w:r w:rsidRPr="004F5FB4">
        <w:rPr>
          <w:color w:val="000000"/>
        </w:rPr>
        <w:t xml:space="preserve">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w:t>
      </w:r>
      <w:r w:rsidR="007C6C68" w:rsidRPr="004F5FB4">
        <w:rPr>
          <w:color w:val="000000"/>
        </w:rPr>
        <w:t>die</w:t>
      </w:r>
      <w:r w:rsidRPr="004F5FB4">
        <w:rPr>
          <w:color w:val="000000"/>
        </w:rPr>
        <w:t xml:space="preserve"> Entwicklung neutralisierender Antikörper</w:t>
      </w:r>
      <w:r w:rsidR="007C6C68" w:rsidRPr="004F5FB4">
        <w:rPr>
          <w:color w:val="000000"/>
        </w:rPr>
        <w:t xml:space="preserve"> bei Nagetieren fehlt</w:t>
      </w:r>
      <w:r w:rsidRPr="004F5FB4">
        <w:rPr>
          <w:color w:val="000000"/>
        </w:rPr>
        <w:t>.</w:t>
      </w:r>
    </w:p>
    <w:p w14:paraId="2AFFA989" w14:textId="77777777" w:rsidR="00533B44" w:rsidRPr="004F5FB4" w:rsidRDefault="00533B44" w:rsidP="00387D0C">
      <w:pPr>
        <w:rPr>
          <w:color w:val="000000"/>
        </w:rPr>
      </w:pPr>
    </w:p>
    <w:p w14:paraId="2D17C27D" w14:textId="77777777" w:rsidR="00290EEB" w:rsidRPr="004F5FB4" w:rsidRDefault="00290EEB" w:rsidP="00387D0C">
      <w:pPr>
        <w:rPr>
          <w:color w:val="000000"/>
        </w:rPr>
      </w:pPr>
    </w:p>
    <w:p w14:paraId="038D0776" w14:textId="77777777" w:rsidR="00964AFD" w:rsidRPr="004F5FB4" w:rsidRDefault="00964AFD" w:rsidP="00CA7719">
      <w:pPr>
        <w:pStyle w:val="BodyText"/>
        <w:keepNext/>
        <w:widowControl/>
        <w:numPr>
          <w:ilvl w:val="0"/>
          <w:numId w:val="21"/>
        </w:numPr>
        <w:kinsoku w:val="0"/>
        <w:overflowPunct w:val="0"/>
        <w:autoSpaceDE w:val="0"/>
        <w:autoSpaceDN w:val="0"/>
        <w:adjustRightInd w:val="0"/>
        <w:ind w:left="0" w:firstLine="0"/>
        <w:rPr>
          <w:b/>
          <w:bCs/>
          <w:color w:val="000000"/>
        </w:rPr>
      </w:pPr>
      <w:r w:rsidRPr="00CA7719">
        <w:rPr>
          <w:b/>
          <w:bCs/>
          <w:color w:val="000000"/>
        </w:rPr>
        <w:t>PHARMAZEUTISCHE ANGABEN</w:t>
      </w:r>
    </w:p>
    <w:p w14:paraId="5463E95F" w14:textId="77777777" w:rsidR="00964AFD" w:rsidRPr="004F5FB4" w:rsidRDefault="00964AFD" w:rsidP="00ED34EF">
      <w:pPr>
        <w:pStyle w:val="BodyText"/>
        <w:keepNext/>
        <w:widowControl/>
        <w:kinsoku w:val="0"/>
        <w:overflowPunct w:val="0"/>
        <w:ind w:left="0"/>
        <w:rPr>
          <w:bCs/>
          <w:color w:val="000000"/>
          <w:lang w:val="en-GB"/>
        </w:rPr>
      </w:pPr>
    </w:p>
    <w:p w14:paraId="17FCC17F" w14:textId="77777777" w:rsidR="00964AFD" w:rsidRPr="004F5FB4" w:rsidRDefault="00964AFD" w:rsidP="00ED34EF">
      <w:pPr>
        <w:pStyle w:val="BodyText"/>
        <w:keepNext/>
        <w:widowControl/>
        <w:numPr>
          <w:ilvl w:val="1"/>
          <w:numId w:val="21"/>
        </w:numPr>
        <w:tabs>
          <w:tab w:val="left" w:pos="673"/>
        </w:tabs>
        <w:kinsoku w:val="0"/>
        <w:overflowPunct w:val="0"/>
        <w:ind w:left="0" w:firstLine="0"/>
        <w:rPr>
          <w:color w:val="000000"/>
        </w:rPr>
      </w:pPr>
      <w:r w:rsidRPr="004F5FB4">
        <w:rPr>
          <w:b/>
          <w:bCs/>
          <w:color w:val="000000"/>
        </w:rPr>
        <w:t>Liste der sonstigen Bestandteile</w:t>
      </w:r>
    </w:p>
    <w:p w14:paraId="5697F2C3" w14:textId="77777777" w:rsidR="00964AFD" w:rsidRPr="004F5FB4" w:rsidRDefault="00964AFD" w:rsidP="00ED34EF">
      <w:pPr>
        <w:pStyle w:val="BodyText"/>
        <w:keepNext/>
        <w:widowControl/>
        <w:kinsoku w:val="0"/>
        <w:overflowPunct w:val="0"/>
        <w:ind w:left="0"/>
        <w:rPr>
          <w:bCs/>
          <w:color w:val="000000"/>
          <w:szCs w:val="21"/>
          <w:lang w:val="en-GB"/>
        </w:rPr>
      </w:pPr>
    </w:p>
    <w:p w14:paraId="1E490393" w14:textId="77777777" w:rsidR="00621663" w:rsidRPr="004F5FB4" w:rsidRDefault="00621663" w:rsidP="00387D0C">
      <w:pPr>
        <w:rPr>
          <w:color w:val="000000"/>
        </w:rPr>
      </w:pPr>
      <w:r w:rsidRPr="004F5FB4">
        <w:rPr>
          <w:color w:val="000000"/>
        </w:rPr>
        <w:t>L-Histidin</w:t>
      </w:r>
    </w:p>
    <w:p w14:paraId="721AE4FB" w14:textId="77777777" w:rsidR="00621663" w:rsidRPr="004F5FB4" w:rsidRDefault="00621663" w:rsidP="00387D0C">
      <w:pPr>
        <w:rPr>
          <w:color w:val="000000"/>
        </w:rPr>
      </w:pPr>
      <w:r w:rsidRPr="004F5FB4">
        <w:rPr>
          <w:color w:val="000000"/>
        </w:rPr>
        <w:t>L-Histidin-Hydrochlorid-Monohydrat</w:t>
      </w:r>
    </w:p>
    <w:p w14:paraId="0CCF756F" w14:textId="77777777" w:rsidR="00621663" w:rsidRPr="004F5FB4" w:rsidRDefault="00621663" w:rsidP="00387D0C">
      <w:pPr>
        <w:rPr>
          <w:color w:val="000000"/>
        </w:rPr>
      </w:pPr>
      <w:r w:rsidRPr="004F5FB4">
        <w:rPr>
          <w:color w:val="000000"/>
        </w:rPr>
        <w:t>Sucrose</w:t>
      </w:r>
    </w:p>
    <w:p w14:paraId="0DD8EDBB" w14:textId="77777777" w:rsidR="00621663" w:rsidRPr="004F5FB4" w:rsidRDefault="00621663" w:rsidP="00387D0C">
      <w:pPr>
        <w:rPr>
          <w:color w:val="000000"/>
        </w:rPr>
      </w:pPr>
      <w:r w:rsidRPr="004F5FB4">
        <w:rPr>
          <w:color w:val="000000"/>
        </w:rPr>
        <w:t xml:space="preserve">EDTA-Dinatrium-Dihydrat </w:t>
      </w:r>
    </w:p>
    <w:p w14:paraId="5624E092" w14:textId="77777777" w:rsidR="00621663" w:rsidRPr="004F5FB4" w:rsidRDefault="00621663" w:rsidP="00387D0C">
      <w:pPr>
        <w:rPr>
          <w:color w:val="000000"/>
        </w:rPr>
      </w:pPr>
      <w:r w:rsidRPr="004F5FB4">
        <w:rPr>
          <w:color w:val="000000"/>
        </w:rPr>
        <w:t>L-Methionin</w:t>
      </w:r>
    </w:p>
    <w:p w14:paraId="5FC81F5F" w14:textId="77777777" w:rsidR="00621663" w:rsidRPr="004F5FB4" w:rsidRDefault="00621663" w:rsidP="00387D0C">
      <w:pPr>
        <w:rPr>
          <w:color w:val="000000"/>
        </w:rPr>
      </w:pPr>
      <w:r w:rsidRPr="004F5FB4">
        <w:rPr>
          <w:color w:val="000000"/>
        </w:rPr>
        <w:t>Polysorbat 80</w:t>
      </w:r>
    </w:p>
    <w:p w14:paraId="1B6873A7" w14:textId="77777777" w:rsidR="00621663" w:rsidRPr="004F5FB4" w:rsidRDefault="00621663" w:rsidP="00387D0C">
      <w:pPr>
        <w:rPr>
          <w:color w:val="000000"/>
        </w:rPr>
      </w:pPr>
      <w:r w:rsidRPr="004F5FB4">
        <w:rPr>
          <w:color w:val="000000"/>
        </w:rPr>
        <w:t>Wasser für Injektionszwecke</w:t>
      </w:r>
    </w:p>
    <w:p w14:paraId="112995FA" w14:textId="77777777" w:rsidR="00964AFD" w:rsidRPr="004F5FB4" w:rsidRDefault="00964AFD" w:rsidP="00387D0C">
      <w:pPr>
        <w:pStyle w:val="BodyText"/>
        <w:widowControl/>
        <w:kinsoku w:val="0"/>
        <w:overflowPunct w:val="0"/>
        <w:ind w:left="0"/>
        <w:rPr>
          <w:color w:val="000000"/>
          <w:lang w:val="en-GB"/>
        </w:rPr>
      </w:pPr>
    </w:p>
    <w:p w14:paraId="036B562A" w14:textId="77777777" w:rsidR="00964AFD" w:rsidRPr="004F5FB4" w:rsidRDefault="00964AFD" w:rsidP="00CA7719">
      <w:pPr>
        <w:pStyle w:val="BodyText"/>
        <w:keepNext/>
        <w:widowControl/>
        <w:numPr>
          <w:ilvl w:val="1"/>
          <w:numId w:val="21"/>
        </w:numPr>
        <w:tabs>
          <w:tab w:val="left" w:pos="673"/>
        </w:tabs>
        <w:kinsoku w:val="0"/>
        <w:overflowPunct w:val="0"/>
        <w:ind w:left="0" w:firstLine="0"/>
        <w:rPr>
          <w:b/>
          <w:bCs/>
          <w:color w:val="000000"/>
        </w:rPr>
      </w:pPr>
      <w:r w:rsidRPr="00CA7719">
        <w:rPr>
          <w:b/>
          <w:bCs/>
          <w:color w:val="000000"/>
        </w:rPr>
        <w:t>Inkompatibilitäten</w:t>
      </w:r>
    </w:p>
    <w:p w14:paraId="47D54187" w14:textId="77777777" w:rsidR="00964AFD" w:rsidRPr="004F5FB4" w:rsidRDefault="00964AFD" w:rsidP="00ED34EF">
      <w:pPr>
        <w:pStyle w:val="BodyText"/>
        <w:keepNext/>
        <w:widowControl/>
        <w:kinsoku w:val="0"/>
        <w:overflowPunct w:val="0"/>
        <w:ind w:left="0"/>
        <w:rPr>
          <w:bCs/>
          <w:color w:val="000000"/>
          <w:szCs w:val="21"/>
          <w:lang w:val="en-GB"/>
        </w:rPr>
      </w:pPr>
    </w:p>
    <w:p w14:paraId="5B3FC1B1" w14:textId="77777777" w:rsidR="00964AFD" w:rsidRPr="004F5FB4" w:rsidRDefault="00964AFD" w:rsidP="00387D0C">
      <w:pPr>
        <w:pStyle w:val="BodyText"/>
        <w:widowControl/>
        <w:kinsoku w:val="0"/>
        <w:overflowPunct w:val="0"/>
        <w:ind w:left="0"/>
        <w:rPr>
          <w:color w:val="000000"/>
        </w:rPr>
      </w:pPr>
      <w:r w:rsidRPr="004F5FB4">
        <w:rPr>
          <w:color w:val="000000"/>
        </w:rPr>
        <w:t>Da keine Kompatibilitätsstudien durchgeführt wurden, darf dieses Arzneimittel nicht mit anderen Arzneimitteln gemischt werden.</w:t>
      </w:r>
    </w:p>
    <w:p w14:paraId="37F6817D" w14:textId="77777777" w:rsidR="00964AFD" w:rsidRPr="004F5FB4" w:rsidRDefault="00964AFD" w:rsidP="00387D0C">
      <w:pPr>
        <w:pStyle w:val="BodyText"/>
        <w:widowControl/>
        <w:kinsoku w:val="0"/>
        <w:overflowPunct w:val="0"/>
        <w:ind w:left="0"/>
        <w:rPr>
          <w:color w:val="000000"/>
        </w:rPr>
      </w:pPr>
    </w:p>
    <w:p w14:paraId="06D25841" w14:textId="77777777" w:rsidR="00964AFD" w:rsidRPr="004F5FB4" w:rsidRDefault="00964AFD" w:rsidP="00CA7719">
      <w:pPr>
        <w:pStyle w:val="BodyText"/>
        <w:keepNext/>
        <w:widowControl/>
        <w:numPr>
          <w:ilvl w:val="1"/>
          <w:numId w:val="21"/>
        </w:numPr>
        <w:tabs>
          <w:tab w:val="left" w:pos="673"/>
        </w:tabs>
        <w:kinsoku w:val="0"/>
        <w:overflowPunct w:val="0"/>
        <w:ind w:left="0" w:firstLine="0"/>
        <w:rPr>
          <w:b/>
          <w:bCs/>
          <w:color w:val="000000"/>
        </w:rPr>
      </w:pPr>
      <w:r w:rsidRPr="00CA7719">
        <w:rPr>
          <w:b/>
          <w:bCs/>
          <w:color w:val="000000"/>
        </w:rPr>
        <w:t>Dauer der Haltbarkeit</w:t>
      </w:r>
    </w:p>
    <w:p w14:paraId="4E905FCC" w14:textId="77777777" w:rsidR="00964AFD" w:rsidRPr="004F5FB4" w:rsidRDefault="00964AFD" w:rsidP="00ED34EF">
      <w:pPr>
        <w:pStyle w:val="BodyText"/>
        <w:keepNext/>
        <w:widowControl/>
        <w:kinsoku w:val="0"/>
        <w:overflowPunct w:val="0"/>
        <w:ind w:left="0"/>
        <w:rPr>
          <w:b/>
          <w:bCs/>
          <w:color w:val="000000"/>
          <w:szCs w:val="21"/>
          <w:lang w:val="en-GB"/>
        </w:rPr>
      </w:pPr>
    </w:p>
    <w:p w14:paraId="13B7F911" w14:textId="77777777" w:rsidR="00964AFD" w:rsidRPr="004F5FB4" w:rsidRDefault="00621663" w:rsidP="00387D0C">
      <w:pPr>
        <w:pStyle w:val="BodyText"/>
        <w:widowControl/>
        <w:kinsoku w:val="0"/>
        <w:overflowPunct w:val="0"/>
        <w:ind w:left="0"/>
        <w:rPr>
          <w:color w:val="000000"/>
        </w:rPr>
      </w:pPr>
      <w:r w:rsidRPr="004F5FB4">
        <w:rPr>
          <w:color w:val="000000"/>
        </w:rPr>
        <w:t>3</w:t>
      </w:r>
      <w:r w:rsidR="00B934FD" w:rsidRPr="004F5FB4">
        <w:rPr>
          <w:color w:val="000000"/>
        </w:rPr>
        <w:t> </w:t>
      </w:r>
      <w:r w:rsidRPr="004F5FB4">
        <w:rPr>
          <w:color w:val="000000"/>
        </w:rPr>
        <w:t>Jahre</w:t>
      </w:r>
    </w:p>
    <w:p w14:paraId="13DAC07E" w14:textId="77777777" w:rsidR="00964AFD" w:rsidRPr="004F5FB4" w:rsidRDefault="00964AFD" w:rsidP="00387D0C">
      <w:pPr>
        <w:pStyle w:val="BodyText"/>
        <w:widowControl/>
        <w:kinsoku w:val="0"/>
        <w:overflowPunct w:val="0"/>
        <w:ind w:left="0"/>
        <w:rPr>
          <w:color w:val="000000"/>
          <w:lang w:val="en-GB"/>
        </w:rPr>
      </w:pPr>
    </w:p>
    <w:p w14:paraId="4A1767E8" w14:textId="77777777" w:rsidR="00964AFD" w:rsidRPr="004F5FB4" w:rsidRDefault="00964AFD" w:rsidP="00CA7719">
      <w:pPr>
        <w:pStyle w:val="BodyText"/>
        <w:keepNext/>
        <w:widowControl/>
        <w:numPr>
          <w:ilvl w:val="1"/>
          <w:numId w:val="21"/>
        </w:numPr>
        <w:tabs>
          <w:tab w:val="left" w:pos="673"/>
        </w:tabs>
        <w:kinsoku w:val="0"/>
        <w:overflowPunct w:val="0"/>
        <w:ind w:left="0" w:firstLine="0"/>
        <w:rPr>
          <w:b/>
          <w:bCs/>
          <w:color w:val="000000"/>
        </w:rPr>
      </w:pPr>
      <w:r w:rsidRPr="00CA7719">
        <w:rPr>
          <w:b/>
          <w:bCs/>
          <w:color w:val="000000"/>
        </w:rPr>
        <w:t>Besondere Vorsichtsmaßnahmen für die Aufbewahrung</w:t>
      </w:r>
    </w:p>
    <w:p w14:paraId="7EFA09B7" w14:textId="77777777" w:rsidR="00964AFD" w:rsidRPr="004F5FB4" w:rsidRDefault="00964AFD" w:rsidP="00ED34EF">
      <w:pPr>
        <w:pStyle w:val="BodyText"/>
        <w:keepNext/>
        <w:widowControl/>
        <w:kinsoku w:val="0"/>
        <w:overflowPunct w:val="0"/>
        <w:ind w:left="0"/>
        <w:rPr>
          <w:bCs/>
          <w:color w:val="000000"/>
          <w:lang w:val="en-GB"/>
        </w:rPr>
      </w:pPr>
    </w:p>
    <w:p w14:paraId="5953BAE6" w14:textId="77777777" w:rsidR="00964AFD" w:rsidRPr="004F5FB4" w:rsidRDefault="00964AFD" w:rsidP="00387D0C">
      <w:pPr>
        <w:pStyle w:val="BodyText"/>
        <w:widowControl/>
        <w:kinsoku w:val="0"/>
        <w:overflowPunct w:val="0"/>
        <w:ind w:left="0"/>
        <w:rPr>
          <w:color w:val="000000"/>
        </w:rPr>
      </w:pPr>
      <w:r w:rsidRPr="004F5FB4">
        <w:rPr>
          <w:color w:val="000000"/>
        </w:rPr>
        <w:t>Im Kühlschrank lagern (2 °C – 8 °C). Nicht einfrieren. Die Fertigspritze im Umkarton aufbewahren, um den Inhalt vor Licht zu schützen.</w:t>
      </w:r>
    </w:p>
    <w:p w14:paraId="7C35E87C" w14:textId="77777777" w:rsidR="00964AFD" w:rsidRPr="004F5FB4" w:rsidRDefault="00964AFD" w:rsidP="00387D0C">
      <w:pPr>
        <w:pStyle w:val="BodyText"/>
        <w:widowControl/>
        <w:kinsoku w:val="0"/>
        <w:overflowPunct w:val="0"/>
        <w:ind w:left="0"/>
        <w:rPr>
          <w:color w:val="000000"/>
        </w:rPr>
      </w:pPr>
    </w:p>
    <w:p w14:paraId="3B24E292" w14:textId="77777777" w:rsidR="00964AFD" w:rsidRPr="004F5FB4" w:rsidRDefault="00964AFD" w:rsidP="00387D0C">
      <w:pPr>
        <w:pStyle w:val="BodyText"/>
        <w:widowControl/>
        <w:kinsoku w:val="0"/>
        <w:overflowPunct w:val="0"/>
        <w:ind w:left="0"/>
        <w:rPr>
          <w:color w:val="000000"/>
        </w:rPr>
      </w:pPr>
      <w:r w:rsidRPr="004F5FB4">
        <w:rPr>
          <w:color w:val="000000"/>
        </w:rPr>
        <w:t>Eine einzelne Amsparity-Fertigspritze darf für bis zu 30</w:t>
      </w:r>
      <w:r w:rsidR="00B934FD" w:rsidRPr="004F5FB4">
        <w:rPr>
          <w:color w:val="000000"/>
        </w:rPr>
        <w:t> </w:t>
      </w:r>
      <w:r w:rsidRPr="004F5FB4">
        <w:rPr>
          <w:color w:val="000000"/>
        </w:rPr>
        <w:t>Tage bei Temperaturen bis zu maximal 30 °C gelagert werden. Die Spritze muss vor Licht geschützt werden und muss entsorgt werden, wenn sie nicht innerhalb dieser 30</w:t>
      </w:r>
      <w:r w:rsidR="00B934FD" w:rsidRPr="004F5FB4">
        <w:rPr>
          <w:color w:val="000000"/>
        </w:rPr>
        <w:t> </w:t>
      </w:r>
      <w:r w:rsidRPr="004F5FB4">
        <w:rPr>
          <w:color w:val="000000"/>
        </w:rPr>
        <w:t>Tage verwendet wird.</w:t>
      </w:r>
    </w:p>
    <w:p w14:paraId="1114C8E5" w14:textId="77777777" w:rsidR="00964AFD" w:rsidRPr="004F5FB4" w:rsidRDefault="00964AFD" w:rsidP="00387D0C">
      <w:pPr>
        <w:pStyle w:val="BodyText"/>
        <w:widowControl/>
        <w:kinsoku w:val="0"/>
        <w:overflowPunct w:val="0"/>
        <w:ind w:left="0"/>
        <w:rPr>
          <w:color w:val="000000"/>
        </w:rPr>
      </w:pPr>
    </w:p>
    <w:p w14:paraId="656BA21A" w14:textId="77777777" w:rsidR="00964AFD" w:rsidRPr="004F5FB4" w:rsidRDefault="00964AFD" w:rsidP="00CA7719">
      <w:pPr>
        <w:pStyle w:val="BodyText"/>
        <w:keepNext/>
        <w:widowControl/>
        <w:numPr>
          <w:ilvl w:val="1"/>
          <w:numId w:val="21"/>
        </w:numPr>
        <w:tabs>
          <w:tab w:val="left" w:pos="673"/>
        </w:tabs>
        <w:kinsoku w:val="0"/>
        <w:overflowPunct w:val="0"/>
        <w:ind w:left="0" w:firstLine="0"/>
        <w:rPr>
          <w:b/>
          <w:bCs/>
          <w:color w:val="000000"/>
        </w:rPr>
      </w:pPr>
      <w:r w:rsidRPr="00CA7719">
        <w:rPr>
          <w:b/>
          <w:bCs/>
          <w:color w:val="000000"/>
        </w:rPr>
        <w:t>Art und Inhalt des Behältnisses</w:t>
      </w:r>
    </w:p>
    <w:p w14:paraId="6D36A007" w14:textId="77777777" w:rsidR="00964AFD" w:rsidRPr="004F5FB4" w:rsidRDefault="00964AFD" w:rsidP="00D459A6">
      <w:pPr>
        <w:pStyle w:val="BodyText"/>
        <w:keepNext/>
        <w:widowControl/>
        <w:kinsoku w:val="0"/>
        <w:overflowPunct w:val="0"/>
        <w:ind w:left="0"/>
        <w:rPr>
          <w:bCs/>
          <w:color w:val="000000"/>
          <w:szCs w:val="21"/>
          <w:lang w:val="en-GB"/>
        </w:rPr>
      </w:pPr>
    </w:p>
    <w:p w14:paraId="63A60B8D" w14:textId="77777777" w:rsidR="00964AFD" w:rsidRPr="004F5FB4" w:rsidRDefault="006A1144" w:rsidP="00387D0C">
      <w:pPr>
        <w:pStyle w:val="BodyText"/>
        <w:widowControl/>
        <w:kinsoku w:val="0"/>
        <w:overflowPunct w:val="0"/>
        <w:ind w:left="0"/>
        <w:rPr>
          <w:color w:val="000000"/>
        </w:rPr>
      </w:pPr>
      <w:r w:rsidRPr="004F5FB4">
        <w:rPr>
          <w:color w:val="000000"/>
        </w:rPr>
        <w:t>Amsparity 20</w:t>
      </w:r>
      <w:r w:rsidR="00B934FD" w:rsidRPr="004F5FB4">
        <w:rPr>
          <w:color w:val="000000"/>
        </w:rPr>
        <w:t> </w:t>
      </w:r>
      <w:r w:rsidRPr="004F5FB4">
        <w:rPr>
          <w:color w:val="000000"/>
        </w:rPr>
        <w:t>mg Injektionslösung in einer Einzel-Fertigspritze (Glasart</w:t>
      </w:r>
      <w:r w:rsidR="00B934FD" w:rsidRPr="004F5FB4">
        <w:rPr>
          <w:color w:val="000000"/>
        </w:rPr>
        <w:t> </w:t>
      </w:r>
      <w:r w:rsidRPr="004F5FB4">
        <w:rPr>
          <w:color w:val="000000"/>
        </w:rPr>
        <w:t>I) mit einem Kolbenstopfen (Chlorbutylgummi) und einer Nadel mit einer Nadelkappe (thermoplastisches Elastomer).</w:t>
      </w:r>
    </w:p>
    <w:p w14:paraId="74160659" w14:textId="77777777" w:rsidR="00964AFD" w:rsidRPr="004F5FB4" w:rsidRDefault="00964AFD" w:rsidP="00387D0C">
      <w:pPr>
        <w:pStyle w:val="BodyText"/>
        <w:widowControl/>
        <w:kinsoku w:val="0"/>
        <w:overflowPunct w:val="0"/>
        <w:ind w:left="0"/>
        <w:rPr>
          <w:color w:val="000000"/>
          <w:szCs w:val="21"/>
        </w:rPr>
      </w:pPr>
    </w:p>
    <w:p w14:paraId="0BFE7447" w14:textId="77777777" w:rsidR="00964AFD" w:rsidRPr="004F5FB4" w:rsidRDefault="00964AFD" w:rsidP="00387D0C">
      <w:pPr>
        <w:pStyle w:val="BodyText"/>
        <w:widowControl/>
        <w:kinsoku w:val="0"/>
        <w:overflowPunct w:val="0"/>
        <w:ind w:left="0"/>
        <w:rPr>
          <w:color w:val="000000"/>
        </w:rPr>
      </w:pPr>
      <w:r w:rsidRPr="004F5FB4">
        <w:rPr>
          <w:color w:val="000000"/>
        </w:rPr>
        <w:t>Packung mit:</w:t>
      </w:r>
    </w:p>
    <w:p w14:paraId="3BBF89A8" w14:textId="77777777" w:rsidR="00964AFD" w:rsidRPr="004F5FB4" w:rsidRDefault="00964AFD" w:rsidP="003143AF">
      <w:pPr>
        <w:pStyle w:val="BodyText"/>
        <w:widowControl/>
        <w:numPr>
          <w:ilvl w:val="0"/>
          <w:numId w:val="27"/>
        </w:numPr>
        <w:kinsoku w:val="0"/>
        <w:overflowPunct w:val="0"/>
        <w:ind w:left="562" w:hanging="562"/>
        <w:rPr>
          <w:color w:val="000000"/>
        </w:rPr>
      </w:pPr>
      <w:r w:rsidRPr="004F5FB4">
        <w:rPr>
          <w:color w:val="000000"/>
        </w:rPr>
        <w:t>2 Fertigspritzen (0,4 ml sterile Lösung) mit 2 Alkoholtupfern, jeweils eine Fertigspritze in einer Blisterpackung.</w:t>
      </w:r>
    </w:p>
    <w:p w14:paraId="3E10BEE8" w14:textId="77777777" w:rsidR="00964AFD" w:rsidRPr="004F5FB4" w:rsidRDefault="00964AFD" w:rsidP="00387D0C">
      <w:pPr>
        <w:pStyle w:val="BodyText"/>
        <w:widowControl/>
        <w:tabs>
          <w:tab w:val="left" w:pos="679"/>
        </w:tabs>
        <w:kinsoku w:val="0"/>
        <w:overflowPunct w:val="0"/>
        <w:ind w:left="0"/>
        <w:rPr>
          <w:color w:val="000000"/>
        </w:rPr>
      </w:pPr>
    </w:p>
    <w:p w14:paraId="2378B20F" w14:textId="77777777" w:rsidR="00964AFD" w:rsidRPr="004F5FB4" w:rsidRDefault="00964AFD" w:rsidP="00CA7719">
      <w:pPr>
        <w:pStyle w:val="BodyText"/>
        <w:keepNext/>
        <w:widowControl/>
        <w:numPr>
          <w:ilvl w:val="1"/>
          <w:numId w:val="21"/>
        </w:numPr>
        <w:tabs>
          <w:tab w:val="left" w:pos="673"/>
        </w:tabs>
        <w:kinsoku w:val="0"/>
        <w:overflowPunct w:val="0"/>
        <w:ind w:left="0" w:firstLine="0"/>
        <w:rPr>
          <w:b/>
          <w:bCs/>
          <w:color w:val="000000"/>
        </w:rPr>
      </w:pPr>
      <w:r w:rsidRPr="00CA7719">
        <w:rPr>
          <w:b/>
          <w:bCs/>
          <w:color w:val="000000"/>
        </w:rPr>
        <w:t>Besondere Vorsichtsmaßnahmen für die Beseitigung</w:t>
      </w:r>
    </w:p>
    <w:p w14:paraId="6853B2E0" w14:textId="77777777" w:rsidR="00964AFD" w:rsidRPr="004F5FB4" w:rsidRDefault="00964AFD" w:rsidP="00ED34EF">
      <w:pPr>
        <w:pStyle w:val="BodyText"/>
        <w:keepNext/>
        <w:widowControl/>
        <w:kinsoku w:val="0"/>
        <w:overflowPunct w:val="0"/>
        <w:ind w:left="0"/>
        <w:rPr>
          <w:bCs/>
          <w:color w:val="000000"/>
          <w:szCs w:val="21"/>
          <w:lang w:val="en-GB"/>
        </w:rPr>
      </w:pPr>
    </w:p>
    <w:p w14:paraId="6E023BE0" w14:textId="77777777" w:rsidR="00964AFD" w:rsidRPr="004F5FB4" w:rsidRDefault="00964AFD" w:rsidP="00387D0C">
      <w:pPr>
        <w:pStyle w:val="BodyText"/>
        <w:widowControl/>
        <w:kinsoku w:val="0"/>
        <w:overflowPunct w:val="0"/>
        <w:ind w:left="0"/>
        <w:rPr>
          <w:color w:val="000000"/>
        </w:rPr>
      </w:pPr>
      <w:r w:rsidRPr="004F5FB4">
        <w:rPr>
          <w:color w:val="000000"/>
        </w:rPr>
        <w:t>Nicht verwendetes Arzneimittel oder Abfallmaterial ist entsprechend den nationalen Anforderungen zu beseitigen.</w:t>
      </w:r>
    </w:p>
    <w:p w14:paraId="66BFEDEB" w14:textId="77777777" w:rsidR="00964AFD" w:rsidRPr="004F5FB4" w:rsidRDefault="00964AFD" w:rsidP="00387D0C">
      <w:pPr>
        <w:pStyle w:val="BodyText"/>
        <w:widowControl/>
        <w:kinsoku w:val="0"/>
        <w:overflowPunct w:val="0"/>
        <w:ind w:left="0"/>
        <w:rPr>
          <w:color w:val="000000"/>
        </w:rPr>
      </w:pPr>
    </w:p>
    <w:p w14:paraId="6C173FC9" w14:textId="77777777" w:rsidR="00964AFD" w:rsidRPr="004F5FB4" w:rsidRDefault="00964AFD" w:rsidP="00387D0C">
      <w:pPr>
        <w:pStyle w:val="BodyText"/>
        <w:widowControl/>
        <w:kinsoku w:val="0"/>
        <w:overflowPunct w:val="0"/>
        <w:ind w:left="0"/>
        <w:rPr>
          <w:color w:val="000000"/>
        </w:rPr>
      </w:pPr>
    </w:p>
    <w:p w14:paraId="52F7060B" w14:textId="77777777" w:rsidR="00964AFD" w:rsidRPr="004F5FB4" w:rsidRDefault="00964AFD" w:rsidP="00CA7719">
      <w:pPr>
        <w:pStyle w:val="BodyText"/>
        <w:keepNext/>
        <w:widowControl/>
        <w:numPr>
          <w:ilvl w:val="0"/>
          <w:numId w:val="21"/>
        </w:numPr>
        <w:kinsoku w:val="0"/>
        <w:overflowPunct w:val="0"/>
        <w:autoSpaceDE w:val="0"/>
        <w:autoSpaceDN w:val="0"/>
        <w:adjustRightInd w:val="0"/>
        <w:ind w:left="0" w:firstLine="0"/>
        <w:rPr>
          <w:b/>
          <w:bCs/>
          <w:color w:val="000000"/>
        </w:rPr>
      </w:pPr>
      <w:r w:rsidRPr="00CA7719">
        <w:rPr>
          <w:b/>
          <w:bCs/>
          <w:color w:val="000000"/>
        </w:rPr>
        <w:t>INHABER DER ZULASSUNG</w:t>
      </w:r>
    </w:p>
    <w:p w14:paraId="69AFAFEE" w14:textId="77777777" w:rsidR="00964AFD" w:rsidRPr="004F5FB4" w:rsidRDefault="00964AFD" w:rsidP="00ED34EF">
      <w:pPr>
        <w:pStyle w:val="BodyText"/>
        <w:keepNext/>
        <w:widowControl/>
        <w:kinsoku w:val="0"/>
        <w:overflowPunct w:val="0"/>
        <w:ind w:left="0"/>
        <w:rPr>
          <w:color w:val="000000"/>
          <w:lang w:val="en-GB"/>
        </w:rPr>
      </w:pPr>
    </w:p>
    <w:p w14:paraId="13FD38CC" w14:textId="77777777" w:rsidR="00792CD9" w:rsidRPr="004F5FB4" w:rsidRDefault="00792CD9" w:rsidP="00387D0C">
      <w:pPr>
        <w:pStyle w:val="BodyText"/>
        <w:widowControl/>
        <w:kinsoku w:val="0"/>
        <w:overflowPunct w:val="0"/>
        <w:ind w:left="0"/>
        <w:rPr>
          <w:color w:val="000000"/>
        </w:rPr>
      </w:pPr>
      <w:r w:rsidRPr="004F5FB4">
        <w:rPr>
          <w:color w:val="000000"/>
        </w:rPr>
        <w:t>Pfizer Europe MA EEIG</w:t>
      </w:r>
    </w:p>
    <w:p w14:paraId="74789CD5" w14:textId="77777777" w:rsidR="00727B93" w:rsidRPr="004F5FB4" w:rsidRDefault="00727B93" w:rsidP="00387D0C">
      <w:pPr>
        <w:pStyle w:val="BodyText"/>
        <w:widowControl/>
        <w:kinsoku w:val="0"/>
        <w:overflowPunct w:val="0"/>
        <w:ind w:left="0"/>
        <w:rPr>
          <w:color w:val="000000"/>
        </w:rPr>
      </w:pPr>
      <w:r w:rsidRPr="004F5FB4">
        <w:rPr>
          <w:color w:val="000000"/>
        </w:rPr>
        <w:t>Boulevard de la Plaine 17</w:t>
      </w:r>
    </w:p>
    <w:p w14:paraId="52259675" w14:textId="77777777" w:rsidR="00727B93" w:rsidRPr="004F5FB4" w:rsidRDefault="00727B93" w:rsidP="00387D0C">
      <w:pPr>
        <w:pStyle w:val="BodyText"/>
        <w:widowControl/>
        <w:kinsoku w:val="0"/>
        <w:overflowPunct w:val="0"/>
        <w:ind w:left="0"/>
        <w:rPr>
          <w:color w:val="000000"/>
        </w:rPr>
      </w:pPr>
      <w:r w:rsidRPr="004F5FB4">
        <w:rPr>
          <w:color w:val="000000"/>
        </w:rPr>
        <w:t>1050 Br</w:t>
      </w:r>
      <w:r w:rsidR="005D6F9C" w:rsidRPr="004F5FB4">
        <w:rPr>
          <w:color w:val="000000"/>
        </w:rPr>
        <w:t>üssel</w:t>
      </w:r>
    </w:p>
    <w:p w14:paraId="0709E2BF" w14:textId="77777777" w:rsidR="00727B93" w:rsidRPr="004F5FB4" w:rsidRDefault="00727B93" w:rsidP="00387D0C">
      <w:pPr>
        <w:pStyle w:val="BodyText"/>
        <w:widowControl/>
        <w:kinsoku w:val="0"/>
        <w:overflowPunct w:val="0"/>
        <w:ind w:left="0"/>
        <w:rPr>
          <w:color w:val="000000"/>
        </w:rPr>
      </w:pPr>
      <w:r w:rsidRPr="004F5FB4">
        <w:rPr>
          <w:color w:val="000000"/>
        </w:rPr>
        <w:t>Belgien</w:t>
      </w:r>
    </w:p>
    <w:p w14:paraId="214C5D81" w14:textId="77777777" w:rsidR="00964AFD" w:rsidRPr="004F5FB4" w:rsidRDefault="00964AFD" w:rsidP="00387D0C">
      <w:pPr>
        <w:pStyle w:val="BodyText"/>
        <w:widowControl/>
        <w:kinsoku w:val="0"/>
        <w:overflowPunct w:val="0"/>
        <w:ind w:left="0"/>
        <w:rPr>
          <w:color w:val="000000"/>
          <w:lang w:val="en-GB"/>
        </w:rPr>
      </w:pPr>
    </w:p>
    <w:p w14:paraId="09ABE679" w14:textId="77777777" w:rsidR="00964AFD" w:rsidRPr="004F5FB4" w:rsidRDefault="00964AFD" w:rsidP="00387D0C">
      <w:pPr>
        <w:pStyle w:val="BodyText"/>
        <w:widowControl/>
        <w:kinsoku w:val="0"/>
        <w:overflowPunct w:val="0"/>
        <w:ind w:left="0"/>
        <w:rPr>
          <w:color w:val="000000"/>
          <w:lang w:val="en-GB"/>
        </w:rPr>
      </w:pPr>
    </w:p>
    <w:p w14:paraId="22B563CF" w14:textId="77777777" w:rsidR="00964AFD" w:rsidRPr="004F5FB4" w:rsidRDefault="00964AFD" w:rsidP="00CA7719">
      <w:pPr>
        <w:pStyle w:val="BodyText"/>
        <w:keepNext/>
        <w:widowControl/>
        <w:numPr>
          <w:ilvl w:val="0"/>
          <w:numId w:val="21"/>
        </w:numPr>
        <w:kinsoku w:val="0"/>
        <w:overflowPunct w:val="0"/>
        <w:autoSpaceDE w:val="0"/>
        <w:autoSpaceDN w:val="0"/>
        <w:adjustRightInd w:val="0"/>
        <w:ind w:left="0" w:firstLine="0"/>
        <w:rPr>
          <w:b/>
          <w:bCs/>
          <w:color w:val="000000"/>
        </w:rPr>
      </w:pPr>
      <w:r w:rsidRPr="00CA7719">
        <w:rPr>
          <w:b/>
          <w:bCs/>
          <w:color w:val="000000"/>
        </w:rPr>
        <w:t>ZULASSUNGSNUMMER</w:t>
      </w:r>
    </w:p>
    <w:p w14:paraId="23C2CA5A" w14:textId="77777777" w:rsidR="00964AFD" w:rsidRPr="004F5FB4" w:rsidRDefault="00964AFD" w:rsidP="00ED34EF">
      <w:pPr>
        <w:pStyle w:val="BodyText"/>
        <w:keepNext/>
        <w:widowControl/>
        <w:kinsoku w:val="0"/>
        <w:overflowPunct w:val="0"/>
        <w:ind w:left="0"/>
        <w:rPr>
          <w:bCs/>
          <w:color w:val="000000"/>
          <w:szCs w:val="21"/>
          <w:lang w:val="en-GB"/>
        </w:rPr>
      </w:pPr>
    </w:p>
    <w:p w14:paraId="02D9A37C" w14:textId="77777777" w:rsidR="00964AFD" w:rsidRPr="004F5FB4" w:rsidRDefault="007F29E1" w:rsidP="00387D0C">
      <w:pPr>
        <w:pStyle w:val="BodyText"/>
        <w:widowControl/>
        <w:kinsoku w:val="0"/>
        <w:overflowPunct w:val="0"/>
        <w:ind w:left="0"/>
        <w:rPr>
          <w:color w:val="000000"/>
        </w:rPr>
      </w:pPr>
      <w:r w:rsidRPr="004F5FB4">
        <w:rPr>
          <w:color w:val="000000"/>
        </w:rPr>
        <w:t>EU/1/19/1415/001</w:t>
      </w:r>
    </w:p>
    <w:p w14:paraId="726175C7" w14:textId="77777777" w:rsidR="00964AFD" w:rsidRPr="004F5FB4" w:rsidRDefault="00964AFD" w:rsidP="00387D0C">
      <w:pPr>
        <w:pStyle w:val="BodyText"/>
        <w:widowControl/>
        <w:kinsoku w:val="0"/>
        <w:overflowPunct w:val="0"/>
        <w:ind w:left="0"/>
        <w:rPr>
          <w:color w:val="000000"/>
          <w:lang w:val="en-GB"/>
        </w:rPr>
      </w:pPr>
    </w:p>
    <w:p w14:paraId="1FF05A2B" w14:textId="77777777" w:rsidR="008F58BB" w:rsidRPr="004F5FB4" w:rsidRDefault="008F58BB" w:rsidP="00387D0C">
      <w:pPr>
        <w:pStyle w:val="BodyText"/>
        <w:widowControl/>
        <w:kinsoku w:val="0"/>
        <w:overflowPunct w:val="0"/>
        <w:ind w:left="0"/>
        <w:rPr>
          <w:color w:val="000000"/>
          <w:lang w:val="en-GB"/>
        </w:rPr>
      </w:pPr>
    </w:p>
    <w:p w14:paraId="62BFEC60" w14:textId="77777777" w:rsidR="00964AFD" w:rsidRPr="004F5FB4" w:rsidRDefault="00964AFD" w:rsidP="00CA7719">
      <w:pPr>
        <w:pStyle w:val="BodyText"/>
        <w:keepNext/>
        <w:widowControl/>
        <w:numPr>
          <w:ilvl w:val="0"/>
          <w:numId w:val="21"/>
        </w:numPr>
        <w:kinsoku w:val="0"/>
        <w:overflowPunct w:val="0"/>
        <w:autoSpaceDE w:val="0"/>
        <w:autoSpaceDN w:val="0"/>
        <w:adjustRightInd w:val="0"/>
        <w:ind w:left="561" w:hanging="561"/>
        <w:rPr>
          <w:b/>
          <w:bCs/>
          <w:color w:val="000000"/>
        </w:rPr>
      </w:pPr>
      <w:r w:rsidRPr="00CA7719">
        <w:rPr>
          <w:b/>
          <w:bCs/>
          <w:color w:val="000000"/>
        </w:rPr>
        <w:t>DATUM DER ERTEILUNG DER ZULASSUNG/VERLÄNGERUNG DER ZULASSUNG</w:t>
      </w:r>
    </w:p>
    <w:p w14:paraId="77DC0706" w14:textId="77777777" w:rsidR="00964AFD" w:rsidRPr="004F5FB4" w:rsidRDefault="00964AFD" w:rsidP="00ED34EF">
      <w:pPr>
        <w:pStyle w:val="BodyText"/>
        <w:keepNext/>
        <w:widowControl/>
        <w:kinsoku w:val="0"/>
        <w:overflowPunct w:val="0"/>
        <w:ind w:left="0"/>
        <w:rPr>
          <w:bCs/>
          <w:color w:val="000000"/>
          <w:szCs w:val="21"/>
        </w:rPr>
      </w:pPr>
    </w:p>
    <w:p w14:paraId="4F065D73" w14:textId="77777777" w:rsidR="00621663" w:rsidRDefault="00621663" w:rsidP="00387D0C">
      <w:pPr>
        <w:rPr>
          <w:color w:val="000000"/>
        </w:rPr>
      </w:pPr>
      <w:r w:rsidRPr="004F5FB4">
        <w:rPr>
          <w:color w:val="000000"/>
        </w:rPr>
        <w:t xml:space="preserve">Datum der Erteilung der Zulassung: </w:t>
      </w:r>
      <w:r w:rsidR="00FC600D">
        <w:rPr>
          <w:color w:val="000000"/>
        </w:rPr>
        <w:t>13. Februar 2020</w:t>
      </w:r>
    </w:p>
    <w:p w14:paraId="1CF37B9D" w14:textId="59011F0E" w:rsidR="00E5512F" w:rsidRPr="004F5FB4" w:rsidRDefault="003609FA" w:rsidP="00387D0C">
      <w:pPr>
        <w:rPr>
          <w:i/>
          <w:color w:val="000000"/>
        </w:rPr>
      </w:pPr>
      <w:r>
        <w:rPr>
          <w:color w:val="000000"/>
        </w:rPr>
        <w:t xml:space="preserve">Datum der </w:t>
      </w:r>
      <w:r w:rsidR="000C6653">
        <w:rPr>
          <w:color w:val="000000"/>
        </w:rPr>
        <w:t xml:space="preserve">letzten </w:t>
      </w:r>
      <w:r>
        <w:rPr>
          <w:color w:val="000000"/>
        </w:rPr>
        <w:t>Verlängerung der Zulassung:</w:t>
      </w:r>
      <w:r w:rsidR="0056121D">
        <w:rPr>
          <w:color w:val="000000"/>
        </w:rPr>
        <w:t xml:space="preserve"> 19. September 2024</w:t>
      </w:r>
    </w:p>
    <w:p w14:paraId="423BF0C0" w14:textId="77777777" w:rsidR="00964AFD" w:rsidRPr="001E125B" w:rsidRDefault="00964AFD" w:rsidP="00387D0C">
      <w:pPr>
        <w:pStyle w:val="BodyText"/>
        <w:widowControl/>
        <w:kinsoku w:val="0"/>
        <w:overflowPunct w:val="0"/>
        <w:ind w:left="0"/>
        <w:rPr>
          <w:color w:val="000000"/>
        </w:rPr>
      </w:pPr>
    </w:p>
    <w:p w14:paraId="108FC5C7" w14:textId="77777777" w:rsidR="00964AFD" w:rsidRPr="001E125B" w:rsidRDefault="00964AFD" w:rsidP="00387D0C">
      <w:pPr>
        <w:pStyle w:val="BodyText"/>
        <w:widowControl/>
        <w:kinsoku w:val="0"/>
        <w:overflowPunct w:val="0"/>
        <w:ind w:left="0"/>
        <w:rPr>
          <w:color w:val="000000"/>
        </w:rPr>
      </w:pPr>
    </w:p>
    <w:p w14:paraId="76A31677" w14:textId="77777777" w:rsidR="00964AFD" w:rsidRPr="004F5FB4" w:rsidRDefault="00964AFD" w:rsidP="00CA7719">
      <w:pPr>
        <w:pStyle w:val="BodyText"/>
        <w:keepNext/>
        <w:widowControl/>
        <w:numPr>
          <w:ilvl w:val="0"/>
          <w:numId w:val="21"/>
        </w:numPr>
        <w:kinsoku w:val="0"/>
        <w:overflowPunct w:val="0"/>
        <w:autoSpaceDE w:val="0"/>
        <w:autoSpaceDN w:val="0"/>
        <w:adjustRightInd w:val="0"/>
        <w:ind w:left="561" w:hanging="561"/>
        <w:rPr>
          <w:b/>
          <w:bCs/>
          <w:color w:val="000000"/>
        </w:rPr>
      </w:pPr>
      <w:r w:rsidRPr="00CA7719">
        <w:rPr>
          <w:b/>
          <w:bCs/>
          <w:color w:val="000000"/>
        </w:rPr>
        <w:t>STAND DER INFORMATION</w:t>
      </w:r>
    </w:p>
    <w:p w14:paraId="69A1D5C1" w14:textId="77777777" w:rsidR="00964AFD" w:rsidRPr="004F5FB4" w:rsidRDefault="00964AFD" w:rsidP="00ED34EF">
      <w:pPr>
        <w:pStyle w:val="BodyText"/>
        <w:keepNext/>
        <w:widowControl/>
        <w:kinsoku w:val="0"/>
        <w:overflowPunct w:val="0"/>
        <w:ind w:left="0"/>
        <w:rPr>
          <w:bCs/>
          <w:color w:val="000000"/>
          <w:szCs w:val="21"/>
          <w:lang w:val="en-GB"/>
        </w:rPr>
      </w:pPr>
    </w:p>
    <w:p w14:paraId="00923724" w14:textId="673CFADB" w:rsidR="00533B44" w:rsidRPr="004F5FB4" w:rsidRDefault="00964AFD" w:rsidP="00CA7719">
      <w:pPr>
        <w:pStyle w:val="BodyText"/>
        <w:widowControl/>
        <w:kinsoku w:val="0"/>
        <w:overflowPunct w:val="0"/>
        <w:ind w:left="0"/>
        <w:rPr>
          <w:color w:val="000000"/>
        </w:rPr>
      </w:pPr>
      <w:r w:rsidRPr="004F5FB4">
        <w:rPr>
          <w:color w:val="000000"/>
        </w:rPr>
        <w:t xml:space="preserve">Ausführliche Informationen zu diesem Arzneimittel sind auf den Internetseiten der Europäischen Arzneimittel-Agentur </w:t>
      </w:r>
      <w:r w:rsidR="00000C6C">
        <w:fldChar w:fldCharType="begin"/>
      </w:r>
      <w:r w:rsidR="00000C6C">
        <w:instrText>HYPERLINK "https://www.ema.europa.eu"</w:instrText>
      </w:r>
      <w:r w:rsidR="00000C6C">
        <w:fldChar w:fldCharType="separate"/>
      </w:r>
      <w:r w:rsidR="00000C6C" w:rsidRPr="00A242C3">
        <w:rPr>
          <w:rStyle w:val="Hyperlink"/>
        </w:rPr>
        <w:t>https://www.ema.europa.eu</w:t>
      </w:r>
      <w:r w:rsidR="00000C6C">
        <w:fldChar w:fldCharType="end"/>
      </w:r>
      <w:r w:rsidR="009A1B0C" w:rsidRPr="004F5FB4">
        <w:rPr>
          <w:color w:val="000000"/>
        </w:rPr>
        <w:t xml:space="preserve"> </w:t>
      </w:r>
      <w:r w:rsidRPr="004F5FB4">
        <w:rPr>
          <w:color w:val="000000"/>
        </w:rPr>
        <w:t>verfügbar.</w:t>
      </w:r>
    </w:p>
    <w:p w14:paraId="37410DC4" w14:textId="36532A0A" w:rsidR="00C46587" w:rsidRPr="004F5FB4" w:rsidRDefault="00964AFD" w:rsidP="00D459A6">
      <w:pPr>
        <w:keepNext/>
        <w:tabs>
          <w:tab w:val="left" w:pos="562"/>
        </w:tabs>
        <w:rPr>
          <w:b/>
          <w:color w:val="000000"/>
        </w:rPr>
      </w:pPr>
      <w:r w:rsidRPr="004F5FB4">
        <w:rPr>
          <w:color w:val="000000"/>
        </w:rPr>
        <w:br w:type="page"/>
      </w:r>
      <w:r w:rsidR="00C46587" w:rsidRPr="004F5FB4">
        <w:rPr>
          <w:b/>
          <w:color w:val="000000"/>
        </w:rPr>
        <w:lastRenderedPageBreak/>
        <w:t>1</w:t>
      </w:r>
      <w:r w:rsidR="00C46587" w:rsidRPr="004F5FB4">
        <w:rPr>
          <w:b/>
          <w:color w:val="000000"/>
        </w:rPr>
        <w:tab/>
        <w:t>BEZEICHNUNG DES ARZNEIMITTELS</w:t>
      </w:r>
    </w:p>
    <w:p w14:paraId="55B9EE4B" w14:textId="77777777" w:rsidR="00C46587" w:rsidRPr="004F5FB4" w:rsidRDefault="00C46587" w:rsidP="00982118">
      <w:pPr>
        <w:keepNext/>
        <w:rPr>
          <w:color w:val="000000"/>
        </w:rPr>
      </w:pPr>
    </w:p>
    <w:p w14:paraId="58F7A822" w14:textId="77777777" w:rsidR="00C46587" w:rsidRPr="004F5FB4" w:rsidRDefault="006A1144" w:rsidP="00982118">
      <w:pPr>
        <w:rPr>
          <w:color w:val="000000"/>
        </w:rPr>
      </w:pPr>
      <w:r w:rsidRPr="004F5FB4">
        <w:rPr>
          <w:color w:val="000000"/>
        </w:rPr>
        <w:t>Amsparity 40 mg/0,8 ml Injektionslösung</w:t>
      </w:r>
    </w:p>
    <w:p w14:paraId="2FFA07FB" w14:textId="77777777" w:rsidR="00C46587" w:rsidRPr="004F5FB4" w:rsidRDefault="00C46587" w:rsidP="00982118">
      <w:pPr>
        <w:rPr>
          <w:color w:val="000000"/>
        </w:rPr>
      </w:pPr>
    </w:p>
    <w:p w14:paraId="2610E3AE" w14:textId="77777777" w:rsidR="00C46587" w:rsidRPr="004F5FB4" w:rsidRDefault="00C46587" w:rsidP="00982118">
      <w:pPr>
        <w:rPr>
          <w:color w:val="000000"/>
        </w:rPr>
      </w:pPr>
    </w:p>
    <w:p w14:paraId="70FB463A" w14:textId="77777777" w:rsidR="00C46587" w:rsidRPr="004F5FB4" w:rsidRDefault="00C46587" w:rsidP="00982118">
      <w:pPr>
        <w:keepNext/>
        <w:tabs>
          <w:tab w:val="left" w:pos="562"/>
        </w:tabs>
        <w:rPr>
          <w:b/>
          <w:color w:val="000000"/>
        </w:rPr>
      </w:pPr>
      <w:r w:rsidRPr="004F5FB4">
        <w:rPr>
          <w:b/>
          <w:color w:val="000000"/>
        </w:rPr>
        <w:t>2</w:t>
      </w:r>
      <w:r w:rsidRPr="004F5FB4">
        <w:rPr>
          <w:b/>
          <w:color w:val="000000"/>
        </w:rPr>
        <w:tab/>
        <w:t>QUALITATIVE UND QUANTITATIVE ZUSAMMENSETZUNG</w:t>
      </w:r>
    </w:p>
    <w:p w14:paraId="72C20BDD" w14:textId="77777777" w:rsidR="00C46587" w:rsidRPr="004F5FB4" w:rsidRDefault="00C46587" w:rsidP="00982118">
      <w:pPr>
        <w:keepNext/>
        <w:rPr>
          <w:color w:val="000000"/>
        </w:rPr>
      </w:pPr>
    </w:p>
    <w:p w14:paraId="194E139A" w14:textId="77777777" w:rsidR="00C46587" w:rsidRPr="004F5FB4" w:rsidRDefault="00C46587" w:rsidP="00982118">
      <w:pPr>
        <w:rPr>
          <w:color w:val="000000"/>
        </w:rPr>
      </w:pPr>
      <w:r w:rsidRPr="004F5FB4">
        <w:rPr>
          <w:color w:val="000000"/>
        </w:rPr>
        <w:t>Jede Einzeldosis-Durchstechflasche mit 0,8 ml enthält 40 mg Adalimumab.</w:t>
      </w:r>
    </w:p>
    <w:p w14:paraId="6352A73A" w14:textId="77777777" w:rsidR="00C46587" w:rsidRPr="004F5FB4" w:rsidRDefault="00C46587" w:rsidP="00982118">
      <w:pPr>
        <w:rPr>
          <w:color w:val="000000"/>
        </w:rPr>
      </w:pPr>
    </w:p>
    <w:p w14:paraId="74E64352" w14:textId="77777777" w:rsidR="00C46587" w:rsidRPr="004F5FB4" w:rsidRDefault="00C46587" w:rsidP="00982118">
      <w:pPr>
        <w:rPr>
          <w:color w:val="000000"/>
        </w:rPr>
      </w:pPr>
      <w:r w:rsidRPr="004F5FB4">
        <w:rPr>
          <w:color w:val="000000"/>
        </w:rPr>
        <w:t>Adalimumab ist ein rekombinanter humaner monoklonaler Antikörper, der in Ovarialzellen des Chinesischen Hamsters produziert wird.</w:t>
      </w:r>
    </w:p>
    <w:p w14:paraId="40B1862B" w14:textId="77777777" w:rsidR="00C46587" w:rsidRPr="004F5FB4" w:rsidRDefault="00C46587" w:rsidP="00982118">
      <w:pPr>
        <w:rPr>
          <w:color w:val="000000"/>
        </w:rPr>
      </w:pPr>
    </w:p>
    <w:p w14:paraId="2B577998" w14:textId="77777777" w:rsidR="00387502" w:rsidRPr="007F47A9" w:rsidRDefault="00387502" w:rsidP="00387502">
      <w:pPr>
        <w:kinsoku w:val="0"/>
        <w:overflowPunct w:val="0"/>
        <w:rPr>
          <w:u w:val="single"/>
        </w:rPr>
      </w:pPr>
      <w:r>
        <w:rPr>
          <w:u w:val="single"/>
        </w:rPr>
        <w:t>Sonstige Bestandteile mit bekannter Wirkung</w:t>
      </w:r>
      <w:r>
        <w:rPr>
          <w:u w:val="single"/>
        </w:rPr>
        <w:br/>
      </w:r>
    </w:p>
    <w:p w14:paraId="55E097C8" w14:textId="77777777" w:rsidR="00387502" w:rsidRPr="007F47A9" w:rsidRDefault="00387502" w:rsidP="00387502">
      <w:r>
        <w:t xml:space="preserve">Amsparity 40 mg/0,8 ml Injektionslösung enthält 0,16 mg Polysorbat 80 pro Einzeldosis-Durchstechflasche mit 0,8 ml, entsprechend 0,2 mg/ml Polysorbat 80. </w:t>
      </w:r>
    </w:p>
    <w:p w14:paraId="242BAC26" w14:textId="77777777" w:rsidR="00387502" w:rsidRPr="00272A84" w:rsidRDefault="00387502" w:rsidP="00387502"/>
    <w:p w14:paraId="7574F051" w14:textId="77777777" w:rsidR="00C46587" w:rsidRPr="004F5FB4" w:rsidRDefault="00C46587" w:rsidP="00982118">
      <w:pPr>
        <w:rPr>
          <w:color w:val="000000"/>
        </w:rPr>
      </w:pPr>
      <w:r w:rsidRPr="004F5FB4">
        <w:rPr>
          <w:color w:val="000000"/>
        </w:rPr>
        <w:t>Vollständige Auflistung der sonstigen Bestandteile, siehe Abschnitt</w:t>
      </w:r>
      <w:r w:rsidR="00DE30C2" w:rsidRPr="004F5FB4">
        <w:rPr>
          <w:color w:val="000000"/>
        </w:rPr>
        <w:t> </w:t>
      </w:r>
      <w:r w:rsidRPr="004F5FB4">
        <w:rPr>
          <w:color w:val="000000"/>
        </w:rPr>
        <w:t>6.1.</w:t>
      </w:r>
    </w:p>
    <w:p w14:paraId="22344552" w14:textId="77777777" w:rsidR="00C46587" w:rsidRPr="004F5FB4" w:rsidRDefault="00C46587" w:rsidP="00982118">
      <w:pPr>
        <w:rPr>
          <w:color w:val="000000"/>
        </w:rPr>
      </w:pPr>
    </w:p>
    <w:p w14:paraId="4A5411DC" w14:textId="77777777" w:rsidR="00C46587" w:rsidRPr="004F5FB4" w:rsidRDefault="00C46587" w:rsidP="00982118">
      <w:pPr>
        <w:rPr>
          <w:color w:val="000000"/>
        </w:rPr>
      </w:pPr>
    </w:p>
    <w:p w14:paraId="163E122C" w14:textId="77777777" w:rsidR="00C46587" w:rsidRPr="004F5FB4" w:rsidRDefault="00C46587" w:rsidP="00982118">
      <w:pPr>
        <w:keepNext/>
        <w:tabs>
          <w:tab w:val="left" w:pos="562"/>
        </w:tabs>
        <w:rPr>
          <w:b/>
          <w:color w:val="000000"/>
        </w:rPr>
      </w:pPr>
      <w:r w:rsidRPr="004F5FB4">
        <w:rPr>
          <w:b/>
          <w:color w:val="000000"/>
        </w:rPr>
        <w:t>3</w:t>
      </w:r>
      <w:r w:rsidRPr="004F5FB4">
        <w:rPr>
          <w:b/>
          <w:color w:val="000000"/>
        </w:rPr>
        <w:tab/>
        <w:t xml:space="preserve">DARREICHUNGSFORM </w:t>
      </w:r>
    </w:p>
    <w:p w14:paraId="664BCF04" w14:textId="77777777" w:rsidR="00C46587" w:rsidRPr="004F5FB4" w:rsidRDefault="00C46587" w:rsidP="00982118">
      <w:pPr>
        <w:keepNext/>
        <w:rPr>
          <w:color w:val="000000"/>
        </w:rPr>
      </w:pPr>
    </w:p>
    <w:p w14:paraId="0551ACAA" w14:textId="77777777" w:rsidR="00C46587" w:rsidRPr="004F5FB4" w:rsidRDefault="00C46587" w:rsidP="00982118">
      <w:pPr>
        <w:rPr>
          <w:color w:val="000000"/>
        </w:rPr>
      </w:pPr>
      <w:r w:rsidRPr="004F5FB4">
        <w:rPr>
          <w:color w:val="000000"/>
        </w:rPr>
        <w:t>Injektionslösung (Injektion)</w:t>
      </w:r>
    </w:p>
    <w:p w14:paraId="2959B1ED" w14:textId="77777777" w:rsidR="00C46587" w:rsidRPr="004F5FB4" w:rsidRDefault="00C46587" w:rsidP="00982118">
      <w:pPr>
        <w:rPr>
          <w:color w:val="000000"/>
        </w:rPr>
      </w:pPr>
    </w:p>
    <w:p w14:paraId="710BA577" w14:textId="77777777" w:rsidR="00C46587" w:rsidRPr="004F5FB4" w:rsidRDefault="00C46587" w:rsidP="00982118">
      <w:pPr>
        <w:rPr>
          <w:color w:val="000000"/>
        </w:rPr>
      </w:pPr>
      <w:r w:rsidRPr="004F5FB4">
        <w:rPr>
          <w:color w:val="000000"/>
        </w:rPr>
        <w:t xml:space="preserve">Klare, farblose bis sehr hellbraune Lösung </w:t>
      </w:r>
    </w:p>
    <w:p w14:paraId="66D7B44C" w14:textId="77777777" w:rsidR="00C46587" w:rsidRPr="004F5FB4" w:rsidRDefault="00C46587" w:rsidP="00982118">
      <w:pPr>
        <w:rPr>
          <w:color w:val="000000"/>
        </w:rPr>
      </w:pPr>
    </w:p>
    <w:p w14:paraId="7C2CC15D" w14:textId="77777777" w:rsidR="007E0DEB" w:rsidRPr="004F5FB4" w:rsidRDefault="007E0DEB" w:rsidP="00982118">
      <w:pPr>
        <w:rPr>
          <w:color w:val="000000"/>
        </w:rPr>
      </w:pPr>
    </w:p>
    <w:p w14:paraId="5C03135B" w14:textId="77777777" w:rsidR="00C46587" w:rsidRPr="004F5FB4" w:rsidRDefault="00C46587" w:rsidP="00982118">
      <w:pPr>
        <w:keepNext/>
        <w:tabs>
          <w:tab w:val="left" w:pos="562"/>
        </w:tabs>
        <w:rPr>
          <w:b/>
          <w:color w:val="000000"/>
        </w:rPr>
      </w:pPr>
      <w:r w:rsidRPr="004F5FB4">
        <w:rPr>
          <w:b/>
          <w:color w:val="000000"/>
        </w:rPr>
        <w:t>4</w:t>
      </w:r>
      <w:r w:rsidRPr="004F5FB4">
        <w:rPr>
          <w:b/>
          <w:color w:val="000000"/>
        </w:rPr>
        <w:tab/>
        <w:t xml:space="preserve">KLINISCHE ANGABEN </w:t>
      </w:r>
    </w:p>
    <w:p w14:paraId="7D0A6C96" w14:textId="77777777" w:rsidR="00C46587" w:rsidRPr="004F5FB4" w:rsidRDefault="00C46587" w:rsidP="00982118">
      <w:pPr>
        <w:keepNext/>
        <w:rPr>
          <w:color w:val="000000"/>
        </w:rPr>
      </w:pPr>
    </w:p>
    <w:p w14:paraId="13F4B13A" w14:textId="77777777" w:rsidR="00C46587" w:rsidRPr="004F5FB4" w:rsidRDefault="00C46587" w:rsidP="00982118">
      <w:pPr>
        <w:keepNext/>
        <w:tabs>
          <w:tab w:val="left" w:pos="562"/>
        </w:tabs>
        <w:rPr>
          <w:b/>
          <w:color w:val="000000"/>
        </w:rPr>
      </w:pPr>
      <w:r w:rsidRPr="004F5FB4">
        <w:rPr>
          <w:b/>
          <w:color w:val="000000"/>
        </w:rPr>
        <w:t>4.1</w:t>
      </w:r>
      <w:r w:rsidRPr="004F5FB4">
        <w:rPr>
          <w:b/>
          <w:color w:val="000000"/>
        </w:rPr>
        <w:tab/>
        <w:t xml:space="preserve">Anwendungsgebiete </w:t>
      </w:r>
    </w:p>
    <w:p w14:paraId="2D3FC5EE" w14:textId="77777777" w:rsidR="00C46587" w:rsidRPr="004F5FB4" w:rsidRDefault="00C46587" w:rsidP="00982118">
      <w:pPr>
        <w:keepNext/>
        <w:rPr>
          <w:color w:val="000000"/>
        </w:rPr>
      </w:pPr>
    </w:p>
    <w:p w14:paraId="0298F65C" w14:textId="77777777" w:rsidR="00C46587" w:rsidRPr="004F5FB4" w:rsidRDefault="00C46587" w:rsidP="00982118">
      <w:pPr>
        <w:keepNext/>
        <w:rPr>
          <w:color w:val="000000"/>
          <w:u w:val="single"/>
        </w:rPr>
      </w:pPr>
      <w:r w:rsidRPr="004F5FB4">
        <w:rPr>
          <w:color w:val="000000"/>
          <w:u w:val="single"/>
        </w:rPr>
        <w:t>Juvenile idiopathische Arthritis</w:t>
      </w:r>
    </w:p>
    <w:p w14:paraId="412FD20E" w14:textId="77777777" w:rsidR="00C46587" w:rsidRPr="004F5FB4" w:rsidRDefault="00C46587" w:rsidP="00982118">
      <w:pPr>
        <w:keepNext/>
        <w:rPr>
          <w:color w:val="000000"/>
        </w:rPr>
      </w:pPr>
    </w:p>
    <w:p w14:paraId="629A4A7D" w14:textId="77777777" w:rsidR="00C46587" w:rsidRPr="004F5FB4" w:rsidRDefault="00C46587" w:rsidP="00982118">
      <w:pPr>
        <w:keepNext/>
        <w:rPr>
          <w:i/>
          <w:color w:val="000000"/>
        </w:rPr>
      </w:pPr>
      <w:r w:rsidRPr="004F5FB4">
        <w:rPr>
          <w:i/>
          <w:color w:val="000000"/>
        </w:rPr>
        <w:t>Polyartikuläre juvenile idiopathische Arthritis</w:t>
      </w:r>
    </w:p>
    <w:p w14:paraId="5428815D" w14:textId="77777777" w:rsidR="00C46587" w:rsidRPr="004F5FB4" w:rsidRDefault="00C46587" w:rsidP="00982118">
      <w:pPr>
        <w:keepNext/>
        <w:rPr>
          <w:color w:val="000000"/>
        </w:rPr>
      </w:pPr>
    </w:p>
    <w:p w14:paraId="30F7B277" w14:textId="77777777" w:rsidR="00C46587" w:rsidRPr="004F5FB4" w:rsidRDefault="006A1144" w:rsidP="00982118">
      <w:pPr>
        <w:rPr>
          <w:color w:val="000000"/>
        </w:rPr>
      </w:pPr>
      <w:r w:rsidRPr="004F5FB4">
        <w:rPr>
          <w:color w:val="000000"/>
        </w:rPr>
        <w:t xml:space="preserve">Amsparity </w:t>
      </w:r>
      <w:r w:rsidR="00484873" w:rsidRPr="004F5FB4">
        <w:rPr>
          <w:color w:val="000000"/>
        </w:rPr>
        <w:t xml:space="preserve">wird </w:t>
      </w:r>
      <w:r w:rsidRPr="004F5FB4">
        <w:rPr>
          <w:color w:val="000000"/>
        </w:rPr>
        <w:t xml:space="preserve">in Kombination mit Methotrexat </w:t>
      </w:r>
      <w:r w:rsidR="00484873" w:rsidRPr="004F5FB4">
        <w:rPr>
          <w:color w:val="000000"/>
        </w:rPr>
        <w:t xml:space="preserve">angewendet </w:t>
      </w:r>
      <w:r w:rsidRPr="004F5FB4">
        <w:rPr>
          <w:color w:val="000000"/>
        </w:rPr>
        <w:t>zur Behandlung der aktiven polyartikulären juvenilen idiopathischen Arthritis bei Patienten ab dem Alter von 2</w:t>
      </w:r>
      <w:r w:rsidR="00DE30C2" w:rsidRPr="004F5FB4">
        <w:rPr>
          <w:color w:val="000000"/>
        </w:rPr>
        <w:t> </w:t>
      </w:r>
      <w:r w:rsidRPr="004F5FB4">
        <w:rPr>
          <w:color w:val="000000"/>
        </w:rPr>
        <w:t>Jahren, die nur unzureichend auf ein oder mehrere krankheitsmodifizierende Antirheumatika (DMARDs) angesprochen haben. Amsparity kann im Falle einer Unverträglichkeit gegenüber Methotrexat oder, wenn die weitere Behandlung mit Methotrexat nicht sinnvoll ist, als Monotherapie angewendet werden (zur Wirksamkeit bei der Monotherapie siehe Abschnitt</w:t>
      </w:r>
      <w:r w:rsidR="00DE30C2" w:rsidRPr="004F5FB4">
        <w:rPr>
          <w:color w:val="000000"/>
        </w:rPr>
        <w:t> </w:t>
      </w:r>
      <w:r w:rsidRPr="004F5FB4">
        <w:rPr>
          <w:color w:val="000000"/>
        </w:rPr>
        <w:t>5.1). Bei Patienten, die jünger als 2 Jahre sind, wurde Adalimumab nicht untersucht.</w:t>
      </w:r>
    </w:p>
    <w:p w14:paraId="2986455D" w14:textId="77777777" w:rsidR="00C46587" w:rsidRPr="004F5FB4" w:rsidRDefault="00C46587" w:rsidP="00982118">
      <w:pPr>
        <w:rPr>
          <w:color w:val="000000"/>
        </w:rPr>
      </w:pPr>
    </w:p>
    <w:p w14:paraId="1F1FDB3A" w14:textId="77777777" w:rsidR="00C46587" w:rsidRPr="004F5FB4" w:rsidRDefault="00C46587" w:rsidP="00982118">
      <w:pPr>
        <w:keepNext/>
        <w:rPr>
          <w:i/>
          <w:color w:val="000000"/>
        </w:rPr>
      </w:pPr>
      <w:r w:rsidRPr="004F5FB4">
        <w:rPr>
          <w:i/>
          <w:color w:val="000000"/>
        </w:rPr>
        <w:t>Enthesitis-assoziierte Arthritis</w:t>
      </w:r>
    </w:p>
    <w:p w14:paraId="2429FCC4" w14:textId="77777777" w:rsidR="00C46587" w:rsidRPr="004F5FB4" w:rsidRDefault="00C46587" w:rsidP="00982118">
      <w:pPr>
        <w:keepNext/>
        <w:rPr>
          <w:color w:val="000000"/>
        </w:rPr>
      </w:pPr>
    </w:p>
    <w:p w14:paraId="79D2A39F" w14:textId="77777777" w:rsidR="00C46587" w:rsidRPr="004F5FB4" w:rsidRDefault="006A1144" w:rsidP="00982118">
      <w:pPr>
        <w:rPr>
          <w:color w:val="000000"/>
        </w:rPr>
      </w:pPr>
      <w:r w:rsidRPr="004F5FB4">
        <w:rPr>
          <w:color w:val="000000"/>
        </w:rPr>
        <w:t xml:space="preserve">Amsparity </w:t>
      </w:r>
      <w:r w:rsidR="00484873" w:rsidRPr="004F5FB4">
        <w:rPr>
          <w:color w:val="000000"/>
        </w:rPr>
        <w:t xml:space="preserve">wird angewendet </w:t>
      </w:r>
      <w:r w:rsidRPr="004F5FB4">
        <w:rPr>
          <w:color w:val="000000"/>
        </w:rPr>
        <w:t>zur Behandlung der aktiven Enthesitis-assoziierten Arthritis bei Patienten, die 6</w:t>
      </w:r>
      <w:r w:rsidR="00DE30C2" w:rsidRPr="004F5FB4">
        <w:rPr>
          <w:color w:val="000000"/>
        </w:rPr>
        <w:t> </w:t>
      </w:r>
      <w:r w:rsidRPr="004F5FB4">
        <w:rPr>
          <w:color w:val="000000"/>
        </w:rPr>
        <w:t>Jahre und älter sind und die nur unzureichend auf eine konventionelle Therapie angesprochen haben oder die eine Unverträglichkeit gegenüber einer solchen Therapie haben (siehe Abschnitt</w:t>
      </w:r>
      <w:r w:rsidR="00DE30C2" w:rsidRPr="004F5FB4">
        <w:rPr>
          <w:color w:val="000000"/>
        </w:rPr>
        <w:t> </w:t>
      </w:r>
      <w:r w:rsidRPr="004F5FB4">
        <w:rPr>
          <w:color w:val="000000"/>
        </w:rPr>
        <w:t xml:space="preserve">5.1). </w:t>
      </w:r>
    </w:p>
    <w:p w14:paraId="20DC0259" w14:textId="77777777" w:rsidR="00C46587" w:rsidRPr="004F5FB4" w:rsidRDefault="00C46587" w:rsidP="00982118">
      <w:pPr>
        <w:rPr>
          <w:color w:val="000000"/>
        </w:rPr>
      </w:pPr>
    </w:p>
    <w:p w14:paraId="3352E647" w14:textId="77777777" w:rsidR="00C46587" w:rsidRPr="004F5FB4" w:rsidRDefault="00C46587" w:rsidP="00982118">
      <w:pPr>
        <w:keepNext/>
        <w:rPr>
          <w:color w:val="000000"/>
          <w:u w:val="single"/>
        </w:rPr>
      </w:pPr>
      <w:r w:rsidRPr="004F5FB4">
        <w:rPr>
          <w:color w:val="000000"/>
          <w:u w:val="single"/>
        </w:rPr>
        <w:t>Plaque-Psoriasis bei Kindern und Jugendlichen</w:t>
      </w:r>
    </w:p>
    <w:p w14:paraId="0E58F262" w14:textId="77777777" w:rsidR="00C46587" w:rsidRPr="004F5FB4" w:rsidRDefault="00C46587" w:rsidP="00982118">
      <w:pPr>
        <w:keepNext/>
        <w:rPr>
          <w:color w:val="000000"/>
        </w:rPr>
      </w:pPr>
    </w:p>
    <w:p w14:paraId="0557631C" w14:textId="77777777" w:rsidR="00C46587" w:rsidRPr="004F5FB4" w:rsidRDefault="006A1144" w:rsidP="00982118">
      <w:pPr>
        <w:rPr>
          <w:color w:val="000000"/>
        </w:rPr>
      </w:pPr>
      <w:r w:rsidRPr="004F5FB4">
        <w:rPr>
          <w:color w:val="000000"/>
        </w:rPr>
        <w:t xml:space="preserve">Amsparity </w:t>
      </w:r>
      <w:r w:rsidR="00484873" w:rsidRPr="004F5FB4">
        <w:rPr>
          <w:color w:val="000000"/>
        </w:rPr>
        <w:t>wird angewendet</w:t>
      </w:r>
      <w:r w:rsidRPr="004F5FB4">
        <w:rPr>
          <w:color w:val="000000"/>
        </w:rPr>
        <w:t xml:space="preserve"> zur Behandlung der schweren chronischen Plaque-Psoriasis bei Kindern und Jugendlichen ab dem Alter von 4</w:t>
      </w:r>
      <w:r w:rsidR="00DE30C2" w:rsidRPr="004F5FB4">
        <w:rPr>
          <w:color w:val="000000"/>
        </w:rPr>
        <w:t> </w:t>
      </w:r>
      <w:r w:rsidRPr="004F5FB4">
        <w:rPr>
          <w:color w:val="000000"/>
        </w:rPr>
        <w:t>Jahren, die nur unzureichend auf eine topische Therapie und Phototherapien angesprochen haben oder für die diese Therapien nicht geeignet sind.</w:t>
      </w:r>
    </w:p>
    <w:p w14:paraId="0481E3EB" w14:textId="77777777" w:rsidR="00C46587" w:rsidRPr="004F5FB4" w:rsidRDefault="00C46587" w:rsidP="00982118">
      <w:pPr>
        <w:rPr>
          <w:color w:val="000000"/>
        </w:rPr>
      </w:pPr>
    </w:p>
    <w:p w14:paraId="06117170" w14:textId="77777777" w:rsidR="00465659" w:rsidRPr="004F5FB4" w:rsidRDefault="00465659" w:rsidP="00465659">
      <w:pPr>
        <w:keepNext/>
        <w:rPr>
          <w:color w:val="000000"/>
          <w:u w:val="single"/>
        </w:rPr>
      </w:pPr>
      <w:r w:rsidRPr="004F5FB4">
        <w:rPr>
          <w:color w:val="000000"/>
          <w:u w:val="single"/>
        </w:rPr>
        <w:lastRenderedPageBreak/>
        <w:t>Hidradenitis suppurativa (Acne inversa) bei Jugendlichen</w:t>
      </w:r>
    </w:p>
    <w:p w14:paraId="6639789A" w14:textId="77777777" w:rsidR="00465659" w:rsidRPr="004F5FB4" w:rsidRDefault="00465659" w:rsidP="00465659">
      <w:pPr>
        <w:keepNext/>
        <w:rPr>
          <w:color w:val="000000"/>
        </w:rPr>
      </w:pPr>
    </w:p>
    <w:p w14:paraId="45D49E83" w14:textId="77777777" w:rsidR="00465659" w:rsidRDefault="00465659" w:rsidP="00465659">
      <w:pPr>
        <w:rPr>
          <w:color w:val="000000"/>
        </w:rPr>
      </w:pPr>
      <w:r w:rsidRPr="004F5FB4">
        <w:rPr>
          <w:color w:val="000000"/>
        </w:rPr>
        <w:t>Amsparity wird angewendet zur Behandlung der mittelschweren bis schweren aktiven Hidradenitis suppurativa (HS) bei Jugendlichen ab einem Alter von 12 Jahren, die unzureichend auf eine konventionelle systemische HS-Therapie ansprechen (siehe Abschnitte 5.1 und 5.2).</w:t>
      </w:r>
    </w:p>
    <w:p w14:paraId="08D1D704" w14:textId="77777777" w:rsidR="00465659" w:rsidRPr="004F5FB4" w:rsidRDefault="00465659" w:rsidP="00465659">
      <w:pPr>
        <w:rPr>
          <w:color w:val="000000"/>
        </w:rPr>
      </w:pPr>
    </w:p>
    <w:p w14:paraId="75327C9B" w14:textId="77777777" w:rsidR="00C46587" w:rsidRPr="004F5FB4" w:rsidRDefault="00C46587" w:rsidP="00982118">
      <w:pPr>
        <w:keepNext/>
        <w:rPr>
          <w:color w:val="000000"/>
          <w:u w:val="single"/>
        </w:rPr>
      </w:pPr>
      <w:r w:rsidRPr="004F5FB4">
        <w:rPr>
          <w:color w:val="000000"/>
          <w:u w:val="single"/>
        </w:rPr>
        <w:t>Morbus Crohn bei Kindern und Jugendlichen</w:t>
      </w:r>
    </w:p>
    <w:p w14:paraId="2CE34371" w14:textId="77777777" w:rsidR="00C46587" w:rsidRPr="004F5FB4" w:rsidRDefault="00C46587" w:rsidP="00982118">
      <w:pPr>
        <w:keepNext/>
        <w:rPr>
          <w:color w:val="000000"/>
        </w:rPr>
      </w:pPr>
    </w:p>
    <w:p w14:paraId="259F06B7" w14:textId="77777777" w:rsidR="00C46587" w:rsidRPr="004F5FB4" w:rsidRDefault="006A1144" w:rsidP="00982118">
      <w:pPr>
        <w:rPr>
          <w:color w:val="000000"/>
        </w:rPr>
      </w:pPr>
      <w:r w:rsidRPr="004F5FB4">
        <w:rPr>
          <w:color w:val="000000"/>
        </w:rPr>
        <w:t xml:space="preserve">Amsparity </w:t>
      </w:r>
      <w:r w:rsidR="00484873" w:rsidRPr="004F5FB4">
        <w:rPr>
          <w:color w:val="000000"/>
        </w:rPr>
        <w:t xml:space="preserve">wird angewendet </w:t>
      </w:r>
      <w:r w:rsidRPr="004F5FB4">
        <w:rPr>
          <w:color w:val="000000"/>
        </w:rPr>
        <w:t>zur Behandlung des mittelschweren bis schweren, aktiven Morbus Crohn bei Kindern und Jugendlichen (ab dem Alter von 6</w:t>
      </w:r>
      <w:r w:rsidR="00DE30C2" w:rsidRPr="004F5FB4">
        <w:rPr>
          <w:color w:val="000000"/>
        </w:rPr>
        <w:t> </w:t>
      </w:r>
      <w:r w:rsidRPr="004F5FB4">
        <w:rPr>
          <w:color w:val="000000"/>
        </w:rPr>
        <w:t xml:space="preserve">Jahren), die nur unzureichend auf eine konventionelle Therapie, einschließlich primärer Ernährungstherapie und eines </w:t>
      </w:r>
      <w:r w:rsidR="00080E9F" w:rsidRPr="004F5FB4">
        <w:rPr>
          <w:color w:val="000000"/>
        </w:rPr>
        <w:t>Glukok</w:t>
      </w:r>
      <w:r w:rsidRPr="004F5FB4">
        <w:rPr>
          <w:color w:val="000000"/>
        </w:rPr>
        <w:t>ortikoids und/</w:t>
      </w:r>
      <w:r w:rsidR="00080E9F" w:rsidRPr="004F5FB4">
        <w:rPr>
          <w:color w:val="000000"/>
        </w:rPr>
        <w:t xml:space="preserve"> </w:t>
      </w:r>
      <w:r w:rsidRPr="004F5FB4">
        <w:rPr>
          <w:color w:val="000000"/>
        </w:rPr>
        <w:t>oder eines Immun</w:t>
      </w:r>
      <w:r w:rsidR="00080E9F" w:rsidRPr="004F5FB4">
        <w:rPr>
          <w:color w:val="000000"/>
        </w:rPr>
        <w:t>suppressivum</w:t>
      </w:r>
      <w:r w:rsidRPr="004F5FB4">
        <w:rPr>
          <w:color w:val="000000"/>
        </w:rPr>
        <w:t xml:space="preserve">, angesprochen haben oder die eine Unverträglichkeit gegenüber einer solchen Therapie haben oder bei denen eine solche Therapie kontraindiziert ist. </w:t>
      </w:r>
    </w:p>
    <w:p w14:paraId="60D16AF4" w14:textId="77777777" w:rsidR="00C46587" w:rsidRPr="004F5FB4" w:rsidRDefault="00C46587" w:rsidP="00982118">
      <w:pPr>
        <w:rPr>
          <w:color w:val="000000"/>
        </w:rPr>
      </w:pPr>
    </w:p>
    <w:p w14:paraId="5D00EFA0" w14:textId="77777777" w:rsidR="00465659" w:rsidRPr="004F5FB4" w:rsidRDefault="00465659" w:rsidP="00465659">
      <w:pPr>
        <w:keepNext/>
        <w:rPr>
          <w:color w:val="000000"/>
          <w:u w:val="single"/>
        </w:rPr>
      </w:pPr>
      <w:r w:rsidRPr="004F5FB4">
        <w:rPr>
          <w:color w:val="000000"/>
          <w:u w:val="single"/>
        </w:rPr>
        <w:t>Colitis ulcerosa</w:t>
      </w:r>
      <w:r w:rsidR="00654F89">
        <w:rPr>
          <w:color w:val="000000"/>
          <w:u w:val="single"/>
        </w:rPr>
        <w:t xml:space="preserve"> bei Kindern und Jugendlichen</w:t>
      </w:r>
    </w:p>
    <w:p w14:paraId="07F5B6ED" w14:textId="77777777" w:rsidR="00465659" w:rsidRPr="004F5FB4" w:rsidRDefault="00465659" w:rsidP="00465659">
      <w:pPr>
        <w:keepNext/>
        <w:rPr>
          <w:color w:val="000000"/>
        </w:rPr>
      </w:pPr>
    </w:p>
    <w:p w14:paraId="787767DA" w14:textId="77777777" w:rsidR="00465659" w:rsidRPr="004F5FB4" w:rsidRDefault="00465659" w:rsidP="00465659">
      <w:pPr>
        <w:rPr>
          <w:color w:val="000000"/>
        </w:rPr>
      </w:pPr>
      <w:r w:rsidRPr="004F5FB4">
        <w:rPr>
          <w:color w:val="000000"/>
        </w:rPr>
        <w:t xml:space="preserve">Amsparity wird angewendet zur Behandlung der mittelschweren bis schweren aktiven Colitis ulcerosa bei </w:t>
      </w:r>
      <w:r>
        <w:rPr>
          <w:color w:val="000000"/>
        </w:rPr>
        <w:t>Kindern und Jugendlichen (ab dem Alter von 6 Jahren)</w:t>
      </w:r>
      <w:r w:rsidRPr="004F5FB4">
        <w:rPr>
          <w:color w:val="000000"/>
        </w:rPr>
        <w:t xml:space="preserve">, </w:t>
      </w:r>
      <w:r w:rsidRPr="00465659">
        <w:rPr>
          <w:color w:val="000000"/>
        </w:rPr>
        <w:t>die nur unzureichend auf eine</w:t>
      </w:r>
      <w:r>
        <w:rPr>
          <w:color w:val="000000"/>
        </w:rPr>
        <w:t xml:space="preserve"> </w:t>
      </w:r>
      <w:r w:rsidRPr="00465659">
        <w:rPr>
          <w:color w:val="000000"/>
        </w:rPr>
        <w:t>konventionelle Therapie, einschließlich Kortikosteroiden und/oder 6-Mercaptopurin (6-MP) oder</w:t>
      </w:r>
      <w:r>
        <w:rPr>
          <w:color w:val="000000"/>
        </w:rPr>
        <w:t xml:space="preserve"> </w:t>
      </w:r>
      <w:r w:rsidRPr="00465659">
        <w:rPr>
          <w:color w:val="000000"/>
        </w:rPr>
        <w:t>Azathioprin (AZA), angesprochen haben oder die eine Unverträglichkeit gegenüber einer solchen</w:t>
      </w:r>
      <w:r>
        <w:rPr>
          <w:color w:val="000000"/>
        </w:rPr>
        <w:t xml:space="preserve"> </w:t>
      </w:r>
      <w:r w:rsidRPr="00465659">
        <w:rPr>
          <w:color w:val="000000"/>
        </w:rPr>
        <w:t>Therapie haben oder bei denen eine solche Therapie kontraindiziert ist.</w:t>
      </w:r>
    </w:p>
    <w:p w14:paraId="17D81A85" w14:textId="77777777" w:rsidR="00465659" w:rsidRPr="004F5FB4" w:rsidRDefault="00465659" w:rsidP="00465659">
      <w:pPr>
        <w:rPr>
          <w:color w:val="000000"/>
        </w:rPr>
      </w:pPr>
    </w:p>
    <w:p w14:paraId="587E31C3" w14:textId="77777777" w:rsidR="00803A33" w:rsidRPr="004F5FB4" w:rsidRDefault="00C46587" w:rsidP="00ED34EF">
      <w:pPr>
        <w:keepNext/>
        <w:rPr>
          <w:color w:val="000000"/>
          <w:u w:val="single"/>
        </w:rPr>
      </w:pPr>
      <w:r w:rsidRPr="004F5FB4">
        <w:rPr>
          <w:color w:val="000000"/>
          <w:u w:val="single"/>
        </w:rPr>
        <w:t>Uveitis bei Kindern und Jugendlichen</w:t>
      </w:r>
    </w:p>
    <w:p w14:paraId="7C47F0AF" w14:textId="77777777" w:rsidR="00803A33" w:rsidRPr="004F5FB4" w:rsidRDefault="00803A33" w:rsidP="00ED34EF">
      <w:pPr>
        <w:keepNext/>
        <w:rPr>
          <w:color w:val="000000"/>
        </w:rPr>
      </w:pPr>
    </w:p>
    <w:p w14:paraId="6EE96A86" w14:textId="77777777" w:rsidR="00803A33" w:rsidRPr="004F5FB4" w:rsidRDefault="006A1144" w:rsidP="00982118">
      <w:pPr>
        <w:rPr>
          <w:color w:val="000000"/>
        </w:rPr>
      </w:pPr>
      <w:r w:rsidRPr="004F5FB4">
        <w:rPr>
          <w:color w:val="000000"/>
        </w:rPr>
        <w:t xml:space="preserve">Amsparity </w:t>
      </w:r>
      <w:r w:rsidR="00484873" w:rsidRPr="004F5FB4">
        <w:rPr>
          <w:color w:val="000000"/>
        </w:rPr>
        <w:t>wird angewendet</w:t>
      </w:r>
      <w:r w:rsidRPr="004F5FB4">
        <w:rPr>
          <w:color w:val="000000"/>
        </w:rPr>
        <w:t xml:space="preserve"> zur Behandlung der chronischen nicht infektiösen Uveitis anterior bei Kindern und Jugendlichen ab dem Alter von 2</w:t>
      </w:r>
      <w:r w:rsidR="00DE30C2" w:rsidRPr="004F5FB4">
        <w:rPr>
          <w:color w:val="000000"/>
        </w:rPr>
        <w:t> </w:t>
      </w:r>
      <w:r w:rsidRPr="004F5FB4">
        <w:rPr>
          <w:color w:val="000000"/>
        </w:rPr>
        <w:t>Jahren, die unzureichend auf eine konventionelle Therapie angesprochen haben oder die eine Unverträglichkeit gegenüber einer solchen Therapie haben oder für die eine konventionelle Therapie nicht geeignet ist.</w:t>
      </w:r>
    </w:p>
    <w:p w14:paraId="0BA887C0" w14:textId="77777777" w:rsidR="00C46587" w:rsidRPr="004F5FB4" w:rsidRDefault="00C46587" w:rsidP="00982118">
      <w:pPr>
        <w:rPr>
          <w:color w:val="000000"/>
        </w:rPr>
      </w:pPr>
    </w:p>
    <w:p w14:paraId="5B6C87F9" w14:textId="77777777" w:rsidR="00C46587" w:rsidRPr="004F5FB4" w:rsidRDefault="00C46587" w:rsidP="00982118">
      <w:pPr>
        <w:keepNext/>
        <w:tabs>
          <w:tab w:val="left" w:pos="562"/>
        </w:tabs>
        <w:rPr>
          <w:b/>
          <w:color w:val="000000"/>
        </w:rPr>
      </w:pPr>
      <w:r w:rsidRPr="004F5FB4">
        <w:rPr>
          <w:b/>
          <w:color w:val="000000"/>
        </w:rPr>
        <w:t>4.2</w:t>
      </w:r>
      <w:r w:rsidRPr="004F5FB4">
        <w:rPr>
          <w:b/>
          <w:color w:val="000000"/>
        </w:rPr>
        <w:tab/>
        <w:t>Dosierung und Art der Anwendung</w:t>
      </w:r>
    </w:p>
    <w:p w14:paraId="6DA93046" w14:textId="77777777" w:rsidR="00C46587" w:rsidRPr="004F5FB4" w:rsidRDefault="00C46587" w:rsidP="00982118">
      <w:pPr>
        <w:keepNext/>
        <w:rPr>
          <w:color w:val="000000"/>
        </w:rPr>
      </w:pPr>
    </w:p>
    <w:p w14:paraId="0EADDEF3" w14:textId="77777777" w:rsidR="00C46587" w:rsidRPr="004F5FB4" w:rsidRDefault="006A1144" w:rsidP="00982118">
      <w:pPr>
        <w:rPr>
          <w:color w:val="000000"/>
        </w:rPr>
      </w:pPr>
      <w:r w:rsidRPr="004F5FB4">
        <w:rPr>
          <w:color w:val="000000"/>
        </w:rPr>
        <w:t>Die Behandlung mit Amsparity sollte von einem Facharzt mit Erfahrung in der Diagnose und Behandlung von Krankheitszuständen, für die Amsparity indiziert ist, eingeleitet und überwacht werden. Augenärzten wird angeraten, vor der Einleitung einer Amsparity-Therapie einen entsprechenden Spezialisten zurate zu ziehen (siehe Abschnitt</w:t>
      </w:r>
      <w:r w:rsidR="00DE30C2" w:rsidRPr="004F5FB4">
        <w:rPr>
          <w:color w:val="000000"/>
        </w:rPr>
        <w:t> </w:t>
      </w:r>
      <w:r w:rsidRPr="004F5FB4">
        <w:rPr>
          <w:color w:val="000000"/>
        </w:rPr>
        <w:t>4.4). Patienten, die mit Amsparity behandelt werden, sollte der spezielle Patientenpass ausgehändigt werden.</w:t>
      </w:r>
    </w:p>
    <w:p w14:paraId="3F4ECAF2" w14:textId="77777777" w:rsidR="00C46587" w:rsidRPr="004F5FB4" w:rsidRDefault="00C46587" w:rsidP="00982118">
      <w:pPr>
        <w:rPr>
          <w:color w:val="000000"/>
        </w:rPr>
      </w:pPr>
    </w:p>
    <w:p w14:paraId="4CCC885F" w14:textId="77777777" w:rsidR="00C46587" w:rsidRPr="004F5FB4" w:rsidRDefault="00837305" w:rsidP="00982118">
      <w:pPr>
        <w:rPr>
          <w:color w:val="000000"/>
        </w:rPr>
      </w:pPr>
      <w:r w:rsidRPr="004F5FB4">
        <w:rPr>
          <w:color w:val="000000"/>
        </w:rPr>
        <w:t xml:space="preserve">Nach einer entsprechenden Einweisung in die Injektionstechnik können </w:t>
      </w:r>
      <w:r w:rsidR="00F25353" w:rsidRPr="004F5FB4">
        <w:rPr>
          <w:color w:val="000000"/>
        </w:rPr>
        <w:t xml:space="preserve">Patienten Amsparity selbst injizieren, falls ihr Arzt dies für angemessen hält und medizinische Nachuntersuchungen nach Bedarf erfolgen. </w:t>
      </w:r>
    </w:p>
    <w:p w14:paraId="5D9871E9" w14:textId="77777777" w:rsidR="00AD6931" w:rsidRPr="004F5FB4" w:rsidRDefault="00AD6931" w:rsidP="00982118">
      <w:pPr>
        <w:rPr>
          <w:color w:val="000000"/>
        </w:rPr>
      </w:pPr>
    </w:p>
    <w:p w14:paraId="3C56E9D6" w14:textId="77777777" w:rsidR="00AD6931" w:rsidRPr="004F5FB4" w:rsidRDefault="00AD6931" w:rsidP="00982118">
      <w:pPr>
        <w:rPr>
          <w:color w:val="000000"/>
        </w:rPr>
      </w:pPr>
      <w:r w:rsidRPr="004F5FB4">
        <w:rPr>
          <w:color w:val="000000"/>
        </w:rPr>
        <w:t xml:space="preserve">Während der Behandlung mit Amsparity sollten andere Begleittherapien (z. B. </w:t>
      </w:r>
      <w:r w:rsidR="00771ECC" w:rsidRPr="004F5FB4">
        <w:rPr>
          <w:color w:val="000000"/>
        </w:rPr>
        <w:t>Glukok</w:t>
      </w:r>
      <w:r w:rsidRPr="004F5FB4">
        <w:rPr>
          <w:color w:val="000000"/>
        </w:rPr>
        <w:t>ortikoide und/</w:t>
      </w:r>
      <w:r w:rsidR="00771ECC" w:rsidRPr="004F5FB4">
        <w:rPr>
          <w:color w:val="000000"/>
        </w:rPr>
        <w:t xml:space="preserve"> </w:t>
      </w:r>
      <w:r w:rsidRPr="004F5FB4">
        <w:rPr>
          <w:color w:val="000000"/>
        </w:rPr>
        <w:t>oder Immunsuppressiva) optimiert werden.</w:t>
      </w:r>
    </w:p>
    <w:p w14:paraId="6D5589AF" w14:textId="77777777" w:rsidR="00C46587" w:rsidRPr="004F5FB4" w:rsidRDefault="00C46587" w:rsidP="00982118">
      <w:pPr>
        <w:rPr>
          <w:color w:val="000000"/>
        </w:rPr>
      </w:pPr>
    </w:p>
    <w:p w14:paraId="059001B4" w14:textId="77777777" w:rsidR="00C46587" w:rsidRPr="004F5FB4" w:rsidRDefault="00C46587" w:rsidP="00982118">
      <w:pPr>
        <w:keepNext/>
        <w:rPr>
          <w:color w:val="000000"/>
          <w:u w:val="single"/>
        </w:rPr>
      </w:pPr>
      <w:r w:rsidRPr="004F5FB4">
        <w:rPr>
          <w:color w:val="000000"/>
          <w:u w:val="single"/>
        </w:rPr>
        <w:t>Dosierung</w:t>
      </w:r>
    </w:p>
    <w:p w14:paraId="009E0513" w14:textId="77777777" w:rsidR="00C46587" w:rsidRPr="004F5FB4" w:rsidRDefault="00C46587" w:rsidP="00982118">
      <w:pPr>
        <w:keepNext/>
        <w:rPr>
          <w:color w:val="000000"/>
        </w:rPr>
      </w:pPr>
    </w:p>
    <w:p w14:paraId="49356399" w14:textId="77777777" w:rsidR="00C46587" w:rsidRPr="004F5FB4" w:rsidRDefault="00C46587" w:rsidP="00982118">
      <w:pPr>
        <w:keepNext/>
        <w:rPr>
          <w:color w:val="000000"/>
          <w:u w:val="single"/>
        </w:rPr>
      </w:pPr>
      <w:r w:rsidRPr="004F5FB4">
        <w:rPr>
          <w:color w:val="000000"/>
          <w:u w:val="single"/>
        </w:rPr>
        <w:t>Kinder und Jugendliche</w:t>
      </w:r>
    </w:p>
    <w:p w14:paraId="203AB92E" w14:textId="77777777" w:rsidR="00C46587" w:rsidRPr="004F5FB4" w:rsidRDefault="00C46587" w:rsidP="00982118">
      <w:pPr>
        <w:keepNext/>
        <w:rPr>
          <w:color w:val="000000"/>
        </w:rPr>
      </w:pPr>
    </w:p>
    <w:p w14:paraId="07DEDB6D" w14:textId="77777777" w:rsidR="00C46587" w:rsidRPr="004F5FB4" w:rsidRDefault="00C46587" w:rsidP="00982118">
      <w:pPr>
        <w:keepNext/>
        <w:rPr>
          <w:i/>
          <w:color w:val="000000"/>
        </w:rPr>
      </w:pPr>
      <w:r w:rsidRPr="004F5FB4">
        <w:rPr>
          <w:i/>
          <w:color w:val="000000"/>
        </w:rPr>
        <w:t>Juvenile idiopathische Arthritis</w:t>
      </w:r>
    </w:p>
    <w:p w14:paraId="0B94A38A" w14:textId="77777777" w:rsidR="00C46587" w:rsidRPr="004F5FB4" w:rsidRDefault="00C46587" w:rsidP="00982118">
      <w:pPr>
        <w:keepNext/>
        <w:rPr>
          <w:color w:val="000000"/>
        </w:rPr>
      </w:pPr>
    </w:p>
    <w:p w14:paraId="6052AEC9" w14:textId="77777777" w:rsidR="00C46587" w:rsidRPr="004F5FB4" w:rsidRDefault="00C46587" w:rsidP="00982118">
      <w:pPr>
        <w:keepNext/>
        <w:rPr>
          <w:i/>
          <w:color w:val="000000"/>
          <w:u w:val="single"/>
        </w:rPr>
      </w:pPr>
      <w:r w:rsidRPr="004F5FB4">
        <w:rPr>
          <w:i/>
          <w:color w:val="000000"/>
          <w:u w:val="single"/>
        </w:rPr>
        <w:t>Polyartikuläre juvenile idiopathische Arthritis ab einem Alter von 2</w:t>
      </w:r>
      <w:r w:rsidR="00DE30C2" w:rsidRPr="004F5FB4">
        <w:rPr>
          <w:i/>
          <w:color w:val="000000"/>
          <w:u w:val="single"/>
        </w:rPr>
        <w:t> </w:t>
      </w:r>
      <w:r w:rsidRPr="004F5FB4">
        <w:rPr>
          <w:i/>
          <w:color w:val="000000"/>
          <w:u w:val="single"/>
        </w:rPr>
        <w:t>Jahren</w:t>
      </w:r>
    </w:p>
    <w:p w14:paraId="5F084410" w14:textId="77777777" w:rsidR="00C46587" w:rsidRPr="004F5FB4" w:rsidRDefault="00C46587" w:rsidP="00982118">
      <w:pPr>
        <w:keepNext/>
        <w:rPr>
          <w:color w:val="000000"/>
        </w:rPr>
      </w:pPr>
    </w:p>
    <w:p w14:paraId="5B27FAFE" w14:textId="77777777" w:rsidR="00C46587" w:rsidRPr="004F5FB4" w:rsidRDefault="00C46587" w:rsidP="00982118">
      <w:pPr>
        <w:rPr>
          <w:color w:val="000000"/>
        </w:rPr>
      </w:pPr>
      <w:r w:rsidRPr="004F5FB4">
        <w:rPr>
          <w:color w:val="000000"/>
        </w:rPr>
        <w:t>Die empfohlene Dosis von Amsparity wird für Patienten mit polyartikulärer juveniler idiopathischer Arthritis ab einem Alter von 2 Jahren anhand des Körpergewichtes bestimmt (Tabelle</w:t>
      </w:r>
      <w:r w:rsidR="00DE30C2" w:rsidRPr="004F5FB4">
        <w:rPr>
          <w:color w:val="000000"/>
        </w:rPr>
        <w:t> </w:t>
      </w:r>
      <w:r w:rsidRPr="004F5FB4">
        <w:rPr>
          <w:color w:val="000000"/>
        </w:rPr>
        <w:t xml:space="preserve">1). Amsparity wird jede zweite Woche subkutan injiziert. </w:t>
      </w:r>
    </w:p>
    <w:p w14:paraId="27D4D2AB" w14:textId="77777777" w:rsidR="00C46587" w:rsidRPr="004F5FB4" w:rsidRDefault="00C46587" w:rsidP="00982118">
      <w:pPr>
        <w:rPr>
          <w:color w:val="000000"/>
        </w:rPr>
      </w:pPr>
    </w:p>
    <w:p w14:paraId="2AA2AF48" w14:textId="77777777" w:rsidR="00FF3A91" w:rsidRPr="004F5FB4" w:rsidRDefault="00C46587" w:rsidP="00494746">
      <w:pPr>
        <w:keepNext/>
        <w:keepLines/>
        <w:rPr>
          <w:b/>
          <w:color w:val="000000"/>
        </w:rPr>
      </w:pPr>
      <w:r w:rsidRPr="004F5FB4">
        <w:rPr>
          <w:b/>
          <w:color w:val="000000"/>
        </w:rPr>
        <w:lastRenderedPageBreak/>
        <w:t>Tabelle 1</w:t>
      </w:r>
    </w:p>
    <w:p w14:paraId="3E2B29BC" w14:textId="77777777" w:rsidR="00C46587" w:rsidRPr="004F5FB4" w:rsidRDefault="006A1144" w:rsidP="00687087">
      <w:pPr>
        <w:rPr>
          <w:b/>
          <w:color w:val="000000"/>
        </w:rPr>
      </w:pPr>
      <w:r w:rsidRPr="004F5FB4">
        <w:rPr>
          <w:b/>
          <w:color w:val="000000"/>
        </w:rPr>
        <w:t xml:space="preserve">Amsparity-Dosis für Patienten mit polyartikulärer juveniler idiopathischer Arthritis </w:t>
      </w:r>
    </w:p>
    <w:p w14:paraId="18ECDD34" w14:textId="77777777" w:rsidR="00AD6931" w:rsidRPr="004F5FB4" w:rsidRDefault="00AD6931" w:rsidP="00982118">
      <w:pPr>
        <w:jc w:val="center"/>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21"/>
        <w:gridCol w:w="4554"/>
      </w:tblGrid>
      <w:tr w:rsidR="00AD6931" w:rsidRPr="004F5FB4" w14:paraId="76E7E591" w14:textId="77777777" w:rsidTr="001809D6">
        <w:tc>
          <w:tcPr>
            <w:tcW w:w="4651" w:type="dxa"/>
            <w:tcBorders>
              <w:right w:val="nil"/>
            </w:tcBorders>
            <w:shd w:val="clear" w:color="auto" w:fill="auto"/>
          </w:tcPr>
          <w:p w14:paraId="51EEC771" w14:textId="77777777" w:rsidR="00AD6931" w:rsidRPr="004F5FB4" w:rsidRDefault="00AD6931" w:rsidP="00982118">
            <w:pPr>
              <w:jc w:val="center"/>
              <w:rPr>
                <w:b/>
                <w:color w:val="000000"/>
              </w:rPr>
            </w:pPr>
            <w:r w:rsidRPr="004F5FB4">
              <w:rPr>
                <w:b/>
                <w:color w:val="000000"/>
              </w:rPr>
              <w:t>Gewicht des Patienten</w:t>
            </w:r>
          </w:p>
        </w:tc>
        <w:tc>
          <w:tcPr>
            <w:tcW w:w="4652" w:type="dxa"/>
            <w:tcBorders>
              <w:left w:val="nil"/>
            </w:tcBorders>
            <w:shd w:val="clear" w:color="auto" w:fill="auto"/>
          </w:tcPr>
          <w:p w14:paraId="506612B1" w14:textId="77777777" w:rsidR="00AD6931" w:rsidRPr="004F5FB4" w:rsidRDefault="00AD6931" w:rsidP="00982118">
            <w:pPr>
              <w:jc w:val="center"/>
              <w:rPr>
                <w:b/>
                <w:color w:val="000000"/>
              </w:rPr>
            </w:pPr>
            <w:r w:rsidRPr="004F5FB4">
              <w:rPr>
                <w:b/>
                <w:color w:val="000000"/>
              </w:rPr>
              <w:t>Dosierungsschema</w:t>
            </w:r>
          </w:p>
        </w:tc>
      </w:tr>
      <w:tr w:rsidR="00AD6931" w:rsidRPr="004F5FB4" w14:paraId="3A20B1CE" w14:textId="77777777" w:rsidTr="001809D6">
        <w:tc>
          <w:tcPr>
            <w:tcW w:w="4651" w:type="dxa"/>
            <w:tcBorders>
              <w:right w:val="nil"/>
            </w:tcBorders>
            <w:shd w:val="clear" w:color="auto" w:fill="auto"/>
          </w:tcPr>
          <w:p w14:paraId="395EE0A4" w14:textId="77777777" w:rsidR="00AD6931" w:rsidRPr="004F5FB4" w:rsidRDefault="00AD6931" w:rsidP="00982118">
            <w:pPr>
              <w:jc w:val="center"/>
              <w:rPr>
                <w:color w:val="000000"/>
              </w:rPr>
            </w:pPr>
            <w:r w:rsidRPr="004F5FB4">
              <w:rPr>
                <w:color w:val="000000"/>
              </w:rPr>
              <w:t>10 kg bis &lt; 30 kg</w:t>
            </w:r>
          </w:p>
        </w:tc>
        <w:tc>
          <w:tcPr>
            <w:tcW w:w="4652" w:type="dxa"/>
            <w:tcBorders>
              <w:left w:val="nil"/>
            </w:tcBorders>
            <w:shd w:val="clear" w:color="auto" w:fill="auto"/>
          </w:tcPr>
          <w:p w14:paraId="07DCBBE3" w14:textId="77777777" w:rsidR="00AD6931" w:rsidRPr="004F5FB4" w:rsidRDefault="00AD6931" w:rsidP="00982118">
            <w:pPr>
              <w:jc w:val="center"/>
              <w:rPr>
                <w:color w:val="000000"/>
              </w:rPr>
            </w:pPr>
            <w:r w:rsidRPr="004F5FB4">
              <w:rPr>
                <w:color w:val="000000"/>
              </w:rPr>
              <w:t>20 mg jede zweite Woche</w:t>
            </w:r>
          </w:p>
        </w:tc>
      </w:tr>
      <w:tr w:rsidR="00AD6931" w:rsidRPr="004F5FB4" w14:paraId="3E1933B5" w14:textId="77777777" w:rsidTr="001809D6">
        <w:tc>
          <w:tcPr>
            <w:tcW w:w="4651" w:type="dxa"/>
            <w:tcBorders>
              <w:right w:val="nil"/>
            </w:tcBorders>
            <w:shd w:val="clear" w:color="auto" w:fill="auto"/>
          </w:tcPr>
          <w:p w14:paraId="13520A79" w14:textId="77777777" w:rsidR="00AD6931" w:rsidRPr="004F5FB4" w:rsidRDefault="00096F1B" w:rsidP="00982118">
            <w:pPr>
              <w:jc w:val="center"/>
              <w:rPr>
                <w:color w:val="000000"/>
              </w:rPr>
            </w:pPr>
            <w:r w:rsidRPr="004F5FB4">
              <w:rPr>
                <w:color w:val="000000"/>
              </w:rPr>
              <w:t>≥</w:t>
            </w:r>
            <w:r w:rsidR="00DE30C2" w:rsidRPr="004F5FB4">
              <w:rPr>
                <w:color w:val="000000"/>
              </w:rPr>
              <w:t> </w:t>
            </w:r>
            <w:r w:rsidRPr="004F5FB4">
              <w:rPr>
                <w:color w:val="000000"/>
              </w:rPr>
              <w:t>30 kg</w:t>
            </w:r>
          </w:p>
        </w:tc>
        <w:tc>
          <w:tcPr>
            <w:tcW w:w="4652" w:type="dxa"/>
            <w:tcBorders>
              <w:left w:val="nil"/>
            </w:tcBorders>
            <w:shd w:val="clear" w:color="auto" w:fill="auto"/>
          </w:tcPr>
          <w:p w14:paraId="4D68873E" w14:textId="77777777" w:rsidR="00AD6931" w:rsidRPr="004F5FB4" w:rsidRDefault="002F558F" w:rsidP="00982118">
            <w:pPr>
              <w:jc w:val="center"/>
              <w:rPr>
                <w:color w:val="000000"/>
              </w:rPr>
            </w:pPr>
            <w:r w:rsidRPr="004F5FB4">
              <w:rPr>
                <w:color w:val="000000"/>
              </w:rPr>
              <w:t>40 mg jede zweite Woche</w:t>
            </w:r>
          </w:p>
        </w:tc>
      </w:tr>
    </w:tbl>
    <w:p w14:paraId="67E18CF4" w14:textId="77777777" w:rsidR="004D0A56" w:rsidRPr="004F5FB4" w:rsidRDefault="004D0A56" w:rsidP="00982118">
      <w:pPr>
        <w:rPr>
          <w:color w:val="000000"/>
          <w:lang w:val="en-GB"/>
        </w:rPr>
      </w:pPr>
    </w:p>
    <w:p w14:paraId="52E9638D" w14:textId="77777777" w:rsidR="00C46587" w:rsidRPr="004F5FB4" w:rsidRDefault="00C46587" w:rsidP="00982118">
      <w:pPr>
        <w:rPr>
          <w:color w:val="000000"/>
        </w:rPr>
      </w:pPr>
      <w:r w:rsidRPr="004F5FB4">
        <w:rPr>
          <w:color w:val="000000"/>
        </w:rPr>
        <w:t>Die verfügbaren Daten weisen darauf hin, dass ein klinisches Ansprechen üblicherweise innerhalb von 12</w:t>
      </w:r>
      <w:r w:rsidR="00DE30C2" w:rsidRPr="004F5FB4">
        <w:rPr>
          <w:color w:val="000000"/>
        </w:rPr>
        <w:t> </w:t>
      </w:r>
      <w:r w:rsidRPr="004F5FB4">
        <w:rPr>
          <w:color w:val="000000"/>
        </w:rPr>
        <w:t xml:space="preserve">Behandlungswochen erreicht wird. Die Fortsetzung der Therapie sollte bei einem Patienten, der innerhalb dieser Zeitspanne nicht anspricht, nochmals sorgfältig überdacht werden. </w:t>
      </w:r>
    </w:p>
    <w:p w14:paraId="5E9CFC2D" w14:textId="77777777" w:rsidR="00C46587" w:rsidRPr="004F5FB4" w:rsidRDefault="00C46587" w:rsidP="00982118">
      <w:pPr>
        <w:rPr>
          <w:color w:val="000000"/>
        </w:rPr>
      </w:pPr>
    </w:p>
    <w:p w14:paraId="47833006" w14:textId="77777777" w:rsidR="001809D6" w:rsidRPr="004F5FB4" w:rsidRDefault="00036D76" w:rsidP="00982118">
      <w:pPr>
        <w:rPr>
          <w:color w:val="000000"/>
        </w:rPr>
      </w:pPr>
      <w:r w:rsidRPr="004F5FB4">
        <w:rPr>
          <w:color w:val="000000"/>
        </w:rPr>
        <w:t xml:space="preserve">Es gibt in </w:t>
      </w:r>
      <w:r w:rsidR="00C46587" w:rsidRPr="004F5FB4">
        <w:rPr>
          <w:color w:val="000000"/>
        </w:rPr>
        <w:t xml:space="preserve">dieser Indikation </w:t>
      </w:r>
      <w:r w:rsidRPr="004F5FB4">
        <w:rPr>
          <w:color w:val="000000"/>
        </w:rPr>
        <w:t xml:space="preserve">keinen relevanten Nutzen von Adalimumab </w:t>
      </w:r>
      <w:r w:rsidR="00C46587" w:rsidRPr="004F5FB4">
        <w:rPr>
          <w:color w:val="000000"/>
        </w:rPr>
        <w:t xml:space="preserve">bei </w:t>
      </w:r>
      <w:r w:rsidRPr="004F5FB4">
        <w:rPr>
          <w:color w:val="000000"/>
        </w:rPr>
        <w:t>Kindern</w:t>
      </w:r>
      <w:r w:rsidR="00C46587" w:rsidRPr="004F5FB4">
        <w:rPr>
          <w:color w:val="000000"/>
        </w:rPr>
        <w:t>, die jünger als 2</w:t>
      </w:r>
      <w:r w:rsidR="00DE30C2" w:rsidRPr="004F5FB4">
        <w:rPr>
          <w:color w:val="000000"/>
        </w:rPr>
        <w:t> </w:t>
      </w:r>
      <w:r w:rsidR="00C46587" w:rsidRPr="004F5FB4">
        <w:rPr>
          <w:color w:val="000000"/>
        </w:rPr>
        <w:t>Jahre sind.</w:t>
      </w:r>
    </w:p>
    <w:p w14:paraId="0ED642AE" w14:textId="77777777" w:rsidR="001809D6" w:rsidRPr="004F5FB4" w:rsidRDefault="001809D6" w:rsidP="00982118">
      <w:pPr>
        <w:rPr>
          <w:color w:val="000000"/>
        </w:rPr>
      </w:pPr>
    </w:p>
    <w:p w14:paraId="4CC8C149" w14:textId="77777777" w:rsidR="00C46587" w:rsidRPr="004F5FB4" w:rsidRDefault="006A1144" w:rsidP="00982118">
      <w:pPr>
        <w:rPr>
          <w:color w:val="000000"/>
        </w:rPr>
      </w:pPr>
      <w:r w:rsidRPr="004F5FB4">
        <w:rPr>
          <w:color w:val="000000"/>
        </w:rPr>
        <w:t>Abhängig von den individuellen Behandlungsbedürfnissen kann Amsparity auch in anderen Stärken und/</w:t>
      </w:r>
      <w:r w:rsidR="00DE30C2" w:rsidRPr="004F5FB4">
        <w:rPr>
          <w:color w:val="000000"/>
        </w:rPr>
        <w:t xml:space="preserve"> </w:t>
      </w:r>
      <w:r w:rsidRPr="004F5FB4">
        <w:rPr>
          <w:color w:val="000000"/>
        </w:rPr>
        <w:t xml:space="preserve">oder Darreichungsformen erhältlich sein. </w:t>
      </w:r>
    </w:p>
    <w:p w14:paraId="4CABF093" w14:textId="77777777" w:rsidR="00C46587" w:rsidRPr="004F5FB4" w:rsidRDefault="00C46587" w:rsidP="00982118">
      <w:pPr>
        <w:rPr>
          <w:color w:val="000000"/>
        </w:rPr>
      </w:pPr>
    </w:p>
    <w:p w14:paraId="7B39162F" w14:textId="77777777" w:rsidR="00C46587" w:rsidRPr="00235D93" w:rsidRDefault="00C46587" w:rsidP="00982118">
      <w:pPr>
        <w:keepNext/>
        <w:rPr>
          <w:i/>
          <w:color w:val="000000"/>
          <w:u w:val="single"/>
        </w:rPr>
      </w:pPr>
      <w:r w:rsidRPr="00235D93">
        <w:rPr>
          <w:i/>
          <w:color w:val="000000"/>
          <w:u w:val="single"/>
        </w:rPr>
        <w:t>Enthesitis-assoziierte Arthritis</w:t>
      </w:r>
    </w:p>
    <w:p w14:paraId="581500A9" w14:textId="77777777" w:rsidR="00C46587" w:rsidRPr="004F5FB4" w:rsidRDefault="00C46587" w:rsidP="00982118">
      <w:pPr>
        <w:keepNext/>
        <w:rPr>
          <w:color w:val="000000"/>
        </w:rPr>
      </w:pPr>
    </w:p>
    <w:p w14:paraId="38C72957" w14:textId="77777777" w:rsidR="00C46587" w:rsidRPr="004F5FB4" w:rsidRDefault="00C46587" w:rsidP="00982118">
      <w:pPr>
        <w:rPr>
          <w:color w:val="000000"/>
        </w:rPr>
      </w:pPr>
      <w:r w:rsidRPr="004F5FB4">
        <w:rPr>
          <w:color w:val="000000"/>
        </w:rPr>
        <w:t>Die empfohlene Dosis von Amsparity für Patienten mit Enthesitis</w:t>
      </w:r>
      <w:r w:rsidRPr="004F5FB4">
        <w:rPr>
          <w:color w:val="000000"/>
        </w:rPr>
        <w:noBreakHyphen/>
        <w:t>assoziierter Arthritis ab einem Alter von 6 Jahren wird anhand des Körpergewichtes bestimmt (Tabelle</w:t>
      </w:r>
      <w:r w:rsidR="00DE30C2" w:rsidRPr="004F5FB4">
        <w:rPr>
          <w:color w:val="000000"/>
        </w:rPr>
        <w:t> </w:t>
      </w:r>
      <w:r w:rsidRPr="004F5FB4">
        <w:rPr>
          <w:color w:val="000000"/>
        </w:rPr>
        <w:t xml:space="preserve">2). Amsparity wird jede zweite Woche subkutan injiziert. </w:t>
      </w:r>
    </w:p>
    <w:p w14:paraId="4B89AF31" w14:textId="77777777" w:rsidR="00004C2C" w:rsidRPr="004F5FB4" w:rsidRDefault="00004C2C" w:rsidP="00982118">
      <w:pPr>
        <w:rPr>
          <w:color w:val="000000"/>
        </w:rPr>
      </w:pPr>
    </w:p>
    <w:p w14:paraId="7C12DAAA" w14:textId="77777777" w:rsidR="00FF3A91" w:rsidRPr="004F5FB4" w:rsidRDefault="00004C2C" w:rsidP="00687087">
      <w:pPr>
        <w:rPr>
          <w:b/>
          <w:color w:val="000000"/>
        </w:rPr>
      </w:pPr>
      <w:r w:rsidRPr="004F5FB4">
        <w:rPr>
          <w:b/>
          <w:color w:val="000000"/>
        </w:rPr>
        <w:t xml:space="preserve">Tabelle 2 </w:t>
      </w:r>
    </w:p>
    <w:p w14:paraId="7A5BB33A" w14:textId="77777777" w:rsidR="00004C2C" w:rsidRPr="004F5FB4" w:rsidRDefault="006A1144" w:rsidP="00687087">
      <w:pPr>
        <w:rPr>
          <w:b/>
          <w:color w:val="000000"/>
        </w:rPr>
      </w:pPr>
      <w:r w:rsidRPr="004F5FB4">
        <w:rPr>
          <w:b/>
          <w:color w:val="000000"/>
        </w:rPr>
        <w:t>Amsparity-Dosis für Patienten mit Enthesitis</w:t>
      </w:r>
      <w:r w:rsidRPr="004F5FB4">
        <w:rPr>
          <w:b/>
          <w:color w:val="000000"/>
        </w:rPr>
        <w:noBreakHyphen/>
        <w:t>assoziierter Arthritis</w:t>
      </w:r>
    </w:p>
    <w:p w14:paraId="2AF7A17F" w14:textId="77777777" w:rsidR="00004C2C" w:rsidRPr="004F5FB4" w:rsidRDefault="00004C2C" w:rsidP="00982118">
      <w:pPr>
        <w:rPr>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21"/>
        <w:gridCol w:w="4554"/>
      </w:tblGrid>
      <w:tr w:rsidR="00004C2C" w:rsidRPr="004F5FB4" w14:paraId="6253B15D" w14:textId="77777777" w:rsidTr="002807AF">
        <w:tc>
          <w:tcPr>
            <w:tcW w:w="4651" w:type="dxa"/>
            <w:tcBorders>
              <w:right w:val="nil"/>
            </w:tcBorders>
            <w:shd w:val="clear" w:color="auto" w:fill="auto"/>
          </w:tcPr>
          <w:p w14:paraId="78FB4E7D" w14:textId="77777777" w:rsidR="00004C2C" w:rsidRPr="004F5FB4" w:rsidRDefault="00004C2C" w:rsidP="00982118">
            <w:pPr>
              <w:jc w:val="center"/>
              <w:rPr>
                <w:b/>
                <w:color w:val="000000"/>
              </w:rPr>
            </w:pPr>
            <w:r w:rsidRPr="004F5FB4">
              <w:rPr>
                <w:b/>
                <w:color w:val="000000"/>
              </w:rPr>
              <w:t>Gewicht des Patienten</w:t>
            </w:r>
          </w:p>
        </w:tc>
        <w:tc>
          <w:tcPr>
            <w:tcW w:w="4652" w:type="dxa"/>
            <w:tcBorders>
              <w:left w:val="nil"/>
            </w:tcBorders>
            <w:shd w:val="clear" w:color="auto" w:fill="auto"/>
          </w:tcPr>
          <w:p w14:paraId="5BFF0AF1" w14:textId="77777777" w:rsidR="00004C2C" w:rsidRPr="004F5FB4" w:rsidRDefault="00004C2C" w:rsidP="00982118">
            <w:pPr>
              <w:jc w:val="center"/>
              <w:rPr>
                <w:b/>
                <w:color w:val="000000"/>
              </w:rPr>
            </w:pPr>
            <w:r w:rsidRPr="004F5FB4">
              <w:rPr>
                <w:b/>
                <w:color w:val="000000"/>
              </w:rPr>
              <w:t>Dosierungsschema</w:t>
            </w:r>
          </w:p>
        </w:tc>
      </w:tr>
      <w:tr w:rsidR="00004C2C" w:rsidRPr="004F5FB4" w14:paraId="4E759B70" w14:textId="77777777" w:rsidTr="002807AF">
        <w:tc>
          <w:tcPr>
            <w:tcW w:w="4651" w:type="dxa"/>
            <w:tcBorders>
              <w:right w:val="nil"/>
            </w:tcBorders>
            <w:shd w:val="clear" w:color="auto" w:fill="auto"/>
          </w:tcPr>
          <w:p w14:paraId="3FC8399E" w14:textId="77777777" w:rsidR="00004C2C" w:rsidRPr="004F5FB4" w:rsidRDefault="00004C2C" w:rsidP="00982118">
            <w:pPr>
              <w:jc w:val="center"/>
              <w:rPr>
                <w:color w:val="000000"/>
              </w:rPr>
            </w:pPr>
            <w:r w:rsidRPr="004F5FB4">
              <w:rPr>
                <w:color w:val="000000"/>
              </w:rPr>
              <w:t>15 kg bis &lt; 30 kg</w:t>
            </w:r>
          </w:p>
        </w:tc>
        <w:tc>
          <w:tcPr>
            <w:tcW w:w="4652" w:type="dxa"/>
            <w:tcBorders>
              <w:left w:val="nil"/>
            </w:tcBorders>
            <w:shd w:val="clear" w:color="auto" w:fill="auto"/>
          </w:tcPr>
          <w:p w14:paraId="7F572D66" w14:textId="77777777" w:rsidR="00004C2C" w:rsidRPr="004F5FB4" w:rsidRDefault="00004C2C" w:rsidP="00982118">
            <w:pPr>
              <w:jc w:val="center"/>
              <w:rPr>
                <w:color w:val="000000"/>
              </w:rPr>
            </w:pPr>
            <w:r w:rsidRPr="004F5FB4">
              <w:rPr>
                <w:color w:val="000000"/>
              </w:rPr>
              <w:t>20 mg jede zweite Woche</w:t>
            </w:r>
          </w:p>
        </w:tc>
      </w:tr>
      <w:tr w:rsidR="00004C2C" w:rsidRPr="004F5FB4" w14:paraId="6D82746F" w14:textId="77777777" w:rsidTr="002807AF">
        <w:tc>
          <w:tcPr>
            <w:tcW w:w="4651" w:type="dxa"/>
            <w:tcBorders>
              <w:right w:val="nil"/>
            </w:tcBorders>
            <w:shd w:val="clear" w:color="auto" w:fill="auto"/>
          </w:tcPr>
          <w:p w14:paraId="10D8FB6C" w14:textId="77777777" w:rsidR="00004C2C" w:rsidRPr="004F5FB4" w:rsidRDefault="00004C2C" w:rsidP="00982118">
            <w:pPr>
              <w:jc w:val="center"/>
              <w:rPr>
                <w:color w:val="000000"/>
              </w:rPr>
            </w:pPr>
            <w:r w:rsidRPr="004F5FB4">
              <w:rPr>
                <w:color w:val="000000"/>
              </w:rPr>
              <w:t>≥</w:t>
            </w:r>
            <w:r w:rsidR="00DE30C2" w:rsidRPr="004F5FB4">
              <w:rPr>
                <w:color w:val="000000"/>
              </w:rPr>
              <w:t> </w:t>
            </w:r>
            <w:r w:rsidRPr="004F5FB4">
              <w:rPr>
                <w:color w:val="000000"/>
              </w:rPr>
              <w:t>30 kg</w:t>
            </w:r>
          </w:p>
        </w:tc>
        <w:tc>
          <w:tcPr>
            <w:tcW w:w="4652" w:type="dxa"/>
            <w:tcBorders>
              <w:left w:val="nil"/>
            </w:tcBorders>
            <w:shd w:val="clear" w:color="auto" w:fill="auto"/>
          </w:tcPr>
          <w:p w14:paraId="6F3208A4" w14:textId="77777777" w:rsidR="00004C2C" w:rsidRPr="004F5FB4" w:rsidRDefault="00004C2C" w:rsidP="00982118">
            <w:pPr>
              <w:jc w:val="center"/>
              <w:rPr>
                <w:color w:val="000000"/>
              </w:rPr>
            </w:pPr>
            <w:r w:rsidRPr="004F5FB4">
              <w:rPr>
                <w:color w:val="000000"/>
              </w:rPr>
              <w:t>40 mg jede zweite Woche</w:t>
            </w:r>
          </w:p>
        </w:tc>
      </w:tr>
    </w:tbl>
    <w:p w14:paraId="40B9C614" w14:textId="77777777" w:rsidR="00C46587" w:rsidRPr="004F5FB4" w:rsidRDefault="00C46587" w:rsidP="00982118">
      <w:pPr>
        <w:rPr>
          <w:color w:val="000000"/>
          <w:lang w:val="en-GB"/>
        </w:rPr>
      </w:pPr>
    </w:p>
    <w:p w14:paraId="31F0BB91" w14:textId="77777777" w:rsidR="002807AF" w:rsidRPr="004F5FB4" w:rsidRDefault="005A4709" w:rsidP="00982118">
      <w:pPr>
        <w:rPr>
          <w:color w:val="000000"/>
        </w:rPr>
      </w:pPr>
      <w:r w:rsidRPr="004F5FB4">
        <w:rPr>
          <w:color w:val="000000"/>
        </w:rPr>
        <w:t>Adalimumab wurde bei Patienten mit Enthesitis</w:t>
      </w:r>
      <w:r w:rsidRPr="004F5FB4">
        <w:rPr>
          <w:color w:val="000000"/>
        </w:rPr>
        <w:noBreakHyphen/>
        <w:t>assoziierter Arthritis, die jünger als 6</w:t>
      </w:r>
      <w:r w:rsidR="00DE30C2" w:rsidRPr="004F5FB4">
        <w:rPr>
          <w:color w:val="000000"/>
        </w:rPr>
        <w:t> </w:t>
      </w:r>
      <w:r w:rsidRPr="004F5FB4">
        <w:rPr>
          <w:color w:val="000000"/>
        </w:rPr>
        <w:t>Jahre sind, nicht untersucht.</w:t>
      </w:r>
    </w:p>
    <w:p w14:paraId="7B587C65" w14:textId="77777777" w:rsidR="002807AF" w:rsidRPr="004F5FB4" w:rsidRDefault="002807AF" w:rsidP="00982118">
      <w:pPr>
        <w:rPr>
          <w:color w:val="000000"/>
        </w:rPr>
      </w:pPr>
    </w:p>
    <w:p w14:paraId="0CA91CEA" w14:textId="77777777" w:rsidR="00C46587" w:rsidRPr="004F5FB4" w:rsidRDefault="006A1144" w:rsidP="00982118">
      <w:pPr>
        <w:rPr>
          <w:color w:val="000000"/>
        </w:rPr>
      </w:pPr>
      <w:r w:rsidRPr="004F5FB4">
        <w:rPr>
          <w:color w:val="000000"/>
        </w:rPr>
        <w:t>Abhängig von den individuellen Behandlungsbedürfnissen kann Amsparity auch in anderen Stärken und/</w:t>
      </w:r>
      <w:r w:rsidR="00DE30C2" w:rsidRPr="004F5FB4">
        <w:rPr>
          <w:color w:val="000000"/>
        </w:rPr>
        <w:t xml:space="preserve"> </w:t>
      </w:r>
      <w:r w:rsidRPr="004F5FB4">
        <w:rPr>
          <w:color w:val="000000"/>
        </w:rPr>
        <w:t xml:space="preserve">oder Darreichungsformen erhältlich sein. </w:t>
      </w:r>
    </w:p>
    <w:p w14:paraId="4EC6F7FA" w14:textId="77777777" w:rsidR="00C46587" w:rsidRPr="004F5FB4" w:rsidRDefault="00C46587" w:rsidP="00982118">
      <w:pPr>
        <w:rPr>
          <w:color w:val="000000"/>
        </w:rPr>
      </w:pPr>
    </w:p>
    <w:p w14:paraId="422409C9" w14:textId="77777777" w:rsidR="00C46587" w:rsidRPr="004F5FB4" w:rsidRDefault="00C46587" w:rsidP="00982118">
      <w:pPr>
        <w:keepNext/>
        <w:rPr>
          <w:i/>
          <w:color w:val="000000"/>
        </w:rPr>
      </w:pPr>
      <w:r w:rsidRPr="004F5FB4">
        <w:rPr>
          <w:i/>
          <w:color w:val="000000"/>
        </w:rPr>
        <w:t>Plaque-Psoriasis bei Kindern und Jugendlichen</w:t>
      </w:r>
    </w:p>
    <w:p w14:paraId="7B98474C" w14:textId="77777777" w:rsidR="00C46587" w:rsidRPr="004F5FB4" w:rsidRDefault="00C46587" w:rsidP="00982118">
      <w:pPr>
        <w:keepNext/>
        <w:rPr>
          <w:color w:val="000000"/>
        </w:rPr>
      </w:pPr>
    </w:p>
    <w:p w14:paraId="1BF4224D" w14:textId="77777777" w:rsidR="00C46587" w:rsidRPr="004F5FB4" w:rsidRDefault="00C46587" w:rsidP="00982118">
      <w:pPr>
        <w:rPr>
          <w:color w:val="000000"/>
        </w:rPr>
      </w:pPr>
      <w:r w:rsidRPr="004F5FB4">
        <w:rPr>
          <w:color w:val="000000"/>
        </w:rPr>
        <w:t>Die empfohlene Amsparity-Dosis wird für Patienten mit Plaque-Psoriasis im Alter von 4 bis 17</w:t>
      </w:r>
      <w:r w:rsidR="00DE30C2" w:rsidRPr="004F5FB4">
        <w:rPr>
          <w:color w:val="000000"/>
        </w:rPr>
        <w:t> </w:t>
      </w:r>
      <w:r w:rsidRPr="004F5FB4">
        <w:rPr>
          <w:color w:val="000000"/>
        </w:rPr>
        <w:t>Jahren anhand des Körpergewichtes bestimmt (Tabelle</w:t>
      </w:r>
      <w:r w:rsidR="00DE30C2" w:rsidRPr="004F5FB4">
        <w:rPr>
          <w:color w:val="000000"/>
        </w:rPr>
        <w:t> </w:t>
      </w:r>
      <w:r w:rsidRPr="004F5FB4">
        <w:rPr>
          <w:color w:val="000000"/>
        </w:rPr>
        <w:t xml:space="preserve">3). Amsparity wird subkutan injiziert. </w:t>
      </w:r>
    </w:p>
    <w:p w14:paraId="7FD4A8D4" w14:textId="77777777" w:rsidR="00E57231" w:rsidRPr="004F5FB4" w:rsidRDefault="00E57231" w:rsidP="00982118">
      <w:pPr>
        <w:rPr>
          <w:color w:val="000000"/>
        </w:rPr>
      </w:pPr>
    </w:p>
    <w:p w14:paraId="1C5DCA73" w14:textId="77777777" w:rsidR="00FF3A91" w:rsidRPr="004F5FB4" w:rsidRDefault="00E57231" w:rsidP="00687087">
      <w:pPr>
        <w:rPr>
          <w:b/>
          <w:color w:val="000000"/>
        </w:rPr>
      </w:pPr>
      <w:r w:rsidRPr="004F5FB4">
        <w:rPr>
          <w:b/>
          <w:color w:val="000000"/>
        </w:rPr>
        <w:t xml:space="preserve">Tabelle 3 </w:t>
      </w:r>
    </w:p>
    <w:p w14:paraId="552C53F3" w14:textId="77777777" w:rsidR="00E57231" w:rsidRPr="004F5FB4" w:rsidRDefault="006A1144" w:rsidP="00687087">
      <w:pPr>
        <w:rPr>
          <w:b/>
          <w:color w:val="000000"/>
        </w:rPr>
      </w:pPr>
      <w:r w:rsidRPr="004F5FB4">
        <w:rPr>
          <w:b/>
          <w:color w:val="000000"/>
        </w:rPr>
        <w:t>Amsparity-Dosis für Kinder und Jugendliche mit Plaque-Psoriasis</w:t>
      </w:r>
    </w:p>
    <w:p w14:paraId="209D77A2" w14:textId="77777777" w:rsidR="00E57231" w:rsidRPr="004F5FB4" w:rsidRDefault="00E57231" w:rsidP="00982118">
      <w:pPr>
        <w:rPr>
          <w:color w:val="000000"/>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21"/>
        <w:gridCol w:w="4554"/>
      </w:tblGrid>
      <w:tr w:rsidR="00E57231" w:rsidRPr="004F5FB4" w14:paraId="4D72150C" w14:textId="77777777" w:rsidTr="00054A92">
        <w:tc>
          <w:tcPr>
            <w:tcW w:w="4651" w:type="dxa"/>
            <w:tcBorders>
              <w:right w:val="nil"/>
            </w:tcBorders>
            <w:shd w:val="clear" w:color="auto" w:fill="auto"/>
          </w:tcPr>
          <w:p w14:paraId="540339F9" w14:textId="77777777" w:rsidR="00E57231" w:rsidRPr="004F5FB4" w:rsidRDefault="00E57231" w:rsidP="00982118">
            <w:pPr>
              <w:jc w:val="center"/>
              <w:rPr>
                <w:b/>
                <w:color w:val="000000"/>
              </w:rPr>
            </w:pPr>
            <w:r w:rsidRPr="004F5FB4">
              <w:rPr>
                <w:b/>
                <w:color w:val="000000"/>
              </w:rPr>
              <w:t>Gewicht des Patienten</w:t>
            </w:r>
          </w:p>
        </w:tc>
        <w:tc>
          <w:tcPr>
            <w:tcW w:w="4652" w:type="dxa"/>
            <w:tcBorders>
              <w:left w:val="nil"/>
            </w:tcBorders>
            <w:shd w:val="clear" w:color="auto" w:fill="auto"/>
          </w:tcPr>
          <w:p w14:paraId="1AD3E12C" w14:textId="77777777" w:rsidR="00E57231" w:rsidRPr="004F5FB4" w:rsidRDefault="00E57231" w:rsidP="00982118">
            <w:pPr>
              <w:jc w:val="center"/>
              <w:rPr>
                <w:b/>
                <w:color w:val="000000"/>
              </w:rPr>
            </w:pPr>
            <w:r w:rsidRPr="004F5FB4">
              <w:rPr>
                <w:b/>
                <w:color w:val="000000"/>
              </w:rPr>
              <w:t>Dosierungsschema</w:t>
            </w:r>
          </w:p>
        </w:tc>
      </w:tr>
      <w:tr w:rsidR="00E57231" w:rsidRPr="004F5FB4" w14:paraId="1B5A37F9" w14:textId="77777777" w:rsidTr="00054A92">
        <w:tc>
          <w:tcPr>
            <w:tcW w:w="4651" w:type="dxa"/>
            <w:tcBorders>
              <w:right w:val="nil"/>
            </w:tcBorders>
            <w:shd w:val="clear" w:color="auto" w:fill="auto"/>
          </w:tcPr>
          <w:p w14:paraId="2C9E52D0" w14:textId="77777777" w:rsidR="00E57231" w:rsidRPr="004F5FB4" w:rsidRDefault="00E57231" w:rsidP="00982118">
            <w:pPr>
              <w:jc w:val="center"/>
              <w:rPr>
                <w:color w:val="000000"/>
              </w:rPr>
            </w:pPr>
            <w:r w:rsidRPr="004F5FB4">
              <w:rPr>
                <w:color w:val="000000"/>
              </w:rPr>
              <w:t>15 kg bis &lt; 30</w:t>
            </w:r>
            <w:r w:rsidR="00442AC0" w:rsidRPr="004F5FB4">
              <w:rPr>
                <w:color w:val="000000"/>
              </w:rPr>
              <w:t> </w:t>
            </w:r>
            <w:r w:rsidRPr="004F5FB4">
              <w:rPr>
                <w:color w:val="000000"/>
              </w:rPr>
              <w:t>kg</w:t>
            </w:r>
          </w:p>
        </w:tc>
        <w:tc>
          <w:tcPr>
            <w:tcW w:w="4652" w:type="dxa"/>
            <w:tcBorders>
              <w:left w:val="nil"/>
            </w:tcBorders>
            <w:shd w:val="clear" w:color="auto" w:fill="auto"/>
          </w:tcPr>
          <w:p w14:paraId="50DBCD27" w14:textId="77777777" w:rsidR="00E57231" w:rsidRPr="004F5FB4" w:rsidRDefault="00E57231" w:rsidP="00B56A49">
            <w:pPr>
              <w:rPr>
                <w:color w:val="000000"/>
              </w:rPr>
            </w:pPr>
            <w:r w:rsidRPr="004F5FB4">
              <w:rPr>
                <w:color w:val="000000"/>
              </w:rPr>
              <w:t>Anfangsdosis von 20 mg, gefolgt von einer Dosis von 20 mg jede zweite Woche, beginnend eine Woche nach der Anfangsdosis</w:t>
            </w:r>
          </w:p>
        </w:tc>
      </w:tr>
      <w:tr w:rsidR="007C5B83" w:rsidRPr="004F5FB4" w14:paraId="15C1D5DF" w14:textId="77777777" w:rsidTr="00054A92">
        <w:tc>
          <w:tcPr>
            <w:tcW w:w="4651" w:type="dxa"/>
            <w:tcBorders>
              <w:right w:val="nil"/>
            </w:tcBorders>
            <w:shd w:val="clear" w:color="auto" w:fill="auto"/>
          </w:tcPr>
          <w:p w14:paraId="6F220706" w14:textId="77777777" w:rsidR="007C5B83" w:rsidRPr="004F5FB4" w:rsidRDefault="007C5B83" w:rsidP="00982118">
            <w:pPr>
              <w:jc w:val="center"/>
              <w:rPr>
                <w:color w:val="000000"/>
              </w:rPr>
            </w:pPr>
            <w:r w:rsidRPr="004F5FB4">
              <w:rPr>
                <w:color w:val="000000"/>
              </w:rPr>
              <w:t>≥</w:t>
            </w:r>
            <w:r w:rsidR="00DE30C2" w:rsidRPr="004F5FB4">
              <w:rPr>
                <w:color w:val="000000"/>
              </w:rPr>
              <w:t> </w:t>
            </w:r>
            <w:r w:rsidRPr="004F5FB4">
              <w:rPr>
                <w:color w:val="000000"/>
              </w:rPr>
              <w:t>30 kg</w:t>
            </w:r>
          </w:p>
        </w:tc>
        <w:tc>
          <w:tcPr>
            <w:tcW w:w="4652" w:type="dxa"/>
            <w:tcBorders>
              <w:left w:val="nil"/>
            </w:tcBorders>
            <w:shd w:val="clear" w:color="auto" w:fill="auto"/>
          </w:tcPr>
          <w:p w14:paraId="07745A88" w14:textId="77777777" w:rsidR="007C5B83" w:rsidRPr="004F5FB4" w:rsidRDefault="007C5B83" w:rsidP="00B56A49">
            <w:pPr>
              <w:rPr>
                <w:color w:val="000000"/>
              </w:rPr>
            </w:pPr>
            <w:r w:rsidRPr="004F5FB4">
              <w:rPr>
                <w:color w:val="000000"/>
              </w:rPr>
              <w:t>Anfangsdosis von 40 mg, gefolgt von einer Dosis von 40 mg jede zweite Woche, beginnend eine Woche nach der Anfangsdosis</w:t>
            </w:r>
          </w:p>
        </w:tc>
      </w:tr>
    </w:tbl>
    <w:p w14:paraId="483683E8" w14:textId="77777777" w:rsidR="00E57231" w:rsidRPr="004F5FB4" w:rsidRDefault="00E57231" w:rsidP="00982118">
      <w:pPr>
        <w:rPr>
          <w:color w:val="000000"/>
        </w:rPr>
      </w:pPr>
    </w:p>
    <w:p w14:paraId="6E6F4873" w14:textId="77777777" w:rsidR="00C46587" w:rsidRPr="004F5FB4" w:rsidRDefault="00C46587" w:rsidP="00982118">
      <w:pPr>
        <w:rPr>
          <w:color w:val="000000"/>
        </w:rPr>
      </w:pPr>
      <w:r w:rsidRPr="004F5FB4">
        <w:rPr>
          <w:color w:val="000000"/>
        </w:rPr>
        <w:t>Die Fortsetzung der Therapie länger als 16</w:t>
      </w:r>
      <w:r w:rsidR="00DE30C2" w:rsidRPr="004F5FB4">
        <w:rPr>
          <w:color w:val="000000"/>
        </w:rPr>
        <w:t> </w:t>
      </w:r>
      <w:r w:rsidRPr="004F5FB4">
        <w:rPr>
          <w:color w:val="000000"/>
        </w:rPr>
        <w:t>Wochen sollte bei Patienten, die innerhalb dieser Zeitspanne nicht ansprechen, sorgfältig abgewogen werden.</w:t>
      </w:r>
    </w:p>
    <w:p w14:paraId="3E3B5691" w14:textId="77777777" w:rsidR="00C46587" w:rsidRPr="004F5FB4" w:rsidRDefault="00C46587" w:rsidP="00982118">
      <w:pPr>
        <w:rPr>
          <w:color w:val="000000"/>
        </w:rPr>
      </w:pPr>
    </w:p>
    <w:p w14:paraId="0574DD02" w14:textId="77777777" w:rsidR="00C46587" w:rsidRPr="004F5FB4" w:rsidRDefault="00C46587" w:rsidP="00982118">
      <w:pPr>
        <w:rPr>
          <w:color w:val="000000"/>
        </w:rPr>
      </w:pPr>
      <w:r w:rsidRPr="004F5FB4">
        <w:rPr>
          <w:color w:val="000000"/>
        </w:rPr>
        <w:t>Wenn die Wiederaufnahme der Therapie mit Amsparity angezeigt ist, sollte bezüglich Dosis und Behandlungsdauer die oben beschriebene Anleitung befolgt werden.</w:t>
      </w:r>
    </w:p>
    <w:p w14:paraId="6F4F5184" w14:textId="77777777" w:rsidR="00C46587" w:rsidRPr="004F5FB4" w:rsidRDefault="00C46587" w:rsidP="00982118">
      <w:pPr>
        <w:rPr>
          <w:color w:val="000000"/>
        </w:rPr>
      </w:pPr>
    </w:p>
    <w:p w14:paraId="50F73335" w14:textId="77777777" w:rsidR="00C46587" w:rsidRPr="004F5FB4" w:rsidRDefault="00C46587" w:rsidP="00982118">
      <w:pPr>
        <w:rPr>
          <w:color w:val="000000"/>
        </w:rPr>
      </w:pPr>
      <w:r w:rsidRPr="004F5FB4">
        <w:rPr>
          <w:color w:val="000000"/>
        </w:rPr>
        <w:t>Die Sicherheit von Adalimumab bei Kindern und Jugendlichen mit Plaque-Psoriasis wurde für durchschnittlich 13 Monate beurteilt.</w:t>
      </w:r>
    </w:p>
    <w:p w14:paraId="367454A4" w14:textId="77777777" w:rsidR="00C46587" w:rsidRPr="004F5FB4" w:rsidRDefault="00C46587" w:rsidP="00982118">
      <w:pPr>
        <w:rPr>
          <w:color w:val="000000"/>
        </w:rPr>
      </w:pPr>
    </w:p>
    <w:p w14:paraId="27DFEFFF" w14:textId="77777777" w:rsidR="00C46587" w:rsidRPr="004F5FB4" w:rsidRDefault="00C46587" w:rsidP="00982118">
      <w:pPr>
        <w:rPr>
          <w:color w:val="000000"/>
        </w:rPr>
      </w:pPr>
      <w:r w:rsidRPr="004F5FB4">
        <w:rPr>
          <w:color w:val="000000"/>
        </w:rPr>
        <w:t>Für diese Indikation gibt es bei Kindern, die jünger als 4</w:t>
      </w:r>
      <w:r w:rsidR="00DE30C2" w:rsidRPr="004F5FB4">
        <w:rPr>
          <w:color w:val="000000"/>
        </w:rPr>
        <w:t> </w:t>
      </w:r>
      <w:r w:rsidRPr="004F5FB4">
        <w:rPr>
          <w:color w:val="000000"/>
        </w:rPr>
        <w:t>Jahre sind, keine relevante Anwendung von Adalimumab.</w:t>
      </w:r>
    </w:p>
    <w:p w14:paraId="5506CA00" w14:textId="77777777" w:rsidR="00F770EC" w:rsidRPr="004F5FB4" w:rsidRDefault="00F770EC" w:rsidP="00982118">
      <w:pPr>
        <w:rPr>
          <w:color w:val="000000"/>
        </w:rPr>
      </w:pPr>
    </w:p>
    <w:p w14:paraId="00803CF8" w14:textId="77777777" w:rsidR="00F770EC" w:rsidRPr="004F5FB4" w:rsidRDefault="006A1144" w:rsidP="00982118">
      <w:pPr>
        <w:rPr>
          <w:color w:val="000000"/>
        </w:rPr>
      </w:pPr>
      <w:r w:rsidRPr="004F5FB4">
        <w:rPr>
          <w:color w:val="000000"/>
        </w:rPr>
        <w:t>Abhängig von den individuellen Behandlungsbedürfnissen kann Amsparity auch in anderen Stärken und/</w:t>
      </w:r>
      <w:r w:rsidR="00771ECC" w:rsidRPr="004F5FB4">
        <w:rPr>
          <w:color w:val="000000"/>
        </w:rPr>
        <w:t xml:space="preserve"> </w:t>
      </w:r>
      <w:r w:rsidRPr="004F5FB4">
        <w:rPr>
          <w:color w:val="000000"/>
        </w:rPr>
        <w:t>oder Darreichungsformen erhältlich sein.</w:t>
      </w:r>
    </w:p>
    <w:p w14:paraId="52AF96D6" w14:textId="77777777" w:rsidR="00C46587" w:rsidRPr="004F5FB4" w:rsidRDefault="00C46587" w:rsidP="00982118">
      <w:pPr>
        <w:rPr>
          <w:color w:val="000000"/>
        </w:rPr>
      </w:pPr>
    </w:p>
    <w:p w14:paraId="353A780B" w14:textId="77777777" w:rsidR="00C46587" w:rsidRPr="004F5FB4" w:rsidRDefault="00C46587" w:rsidP="00982118">
      <w:pPr>
        <w:keepNext/>
        <w:rPr>
          <w:i/>
          <w:color w:val="000000"/>
        </w:rPr>
      </w:pPr>
      <w:r w:rsidRPr="004F5FB4">
        <w:rPr>
          <w:i/>
          <w:color w:val="000000"/>
        </w:rPr>
        <w:t>Hidradenitis suppurativa (Acne inversa) bei Jugendlichen (ab 12</w:t>
      </w:r>
      <w:r w:rsidR="00DE30C2" w:rsidRPr="004F5FB4">
        <w:rPr>
          <w:i/>
          <w:color w:val="000000"/>
        </w:rPr>
        <w:t> </w:t>
      </w:r>
      <w:r w:rsidRPr="004F5FB4">
        <w:rPr>
          <w:i/>
          <w:color w:val="000000"/>
        </w:rPr>
        <w:t>Jahren und mit einem Gewicht von mindestens 30 kg)</w:t>
      </w:r>
    </w:p>
    <w:p w14:paraId="1F1C1D4F" w14:textId="77777777" w:rsidR="00C46587" w:rsidRPr="004F5FB4" w:rsidRDefault="00C46587" w:rsidP="00982118">
      <w:pPr>
        <w:keepNext/>
        <w:rPr>
          <w:color w:val="000000"/>
        </w:rPr>
      </w:pPr>
    </w:p>
    <w:p w14:paraId="149D14FA" w14:textId="77777777" w:rsidR="007C5B83" w:rsidRPr="004F5FB4" w:rsidRDefault="00C46587" w:rsidP="00982118">
      <w:pPr>
        <w:rPr>
          <w:color w:val="000000"/>
        </w:rPr>
      </w:pPr>
      <w:r w:rsidRPr="004F5FB4">
        <w:rPr>
          <w:color w:val="000000"/>
        </w:rPr>
        <w:t xml:space="preserve">Es gibt keine klinischen Studien mit Adalimumab bei jugendlichen Patienten mit HS. </w:t>
      </w:r>
    </w:p>
    <w:p w14:paraId="693A73EA" w14:textId="77777777" w:rsidR="007C5B83" w:rsidRPr="004F5FB4" w:rsidRDefault="007C5B83" w:rsidP="00982118">
      <w:pPr>
        <w:rPr>
          <w:color w:val="000000"/>
        </w:rPr>
      </w:pPr>
    </w:p>
    <w:p w14:paraId="027DC196" w14:textId="77777777" w:rsidR="00C46587" w:rsidRPr="004F5FB4" w:rsidRDefault="00C46587" w:rsidP="00982118">
      <w:pPr>
        <w:rPr>
          <w:color w:val="000000"/>
        </w:rPr>
      </w:pPr>
      <w:r w:rsidRPr="004F5FB4">
        <w:rPr>
          <w:color w:val="000000"/>
        </w:rPr>
        <w:t>Die Dosierung von Adalimumab bei diesen Patienten wurde in pharmakokinetischen Modellen und Simulationen bestimmt (siehe Abschnitt</w:t>
      </w:r>
      <w:r w:rsidR="00DE30C2" w:rsidRPr="004F5FB4">
        <w:rPr>
          <w:color w:val="000000"/>
        </w:rPr>
        <w:t> </w:t>
      </w:r>
      <w:r w:rsidRPr="004F5FB4">
        <w:rPr>
          <w:color w:val="000000"/>
        </w:rPr>
        <w:t>5.2).</w:t>
      </w:r>
    </w:p>
    <w:p w14:paraId="2D784859" w14:textId="77777777" w:rsidR="00C46587" w:rsidRPr="004F5FB4" w:rsidRDefault="00C46587" w:rsidP="00982118">
      <w:pPr>
        <w:rPr>
          <w:color w:val="000000"/>
        </w:rPr>
      </w:pPr>
    </w:p>
    <w:p w14:paraId="7A7C424B" w14:textId="77777777" w:rsidR="00C46587" w:rsidRPr="004F5FB4" w:rsidRDefault="00C46587" w:rsidP="00982118">
      <w:pPr>
        <w:rPr>
          <w:color w:val="000000"/>
        </w:rPr>
      </w:pPr>
      <w:r w:rsidRPr="004F5FB4">
        <w:rPr>
          <w:color w:val="000000"/>
        </w:rPr>
        <w:t>Die empfohlene Dosis von Amsparity beträgt 80 mg in Woche</w:t>
      </w:r>
      <w:r w:rsidR="00DE30C2" w:rsidRPr="004F5FB4">
        <w:rPr>
          <w:color w:val="000000"/>
        </w:rPr>
        <w:t> </w:t>
      </w:r>
      <w:r w:rsidRPr="004F5FB4">
        <w:rPr>
          <w:color w:val="000000"/>
        </w:rPr>
        <w:t>0, gefolgt von 40 mg jede zweite Woche ab Woche</w:t>
      </w:r>
      <w:r w:rsidR="00DE30C2" w:rsidRPr="004F5FB4">
        <w:rPr>
          <w:color w:val="000000"/>
        </w:rPr>
        <w:t> </w:t>
      </w:r>
      <w:r w:rsidRPr="004F5FB4">
        <w:rPr>
          <w:color w:val="000000"/>
        </w:rPr>
        <w:t>1 als subkutane Injektion.</w:t>
      </w:r>
    </w:p>
    <w:p w14:paraId="0C081E6D" w14:textId="77777777" w:rsidR="007C5B83" w:rsidRPr="004F5FB4" w:rsidRDefault="007C5B83" w:rsidP="00982118">
      <w:pPr>
        <w:rPr>
          <w:color w:val="000000"/>
        </w:rPr>
      </w:pPr>
    </w:p>
    <w:p w14:paraId="2E83F3B8" w14:textId="77777777" w:rsidR="00C46587" w:rsidRPr="004F5FB4" w:rsidRDefault="00C46587" w:rsidP="00982118">
      <w:pPr>
        <w:rPr>
          <w:color w:val="000000"/>
        </w:rPr>
      </w:pPr>
      <w:r w:rsidRPr="004F5FB4">
        <w:rPr>
          <w:color w:val="000000"/>
        </w:rPr>
        <w:t>Bei jugendlichen Patienten, die unzureichend auf Amsparity 40 mg jede zweite Woche ansprechen, kann eine Erhöhung der Dosierung auf 40 mg jede Woche oder 80 mg jede zweite Woche erwogen werden.</w:t>
      </w:r>
    </w:p>
    <w:p w14:paraId="1729B58F" w14:textId="77777777" w:rsidR="00C46587" w:rsidRPr="004F5FB4" w:rsidRDefault="00C46587" w:rsidP="00982118">
      <w:pPr>
        <w:rPr>
          <w:color w:val="000000"/>
        </w:rPr>
      </w:pPr>
    </w:p>
    <w:p w14:paraId="3626EF04" w14:textId="77777777" w:rsidR="00C46587" w:rsidRPr="004F5FB4" w:rsidRDefault="00C46587" w:rsidP="00982118">
      <w:pPr>
        <w:rPr>
          <w:color w:val="000000"/>
        </w:rPr>
      </w:pPr>
      <w:r w:rsidRPr="004F5FB4">
        <w:rPr>
          <w:color w:val="000000"/>
        </w:rPr>
        <w:t>Falls notwendig, kann eine Antibiotikatherapie während der Behandlung mit Amsparity weitergeführt werden. Es wird empfohlen, dass die Patienten während der Behandlung mit Amsparity täglich eine topische antiseptische Waschlösung an ihren HS-Läsionen anwenden.</w:t>
      </w:r>
    </w:p>
    <w:p w14:paraId="0EAC2B8C" w14:textId="77777777" w:rsidR="00C46587" w:rsidRPr="004F5FB4" w:rsidRDefault="00C46587" w:rsidP="00982118">
      <w:pPr>
        <w:rPr>
          <w:color w:val="000000"/>
        </w:rPr>
      </w:pPr>
    </w:p>
    <w:p w14:paraId="7E0F4B15" w14:textId="77777777" w:rsidR="00C46587" w:rsidRPr="004F5FB4" w:rsidRDefault="00C46587" w:rsidP="00982118">
      <w:pPr>
        <w:rPr>
          <w:color w:val="000000"/>
        </w:rPr>
      </w:pPr>
      <w:r w:rsidRPr="004F5FB4">
        <w:rPr>
          <w:color w:val="000000"/>
        </w:rPr>
        <w:t>Eine Fortsetzung der Therapie länger als 12 Wochen sollte sorgfältig abgewogen werden bei Patienten, die innerhalb dieser Zeitspanne keine Verbesserung zeigen.</w:t>
      </w:r>
    </w:p>
    <w:p w14:paraId="2BC071CC" w14:textId="77777777" w:rsidR="00C46587" w:rsidRPr="004F5FB4" w:rsidRDefault="00C46587" w:rsidP="00982118">
      <w:pPr>
        <w:rPr>
          <w:color w:val="000000"/>
        </w:rPr>
      </w:pPr>
    </w:p>
    <w:p w14:paraId="10DA5AAE" w14:textId="77777777" w:rsidR="00C46587" w:rsidRPr="004F5FB4" w:rsidRDefault="00C46587" w:rsidP="00982118">
      <w:pPr>
        <w:rPr>
          <w:color w:val="000000"/>
        </w:rPr>
      </w:pPr>
      <w:r w:rsidRPr="004F5FB4">
        <w:rPr>
          <w:color w:val="000000"/>
        </w:rPr>
        <w:t>Sollte eine Unterbrechung der Behandlung erforderlich sein, kann Amsparity nach Bedarf erneut gegeben werden.</w:t>
      </w:r>
    </w:p>
    <w:p w14:paraId="23D58833" w14:textId="77777777" w:rsidR="00C46587" w:rsidRPr="004F5FB4" w:rsidRDefault="00C46587" w:rsidP="00982118">
      <w:pPr>
        <w:rPr>
          <w:color w:val="000000"/>
        </w:rPr>
      </w:pPr>
    </w:p>
    <w:p w14:paraId="51D6CED7" w14:textId="77777777" w:rsidR="00C46587" w:rsidRPr="004F5FB4" w:rsidRDefault="00C46587" w:rsidP="00982118">
      <w:pPr>
        <w:rPr>
          <w:color w:val="000000"/>
        </w:rPr>
      </w:pPr>
      <w:r w:rsidRPr="004F5FB4">
        <w:rPr>
          <w:color w:val="000000"/>
        </w:rPr>
        <w:t>Nutzen und Risiko einer fortgesetzten Langzeitbehandlung sollten regelmäßig beurteilt werden (siehe Daten zu Erwachsenen in Abschnitt</w:t>
      </w:r>
      <w:r w:rsidR="00DE30C2" w:rsidRPr="004F5FB4">
        <w:rPr>
          <w:color w:val="000000"/>
        </w:rPr>
        <w:t> </w:t>
      </w:r>
      <w:r w:rsidRPr="004F5FB4">
        <w:rPr>
          <w:color w:val="000000"/>
        </w:rPr>
        <w:t>5.1).</w:t>
      </w:r>
    </w:p>
    <w:p w14:paraId="38C9DE6E" w14:textId="77777777" w:rsidR="00C46587" w:rsidRPr="004F5FB4" w:rsidRDefault="00C46587" w:rsidP="00982118">
      <w:pPr>
        <w:rPr>
          <w:color w:val="000000"/>
        </w:rPr>
      </w:pPr>
    </w:p>
    <w:p w14:paraId="3366F103" w14:textId="77777777" w:rsidR="00C46587" w:rsidRPr="004F5FB4" w:rsidRDefault="00036D76" w:rsidP="00982118">
      <w:pPr>
        <w:rPr>
          <w:color w:val="000000"/>
        </w:rPr>
      </w:pPr>
      <w:r w:rsidRPr="004F5FB4">
        <w:rPr>
          <w:color w:val="000000"/>
          <w:lang w:eastAsia="de-DE"/>
        </w:rPr>
        <w:t>Es gibt in dieser Indikation keinen relevanten Nutzen von</w:t>
      </w:r>
      <w:r w:rsidRPr="004F5FB4" w:rsidDel="00036D76">
        <w:rPr>
          <w:color w:val="000000"/>
        </w:rPr>
        <w:t xml:space="preserve"> </w:t>
      </w:r>
      <w:r w:rsidRPr="004F5FB4">
        <w:rPr>
          <w:color w:val="000000"/>
        </w:rPr>
        <w:t>Adalimumab</w:t>
      </w:r>
      <w:r w:rsidRPr="004F5FB4" w:rsidDel="00036D76">
        <w:rPr>
          <w:color w:val="000000"/>
        </w:rPr>
        <w:t xml:space="preserve"> </w:t>
      </w:r>
      <w:r w:rsidR="00C46587" w:rsidRPr="004F5FB4">
        <w:rPr>
          <w:color w:val="000000"/>
        </w:rPr>
        <w:t>bei Kindern, die jünger als 12</w:t>
      </w:r>
      <w:r w:rsidR="00DE30C2" w:rsidRPr="004F5FB4">
        <w:rPr>
          <w:color w:val="000000"/>
        </w:rPr>
        <w:t> </w:t>
      </w:r>
      <w:r w:rsidR="00C46587" w:rsidRPr="004F5FB4">
        <w:rPr>
          <w:color w:val="000000"/>
        </w:rPr>
        <w:t xml:space="preserve">Jahre sind. </w:t>
      </w:r>
    </w:p>
    <w:p w14:paraId="0F38CBC5" w14:textId="77777777" w:rsidR="003D4368" w:rsidRPr="004F5FB4" w:rsidRDefault="003D4368" w:rsidP="00982118">
      <w:pPr>
        <w:rPr>
          <w:color w:val="000000"/>
        </w:rPr>
      </w:pPr>
    </w:p>
    <w:p w14:paraId="10EE0994" w14:textId="77777777" w:rsidR="003D4368" w:rsidRPr="004F5FB4" w:rsidRDefault="006A1144" w:rsidP="00982118">
      <w:pPr>
        <w:rPr>
          <w:color w:val="000000"/>
        </w:rPr>
      </w:pPr>
      <w:r w:rsidRPr="004F5FB4">
        <w:rPr>
          <w:color w:val="000000"/>
        </w:rPr>
        <w:t>Abhängig von den individuellen Behandlungsbedürfnissen kann Amsparity auch in anderen Stärken und/</w:t>
      </w:r>
      <w:r w:rsidR="00DE30C2" w:rsidRPr="004F5FB4">
        <w:rPr>
          <w:color w:val="000000"/>
        </w:rPr>
        <w:t xml:space="preserve"> </w:t>
      </w:r>
      <w:r w:rsidRPr="004F5FB4">
        <w:rPr>
          <w:color w:val="000000"/>
        </w:rPr>
        <w:t>oder Darreichungsformen erhältlich sein.</w:t>
      </w:r>
    </w:p>
    <w:p w14:paraId="16F23169" w14:textId="77777777" w:rsidR="00C46587" w:rsidRPr="004F5FB4" w:rsidRDefault="00C46587" w:rsidP="00982118">
      <w:pPr>
        <w:rPr>
          <w:color w:val="000000"/>
        </w:rPr>
      </w:pPr>
    </w:p>
    <w:p w14:paraId="645E36ED" w14:textId="77777777" w:rsidR="00C46587" w:rsidRPr="004F5FB4" w:rsidRDefault="00C46587" w:rsidP="00982118">
      <w:pPr>
        <w:keepNext/>
        <w:rPr>
          <w:i/>
          <w:color w:val="000000"/>
        </w:rPr>
      </w:pPr>
      <w:r w:rsidRPr="004F5FB4">
        <w:rPr>
          <w:i/>
          <w:color w:val="000000"/>
        </w:rPr>
        <w:t>Morbus Crohn bei Kindern und Jugendlichen</w:t>
      </w:r>
    </w:p>
    <w:p w14:paraId="0D6DFB44" w14:textId="77777777" w:rsidR="00C46587" w:rsidRPr="004F5FB4" w:rsidRDefault="00C46587" w:rsidP="00982118">
      <w:pPr>
        <w:keepNext/>
        <w:rPr>
          <w:color w:val="000000"/>
        </w:rPr>
      </w:pPr>
    </w:p>
    <w:p w14:paraId="4F4D1906" w14:textId="77777777" w:rsidR="007C5B83" w:rsidRPr="004F5FB4" w:rsidRDefault="00C46587" w:rsidP="00982118">
      <w:pPr>
        <w:rPr>
          <w:color w:val="000000"/>
        </w:rPr>
      </w:pPr>
      <w:r w:rsidRPr="004F5FB4">
        <w:rPr>
          <w:color w:val="000000"/>
        </w:rPr>
        <w:t>Die empfohlene Dosis von Amsparity für Patienten mit Morbus Crohn im Alter von 6 bis 17</w:t>
      </w:r>
      <w:r w:rsidR="00DE30C2" w:rsidRPr="004F5FB4">
        <w:rPr>
          <w:color w:val="000000"/>
        </w:rPr>
        <w:t> </w:t>
      </w:r>
      <w:r w:rsidRPr="004F5FB4">
        <w:rPr>
          <w:color w:val="000000"/>
        </w:rPr>
        <w:t>Jahren wird anhand des Körpergewichts bestimmt (Tabelle</w:t>
      </w:r>
      <w:r w:rsidR="00DE30C2" w:rsidRPr="004F5FB4">
        <w:rPr>
          <w:color w:val="000000"/>
        </w:rPr>
        <w:t> </w:t>
      </w:r>
      <w:r w:rsidRPr="004F5FB4">
        <w:rPr>
          <w:color w:val="000000"/>
        </w:rPr>
        <w:t xml:space="preserve">4). Amsparity wird subkutan injiziert. </w:t>
      </w:r>
    </w:p>
    <w:p w14:paraId="5BC5D34B" w14:textId="77777777" w:rsidR="007C5B83" w:rsidRPr="004F5FB4" w:rsidRDefault="007C5B83" w:rsidP="00982118">
      <w:pPr>
        <w:rPr>
          <w:color w:val="000000"/>
        </w:rPr>
      </w:pPr>
    </w:p>
    <w:p w14:paraId="4F47D576" w14:textId="77777777" w:rsidR="00FF3A91" w:rsidRPr="004F5FB4" w:rsidRDefault="007C5B83" w:rsidP="00D4051F">
      <w:pPr>
        <w:keepNext/>
        <w:keepLines/>
        <w:rPr>
          <w:b/>
          <w:color w:val="000000"/>
        </w:rPr>
      </w:pPr>
      <w:r w:rsidRPr="004F5FB4">
        <w:rPr>
          <w:b/>
          <w:color w:val="000000"/>
        </w:rPr>
        <w:lastRenderedPageBreak/>
        <w:t xml:space="preserve">Tabelle 4 </w:t>
      </w:r>
    </w:p>
    <w:p w14:paraId="11D4FB51" w14:textId="77777777" w:rsidR="007C5B83" w:rsidRPr="004F5FB4" w:rsidRDefault="006A1144" w:rsidP="00D4051F">
      <w:pPr>
        <w:keepNext/>
        <w:keepLines/>
        <w:rPr>
          <w:color w:val="000000"/>
        </w:rPr>
      </w:pPr>
      <w:r w:rsidRPr="004F5FB4">
        <w:rPr>
          <w:b/>
          <w:color w:val="000000"/>
        </w:rPr>
        <w:t>Amsparity-Dosis für Kinder und Jugendliche mit Morbus Crohn</w:t>
      </w:r>
    </w:p>
    <w:p w14:paraId="32BA1809" w14:textId="77777777" w:rsidR="007C5B83" w:rsidRPr="004F5FB4" w:rsidRDefault="007C5B83" w:rsidP="00D4051F">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5812"/>
        <w:gridCol w:w="1984"/>
      </w:tblGrid>
      <w:tr w:rsidR="007C5B83" w:rsidRPr="004F5FB4" w14:paraId="7EFEA895" w14:textId="77777777" w:rsidTr="00054A92">
        <w:tc>
          <w:tcPr>
            <w:tcW w:w="1278" w:type="dxa"/>
            <w:shd w:val="clear" w:color="auto" w:fill="auto"/>
          </w:tcPr>
          <w:p w14:paraId="2838E14B" w14:textId="77777777" w:rsidR="007C5B83" w:rsidRPr="004F5FB4" w:rsidRDefault="007C5B83" w:rsidP="00D4051F">
            <w:pPr>
              <w:keepNext/>
              <w:keepLines/>
              <w:jc w:val="center"/>
              <w:rPr>
                <w:b/>
                <w:color w:val="000000"/>
              </w:rPr>
            </w:pPr>
            <w:r w:rsidRPr="004F5FB4">
              <w:rPr>
                <w:b/>
                <w:color w:val="000000"/>
              </w:rPr>
              <w:t>Gewicht des Patienten</w:t>
            </w:r>
          </w:p>
        </w:tc>
        <w:tc>
          <w:tcPr>
            <w:tcW w:w="6030" w:type="dxa"/>
            <w:shd w:val="clear" w:color="auto" w:fill="auto"/>
          </w:tcPr>
          <w:p w14:paraId="2927D3CA" w14:textId="77777777" w:rsidR="007C5B83" w:rsidRPr="004F5FB4" w:rsidRDefault="007C5B83" w:rsidP="00D4051F">
            <w:pPr>
              <w:keepNext/>
              <w:keepLines/>
              <w:jc w:val="center"/>
              <w:rPr>
                <w:b/>
                <w:color w:val="000000"/>
              </w:rPr>
            </w:pPr>
            <w:r w:rsidRPr="004F5FB4">
              <w:rPr>
                <w:b/>
                <w:color w:val="000000"/>
              </w:rPr>
              <w:t>Induktionsdosis</w:t>
            </w:r>
          </w:p>
        </w:tc>
        <w:tc>
          <w:tcPr>
            <w:tcW w:w="1995" w:type="dxa"/>
            <w:shd w:val="clear" w:color="auto" w:fill="auto"/>
          </w:tcPr>
          <w:p w14:paraId="77F4A22E" w14:textId="77777777" w:rsidR="007C5B83" w:rsidRPr="004F5FB4" w:rsidRDefault="007C5B83" w:rsidP="00D4051F">
            <w:pPr>
              <w:keepNext/>
              <w:keepLines/>
              <w:jc w:val="center"/>
              <w:rPr>
                <w:b/>
                <w:color w:val="000000"/>
              </w:rPr>
            </w:pPr>
            <w:r w:rsidRPr="004F5FB4">
              <w:rPr>
                <w:b/>
                <w:color w:val="000000"/>
              </w:rPr>
              <w:t>Erhaltungsdosis, beginnend in Woche</w:t>
            </w:r>
            <w:r w:rsidR="001368B8" w:rsidRPr="004F5FB4">
              <w:rPr>
                <w:b/>
                <w:color w:val="000000"/>
              </w:rPr>
              <w:t> </w:t>
            </w:r>
            <w:r w:rsidRPr="004F5FB4">
              <w:rPr>
                <w:b/>
                <w:color w:val="000000"/>
              </w:rPr>
              <w:t>4</w:t>
            </w:r>
          </w:p>
        </w:tc>
      </w:tr>
      <w:tr w:rsidR="007C5B83" w:rsidRPr="004F5FB4" w14:paraId="33FBC4A7" w14:textId="77777777" w:rsidTr="00054A92">
        <w:tc>
          <w:tcPr>
            <w:tcW w:w="1278" w:type="dxa"/>
            <w:shd w:val="clear" w:color="auto" w:fill="auto"/>
          </w:tcPr>
          <w:p w14:paraId="0A964F4C" w14:textId="77777777" w:rsidR="007C5B83" w:rsidRPr="004F5FB4" w:rsidRDefault="007C5B83" w:rsidP="00D4051F">
            <w:pPr>
              <w:keepNext/>
              <w:keepLines/>
              <w:jc w:val="center"/>
              <w:rPr>
                <w:color w:val="000000"/>
              </w:rPr>
            </w:pPr>
            <w:r w:rsidRPr="004F5FB4">
              <w:rPr>
                <w:color w:val="000000"/>
              </w:rPr>
              <w:t>&lt;</w:t>
            </w:r>
            <w:r w:rsidR="001368B8" w:rsidRPr="004F5FB4">
              <w:rPr>
                <w:color w:val="000000"/>
              </w:rPr>
              <w:t> </w:t>
            </w:r>
            <w:r w:rsidRPr="004F5FB4">
              <w:rPr>
                <w:color w:val="000000"/>
              </w:rPr>
              <w:t>40</w:t>
            </w:r>
            <w:r w:rsidR="00DE30C2" w:rsidRPr="004F5FB4">
              <w:rPr>
                <w:color w:val="000000"/>
              </w:rPr>
              <w:t> </w:t>
            </w:r>
            <w:r w:rsidRPr="004F5FB4">
              <w:rPr>
                <w:color w:val="000000"/>
              </w:rPr>
              <w:t>kg</w:t>
            </w:r>
          </w:p>
        </w:tc>
        <w:tc>
          <w:tcPr>
            <w:tcW w:w="6030" w:type="dxa"/>
            <w:shd w:val="clear" w:color="auto" w:fill="auto"/>
          </w:tcPr>
          <w:p w14:paraId="436CD121" w14:textId="77777777" w:rsidR="007C5B83" w:rsidRPr="004F5FB4" w:rsidRDefault="00885CBA" w:rsidP="00D4051F">
            <w:pPr>
              <w:keepNext/>
              <w:keepLines/>
              <w:numPr>
                <w:ilvl w:val="0"/>
                <w:numId w:val="17"/>
              </w:numPr>
              <w:rPr>
                <w:color w:val="000000"/>
              </w:rPr>
            </w:pPr>
            <w:r w:rsidRPr="004F5FB4">
              <w:rPr>
                <w:color w:val="000000"/>
              </w:rPr>
              <w:t>40 mg in Woche</w:t>
            </w:r>
            <w:r w:rsidR="00DE30C2" w:rsidRPr="004F5FB4">
              <w:rPr>
                <w:color w:val="000000"/>
              </w:rPr>
              <w:t> </w:t>
            </w:r>
            <w:r w:rsidRPr="004F5FB4">
              <w:rPr>
                <w:color w:val="000000"/>
              </w:rPr>
              <w:t>0 und 20 mg in Woche</w:t>
            </w:r>
            <w:r w:rsidR="00DE30C2" w:rsidRPr="004F5FB4">
              <w:rPr>
                <w:color w:val="000000"/>
              </w:rPr>
              <w:t> </w:t>
            </w:r>
            <w:r w:rsidRPr="004F5FB4">
              <w:rPr>
                <w:color w:val="000000"/>
              </w:rPr>
              <w:t>2</w:t>
            </w:r>
          </w:p>
          <w:p w14:paraId="409FB382" w14:textId="77777777" w:rsidR="007C5B83" w:rsidRPr="004F5FB4" w:rsidRDefault="007C5B83" w:rsidP="00D4051F">
            <w:pPr>
              <w:keepNext/>
              <w:keepLines/>
              <w:rPr>
                <w:color w:val="000000"/>
              </w:rPr>
            </w:pPr>
          </w:p>
          <w:p w14:paraId="49B657DF" w14:textId="77777777" w:rsidR="00DB320E" w:rsidRPr="004F5FB4" w:rsidRDefault="007C5B83" w:rsidP="00D4051F">
            <w:pPr>
              <w:keepNext/>
              <w:keepLines/>
              <w:rPr>
                <w:color w:val="000000"/>
              </w:rPr>
            </w:pPr>
            <w:r w:rsidRPr="004F5FB4">
              <w:rPr>
                <w:color w:val="000000"/>
              </w:rPr>
              <w:t xml:space="preserve">In Fällen, in denen ein schnelleres Ansprechen auf die Therapie erforderlich ist, kann – unter Berücksichtigung, dass bei einer höheren Induktionsdosis auch das Risiko für Nebenwirkungen höher sein kann – folgende Dosis angewandt werden: </w:t>
            </w:r>
          </w:p>
          <w:p w14:paraId="7355D116" w14:textId="77777777" w:rsidR="007C5B83" w:rsidRPr="004F5FB4" w:rsidRDefault="00885CBA" w:rsidP="00D4051F">
            <w:pPr>
              <w:keepNext/>
              <w:keepLines/>
              <w:numPr>
                <w:ilvl w:val="0"/>
                <w:numId w:val="17"/>
              </w:numPr>
              <w:rPr>
                <w:color w:val="000000"/>
              </w:rPr>
            </w:pPr>
            <w:r w:rsidRPr="004F5FB4">
              <w:rPr>
                <w:color w:val="000000"/>
              </w:rPr>
              <w:t>80 mg in Woche</w:t>
            </w:r>
            <w:r w:rsidR="00DE30C2" w:rsidRPr="004F5FB4">
              <w:rPr>
                <w:color w:val="000000"/>
              </w:rPr>
              <w:t> </w:t>
            </w:r>
            <w:r w:rsidRPr="004F5FB4">
              <w:rPr>
                <w:color w:val="000000"/>
              </w:rPr>
              <w:t>0 und 40 mg in Woche</w:t>
            </w:r>
            <w:r w:rsidR="00DE30C2" w:rsidRPr="004F5FB4">
              <w:rPr>
                <w:color w:val="000000"/>
              </w:rPr>
              <w:t> </w:t>
            </w:r>
            <w:r w:rsidRPr="004F5FB4">
              <w:rPr>
                <w:color w:val="000000"/>
              </w:rPr>
              <w:t>2</w:t>
            </w:r>
          </w:p>
        </w:tc>
        <w:tc>
          <w:tcPr>
            <w:tcW w:w="1995" w:type="dxa"/>
            <w:shd w:val="clear" w:color="auto" w:fill="auto"/>
          </w:tcPr>
          <w:p w14:paraId="3E433958" w14:textId="77777777" w:rsidR="007C5B83" w:rsidRPr="004F5FB4" w:rsidRDefault="00DB320E" w:rsidP="00D4051F">
            <w:pPr>
              <w:keepNext/>
              <w:keepLines/>
              <w:jc w:val="center"/>
              <w:rPr>
                <w:color w:val="000000"/>
              </w:rPr>
            </w:pPr>
            <w:r w:rsidRPr="004F5FB4">
              <w:rPr>
                <w:color w:val="000000"/>
              </w:rPr>
              <w:t>20 mg jede zweite Woche</w:t>
            </w:r>
          </w:p>
        </w:tc>
      </w:tr>
      <w:tr w:rsidR="00DB320E" w:rsidRPr="004F5FB4" w14:paraId="7092ED10" w14:textId="77777777" w:rsidTr="00054A92">
        <w:tc>
          <w:tcPr>
            <w:tcW w:w="1278" w:type="dxa"/>
            <w:shd w:val="clear" w:color="auto" w:fill="auto"/>
          </w:tcPr>
          <w:p w14:paraId="5CB412C8" w14:textId="77777777" w:rsidR="00DB320E" w:rsidRPr="004F5FB4" w:rsidRDefault="00DB320E" w:rsidP="00D4051F">
            <w:pPr>
              <w:keepNext/>
              <w:keepLines/>
              <w:jc w:val="center"/>
              <w:rPr>
                <w:color w:val="000000"/>
              </w:rPr>
            </w:pPr>
            <w:r w:rsidRPr="004F5FB4">
              <w:rPr>
                <w:color w:val="000000"/>
              </w:rPr>
              <w:t>≥</w:t>
            </w:r>
            <w:r w:rsidR="001368B8" w:rsidRPr="004F5FB4">
              <w:rPr>
                <w:color w:val="000000"/>
              </w:rPr>
              <w:t> </w:t>
            </w:r>
            <w:r w:rsidRPr="004F5FB4">
              <w:rPr>
                <w:color w:val="000000"/>
              </w:rPr>
              <w:t>40 kg</w:t>
            </w:r>
          </w:p>
        </w:tc>
        <w:tc>
          <w:tcPr>
            <w:tcW w:w="6030" w:type="dxa"/>
            <w:shd w:val="clear" w:color="auto" w:fill="auto"/>
          </w:tcPr>
          <w:p w14:paraId="034173E0" w14:textId="77777777" w:rsidR="00DB320E" w:rsidRPr="004F5FB4" w:rsidRDefault="00885CBA" w:rsidP="00D4051F">
            <w:pPr>
              <w:keepNext/>
              <w:keepLines/>
              <w:numPr>
                <w:ilvl w:val="0"/>
                <w:numId w:val="17"/>
              </w:numPr>
              <w:rPr>
                <w:color w:val="000000"/>
              </w:rPr>
            </w:pPr>
            <w:r w:rsidRPr="004F5FB4">
              <w:rPr>
                <w:color w:val="000000"/>
              </w:rPr>
              <w:t>80 mg in Woche</w:t>
            </w:r>
            <w:r w:rsidR="00DE30C2" w:rsidRPr="004F5FB4">
              <w:rPr>
                <w:color w:val="000000"/>
              </w:rPr>
              <w:t> </w:t>
            </w:r>
            <w:r w:rsidRPr="004F5FB4">
              <w:rPr>
                <w:color w:val="000000"/>
              </w:rPr>
              <w:t>0 und 40 mg in Woche</w:t>
            </w:r>
            <w:r w:rsidR="00DE30C2" w:rsidRPr="004F5FB4">
              <w:rPr>
                <w:color w:val="000000"/>
              </w:rPr>
              <w:t> </w:t>
            </w:r>
            <w:r w:rsidRPr="004F5FB4">
              <w:rPr>
                <w:color w:val="000000"/>
              </w:rPr>
              <w:t>2</w:t>
            </w:r>
          </w:p>
          <w:p w14:paraId="01071D77" w14:textId="77777777" w:rsidR="00DB320E" w:rsidRPr="004F5FB4" w:rsidRDefault="00DB320E" w:rsidP="00D4051F">
            <w:pPr>
              <w:keepNext/>
              <w:keepLines/>
              <w:rPr>
                <w:color w:val="000000"/>
              </w:rPr>
            </w:pPr>
          </w:p>
          <w:p w14:paraId="0901FD7B" w14:textId="77777777" w:rsidR="00DB320E" w:rsidRPr="004F5FB4" w:rsidRDefault="00DB320E" w:rsidP="00D4051F">
            <w:pPr>
              <w:keepNext/>
              <w:keepLines/>
              <w:rPr>
                <w:color w:val="000000"/>
              </w:rPr>
            </w:pPr>
            <w:r w:rsidRPr="004F5FB4">
              <w:rPr>
                <w:color w:val="000000"/>
              </w:rPr>
              <w:t xml:space="preserve">In Fällen, in denen ein schnelleres Ansprechen auf die Therapie erforderlich ist, kann – unter Berücksichtigung, dass bei einer höheren Induktionsdosis auch das Risiko für Nebenwirkungen höher sein kann – folgende Dosis angewandt werden: </w:t>
            </w:r>
          </w:p>
          <w:p w14:paraId="2C661858" w14:textId="77777777" w:rsidR="00DB320E" w:rsidRPr="004F5FB4" w:rsidRDefault="00885CBA" w:rsidP="00D4051F">
            <w:pPr>
              <w:keepNext/>
              <w:keepLines/>
              <w:numPr>
                <w:ilvl w:val="0"/>
                <w:numId w:val="17"/>
              </w:numPr>
              <w:rPr>
                <w:color w:val="000000"/>
              </w:rPr>
            </w:pPr>
            <w:r w:rsidRPr="004F5FB4">
              <w:rPr>
                <w:color w:val="000000"/>
              </w:rPr>
              <w:t>160 mg in Woche</w:t>
            </w:r>
            <w:r w:rsidR="001F6B8D" w:rsidRPr="004F5FB4">
              <w:rPr>
                <w:color w:val="000000"/>
              </w:rPr>
              <w:t> </w:t>
            </w:r>
            <w:r w:rsidRPr="004F5FB4">
              <w:rPr>
                <w:color w:val="000000"/>
              </w:rPr>
              <w:t>0 und 80 mg in Woche</w:t>
            </w:r>
            <w:r w:rsidR="001F6B8D" w:rsidRPr="004F5FB4">
              <w:rPr>
                <w:color w:val="000000"/>
              </w:rPr>
              <w:t> </w:t>
            </w:r>
            <w:r w:rsidRPr="004F5FB4">
              <w:rPr>
                <w:color w:val="000000"/>
              </w:rPr>
              <w:t>2</w:t>
            </w:r>
          </w:p>
        </w:tc>
        <w:tc>
          <w:tcPr>
            <w:tcW w:w="1995" w:type="dxa"/>
            <w:shd w:val="clear" w:color="auto" w:fill="auto"/>
          </w:tcPr>
          <w:p w14:paraId="63C0A550" w14:textId="77777777" w:rsidR="00DB320E" w:rsidRPr="004F5FB4" w:rsidRDefault="00DB320E" w:rsidP="00D4051F">
            <w:pPr>
              <w:keepNext/>
              <w:keepLines/>
              <w:jc w:val="center"/>
              <w:rPr>
                <w:color w:val="000000"/>
              </w:rPr>
            </w:pPr>
            <w:r w:rsidRPr="004F5FB4">
              <w:rPr>
                <w:color w:val="000000"/>
              </w:rPr>
              <w:t>40 mg jede zweite Woche</w:t>
            </w:r>
          </w:p>
        </w:tc>
      </w:tr>
    </w:tbl>
    <w:p w14:paraId="4F9D7A72" w14:textId="77777777" w:rsidR="007C5B83" w:rsidRPr="004F5FB4" w:rsidRDefault="007C5B83" w:rsidP="00982118">
      <w:pPr>
        <w:rPr>
          <w:color w:val="000000"/>
          <w:lang w:val="en-GB"/>
        </w:rPr>
      </w:pPr>
    </w:p>
    <w:p w14:paraId="676F3629" w14:textId="77777777" w:rsidR="00C46587" w:rsidRPr="004F5FB4" w:rsidRDefault="00DB320E" w:rsidP="007E0DEB">
      <w:pPr>
        <w:keepNext/>
        <w:rPr>
          <w:color w:val="000000"/>
        </w:rPr>
      </w:pPr>
      <w:r w:rsidRPr="004F5FB4">
        <w:rPr>
          <w:color w:val="000000"/>
        </w:rPr>
        <w:t>Patienten, die unzureichend ansprechen, können unter Umständen von einer Erhöhung der Dosierung profitieren:</w:t>
      </w:r>
    </w:p>
    <w:p w14:paraId="307DBF6D" w14:textId="77777777" w:rsidR="00DB320E" w:rsidRPr="004F5FB4" w:rsidRDefault="00DB320E" w:rsidP="007E0DEB">
      <w:pPr>
        <w:numPr>
          <w:ilvl w:val="0"/>
          <w:numId w:val="17"/>
        </w:numPr>
        <w:ind w:left="562" w:hanging="562"/>
        <w:rPr>
          <w:color w:val="000000"/>
        </w:rPr>
      </w:pPr>
      <w:r w:rsidRPr="004F5FB4">
        <w:rPr>
          <w:color w:val="000000"/>
        </w:rPr>
        <w:t>&lt;</w:t>
      </w:r>
      <w:r w:rsidR="001F6B8D" w:rsidRPr="004F5FB4">
        <w:rPr>
          <w:color w:val="000000"/>
        </w:rPr>
        <w:t> </w:t>
      </w:r>
      <w:r w:rsidRPr="004F5FB4">
        <w:rPr>
          <w:color w:val="000000"/>
        </w:rPr>
        <w:t>40 kg: 20 mg jede Woche</w:t>
      </w:r>
    </w:p>
    <w:p w14:paraId="63258E17" w14:textId="77777777" w:rsidR="00DB320E" w:rsidRPr="004F5FB4" w:rsidRDefault="00DB320E" w:rsidP="007E0DEB">
      <w:pPr>
        <w:numPr>
          <w:ilvl w:val="0"/>
          <w:numId w:val="17"/>
        </w:numPr>
        <w:ind w:left="562" w:hanging="562"/>
        <w:rPr>
          <w:color w:val="000000"/>
        </w:rPr>
      </w:pPr>
      <w:r w:rsidRPr="004F5FB4">
        <w:rPr>
          <w:color w:val="000000"/>
        </w:rPr>
        <w:t>≥</w:t>
      </w:r>
      <w:r w:rsidR="001F6B8D" w:rsidRPr="004F5FB4">
        <w:rPr>
          <w:color w:val="000000"/>
        </w:rPr>
        <w:t> </w:t>
      </w:r>
      <w:r w:rsidRPr="004F5FB4">
        <w:rPr>
          <w:color w:val="000000"/>
        </w:rPr>
        <w:t>40 kg: 40 mg jede Woche oder 80</w:t>
      </w:r>
      <w:r w:rsidR="001F6B8D" w:rsidRPr="004F5FB4">
        <w:rPr>
          <w:color w:val="000000"/>
        </w:rPr>
        <w:t> </w:t>
      </w:r>
      <w:r w:rsidRPr="004F5FB4">
        <w:rPr>
          <w:color w:val="000000"/>
        </w:rPr>
        <w:t>mg jede zweite Woche</w:t>
      </w:r>
    </w:p>
    <w:p w14:paraId="32C8EBDD" w14:textId="77777777" w:rsidR="00DB320E" w:rsidRPr="004F5FB4" w:rsidRDefault="00DB320E" w:rsidP="00982118">
      <w:pPr>
        <w:rPr>
          <w:color w:val="000000"/>
        </w:rPr>
      </w:pPr>
    </w:p>
    <w:p w14:paraId="610D3927" w14:textId="77777777" w:rsidR="00C46587" w:rsidRPr="004F5FB4" w:rsidRDefault="00C46587" w:rsidP="00982118">
      <w:pPr>
        <w:rPr>
          <w:color w:val="000000"/>
        </w:rPr>
      </w:pPr>
      <w:r w:rsidRPr="004F5FB4">
        <w:rPr>
          <w:color w:val="000000"/>
        </w:rPr>
        <w:t>Die Fortsetzung der Therapie sollte bei einem Patienten, der bis Woche</w:t>
      </w:r>
      <w:r w:rsidR="001F6B8D" w:rsidRPr="004F5FB4">
        <w:rPr>
          <w:color w:val="000000"/>
        </w:rPr>
        <w:t> </w:t>
      </w:r>
      <w:r w:rsidRPr="004F5FB4">
        <w:rPr>
          <w:color w:val="000000"/>
        </w:rPr>
        <w:t xml:space="preserve">12 nicht angesprochen hat, nochmals sorgfältig überdacht werden. </w:t>
      </w:r>
    </w:p>
    <w:p w14:paraId="53566C07" w14:textId="77777777" w:rsidR="00C46587" w:rsidRPr="004F5FB4" w:rsidRDefault="00C46587" w:rsidP="00982118">
      <w:pPr>
        <w:rPr>
          <w:color w:val="000000"/>
        </w:rPr>
      </w:pPr>
    </w:p>
    <w:p w14:paraId="357B20BC" w14:textId="77777777" w:rsidR="00C46587" w:rsidRPr="004F5FB4" w:rsidRDefault="00036D76" w:rsidP="00982118">
      <w:pPr>
        <w:rPr>
          <w:color w:val="000000"/>
        </w:rPr>
      </w:pPr>
      <w:r w:rsidRPr="004F5FB4">
        <w:rPr>
          <w:color w:val="000000"/>
          <w:lang w:eastAsia="de-DE"/>
        </w:rPr>
        <w:t>Es gibt in dieser Indikation keinen relevanten Nutzen von</w:t>
      </w:r>
      <w:r w:rsidRPr="004F5FB4" w:rsidDel="00036D76">
        <w:rPr>
          <w:color w:val="000000"/>
        </w:rPr>
        <w:t xml:space="preserve"> </w:t>
      </w:r>
      <w:r w:rsidRPr="004F5FB4">
        <w:rPr>
          <w:color w:val="000000"/>
        </w:rPr>
        <w:t xml:space="preserve">Adalimumab </w:t>
      </w:r>
      <w:r w:rsidR="00C46587" w:rsidRPr="004F5FB4">
        <w:rPr>
          <w:color w:val="000000"/>
        </w:rPr>
        <w:t>bei Kindern, die jünger als 6</w:t>
      </w:r>
      <w:r w:rsidR="001F6B8D" w:rsidRPr="004F5FB4">
        <w:rPr>
          <w:color w:val="000000"/>
        </w:rPr>
        <w:t> </w:t>
      </w:r>
      <w:r w:rsidR="00C46587" w:rsidRPr="004F5FB4">
        <w:rPr>
          <w:color w:val="000000"/>
        </w:rPr>
        <w:t xml:space="preserve">Jahre sind. </w:t>
      </w:r>
    </w:p>
    <w:p w14:paraId="4FA39E1E" w14:textId="77777777" w:rsidR="00A30CDD" w:rsidRPr="004F5FB4" w:rsidRDefault="00A30CDD" w:rsidP="00982118">
      <w:pPr>
        <w:rPr>
          <w:color w:val="000000"/>
        </w:rPr>
      </w:pPr>
    </w:p>
    <w:p w14:paraId="52F5CC39" w14:textId="77777777" w:rsidR="00A30CDD" w:rsidRPr="004F5FB4" w:rsidRDefault="006A1144" w:rsidP="00982118">
      <w:pPr>
        <w:rPr>
          <w:color w:val="000000"/>
        </w:rPr>
      </w:pPr>
      <w:r w:rsidRPr="004F5FB4">
        <w:rPr>
          <w:color w:val="000000"/>
        </w:rPr>
        <w:t>Abhängig von den individuellen Behandlungsbedürfnissen kann Amsparity auch in anderen Stärken und/</w:t>
      </w:r>
      <w:r w:rsidR="00C34596" w:rsidRPr="004F5FB4">
        <w:rPr>
          <w:color w:val="000000"/>
        </w:rPr>
        <w:t xml:space="preserve"> </w:t>
      </w:r>
      <w:r w:rsidRPr="004F5FB4">
        <w:rPr>
          <w:color w:val="000000"/>
        </w:rPr>
        <w:t>oder Darreichungsformen erhältlich sein.</w:t>
      </w:r>
    </w:p>
    <w:p w14:paraId="3AA8930E" w14:textId="77777777" w:rsidR="00C46587" w:rsidRDefault="00C46587" w:rsidP="00982118">
      <w:pPr>
        <w:rPr>
          <w:i/>
          <w:color w:val="000000"/>
        </w:rPr>
      </w:pPr>
    </w:p>
    <w:p w14:paraId="701E4C96" w14:textId="77777777" w:rsidR="00181F7E" w:rsidRPr="00181F7E" w:rsidRDefault="00181F7E" w:rsidP="00181F7E">
      <w:pPr>
        <w:rPr>
          <w:i/>
          <w:iCs/>
          <w:color w:val="000000"/>
        </w:rPr>
      </w:pPr>
      <w:r w:rsidRPr="00181F7E">
        <w:rPr>
          <w:i/>
          <w:iCs/>
          <w:color w:val="000000"/>
        </w:rPr>
        <w:t>Colitis ulcerosa bei Kindern und Jugendlichen</w:t>
      </w:r>
    </w:p>
    <w:p w14:paraId="556D01CA" w14:textId="77777777" w:rsidR="00181F7E" w:rsidRDefault="00181F7E" w:rsidP="00181F7E">
      <w:pPr>
        <w:rPr>
          <w:i/>
          <w:color w:val="000000"/>
        </w:rPr>
      </w:pPr>
    </w:p>
    <w:p w14:paraId="51EA806B" w14:textId="77777777" w:rsidR="00181F7E" w:rsidRDefault="00181F7E" w:rsidP="00181F7E">
      <w:pPr>
        <w:rPr>
          <w:color w:val="000000"/>
        </w:rPr>
      </w:pPr>
      <w:r w:rsidRPr="008419B6">
        <w:rPr>
          <w:color w:val="000000"/>
        </w:rPr>
        <w:t xml:space="preserve">Die empfohlene Dosis von </w:t>
      </w:r>
      <w:r>
        <w:rPr>
          <w:color w:val="000000"/>
        </w:rPr>
        <w:t>Amsparity</w:t>
      </w:r>
      <w:r w:rsidRPr="008419B6">
        <w:rPr>
          <w:color w:val="000000"/>
        </w:rPr>
        <w:t xml:space="preserve"> für Patienten im Alter von 6 bis 17</w:t>
      </w:r>
      <w:r>
        <w:rPr>
          <w:color w:val="000000"/>
        </w:rPr>
        <w:t> </w:t>
      </w:r>
      <w:r w:rsidRPr="008419B6">
        <w:rPr>
          <w:color w:val="000000"/>
        </w:rPr>
        <w:t>Jahren mit Colitis ulcerosa</w:t>
      </w:r>
      <w:r>
        <w:rPr>
          <w:color w:val="000000"/>
        </w:rPr>
        <w:t xml:space="preserve"> </w:t>
      </w:r>
      <w:r w:rsidRPr="008419B6">
        <w:rPr>
          <w:color w:val="000000"/>
        </w:rPr>
        <w:t>wird anhand des Körpergewichts bestimmt (Tabelle</w:t>
      </w:r>
      <w:r>
        <w:rPr>
          <w:color w:val="000000"/>
        </w:rPr>
        <w:t> </w:t>
      </w:r>
      <w:r w:rsidRPr="008419B6">
        <w:rPr>
          <w:color w:val="000000"/>
        </w:rPr>
        <w:t xml:space="preserve">5). </w:t>
      </w:r>
      <w:r>
        <w:rPr>
          <w:color w:val="000000"/>
        </w:rPr>
        <w:t>Amsparity</w:t>
      </w:r>
      <w:r w:rsidRPr="008419B6">
        <w:rPr>
          <w:color w:val="000000"/>
        </w:rPr>
        <w:t xml:space="preserve"> wird subkutan injiziert.</w:t>
      </w:r>
    </w:p>
    <w:p w14:paraId="2C4D6123" w14:textId="77777777" w:rsidR="00181F7E" w:rsidRDefault="00181F7E" w:rsidP="00181F7E">
      <w:pPr>
        <w:rPr>
          <w:color w:val="000000"/>
        </w:rPr>
      </w:pPr>
    </w:p>
    <w:p w14:paraId="2F945482" w14:textId="77777777" w:rsidR="00BF430C" w:rsidRPr="00C325BF" w:rsidRDefault="00181F7E" w:rsidP="00181F7E">
      <w:pPr>
        <w:keepNext/>
        <w:rPr>
          <w:b/>
        </w:rPr>
      </w:pPr>
      <w:r w:rsidRPr="00C325BF">
        <w:rPr>
          <w:b/>
        </w:rPr>
        <w:t>Tabelle 5</w:t>
      </w:r>
    </w:p>
    <w:p w14:paraId="687ABC11" w14:textId="77777777" w:rsidR="00181F7E" w:rsidRPr="00C325BF" w:rsidRDefault="00181F7E" w:rsidP="00181F7E">
      <w:pPr>
        <w:keepNext/>
        <w:rPr>
          <w:b/>
        </w:rPr>
      </w:pPr>
      <w:r w:rsidRPr="00C325BF">
        <w:rPr>
          <w:b/>
        </w:rPr>
        <w:t>Amsparity-Dosis für Kinder und Jugendliche mit Colitis ulcerosa</w:t>
      </w:r>
    </w:p>
    <w:p w14:paraId="478DC4E6" w14:textId="77777777" w:rsidR="00181F7E" w:rsidRPr="00C325BF" w:rsidRDefault="00181F7E" w:rsidP="00181F7E">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4124"/>
        <w:gridCol w:w="2913"/>
      </w:tblGrid>
      <w:tr w:rsidR="00181F7E" w:rsidRPr="000030D8" w14:paraId="367640F4" w14:textId="77777777" w:rsidTr="00201902">
        <w:trPr>
          <w:tblHeader/>
        </w:trPr>
        <w:tc>
          <w:tcPr>
            <w:tcW w:w="2085" w:type="dxa"/>
            <w:shd w:val="clear" w:color="auto" w:fill="auto"/>
          </w:tcPr>
          <w:p w14:paraId="24C77489" w14:textId="77777777" w:rsidR="00181F7E" w:rsidRPr="000030D8" w:rsidRDefault="00181F7E" w:rsidP="00E80F2E">
            <w:pPr>
              <w:keepNext/>
              <w:jc w:val="center"/>
              <w:rPr>
                <w:lang w:val="en-GB"/>
              </w:rPr>
            </w:pPr>
            <w:proofErr w:type="spellStart"/>
            <w:r>
              <w:rPr>
                <w:b/>
                <w:lang w:val="en-GB"/>
              </w:rPr>
              <w:t>Gewicht</w:t>
            </w:r>
            <w:proofErr w:type="spellEnd"/>
            <w:r>
              <w:rPr>
                <w:b/>
                <w:lang w:val="en-GB"/>
              </w:rPr>
              <w:t xml:space="preserve"> des </w:t>
            </w:r>
            <w:proofErr w:type="spellStart"/>
            <w:r>
              <w:rPr>
                <w:b/>
                <w:lang w:val="en-GB"/>
              </w:rPr>
              <w:t>Patienten</w:t>
            </w:r>
            <w:proofErr w:type="spellEnd"/>
          </w:p>
        </w:tc>
        <w:tc>
          <w:tcPr>
            <w:tcW w:w="4224" w:type="dxa"/>
            <w:shd w:val="clear" w:color="auto" w:fill="auto"/>
          </w:tcPr>
          <w:p w14:paraId="12CE8277" w14:textId="77777777" w:rsidR="00181F7E" w:rsidRPr="000030D8" w:rsidRDefault="00181F7E" w:rsidP="00E80F2E">
            <w:pPr>
              <w:keepNext/>
              <w:jc w:val="center"/>
              <w:rPr>
                <w:lang w:val="en-GB"/>
              </w:rPr>
            </w:pPr>
            <w:proofErr w:type="spellStart"/>
            <w:r>
              <w:rPr>
                <w:b/>
                <w:lang w:val="en-GB"/>
              </w:rPr>
              <w:t>Anfangsdosis</w:t>
            </w:r>
            <w:proofErr w:type="spellEnd"/>
          </w:p>
        </w:tc>
        <w:tc>
          <w:tcPr>
            <w:tcW w:w="2982" w:type="dxa"/>
          </w:tcPr>
          <w:p w14:paraId="176FC8C7" w14:textId="77777777" w:rsidR="00181F7E" w:rsidRPr="000030D8" w:rsidRDefault="00181F7E" w:rsidP="00E80F2E">
            <w:pPr>
              <w:keepNext/>
              <w:jc w:val="center"/>
              <w:rPr>
                <w:b/>
                <w:lang w:val="en-GB"/>
              </w:rPr>
            </w:pPr>
            <w:proofErr w:type="spellStart"/>
            <w:r>
              <w:rPr>
                <w:b/>
                <w:lang w:val="en-GB"/>
              </w:rPr>
              <w:t>Erhaltungsdosis</w:t>
            </w:r>
            <w:proofErr w:type="spellEnd"/>
            <w:r>
              <w:rPr>
                <w:b/>
                <w:lang w:val="en-GB"/>
              </w:rPr>
              <w:t xml:space="preserve">, </w:t>
            </w:r>
            <w:proofErr w:type="spellStart"/>
            <w:r>
              <w:rPr>
                <w:b/>
                <w:lang w:val="en-GB"/>
              </w:rPr>
              <w:t>beginnend</w:t>
            </w:r>
            <w:proofErr w:type="spellEnd"/>
            <w:r>
              <w:rPr>
                <w:b/>
                <w:lang w:val="en-GB"/>
              </w:rPr>
              <w:t xml:space="preserve"> in </w:t>
            </w:r>
            <w:proofErr w:type="spellStart"/>
            <w:r>
              <w:rPr>
                <w:b/>
                <w:lang w:val="en-GB"/>
              </w:rPr>
              <w:t>Woche</w:t>
            </w:r>
            <w:proofErr w:type="spellEnd"/>
            <w:r>
              <w:rPr>
                <w:b/>
                <w:lang w:val="en-GB"/>
              </w:rPr>
              <w:t> 4</w:t>
            </w:r>
          </w:p>
        </w:tc>
      </w:tr>
      <w:tr w:rsidR="00181F7E" w:rsidRPr="000030D8" w14:paraId="07D05254" w14:textId="77777777" w:rsidTr="008554A1">
        <w:tc>
          <w:tcPr>
            <w:tcW w:w="2085" w:type="dxa"/>
            <w:shd w:val="clear" w:color="auto" w:fill="auto"/>
          </w:tcPr>
          <w:p w14:paraId="71A68F21" w14:textId="77777777" w:rsidR="00181F7E" w:rsidRPr="00CE39E9" w:rsidRDefault="00181F7E" w:rsidP="00E80F2E">
            <w:pPr>
              <w:jc w:val="center"/>
              <w:rPr>
                <w:lang w:val="en-GB"/>
              </w:rPr>
            </w:pPr>
            <w:r w:rsidRPr="00CE39E9">
              <w:rPr>
                <w:lang w:val="en-GB"/>
              </w:rPr>
              <w:t>&lt; 40 kg</w:t>
            </w:r>
          </w:p>
        </w:tc>
        <w:tc>
          <w:tcPr>
            <w:tcW w:w="4224" w:type="dxa"/>
            <w:shd w:val="clear" w:color="auto" w:fill="auto"/>
          </w:tcPr>
          <w:p w14:paraId="1DCDD190" w14:textId="77777777" w:rsidR="00181F7E" w:rsidRPr="00CE39E9" w:rsidRDefault="00181F7E" w:rsidP="00E80F2E">
            <w:pPr>
              <w:numPr>
                <w:ilvl w:val="0"/>
                <w:numId w:val="71"/>
              </w:numPr>
              <w:autoSpaceDE w:val="0"/>
              <w:autoSpaceDN w:val="0"/>
              <w:adjustRightInd w:val="0"/>
              <w:ind w:left="360"/>
            </w:pPr>
            <w:r w:rsidRPr="00CE39E9">
              <w:t>80</w:t>
            </w:r>
            <w:r w:rsidRPr="00C325BF">
              <w:t> </w:t>
            </w:r>
            <w:r w:rsidRPr="00CE39E9">
              <w:t xml:space="preserve">mg </w:t>
            </w:r>
            <w:r>
              <w:t>in Woche</w:t>
            </w:r>
            <w:r w:rsidRPr="00C325BF">
              <w:t> </w:t>
            </w:r>
            <w:r w:rsidRPr="00CE39E9">
              <w:t>0 (</w:t>
            </w:r>
            <w:r>
              <w:t>verabreicht als zwei Injektionen von</w:t>
            </w:r>
            <w:r w:rsidRPr="00CE39E9">
              <w:t xml:space="preserve"> 40</w:t>
            </w:r>
            <w:r w:rsidRPr="00C325BF">
              <w:t> </w:t>
            </w:r>
            <w:r w:rsidRPr="00CE39E9">
              <w:t>mg</w:t>
            </w:r>
            <w:r>
              <w:t xml:space="preserve"> innerhalb eines Tages</w:t>
            </w:r>
            <w:r w:rsidRPr="00CE39E9">
              <w:t xml:space="preserve">) </w:t>
            </w:r>
            <w:r>
              <w:t>u</w:t>
            </w:r>
            <w:r w:rsidRPr="00CE39E9">
              <w:t>nd</w:t>
            </w:r>
          </w:p>
          <w:p w14:paraId="7BED3C6D" w14:textId="77777777" w:rsidR="00181F7E" w:rsidRPr="00CE39E9" w:rsidRDefault="00181F7E" w:rsidP="008419B6">
            <w:pPr>
              <w:numPr>
                <w:ilvl w:val="0"/>
                <w:numId w:val="71"/>
              </w:numPr>
              <w:autoSpaceDE w:val="0"/>
              <w:autoSpaceDN w:val="0"/>
              <w:adjustRightInd w:val="0"/>
              <w:ind w:left="360"/>
            </w:pPr>
            <w:r w:rsidRPr="00CE39E9">
              <w:t>40</w:t>
            </w:r>
            <w:r w:rsidRPr="00C325BF">
              <w:t> </w:t>
            </w:r>
            <w:r w:rsidRPr="00CE39E9">
              <w:t xml:space="preserve">mg </w:t>
            </w:r>
            <w:r>
              <w:t>in Woche</w:t>
            </w:r>
            <w:r w:rsidRPr="00C325BF">
              <w:t> </w:t>
            </w:r>
            <w:r w:rsidRPr="00CE39E9">
              <w:t>2 (</w:t>
            </w:r>
            <w:r>
              <w:t>verabreicht als eine Injektion von</w:t>
            </w:r>
            <w:r w:rsidRPr="00CE39E9">
              <w:t xml:space="preserve"> 40</w:t>
            </w:r>
            <w:r w:rsidRPr="00C325BF">
              <w:t> </w:t>
            </w:r>
            <w:r w:rsidRPr="00CE39E9">
              <w:t>mg)</w:t>
            </w:r>
          </w:p>
        </w:tc>
        <w:tc>
          <w:tcPr>
            <w:tcW w:w="2982" w:type="dxa"/>
          </w:tcPr>
          <w:p w14:paraId="57342DDD" w14:textId="77777777" w:rsidR="00181F7E" w:rsidRPr="00CE39E9" w:rsidRDefault="00181F7E" w:rsidP="00181F7E">
            <w:pPr>
              <w:jc w:val="center"/>
              <w:rPr>
                <w:lang w:val="en-GB"/>
              </w:rPr>
            </w:pPr>
            <w:r w:rsidRPr="00CE39E9">
              <w:t>40</w:t>
            </w:r>
            <w:r w:rsidRPr="000030D8">
              <w:rPr>
                <w:lang w:val="en-GB"/>
              </w:rPr>
              <w:t> </w:t>
            </w:r>
            <w:r w:rsidRPr="00CE39E9">
              <w:t xml:space="preserve">mg </w:t>
            </w:r>
            <w:r>
              <w:t>jede zweite Woche</w:t>
            </w:r>
          </w:p>
        </w:tc>
      </w:tr>
      <w:tr w:rsidR="00181F7E" w:rsidRPr="000030D8" w14:paraId="5EEEBE22" w14:textId="77777777" w:rsidTr="008554A1">
        <w:tc>
          <w:tcPr>
            <w:tcW w:w="2085" w:type="dxa"/>
            <w:shd w:val="clear" w:color="auto" w:fill="auto"/>
          </w:tcPr>
          <w:p w14:paraId="5DF3083A" w14:textId="77777777" w:rsidR="00181F7E" w:rsidRPr="00CE39E9" w:rsidRDefault="00181F7E" w:rsidP="00E80F2E">
            <w:pPr>
              <w:jc w:val="center"/>
              <w:rPr>
                <w:lang w:val="en-GB"/>
              </w:rPr>
            </w:pPr>
            <w:r w:rsidRPr="00CE39E9">
              <w:rPr>
                <w:lang w:val="en-GB"/>
              </w:rPr>
              <w:t>≥ 40 kg</w:t>
            </w:r>
          </w:p>
        </w:tc>
        <w:tc>
          <w:tcPr>
            <w:tcW w:w="4224" w:type="dxa"/>
            <w:shd w:val="clear" w:color="auto" w:fill="auto"/>
          </w:tcPr>
          <w:p w14:paraId="4F8F7D40" w14:textId="77777777" w:rsidR="00181F7E" w:rsidRPr="00CE39E9" w:rsidRDefault="00181F7E" w:rsidP="00E80F2E">
            <w:pPr>
              <w:numPr>
                <w:ilvl w:val="0"/>
                <w:numId w:val="72"/>
              </w:numPr>
              <w:autoSpaceDE w:val="0"/>
              <w:autoSpaceDN w:val="0"/>
              <w:adjustRightInd w:val="0"/>
              <w:ind w:left="360"/>
            </w:pPr>
            <w:r w:rsidRPr="00CE39E9">
              <w:t>160</w:t>
            </w:r>
            <w:r w:rsidRPr="00C325BF">
              <w:t> </w:t>
            </w:r>
            <w:r w:rsidRPr="00CE39E9">
              <w:t xml:space="preserve">mg </w:t>
            </w:r>
            <w:r>
              <w:t>in Woche</w:t>
            </w:r>
            <w:r w:rsidRPr="00C325BF">
              <w:t> </w:t>
            </w:r>
            <w:r w:rsidRPr="00CE39E9">
              <w:t>0 (</w:t>
            </w:r>
            <w:r>
              <w:t xml:space="preserve">verabreicht als vier Injektionen von </w:t>
            </w:r>
            <w:r w:rsidRPr="00CE39E9">
              <w:t>40</w:t>
            </w:r>
            <w:r w:rsidRPr="00C325BF">
              <w:t> </w:t>
            </w:r>
            <w:r w:rsidRPr="00CE39E9">
              <w:t xml:space="preserve">mg </w:t>
            </w:r>
            <w:r>
              <w:t xml:space="preserve">innerhalb eines Tages oder als zwei Injektionen </w:t>
            </w:r>
            <w:r>
              <w:lastRenderedPageBreak/>
              <w:t>von</w:t>
            </w:r>
            <w:r w:rsidRPr="00CE39E9">
              <w:t xml:space="preserve"> 40</w:t>
            </w:r>
            <w:r w:rsidRPr="00C325BF">
              <w:t> </w:t>
            </w:r>
            <w:r w:rsidRPr="00CE39E9">
              <w:t>mg</w:t>
            </w:r>
            <w:r>
              <w:t xml:space="preserve"> </w:t>
            </w:r>
            <w:r w:rsidR="00201A19">
              <w:t>pro Tag an zwei aufeinanderfolgenden Tagen) un</w:t>
            </w:r>
            <w:r w:rsidRPr="00CE39E9">
              <w:t>d</w:t>
            </w:r>
          </w:p>
          <w:p w14:paraId="4EC4D478" w14:textId="77777777" w:rsidR="00181F7E" w:rsidRPr="00CE39E9" w:rsidRDefault="00181F7E" w:rsidP="008419B6">
            <w:pPr>
              <w:numPr>
                <w:ilvl w:val="0"/>
                <w:numId w:val="73"/>
              </w:numPr>
              <w:autoSpaceDE w:val="0"/>
              <w:autoSpaceDN w:val="0"/>
              <w:adjustRightInd w:val="0"/>
              <w:ind w:left="360"/>
            </w:pPr>
            <w:r w:rsidRPr="00CE39E9">
              <w:t>80</w:t>
            </w:r>
            <w:r w:rsidRPr="00C325BF">
              <w:t> </w:t>
            </w:r>
            <w:r w:rsidRPr="00CE39E9">
              <w:t xml:space="preserve">mg </w:t>
            </w:r>
            <w:r w:rsidR="00201A19">
              <w:t>in Woche </w:t>
            </w:r>
            <w:r w:rsidRPr="00CE39E9">
              <w:t>2 (</w:t>
            </w:r>
            <w:r w:rsidR="00201A19">
              <w:t>verabreicht als zwei Injektionen von</w:t>
            </w:r>
            <w:r w:rsidRPr="00CE39E9">
              <w:t xml:space="preserve"> 40</w:t>
            </w:r>
            <w:r w:rsidRPr="00C325BF">
              <w:t> </w:t>
            </w:r>
            <w:r w:rsidRPr="00CE39E9">
              <w:t>mg</w:t>
            </w:r>
            <w:r w:rsidR="00201A19">
              <w:t xml:space="preserve"> innerhalb eines Tages</w:t>
            </w:r>
            <w:r w:rsidRPr="00CE39E9">
              <w:t>)</w:t>
            </w:r>
          </w:p>
        </w:tc>
        <w:tc>
          <w:tcPr>
            <w:tcW w:w="2982" w:type="dxa"/>
          </w:tcPr>
          <w:p w14:paraId="7017DFB9" w14:textId="77777777" w:rsidR="00181F7E" w:rsidRPr="00CE39E9" w:rsidRDefault="00181F7E" w:rsidP="00181F7E">
            <w:pPr>
              <w:jc w:val="center"/>
              <w:rPr>
                <w:lang w:val="en-GB"/>
              </w:rPr>
            </w:pPr>
            <w:r w:rsidRPr="00CE39E9">
              <w:lastRenderedPageBreak/>
              <w:t>80</w:t>
            </w:r>
            <w:r w:rsidRPr="000030D8">
              <w:rPr>
                <w:lang w:val="en-GB"/>
              </w:rPr>
              <w:t> </w:t>
            </w:r>
            <w:r w:rsidRPr="00CE39E9">
              <w:t xml:space="preserve">mg </w:t>
            </w:r>
            <w:r>
              <w:t>jede zweite Woche</w:t>
            </w:r>
          </w:p>
        </w:tc>
      </w:tr>
    </w:tbl>
    <w:p w14:paraId="0800F6FF" w14:textId="77777777" w:rsidR="00181F7E" w:rsidRPr="00206AEA" w:rsidRDefault="008554A1" w:rsidP="008419B6">
      <w:pPr>
        <w:tabs>
          <w:tab w:val="left" w:pos="142"/>
        </w:tabs>
        <w:rPr>
          <w:color w:val="000000"/>
          <w:sz w:val="20"/>
          <w:szCs w:val="20"/>
        </w:rPr>
      </w:pPr>
      <w:r w:rsidRPr="00206AEA">
        <w:rPr>
          <w:color w:val="000000"/>
          <w:sz w:val="20"/>
          <w:szCs w:val="20"/>
        </w:rPr>
        <w:t>*</w:t>
      </w:r>
      <w:r w:rsidRPr="00206AEA">
        <w:rPr>
          <w:color w:val="000000"/>
          <w:sz w:val="20"/>
          <w:szCs w:val="20"/>
        </w:rPr>
        <w:tab/>
        <w:t>Kinder</w:t>
      </w:r>
      <w:r w:rsidR="000C2E7D" w:rsidRPr="00206AEA">
        <w:rPr>
          <w:color w:val="000000"/>
          <w:sz w:val="20"/>
          <w:szCs w:val="20"/>
        </w:rPr>
        <w:t xml:space="preserve"> und Jugendliche</w:t>
      </w:r>
      <w:r w:rsidRPr="00206AEA">
        <w:rPr>
          <w:color w:val="000000"/>
          <w:sz w:val="20"/>
          <w:szCs w:val="20"/>
        </w:rPr>
        <w:t>, die 18 Jahre alt werden, während sie mit Amsparity behandelt werden, sollten die jeweils verordnete Erhaltungsdosis beibehalten.</w:t>
      </w:r>
    </w:p>
    <w:p w14:paraId="2810438B" w14:textId="77777777" w:rsidR="008554A1" w:rsidRDefault="008554A1" w:rsidP="008554A1">
      <w:pPr>
        <w:tabs>
          <w:tab w:val="left" w:pos="142"/>
        </w:tabs>
        <w:rPr>
          <w:color w:val="000000"/>
        </w:rPr>
      </w:pPr>
    </w:p>
    <w:p w14:paraId="12FBFA19" w14:textId="77777777" w:rsidR="008554A1" w:rsidRDefault="008554A1" w:rsidP="008554A1">
      <w:pPr>
        <w:tabs>
          <w:tab w:val="left" w:pos="142"/>
        </w:tabs>
        <w:rPr>
          <w:color w:val="000000"/>
        </w:rPr>
      </w:pPr>
      <w:r w:rsidRPr="008419B6">
        <w:rPr>
          <w:color w:val="000000"/>
        </w:rPr>
        <w:t>Die Fortsetzung der Therapie länger als 8</w:t>
      </w:r>
      <w:r w:rsidR="008A4A5C">
        <w:rPr>
          <w:color w:val="000000"/>
        </w:rPr>
        <w:t> </w:t>
      </w:r>
      <w:r w:rsidRPr="008419B6">
        <w:rPr>
          <w:color w:val="000000"/>
        </w:rPr>
        <w:t>Wochen sollte bei Patienten, die innerhalb dieser</w:t>
      </w:r>
      <w:r>
        <w:rPr>
          <w:color w:val="000000"/>
        </w:rPr>
        <w:t xml:space="preserve"> </w:t>
      </w:r>
      <w:r w:rsidRPr="008419B6">
        <w:rPr>
          <w:color w:val="000000"/>
        </w:rPr>
        <w:t>Zeitspanne keine Anzeichen eines Ansprechens aufweisen, sorgfältig abgewogen werden.</w:t>
      </w:r>
    </w:p>
    <w:p w14:paraId="67B65950" w14:textId="77777777" w:rsidR="008554A1" w:rsidRPr="008419B6" w:rsidRDefault="008554A1" w:rsidP="008554A1">
      <w:pPr>
        <w:tabs>
          <w:tab w:val="left" w:pos="142"/>
        </w:tabs>
        <w:rPr>
          <w:color w:val="000000"/>
        </w:rPr>
      </w:pPr>
    </w:p>
    <w:p w14:paraId="598D2FCC" w14:textId="77777777" w:rsidR="008554A1" w:rsidRDefault="008554A1" w:rsidP="008554A1">
      <w:pPr>
        <w:tabs>
          <w:tab w:val="left" w:pos="142"/>
        </w:tabs>
        <w:rPr>
          <w:color w:val="000000"/>
        </w:rPr>
      </w:pPr>
      <w:r w:rsidRPr="008419B6">
        <w:rPr>
          <w:color w:val="000000"/>
        </w:rPr>
        <w:t xml:space="preserve">Es gibt in dieser Indikation keinen relevanten Nutzen von </w:t>
      </w:r>
      <w:r w:rsidR="00FC445C">
        <w:rPr>
          <w:color w:val="000000"/>
        </w:rPr>
        <w:t>Adalimumab</w:t>
      </w:r>
      <w:r w:rsidRPr="008554A1">
        <w:rPr>
          <w:color w:val="000000"/>
        </w:rPr>
        <w:t xml:space="preserve"> bei Kindern, die jünger als 6</w:t>
      </w:r>
      <w:r>
        <w:rPr>
          <w:color w:val="000000"/>
        </w:rPr>
        <w:t> </w:t>
      </w:r>
      <w:r w:rsidRPr="008419B6">
        <w:rPr>
          <w:color w:val="000000"/>
        </w:rPr>
        <w:t>Jahre</w:t>
      </w:r>
      <w:r>
        <w:rPr>
          <w:color w:val="000000"/>
        </w:rPr>
        <w:t xml:space="preserve"> </w:t>
      </w:r>
      <w:r w:rsidRPr="008419B6">
        <w:rPr>
          <w:color w:val="000000"/>
        </w:rPr>
        <w:t>sind.</w:t>
      </w:r>
    </w:p>
    <w:p w14:paraId="186F87DE" w14:textId="77777777" w:rsidR="008554A1" w:rsidRPr="008419B6" w:rsidRDefault="008554A1" w:rsidP="008554A1">
      <w:pPr>
        <w:tabs>
          <w:tab w:val="left" w:pos="142"/>
        </w:tabs>
        <w:rPr>
          <w:color w:val="000000"/>
        </w:rPr>
      </w:pPr>
    </w:p>
    <w:p w14:paraId="09BC1290" w14:textId="77777777" w:rsidR="008554A1" w:rsidRDefault="008554A1" w:rsidP="008419B6">
      <w:pPr>
        <w:tabs>
          <w:tab w:val="left" w:pos="142"/>
        </w:tabs>
        <w:rPr>
          <w:color w:val="000000"/>
        </w:rPr>
      </w:pPr>
      <w:r w:rsidRPr="008419B6">
        <w:rPr>
          <w:color w:val="000000"/>
        </w:rPr>
        <w:t xml:space="preserve">Abhängig von den individuellen Behandlungsbedürfnissen kann </w:t>
      </w:r>
      <w:r>
        <w:rPr>
          <w:color w:val="000000"/>
        </w:rPr>
        <w:t>Amsparity</w:t>
      </w:r>
      <w:r w:rsidRPr="008419B6">
        <w:rPr>
          <w:color w:val="000000"/>
        </w:rPr>
        <w:t xml:space="preserve"> auch in anderen Stärken</w:t>
      </w:r>
      <w:r>
        <w:rPr>
          <w:color w:val="000000"/>
        </w:rPr>
        <w:t xml:space="preserve"> </w:t>
      </w:r>
      <w:r w:rsidRPr="008419B6">
        <w:rPr>
          <w:color w:val="000000"/>
        </w:rPr>
        <w:t>und/oder Darreichungsformen erhältlich sein.</w:t>
      </w:r>
    </w:p>
    <w:p w14:paraId="0F20D9A9" w14:textId="77777777" w:rsidR="008554A1" w:rsidRPr="008419B6" w:rsidRDefault="008554A1" w:rsidP="008419B6">
      <w:pPr>
        <w:tabs>
          <w:tab w:val="left" w:pos="142"/>
        </w:tabs>
        <w:rPr>
          <w:color w:val="000000"/>
        </w:rPr>
      </w:pPr>
    </w:p>
    <w:p w14:paraId="7A4AD679" w14:textId="77777777" w:rsidR="00803A33" w:rsidRPr="004F5FB4" w:rsidRDefault="00C46587" w:rsidP="00982118">
      <w:pPr>
        <w:keepNext/>
        <w:rPr>
          <w:color w:val="000000"/>
        </w:rPr>
      </w:pPr>
      <w:r w:rsidRPr="004F5FB4">
        <w:rPr>
          <w:i/>
          <w:color w:val="000000"/>
        </w:rPr>
        <w:t>Uveitis bei Kindern und Jugendlichen</w:t>
      </w:r>
    </w:p>
    <w:p w14:paraId="2412D4FF" w14:textId="77777777" w:rsidR="00803A33" w:rsidRPr="004F5FB4" w:rsidRDefault="00803A33" w:rsidP="00982118">
      <w:pPr>
        <w:keepNext/>
        <w:rPr>
          <w:color w:val="000000"/>
        </w:rPr>
      </w:pPr>
    </w:p>
    <w:p w14:paraId="018209FD" w14:textId="77777777" w:rsidR="00DB320E" w:rsidRPr="004F5FB4" w:rsidRDefault="00DB320E" w:rsidP="00982118">
      <w:pPr>
        <w:rPr>
          <w:color w:val="000000"/>
        </w:rPr>
      </w:pPr>
      <w:r w:rsidRPr="004F5FB4">
        <w:rPr>
          <w:color w:val="000000"/>
        </w:rPr>
        <w:t>Die empfohlene Dosis von Amsparity bei Kindern und Jugendlichen mit Uveitis ab einem Alter von 2</w:t>
      </w:r>
      <w:r w:rsidR="00ED3047" w:rsidRPr="004F5FB4">
        <w:rPr>
          <w:color w:val="000000"/>
        </w:rPr>
        <w:t> </w:t>
      </w:r>
      <w:r w:rsidRPr="004F5FB4">
        <w:rPr>
          <w:color w:val="000000"/>
        </w:rPr>
        <w:t>Jahren wird anhand des Körpergewichts bestimmt (Tabelle</w:t>
      </w:r>
      <w:r w:rsidR="001F6B8D" w:rsidRPr="004F5FB4">
        <w:rPr>
          <w:color w:val="000000"/>
        </w:rPr>
        <w:t> </w:t>
      </w:r>
      <w:r w:rsidR="008554A1">
        <w:rPr>
          <w:color w:val="000000"/>
        </w:rPr>
        <w:t>6</w:t>
      </w:r>
      <w:r w:rsidRPr="004F5FB4">
        <w:rPr>
          <w:color w:val="000000"/>
        </w:rPr>
        <w:t xml:space="preserve">). Amsparity wird subkutan injiziert. </w:t>
      </w:r>
    </w:p>
    <w:p w14:paraId="74C5F018" w14:textId="77777777" w:rsidR="00DB320E" w:rsidRPr="004F5FB4" w:rsidRDefault="00DB320E" w:rsidP="00982118">
      <w:pPr>
        <w:rPr>
          <w:color w:val="000000"/>
        </w:rPr>
      </w:pPr>
    </w:p>
    <w:p w14:paraId="6898C9F8" w14:textId="77777777" w:rsidR="00803A33" w:rsidRPr="004F5FB4" w:rsidRDefault="00803A33" w:rsidP="00982118">
      <w:pPr>
        <w:rPr>
          <w:color w:val="000000"/>
        </w:rPr>
      </w:pPr>
      <w:r w:rsidRPr="004F5FB4">
        <w:rPr>
          <w:color w:val="000000"/>
        </w:rPr>
        <w:t>Es gibt keine Erfahrungen für die Behandlung der Uveitis bei Kindern und Jugendlichen mit Adalimumab ohne die gleichzeitige Behandlung mit Methotrexat.</w:t>
      </w:r>
    </w:p>
    <w:p w14:paraId="48892136" w14:textId="77777777" w:rsidR="00C46587" w:rsidRPr="004F5FB4" w:rsidRDefault="00C46587" w:rsidP="00982118">
      <w:pPr>
        <w:rPr>
          <w:color w:val="000000"/>
          <w:u w:val="single"/>
        </w:rPr>
      </w:pPr>
    </w:p>
    <w:p w14:paraId="4FCBE098" w14:textId="77777777" w:rsidR="00FF3A91" w:rsidRPr="004F5FB4" w:rsidRDefault="00DB320E" w:rsidP="00687087">
      <w:pPr>
        <w:rPr>
          <w:b/>
          <w:color w:val="000000"/>
        </w:rPr>
      </w:pPr>
      <w:r w:rsidRPr="004F5FB4">
        <w:rPr>
          <w:b/>
          <w:color w:val="000000"/>
        </w:rPr>
        <w:t>Tabelle</w:t>
      </w:r>
      <w:r w:rsidR="008554A1">
        <w:rPr>
          <w:b/>
          <w:color w:val="000000"/>
        </w:rPr>
        <w:t> 6</w:t>
      </w:r>
      <w:r w:rsidRPr="004F5FB4">
        <w:rPr>
          <w:b/>
          <w:color w:val="000000"/>
        </w:rPr>
        <w:t xml:space="preserve"> </w:t>
      </w:r>
    </w:p>
    <w:p w14:paraId="5B74081A" w14:textId="77777777" w:rsidR="00DB320E" w:rsidRPr="004F5FB4" w:rsidRDefault="006A1144" w:rsidP="00687087">
      <w:pPr>
        <w:rPr>
          <w:b/>
          <w:color w:val="000000"/>
        </w:rPr>
      </w:pPr>
      <w:r w:rsidRPr="004F5FB4">
        <w:rPr>
          <w:b/>
          <w:color w:val="000000"/>
        </w:rPr>
        <w:t>Amsparity-Dosis für Kinder und Jugendliche mit Uveitis</w:t>
      </w:r>
    </w:p>
    <w:p w14:paraId="0D67A1F8" w14:textId="77777777" w:rsidR="00DB320E" w:rsidRPr="004F5FB4" w:rsidRDefault="00DB320E" w:rsidP="00982118">
      <w:pPr>
        <w:rPr>
          <w:color w:val="000000"/>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21"/>
        <w:gridCol w:w="4554"/>
      </w:tblGrid>
      <w:tr w:rsidR="00DB320E" w:rsidRPr="004F5FB4" w14:paraId="76E549A0" w14:textId="77777777" w:rsidTr="009D0E37">
        <w:trPr>
          <w:cantSplit/>
          <w:tblHeader/>
        </w:trPr>
        <w:tc>
          <w:tcPr>
            <w:tcW w:w="4651" w:type="dxa"/>
            <w:tcBorders>
              <w:right w:val="nil"/>
            </w:tcBorders>
            <w:shd w:val="clear" w:color="auto" w:fill="auto"/>
          </w:tcPr>
          <w:p w14:paraId="5BBD565F" w14:textId="77777777" w:rsidR="00DB320E" w:rsidRPr="004F5FB4" w:rsidRDefault="00DB320E" w:rsidP="00982118">
            <w:pPr>
              <w:jc w:val="center"/>
              <w:rPr>
                <w:color w:val="000000"/>
              </w:rPr>
            </w:pPr>
            <w:r w:rsidRPr="004F5FB4">
              <w:rPr>
                <w:b/>
                <w:color w:val="000000"/>
              </w:rPr>
              <w:t>Gewicht des Patienten</w:t>
            </w:r>
          </w:p>
        </w:tc>
        <w:tc>
          <w:tcPr>
            <w:tcW w:w="4652" w:type="dxa"/>
            <w:tcBorders>
              <w:left w:val="nil"/>
            </w:tcBorders>
            <w:shd w:val="clear" w:color="auto" w:fill="auto"/>
          </w:tcPr>
          <w:p w14:paraId="09A76BF5" w14:textId="77777777" w:rsidR="00DB320E" w:rsidRPr="004F5FB4" w:rsidRDefault="00DB320E" w:rsidP="00982118">
            <w:pPr>
              <w:jc w:val="center"/>
              <w:rPr>
                <w:color w:val="000000"/>
              </w:rPr>
            </w:pPr>
            <w:r w:rsidRPr="004F5FB4">
              <w:rPr>
                <w:b/>
                <w:color w:val="000000"/>
              </w:rPr>
              <w:t>Dosierungsschema</w:t>
            </w:r>
          </w:p>
        </w:tc>
      </w:tr>
      <w:tr w:rsidR="00DB320E" w:rsidRPr="004F5FB4" w14:paraId="25096369" w14:textId="77777777" w:rsidTr="009D0E37">
        <w:trPr>
          <w:cantSplit/>
        </w:trPr>
        <w:tc>
          <w:tcPr>
            <w:tcW w:w="4651" w:type="dxa"/>
            <w:tcBorders>
              <w:right w:val="nil"/>
            </w:tcBorders>
            <w:shd w:val="clear" w:color="auto" w:fill="auto"/>
          </w:tcPr>
          <w:p w14:paraId="55468519" w14:textId="77777777" w:rsidR="00DB320E" w:rsidRPr="004F5FB4" w:rsidRDefault="00DB320E" w:rsidP="00982118">
            <w:pPr>
              <w:jc w:val="center"/>
              <w:rPr>
                <w:color w:val="000000"/>
              </w:rPr>
            </w:pPr>
            <w:r w:rsidRPr="004F5FB4">
              <w:rPr>
                <w:color w:val="000000"/>
              </w:rPr>
              <w:t>&lt;</w:t>
            </w:r>
            <w:r w:rsidR="001368B8" w:rsidRPr="004F5FB4">
              <w:rPr>
                <w:color w:val="000000"/>
              </w:rPr>
              <w:t> </w:t>
            </w:r>
            <w:r w:rsidRPr="004F5FB4">
              <w:rPr>
                <w:color w:val="000000"/>
              </w:rPr>
              <w:t>30</w:t>
            </w:r>
            <w:r w:rsidR="00AB5DF7" w:rsidRPr="004F5FB4">
              <w:rPr>
                <w:color w:val="000000"/>
              </w:rPr>
              <w:t> </w:t>
            </w:r>
            <w:r w:rsidRPr="004F5FB4">
              <w:rPr>
                <w:color w:val="000000"/>
              </w:rPr>
              <w:t>kg</w:t>
            </w:r>
          </w:p>
        </w:tc>
        <w:tc>
          <w:tcPr>
            <w:tcW w:w="4652" w:type="dxa"/>
            <w:tcBorders>
              <w:left w:val="nil"/>
            </w:tcBorders>
            <w:shd w:val="clear" w:color="auto" w:fill="auto"/>
          </w:tcPr>
          <w:p w14:paraId="0D6CE13C" w14:textId="77777777" w:rsidR="00DB320E" w:rsidRPr="004F5FB4" w:rsidRDefault="00DB320E" w:rsidP="00150D33">
            <w:pPr>
              <w:rPr>
                <w:color w:val="000000"/>
              </w:rPr>
            </w:pPr>
            <w:r w:rsidRPr="004F5FB4">
              <w:rPr>
                <w:color w:val="000000"/>
              </w:rPr>
              <w:t>20 mg jede zweite Woche in Kombination mit Methotrexat</w:t>
            </w:r>
          </w:p>
        </w:tc>
      </w:tr>
      <w:tr w:rsidR="005E268C" w:rsidRPr="004F5FB4" w14:paraId="3AFBA591" w14:textId="77777777" w:rsidTr="009D0E37">
        <w:trPr>
          <w:cantSplit/>
        </w:trPr>
        <w:tc>
          <w:tcPr>
            <w:tcW w:w="4651" w:type="dxa"/>
            <w:tcBorders>
              <w:right w:val="nil"/>
            </w:tcBorders>
            <w:shd w:val="clear" w:color="auto" w:fill="auto"/>
          </w:tcPr>
          <w:p w14:paraId="743777DA" w14:textId="77777777" w:rsidR="005E268C" w:rsidRPr="004F5FB4" w:rsidRDefault="005E268C" w:rsidP="00982118">
            <w:pPr>
              <w:jc w:val="center"/>
              <w:rPr>
                <w:color w:val="000000"/>
              </w:rPr>
            </w:pPr>
            <w:r w:rsidRPr="004F5FB4">
              <w:rPr>
                <w:color w:val="000000"/>
              </w:rPr>
              <w:t>≥</w:t>
            </w:r>
            <w:r w:rsidR="001368B8" w:rsidRPr="004F5FB4">
              <w:rPr>
                <w:color w:val="000000"/>
              </w:rPr>
              <w:t> </w:t>
            </w:r>
            <w:r w:rsidRPr="004F5FB4">
              <w:rPr>
                <w:color w:val="000000"/>
              </w:rPr>
              <w:t>30 kg</w:t>
            </w:r>
          </w:p>
        </w:tc>
        <w:tc>
          <w:tcPr>
            <w:tcW w:w="4652" w:type="dxa"/>
            <w:tcBorders>
              <w:left w:val="nil"/>
            </w:tcBorders>
            <w:shd w:val="clear" w:color="auto" w:fill="auto"/>
          </w:tcPr>
          <w:p w14:paraId="0EFDD5B1" w14:textId="77777777" w:rsidR="005E268C" w:rsidRPr="004F5FB4" w:rsidRDefault="005E268C" w:rsidP="00150D33">
            <w:pPr>
              <w:rPr>
                <w:color w:val="000000"/>
              </w:rPr>
            </w:pPr>
            <w:r w:rsidRPr="004F5FB4">
              <w:rPr>
                <w:color w:val="000000"/>
              </w:rPr>
              <w:t>40 mg jede zweite Woche in Kombination mit Methotrexat</w:t>
            </w:r>
          </w:p>
        </w:tc>
      </w:tr>
    </w:tbl>
    <w:p w14:paraId="630B8357" w14:textId="77777777" w:rsidR="00DB320E" w:rsidRPr="004F5FB4" w:rsidRDefault="00DB320E" w:rsidP="00982118">
      <w:pPr>
        <w:rPr>
          <w:color w:val="000000"/>
        </w:rPr>
      </w:pPr>
    </w:p>
    <w:p w14:paraId="4BBA8E60" w14:textId="77777777" w:rsidR="00803A33" w:rsidRPr="004F5FB4" w:rsidRDefault="00803A33" w:rsidP="00982118">
      <w:pPr>
        <w:rPr>
          <w:color w:val="000000"/>
        </w:rPr>
      </w:pPr>
      <w:r w:rsidRPr="004F5FB4">
        <w:rPr>
          <w:color w:val="000000"/>
        </w:rPr>
        <w:t>Wenn mit der Amsparity-Therapie begonnen wird, kann eine Woche vor Beginn der Erhaltungstherapie eine Induktionsdosis von 40</w:t>
      </w:r>
      <w:r w:rsidR="00AB5DF7" w:rsidRPr="004F5FB4">
        <w:rPr>
          <w:color w:val="000000"/>
        </w:rPr>
        <w:t> </w:t>
      </w:r>
      <w:r w:rsidRPr="004F5FB4">
        <w:rPr>
          <w:color w:val="000000"/>
        </w:rPr>
        <w:t>mg bei Patienten &lt;</w:t>
      </w:r>
      <w:r w:rsidR="001368B8" w:rsidRPr="004F5FB4">
        <w:rPr>
          <w:color w:val="000000"/>
        </w:rPr>
        <w:t> </w:t>
      </w:r>
      <w:r w:rsidRPr="004F5FB4">
        <w:rPr>
          <w:color w:val="000000"/>
        </w:rPr>
        <w:t>30 kg bzw. 80 mg bei Patienten ≥</w:t>
      </w:r>
      <w:r w:rsidR="00ED3047" w:rsidRPr="004F5FB4">
        <w:rPr>
          <w:color w:val="000000"/>
        </w:rPr>
        <w:t> </w:t>
      </w:r>
      <w:r w:rsidRPr="004F5FB4">
        <w:rPr>
          <w:color w:val="000000"/>
        </w:rPr>
        <w:t>30 kg verabreicht werden. Zur Anwendung einer Amsparity-Induktionsdosis bei Kindern &lt;</w:t>
      </w:r>
      <w:r w:rsidR="00AB5DF7" w:rsidRPr="004F5FB4">
        <w:rPr>
          <w:color w:val="000000"/>
        </w:rPr>
        <w:t> </w:t>
      </w:r>
      <w:r w:rsidRPr="004F5FB4">
        <w:rPr>
          <w:color w:val="000000"/>
        </w:rPr>
        <w:t>6</w:t>
      </w:r>
      <w:r w:rsidR="00AB5DF7" w:rsidRPr="004F5FB4">
        <w:rPr>
          <w:color w:val="000000"/>
        </w:rPr>
        <w:t> </w:t>
      </w:r>
      <w:r w:rsidRPr="004F5FB4">
        <w:rPr>
          <w:color w:val="000000"/>
        </w:rPr>
        <w:t>Jahren sind keine klinischen Daten vorhanden (siehe Abschnitt</w:t>
      </w:r>
      <w:r w:rsidR="00AB5DF7" w:rsidRPr="004F5FB4">
        <w:rPr>
          <w:color w:val="000000"/>
        </w:rPr>
        <w:t> </w:t>
      </w:r>
      <w:r w:rsidRPr="004F5FB4">
        <w:rPr>
          <w:color w:val="000000"/>
        </w:rPr>
        <w:t>5.2).</w:t>
      </w:r>
    </w:p>
    <w:p w14:paraId="4EF4D6AF" w14:textId="77777777" w:rsidR="00C46587" w:rsidRPr="004F5FB4" w:rsidRDefault="00C46587" w:rsidP="00982118">
      <w:pPr>
        <w:rPr>
          <w:i/>
          <w:color w:val="000000"/>
          <w:u w:val="single"/>
        </w:rPr>
      </w:pPr>
    </w:p>
    <w:p w14:paraId="21DCE14D" w14:textId="77777777" w:rsidR="00803A33" w:rsidRPr="004F5FB4" w:rsidRDefault="00803A33" w:rsidP="00982118">
      <w:pPr>
        <w:rPr>
          <w:color w:val="000000"/>
        </w:rPr>
      </w:pPr>
      <w:r w:rsidRPr="004F5FB4">
        <w:rPr>
          <w:color w:val="000000"/>
        </w:rPr>
        <w:t>Für diese Indikation gibt es bei Kindern, die jünger als 2</w:t>
      </w:r>
      <w:r w:rsidR="00AB5DF7" w:rsidRPr="004F5FB4">
        <w:rPr>
          <w:color w:val="000000"/>
        </w:rPr>
        <w:t> </w:t>
      </w:r>
      <w:r w:rsidRPr="004F5FB4">
        <w:rPr>
          <w:color w:val="000000"/>
        </w:rPr>
        <w:t>Jahre sind, keine relevante Anwendung von Adalimumab.</w:t>
      </w:r>
    </w:p>
    <w:p w14:paraId="31BC05C4" w14:textId="77777777" w:rsidR="00803A33" w:rsidRPr="004F5FB4" w:rsidRDefault="00803A33" w:rsidP="00982118">
      <w:pPr>
        <w:rPr>
          <w:color w:val="000000"/>
        </w:rPr>
      </w:pPr>
    </w:p>
    <w:p w14:paraId="1535EBED" w14:textId="77777777" w:rsidR="00803A33" w:rsidRPr="004F5FB4" w:rsidRDefault="00803A33" w:rsidP="00982118">
      <w:pPr>
        <w:rPr>
          <w:color w:val="000000"/>
        </w:rPr>
      </w:pPr>
      <w:r w:rsidRPr="004F5FB4">
        <w:rPr>
          <w:color w:val="000000"/>
        </w:rPr>
        <w:t>Es wird empfohlen, Nutzen und Risiko einer Langzeitbehandlung jährlich zu beurteilen (siehe Abschnitt</w:t>
      </w:r>
      <w:r w:rsidR="00AB5DF7" w:rsidRPr="004F5FB4">
        <w:rPr>
          <w:color w:val="000000"/>
        </w:rPr>
        <w:t> </w:t>
      </w:r>
      <w:r w:rsidRPr="004F5FB4">
        <w:rPr>
          <w:color w:val="000000"/>
        </w:rPr>
        <w:t>5.1).</w:t>
      </w:r>
    </w:p>
    <w:p w14:paraId="50A88DA8" w14:textId="77777777" w:rsidR="00721CB0" w:rsidRPr="004F5FB4" w:rsidRDefault="00721CB0" w:rsidP="00982118">
      <w:pPr>
        <w:rPr>
          <w:color w:val="000000"/>
        </w:rPr>
      </w:pPr>
    </w:p>
    <w:p w14:paraId="6D4F4676" w14:textId="77777777" w:rsidR="00721CB0" w:rsidRPr="004F5FB4" w:rsidRDefault="006A1144" w:rsidP="00982118">
      <w:pPr>
        <w:rPr>
          <w:color w:val="000000"/>
        </w:rPr>
      </w:pPr>
      <w:r w:rsidRPr="004F5FB4">
        <w:rPr>
          <w:color w:val="000000"/>
        </w:rPr>
        <w:t>Abhängig von den individuellen Behandlungsbedürfnissen kann Amsparity auch in anderen Stärken und/</w:t>
      </w:r>
      <w:r w:rsidR="00AB5DF7" w:rsidRPr="004F5FB4">
        <w:rPr>
          <w:color w:val="000000"/>
        </w:rPr>
        <w:t xml:space="preserve"> </w:t>
      </w:r>
      <w:r w:rsidRPr="004F5FB4">
        <w:rPr>
          <w:color w:val="000000"/>
        </w:rPr>
        <w:t>oder Darreichungsformen erhältlich sein.</w:t>
      </w:r>
    </w:p>
    <w:p w14:paraId="154F144E" w14:textId="77777777" w:rsidR="000C1171" w:rsidRPr="004F5FB4" w:rsidRDefault="000C1171" w:rsidP="00982118">
      <w:pPr>
        <w:rPr>
          <w:color w:val="000000"/>
        </w:rPr>
      </w:pPr>
    </w:p>
    <w:p w14:paraId="15CABC7F" w14:textId="77777777" w:rsidR="00C46587" w:rsidRPr="004F5FB4" w:rsidRDefault="00C46587" w:rsidP="00982118">
      <w:pPr>
        <w:keepNext/>
        <w:rPr>
          <w:color w:val="000000"/>
          <w:u w:val="single"/>
        </w:rPr>
      </w:pPr>
      <w:r w:rsidRPr="004F5FB4">
        <w:rPr>
          <w:color w:val="000000"/>
          <w:u w:val="single"/>
        </w:rPr>
        <w:t>Nieren- und/</w:t>
      </w:r>
      <w:r w:rsidR="00AB5DF7" w:rsidRPr="004F5FB4">
        <w:rPr>
          <w:color w:val="000000"/>
          <w:u w:val="single"/>
        </w:rPr>
        <w:t xml:space="preserve"> </w:t>
      </w:r>
      <w:r w:rsidRPr="004F5FB4">
        <w:rPr>
          <w:color w:val="000000"/>
          <w:u w:val="single"/>
        </w:rPr>
        <w:t>oder Leberfunktionsstörungen</w:t>
      </w:r>
    </w:p>
    <w:p w14:paraId="1DAE048B" w14:textId="77777777" w:rsidR="00C46587" w:rsidRPr="004F5FB4" w:rsidRDefault="00C46587" w:rsidP="00982118">
      <w:pPr>
        <w:keepNext/>
        <w:rPr>
          <w:color w:val="000000"/>
        </w:rPr>
      </w:pPr>
    </w:p>
    <w:p w14:paraId="37F10903" w14:textId="77777777" w:rsidR="00C46587" w:rsidRPr="004F5FB4" w:rsidRDefault="005A4709" w:rsidP="00982118">
      <w:pPr>
        <w:rPr>
          <w:color w:val="000000"/>
        </w:rPr>
      </w:pPr>
      <w:r w:rsidRPr="004F5FB4">
        <w:rPr>
          <w:color w:val="000000"/>
        </w:rPr>
        <w:t>Adalimumab wurde in dieser Patientengruppe nicht untersucht. Eine Dosisempfehlung kann nicht gegeben werden.</w:t>
      </w:r>
    </w:p>
    <w:p w14:paraId="34F37AA1" w14:textId="77777777" w:rsidR="00C46587" w:rsidRPr="004F5FB4" w:rsidRDefault="00C46587" w:rsidP="00982118">
      <w:pPr>
        <w:rPr>
          <w:color w:val="000000"/>
        </w:rPr>
      </w:pPr>
    </w:p>
    <w:p w14:paraId="7BB4315A" w14:textId="77777777" w:rsidR="00C46587" w:rsidRPr="004F5FB4" w:rsidRDefault="00C46587" w:rsidP="00982118">
      <w:pPr>
        <w:keepNext/>
        <w:rPr>
          <w:color w:val="000000"/>
          <w:u w:val="single"/>
        </w:rPr>
      </w:pPr>
      <w:r w:rsidRPr="004F5FB4">
        <w:rPr>
          <w:color w:val="000000"/>
          <w:u w:val="single"/>
        </w:rPr>
        <w:lastRenderedPageBreak/>
        <w:t>Art der Anwendung</w:t>
      </w:r>
    </w:p>
    <w:p w14:paraId="4AD632BF" w14:textId="77777777" w:rsidR="00C46587" w:rsidRPr="004F5FB4" w:rsidRDefault="00C46587" w:rsidP="00982118">
      <w:pPr>
        <w:keepNext/>
        <w:rPr>
          <w:color w:val="000000"/>
          <w:u w:val="single"/>
        </w:rPr>
      </w:pPr>
    </w:p>
    <w:p w14:paraId="16659657" w14:textId="77777777" w:rsidR="00C46587" w:rsidRPr="004F5FB4" w:rsidRDefault="006A1144" w:rsidP="00982118">
      <w:pPr>
        <w:rPr>
          <w:color w:val="000000"/>
        </w:rPr>
      </w:pPr>
      <w:r w:rsidRPr="004F5FB4">
        <w:rPr>
          <w:color w:val="000000"/>
        </w:rPr>
        <w:t xml:space="preserve">Amsparity wird mittels subkutaner Injektion verabreicht. Die vollständige Anweisung für die Anwendung findet sich in der Packungsbeilage. </w:t>
      </w:r>
    </w:p>
    <w:p w14:paraId="52454FFC" w14:textId="77777777" w:rsidR="00C46587" w:rsidRPr="004F5FB4" w:rsidRDefault="00C46587" w:rsidP="00982118">
      <w:pPr>
        <w:rPr>
          <w:color w:val="000000"/>
        </w:rPr>
      </w:pPr>
    </w:p>
    <w:p w14:paraId="481A6238" w14:textId="77777777" w:rsidR="00955F88" w:rsidRPr="004F5FB4" w:rsidRDefault="006A1144" w:rsidP="00982118">
      <w:pPr>
        <w:rPr>
          <w:color w:val="000000"/>
        </w:rPr>
      </w:pPr>
      <w:r w:rsidRPr="004F5FB4">
        <w:rPr>
          <w:color w:val="000000"/>
        </w:rPr>
        <w:t>Amsparity ist auch in anderen Stärken und Darreichungsformen verfügbar.</w:t>
      </w:r>
    </w:p>
    <w:p w14:paraId="3736D8DC" w14:textId="77777777" w:rsidR="002327BB" w:rsidRPr="004F5FB4" w:rsidRDefault="002327BB" w:rsidP="00982118">
      <w:pPr>
        <w:rPr>
          <w:color w:val="000000"/>
        </w:rPr>
      </w:pPr>
    </w:p>
    <w:p w14:paraId="4E2A3395" w14:textId="77777777" w:rsidR="00C46587" w:rsidRPr="004F5FB4" w:rsidRDefault="00C46587" w:rsidP="00982118">
      <w:pPr>
        <w:keepNext/>
        <w:tabs>
          <w:tab w:val="left" w:pos="562"/>
        </w:tabs>
        <w:rPr>
          <w:b/>
          <w:color w:val="000000"/>
        </w:rPr>
      </w:pPr>
      <w:r w:rsidRPr="004F5FB4">
        <w:rPr>
          <w:b/>
          <w:color w:val="000000"/>
        </w:rPr>
        <w:t>4.3</w:t>
      </w:r>
      <w:r w:rsidR="00F17530" w:rsidRPr="004F5FB4">
        <w:rPr>
          <w:b/>
          <w:color w:val="000000"/>
        </w:rPr>
        <w:tab/>
      </w:r>
      <w:r w:rsidRPr="004F5FB4">
        <w:rPr>
          <w:b/>
          <w:color w:val="000000"/>
        </w:rPr>
        <w:t xml:space="preserve">Gegenanzeigen </w:t>
      </w:r>
    </w:p>
    <w:p w14:paraId="4409B5CB" w14:textId="77777777" w:rsidR="00C46587" w:rsidRPr="004F5FB4" w:rsidRDefault="00C46587" w:rsidP="00982118">
      <w:pPr>
        <w:keepNext/>
        <w:rPr>
          <w:color w:val="000000"/>
        </w:rPr>
      </w:pPr>
    </w:p>
    <w:p w14:paraId="438FFE58" w14:textId="77777777" w:rsidR="00C46587" w:rsidRPr="004F5FB4" w:rsidRDefault="00C46587" w:rsidP="00982118">
      <w:pPr>
        <w:rPr>
          <w:color w:val="000000"/>
        </w:rPr>
      </w:pPr>
      <w:r w:rsidRPr="004F5FB4">
        <w:rPr>
          <w:color w:val="000000"/>
        </w:rPr>
        <w:t>Überempfindlichkeit gegen den Wirkstoff oder einen der in Abschnitt</w:t>
      </w:r>
      <w:r w:rsidR="00AB5DF7" w:rsidRPr="004F5FB4">
        <w:rPr>
          <w:color w:val="000000"/>
        </w:rPr>
        <w:t> </w:t>
      </w:r>
      <w:r w:rsidRPr="004F5FB4">
        <w:rPr>
          <w:color w:val="000000"/>
        </w:rPr>
        <w:t xml:space="preserve">6.1 genannten sonstigen Bestandteile. </w:t>
      </w:r>
    </w:p>
    <w:p w14:paraId="061D4865" w14:textId="77777777" w:rsidR="00C46587" w:rsidRPr="004F5FB4" w:rsidRDefault="00C46587" w:rsidP="00982118">
      <w:pPr>
        <w:rPr>
          <w:color w:val="000000"/>
        </w:rPr>
      </w:pPr>
    </w:p>
    <w:p w14:paraId="2C6EF6AD" w14:textId="77777777" w:rsidR="00C46587" w:rsidRPr="004F5FB4" w:rsidRDefault="00C46587" w:rsidP="00982118">
      <w:pPr>
        <w:rPr>
          <w:color w:val="000000"/>
        </w:rPr>
      </w:pPr>
      <w:r w:rsidRPr="004F5FB4">
        <w:rPr>
          <w:color w:val="000000"/>
        </w:rPr>
        <w:t>Aktive Tuberkulose oder andere schwere Infektionen wie Sepsis und opportunistische Infektionen (siehe Abschnitt</w:t>
      </w:r>
      <w:r w:rsidR="00AB5DF7" w:rsidRPr="004F5FB4">
        <w:rPr>
          <w:color w:val="000000"/>
        </w:rPr>
        <w:t> </w:t>
      </w:r>
      <w:r w:rsidRPr="004F5FB4">
        <w:rPr>
          <w:color w:val="000000"/>
        </w:rPr>
        <w:t xml:space="preserve">4.4). </w:t>
      </w:r>
    </w:p>
    <w:p w14:paraId="37FA163A" w14:textId="77777777" w:rsidR="00C46587" w:rsidRPr="004F5FB4" w:rsidRDefault="00C46587" w:rsidP="00982118">
      <w:pPr>
        <w:rPr>
          <w:color w:val="000000"/>
        </w:rPr>
      </w:pPr>
    </w:p>
    <w:p w14:paraId="10337E93" w14:textId="77777777" w:rsidR="00C46587" w:rsidRPr="004F5FB4" w:rsidRDefault="00C46587" w:rsidP="00982118">
      <w:pPr>
        <w:rPr>
          <w:color w:val="000000"/>
        </w:rPr>
      </w:pPr>
      <w:r w:rsidRPr="004F5FB4">
        <w:rPr>
          <w:color w:val="000000"/>
        </w:rPr>
        <w:t>Mäßige bis schwere Herzinsuffizienz (NYHA-Klasse</w:t>
      </w:r>
      <w:r w:rsidR="00AB5DF7" w:rsidRPr="004F5FB4">
        <w:rPr>
          <w:color w:val="000000"/>
        </w:rPr>
        <w:t> </w:t>
      </w:r>
      <w:r w:rsidRPr="004F5FB4">
        <w:rPr>
          <w:color w:val="000000"/>
        </w:rPr>
        <w:t>III/</w:t>
      </w:r>
      <w:r w:rsidR="00AB5DF7" w:rsidRPr="004F5FB4">
        <w:rPr>
          <w:color w:val="000000"/>
        </w:rPr>
        <w:t xml:space="preserve"> </w:t>
      </w:r>
      <w:r w:rsidRPr="004F5FB4">
        <w:rPr>
          <w:color w:val="000000"/>
        </w:rPr>
        <w:t>IV) (siehe Abschnitt</w:t>
      </w:r>
      <w:r w:rsidR="00AB5DF7" w:rsidRPr="004F5FB4">
        <w:rPr>
          <w:color w:val="000000"/>
        </w:rPr>
        <w:t> </w:t>
      </w:r>
      <w:r w:rsidRPr="004F5FB4">
        <w:rPr>
          <w:color w:val="000000"/>
        </w:rPr>
        <w:t>4.4).</w:t>
      </w:r>
    </w:p>
    <w:p w14:paraId="228B762A" w14:textId="77777777" w:rsidR="00C46587" w:rsidRPr="004F5FB4" w:rsidRDefault="00C46587" w:rsidP="00982118">
      <w:pPr>
        <w:rPr>
          <w:color w:val="000000"/>
        </w:rPr>
      </w:pPr>
      <w:r w:rsidRPr="004F5FB4">
        <w:rPr>
          <w:color w:val="000000"/>
        </w:rPr>
        <w:t xml:space="preserve"> </w:t>
      </w:r>
    </w:p>
    <w:p w14:paraId="5B40FBE7" w14:textId="77777777" w:rsidR="00C46587" w:rsidRPr="004F5FB4" w:rsidRDefault="00C46587" w:rsidP="00982118">
      <w:pPr>
        <w:keepNext/>
        <w:tabs>
          <w:tab w:val="left" w:pos="562"/>
        </w:tabs>
        <w:rPr>
          <w:b/>
          <w:color w:val="000000"/>
        </w:rPr>
      </w:pPr>
      <w:r w:rsidRPr="004F5FB4">
        <w:rPr>
          <w:b/>
          <w:color w:val="000000"/>
        </w:rPr>
        <w:t>4.4</w:t>
      </w:r>
      <w:r w:rsidR="00ED3047" w:rsidRPr="004F5FB4">
        <w:rPr>
          <w:b/>
          <w:color w:val="000000"/>
        </w:rPr>
        <w:tab/>
      </w:r>
      <w:r w:rsidRPr="004F5FB4">
        <w:rPr>
          <w:b/>
          <w:color w:val="000000"/>
        </w:rPr>
        <w:t xml:space="preserve">Besondere Warnhinweise und Vorsichtsmaßnahmen für die Anwendung </w:t>
      </w:r>
    </w:p>
    <w:p w14:paraId="670CB42B" w14:textId="77777777" w:rsidR="00C46587" w:rsidRPr="004F5FB4" w:rsidRDefault="00C46587" w:rsidP="00982118">
      <w:pPr>
        <w:keepNext/>
        <w:tabs>
          <w:tab w:val="left" w:pos="562"/>
        </w:tabs>
        <w:rPr>
          <w:b/>
          <w:color w:val="000000"/>
        </w:rPr>
      </w:pPr>
    </w:p>
    <w:p w14:paraId="6D68BAFF" w14:textId="77777777" w:rsidR="00955F88" w:rsidRPr="004F5FB4" w:rsidRDefault="00955F88" w:rsidP="00982118">
      <w:pPr>
        <w:rPr>
          <w:color w:val="000000"/>
          <w:u w:val="single"/>
        </w:rPr>
      </w:pPr>
      <w:r w:rsidRPr="004F5FB4">
        <w:rPr>
          <w:color w:val="000000"/>
          <w:u w:val="single"/>
        </w:rPr>
        <w:t>Rückverfolgbarkeit</w:t>
      </w:r>
    </w:p>
    <w:p w14:paraId="65DABF9F" w14:textId="77777777" w:rsidR="00955F88" w:rsidRPr="004F5FB4" w:rsidRDefault="00955F88" w:rsidP="00982118">
      <w:pPr>
        <w:rPr>
          <w:color w:val="000000"/>
        </w:rPr>
      </w:pPr>
    </w:p>
    <w:p w14:paraId="13F621B0" w14:textId="77777777" w:rsidR="00C46587" w:rsidRPr="004F5FB4" w:rsidRDefault="00C46587" w:rsidP="00982118">
      <w:pPr>
        <w:rPr>
          <w:color w:val="000000"/>
        </w:rPr>
      </w:pPr>
      <w:r w:rsidRPr="004F5FB4">
        <w:rPr>
          <w:color w:val="000000"/>
        </w:rPr>
        <w:t>Um die Rückverfolgbarkeit biologischer Arzneimittel zu verbessern, müssen die Bezeichnung des Arzneimittels und die Chargenbezeichnung des angewendeten Arzneimittels eindeutig dokumentiert werden.</w:t>
      </w:r>
    </w:p>
    <w:p w14:paraId="64771821" w14:textId="77777777" w:rsidR="00C46587" w:rsidRPr="004F5FB4" w:rsidRDefault="00C46587" w:rsidP="00982118">
      <w:pPr>
        <w:rPr>
          <w:color w:val="000000"/>
        </w:rPr>
      </w:pPr>
    </w:p>
    <w:p w14:paraId="47E596DC" w14:textId="77777777" w:rsidR="00C46587" w:rsidRPr="004F5FB4" w:rsidRDefault="00C46587" w:rsidP="00982118">
      <w:pPr>
        <w:keepNext/>
        <w:rPr>
          <w:color w:val="000000"/>
          <w:u w:val="single"/>
        </w:rPr>
      </w:pPr>
      <w:r w:rsidRPr="004F5FB4">
        <w:rPr>
          <w:color w:val="000000"/>
          <w:u w:val="single"/>
        </w:rPr>
        <w:t>Infektionen</w:t>
      </w:r>
    </w:p>
    <w:p w14:paraId="4DD94CD7" w14:textId="77777777" w:rsidR="00C46587" w:rsidRPr="004F5FB4" w:rsidRDefault="00C46587" w:rsidP="00982118">
      <w:pPr>
        <w:keepNext/>
        <w:rPr>
          <w:color w:val="000000"/>
        </w:rPr>
      </w:pPr>
    </w:p>
    <w:p w14:paraId="2465A28F" w14:textId="77777777" w:rsidR="00C46587" w:rsidRPr="004F5FB4" w:rsidRDefault="00C46587" w:rsidP="00982118">
      <w:pPr>
        <w:rPr>
          <w:color w:val="000000"/>
        </w:rPr>
      </w:pPr>
      <w:r w:rsidRPr="004F5FB4">
        <w:rPr>
          <w:color w:val="000000"/>
        </w:rPr>
        <w:t>Patienten, die mit TNF</w:t>
      </w:r>
      <w:r w:rsidRPr="004F5FB4">
        <w:rPr>
          <w:color w:val="000000"/>
        </w:rPr>
        <w:noBreakHyphen/>
        <w:t>Antagonisten behandelt werden, sind für schwere Infektionen empfänglicher. Eine beeinträchtigte Lungenfunktion kann das Risiko für die Entwicklung von Infektionen erhöhen. Patienten müssen daher im Hinblick auf Infektionen, einschließlich Tuberkulose, vor, während und nach der Behandlung mit Amsparity engmaschig überwacht werden. Da die Elimination von Adalimumab bis zu vier Monate dauern kann, sollte die Überwachung über diesen Zeitraum fortgesetzt werden.</w:t>
      </w:r>
    </w:p>
    <w:p w14:paraId="6A1A023E" w14:textId="77777777" w:rsidR="00C46587" w:rsidRPr="004F5FB4" w:rsidRDefault="00C46587" w:rsidP="00982118">
      <w:pPr>
        <w:rPr>
          <w:color w:val="000000"/>
        </w:rPr>
      </w:pPr>
    </w:p>
    <w:p w14:paraId="02D4EA81" w14:textId="77777777" w:rsidR="00C46587" w:rsidRPr="004F5FB4" w:rsidRDefault="00C46587" w:rsidP="00982118">
      <w:pPr>
        <w:rPr>
          <w:color w:val="000000"/>
        </w:rPr>
      </w:pPr>
      <w:r w:rsidRPr="004F5FB4">
        <w:rPr>
          <w:color w:val="000000"/>
        </w:rPr>
        <w:t>Eine Behandlung mit Amsparity sollte bei Patienten mit aktiven Infektionen, einschließlich chronischer oder lokalisierter Infektionen, erst eingeleitet werden, wenn die Infektionen unter Kontrolle sind. Bei Patienten, die Tuberkulose ausgesetzt waren und bei Patienten, die in Hochrisikogebiete von Tuberkulose oder von endemischen Mykosen wie z.</w:t>
      </w:r>
      <w:r w:rsidR="00AB5DF7" w:rsidRPr="004F5FB4">
        <w:rPr>
          <w:color w:val="000000"/>
        </w:rPr>
        <w:t> </w:t>
      </w:r>
      <w:r w:rsidRPr="004F5FB4">
        <w:rPr>
          <w:color w:val="000000"/>
        </w:rPr>
        <w:t xml:space="preserve">B. Histoplasmose, Kokzidioidomykose oder Blastomykose gereist sind, müssen vor Beginn der Therapie Risiko und Vorteile einer Behandlung mit Amsparity sorgfältig überdacht werden (siehe </w:t>
      </w:r>
      <w:r w:rsidRPr="004F5FB4">
        <w:rPr>
          <w:i/>
          <w:iCs/>
          <w:color w:val="000000"/>
        </w:rPr>
        <w:t>Andere opportunistische Infektionen</w:t>
      </w:r>
      <w:r w:rsidRPr="004F5FB4">
        <w:rPr>
          <w:color w:val="000000"/>
        </w:rPr>
        <w:t>).</w:t>
      </w:r>
    </w:p>
    <w:p w14:paraId="3D351282" w14:textId="77777777" w:rsidR="00C46587" w:rsidRPr="004F5FB4" w:rsidRDefault="00C46587" w:rsidP="00982118">
      <w:pPr>
        <w:rPr>
          <w:color w:val="000000"/>
        </w:rPr>
      </w:pPr>
    </w:p>
    <w:p w14:paraId="3813CF2F" w14:textId="77777777" w:rsidR="00C46587" w:rsidRPr="004F5FB4" w:rsidRDefault="00C46587" w:rsidP="00982118">
      <w:pPr>
        <w:rPr>
          <w:color w:val="000000"/>
        </w:rPr>
      </w:pPr>
      <w:r w:rsidRPr="004F5FB4">
        <w:rPr>
          <w:color w:val="000000"/>
        </w:rPr>
        <w:t xml:space="preserve">Patienten, bei denen sich unter Behandlung mit Amsparity eine neue Infektion entwickelt, sollten engmaschig beobachtet werden und sich einer vollständigen diagnostischen Beurteilung unterziehen. Tritt bei einem Patienten eine schwere Infektion oder Sepsis neu auf, sollte Amsparity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Amsparity durch den behandelnden Arzt mit Vorsicht abgewogen werden. </w:t>
      </w:r>
    </w:p>
    <w:p w14:paraId="6B001344" w14:textId="77777777" w:rsidR="00C46587" w:rsidRPr="004F5FB4" w:rsidRDefault="00C46587" w:rsidP="00982118">
      <w:pPr>
        <w:rPr>
          <w:color w:val="000000"/>
        </w:rPr>
      </w:pPr>
    </w:p>
    <w:p w14:paraId="7CF005B2" w14:textId="77777777" w:rsidR="00C46587" w:rsidRPr="004F5FB4" w:rsidRDefault="00C46587" w:rsidP="00982118">
      <w:pPr>
        <w:keepNext/>
        <w:rPr>
          <w:i/>
          <w:color w:val="000000"/>
        </w:rPr>
      </w:pPr>
      <w:r w:rsidRPr="004F5FB4">
        <w:rPr>
          <w:i/>
          <w:color w:val="000000"/>
        </w:rPr>
        <w:t>Schwere Infektionen</w:t>
      </w:r>
    </w:p>
    <w:p w14:paraId="1F177062" w14:textId="77777777" w:rsidR="00C46587" w:rsidRPr="004F5FB4" w:rsidRDefault="00C46587" w:rsidP="00982118">
      <w:pPr>
        <w:keepNext/>
        <w:rPr>
          <w:color w:val="000000"/>
        </w:rPr>
      </w:pPr>
    </w:p>
    <w:p w14:paraId="613F16AC" w14:textId="77777777" w:rsidR="00C46587" w:rsidRPr="004F5FB4" w:rsidRDefault="00C46587" w:rsidP="00982118">
      <w:pPr>
        <w:rPr>
          <w:color w:val="000000"/>
        </w:rPr>
      </w:pPr>
      <w:r w:rsidRPr="004F5FB4">
        <w:rPr>
          <w:color w:val="000000"/>
        </w:rPr>
        <w:t>Schwere Infektionen, einschließlich Sepsis, aufgrund von bakteriellen, mykobakteriellen, invasiven Pilz-, Parasiten-, viralen oder anderen opportunistischen Infektionen, wie z.</w:t>
      </w:r>
      <w:r w:rsidR="00AB5DF7" w:rsidRPr="004F5FB4">
        <w:rPr>
          <w:color w:val="000000"/>
        </w:rPr>
        <w:t> </w:t>
      </w:r>
      <w:r w:rsidRPr="004F5FB4">
        <w:rPr>
          <w:color w:val="000000"/>
        </w:rPr>
        <w:t>B. Listeriose, Legionellose und Pneumocystisinfektion, sind im Zusammenhang mit Adalimumab beschrieben worden.</w:t>
      </w:r>
    </w:p>
    <w:p w14:paraId="4C55B1BB" w14:textId="77777777" w:rsidR="00C46587" w:rsidRPr="004F5FB4" w:rsidRDefault="00C46587" w:rsidP="00982118">
      <w:pPr>
        <w:rPr>
          <w:color w:val="000000"/>
        </w:rPr>
      </w:pPr>
    </w:p>
    <w:p w14:paraId="0E902655" w14:textId="77777777" w:rsidR="00C46587" w:rsidRPr="004F5FB4" w:rsidRDefault="00C46587" w:rsidP="00982118">
      <w:pPr>
        <w:rPr>
          <w:color w:val="000000"/>
        </w:rPr>
      </w:pPr>
      <w:r w:rsidRPr="004F5FB4">
        <w:rPr>
          <w:color w:val="000000"/>
        </w:rPr>
        <w:lastRenderedPageBreak/>
        <w:t xml:space="preserve">Andere schwere Infektionen in klinischen Studien schließen Pneumonie, Pyelonephritis, septische Arthritis und Septikämie ein. Über Hospitalisierung oder Todesfälle in Verbindung mit Infektionen wurde berichtet. </w:t>
      </w:r>
    </w:p>
    <w:p w14:paraId="4B1B44B9" w14:textId="77777777" w:rsidR="00C46587" w:rsidRPr="004F5FB4" w:rsidRDefault="00C46587" w:rsidP="00982118">
      <w:pPr>
        <w:rPr>
          <w:color w:val="000000"/>
        </w:rPr>
      </w:pPr>
    </w:p>
    <w:p w14:paraId="70284FBC" w14:textId="77777777" w:rsidR="00C46587" w:rsidRPr="004F5FB4" w:rsidRDefault="00C46587" w:rsidP="00982118">
      <w:pPr>
        <w:keepNext/>
        <w:rPr>
          <w:i/>
          <w:color w:val="000000"/>
        </w:rPr>
      </w:pPr>
      <w:r w:rsidRPr="004F5FB4">
        <w:rPr>
          <w:i/>
          <w:color w:val="000000"/>
        </w:rPr>
        <w:t xml:space="preserve">Tuberkulose </w:t>
      </w:r>
    </w:p>
    <w:p w14:paraId="5587DA07" w14:textId="77777777" w:rsidR="00C46587" w:rsidRPr="004F5FB4" w:rsidRDefault="00C46587" w:rsidP="00982118">
      <w:pPr>
        <w:keepNext/>
        <w:rPr>
          <w:i/>
          <w:color w:val="000000"/>
        </w:rPr>
      </w:pPr>
    </w:p>
    <w:p w14:paraId="57C42CC3" w14:textId="77777777" w:rsidR="00C46587" w:rsidRPr="004F5FB4" w:rsidRDefault="00C46587" w:rsidP="00982118">
      <w:pPr>
        <w:rPr>
          <w:color w:val="000000"/>
        </w:rPr>
      </w:pPr>
      <w:r w:rsidRPr="004F5FB4">
        <w:rPr>
          <w:color w:val="000000"/>
        </w:rPr>
        <w:t>Es gab Berichte von Tuberkulose, einschließlich Reaktivierung und Tuberkuloseneuerkrankungen, bei Patienten, die Adalimumab erhielten. Die Berichte umfassten pulmonale und extrapulmonale (d. h. disseminierte) Tuberkulosefälle.</w:t>
      </w:r>
    </w:p>
    <w:p w14:paraId="1BF61619" w14:textId="77777777" w:rsidR="00C46587" w:rsidRPr="004F5FB4" w:rsidRDefault="00C46587" w:rsidP="00982118">
      <w:pPr>
        <w:rPr>
          <w:color w:val="000000"/>
        </w:rPr>
      </w:pPr>
    </w:p>
    <w:p w14:paraId="4ABA8E14" w14:textId="77777777" w:rsidR="00C46587" w:rsidRPr="004F5FB4" w:rsidRDefault="00C46587" w:rsidP="00982118">
      <w:pPr>
        <w:rPr>
          <w:color w:val="000000"/>
        </w:rPr>
      </w:pPr>
      <w:r w:rsidRPr="004F5FB4">
        <w:rPr>
          <w:color w:val="000000"/>
        </w:rPr>
        <w:t>Vor Beginn der Behandlung mit Amsparity müssen alle Patienten sowohl auf aktive als auch auf inaktive („latente“) Tuberkuloseinfektionen untersucht werden. Zu dieser Untersuchung sollte eine eingehende medizinische Anamnese des Patienten gehören. Diese sollte eine persönliche Tuberkulosevorerkrankung, mögliche frühere Kontakte zu Personen mit aktiver Tuberkulose und eine frühere bzw. derzeitige Behandlung mit Immunsuppressiva abklären. Geeignete Screeningtests (d. h. Tuberkulinhauttest und Röntgen-Thoraxaufnahme) sollten bei allen Patienten durchgeführt werden (nationale Empfehlungen sollten befolgt werden). Es wird empfohlen, die Durchführung und Ergebnisse dieser Tests auf dem Patientenpass zu dokumentieren. Verschreibende Ärzte werden an das Risiko der falsch negativen Ergebnisse des Tuberkulinhauttests, insbesondere bei schwer erkrankten oder immunsupprimierten Patienten, erinnert.</w:t>
      </w:r>
    </w:p>
    <w:p w14:paraId="71E97CAA" w14:textId="77777777" w:rsidR="00C46587" w:rsidRPr="004F5FB4" w:rsidRDefault="00C46587" w:rsidP="00982118">
      <w:pPr>
        <w:rPr>
          <w:color w:val="000000"/>
        </w:rPr>
      </w:pPr>
    </w:p>
    <w:p w14:paraId="25607913" w14:textId="77777777" w:rsidR="00C46587" w:rsidRPr="004F5FB4" w:rsidRDefault="00C46587" w:rsidP="00982118">
      <w:pPr>
        <w:rPr>
          <w:color w:val="000000"/>
        </w:rPr>
      </w:pPr>
      <w:r w:rsidRPr="004F5FB4">
        <w:rPr>
          <w:color w:val="000000"/>
        </w:rPr>
        <w:t>Wird eine aktive Tuberkulose diagnostiziert, darf die Behandlung mit Amsparity nicht eingeleitet werden (siehe Abschnitt</w:t>
      </w:r>
      <w:r w:rsidR="00AB5DF7" w:rsidRPr="004F5FB4">
        <w:rPr>
          <w:color w:val="000000"/>
        </w:rPr>
        <w:t> </w:t>
      </w:r>
      <w:r w:rsidRPr="004F5FB4">
        <w:rPr>
          <w:color w:val="000000"/>
        </w:rPr>
        <w:t xml:space="preserve">4.3). </w:t>
      </w:r>
    </w:p>
    <w:p w14:paraId="0111965D" w14:textId="77777777" w:rsidR="00C46587" w:rsidRPr="004F5FB4" w:rsidRDefault="00C46587" w:rsidP="00982118">
      <w:pPr>
        <w:rPr>
          <w:color w:val="000000"/>
        </w:rPr>
      </w:pPr>
    </w:p>
    <w:p w14:paraId="1AC213B4" w14:textId="77777777" w:rsidR="00C46587" w:rsidRPr="004F5FB4" w:rsidRDefault="00C46587" w:rsidP="00982118">
      <w:pPr>
        <w:rPr>
          <w:color w:val="000000"/>
        </w:rPr>
      </w:pPr>
      <w:r w:rsidRPr="004F5FB4">
        <w:rPr>
          <w:color w:val="000000"/>
        </w:rPr>
        <w:t>In allen nachstehend beschriebenen Situationen sollte das Nutzen-Risiko-Verhältnis einer Amsparity-Therapie sehr sorgfältig abgewogen werden.</w:t>
      </w:r>
    </w:p>
    <w:p w14:paraId="227A906C" w14:textId="77777777" w:rsidR="00C46587" w:rsidRPr="004F5FB4" w:rsidRDefault="00C46587" w:rsidP="00982118">
      <w:pPr>
        <w:rPr>
          <w:color w:val="000000"/>
        </w:rPr>
      </w:pPr>
    </w:p>
    <w:p w14:paraId="53034EC5" w14:textId="77777777" w:rsidR="00C46587" w:rsidRPr="004F5FB4" w:rsidRDefault="00C46587" w:rsidP="00982118">
      <w:pPr>
        <w:rPr>
          <w:color w:val="000000"/>
        </w:rPr>
      </w:pPr>
      <w:r w:rsidRPr="004F5FB4">
        <w:rPr>
          <w:color w:val="000000"/>
        </w:rPr>
        <w:t xml:space="preserve">Bei Verdacht auf latente Tuberkulose sollte ein in der Tuberkulosebehandlung erfahrener Arzt aufgesucht werden. </w:t>
      </w:r>
    </w:p>
    <w:p w14:paraId="40F1C15B" w14:textId="77777777" w:rsidR="00C46587" w:rsidRPr="004F5FB4" w:rsidRDefault="00C46587" w:rsidP="00982118">
      <w:pPr>
        <w:rPr>
          <w:color w:val="000000"/>
        </w:rPr>
      </w:pPr>
    </w:p>
    <w:p w14:paraId="1593A3DE" w14:textId="77777777" w:rsidR="00C46587" w:rsidRPr="004F5FB4" w:rsidRDefault="00C46587" w:rsidP="00982118">
      <w:pPr>
        <w:rPr>
          <w:color w:val="000000"/>
        </w:rPr>
      </w:pPr>
      <w:r w:rsidRPr="004F5FB4">
        <w:rPr>
          <w:color w:val="000000"/>
        </w:rPr>
        <w:t xml:space="preserve">Wird eine latente Tuberkulose diagnostiziert, muss vor der ersten Gabe von Amsparity eine geeignete Tuberkuloseprophylaxe entsprechend den nationalen Empfehlungen begonnen werden. </w:t>
      </w:r>
    </w:p>
    <w:p w14:paraId="5C022D06" w14:textId="77777777" w:rsidR="00C46587" w:rsidRPr="004F5FB4" w:rsidRDefault="00C46587" w:rsidP="00982118">
      <w:pPr>
        <w:rPr>
          <w:color w:val="000000"/>
        </w:rPr>
      </w:pPr>
    </w:p>
    <w:p w14:paraId="5A8633EB" w14:textId="77777777" w:rsidR="00C46587" w:rsidRPr="004F5FB4" w:rsidRDefault="00C46587" w:rsidP="00982118">
      <w:pPr>
        <w:rPr>
          <w:color w:val="000000"/>
        </w:rPr>
      </w:pPr>
      <w:r w:rsidRPr="004F5FB4">
        <w:rPr>
          <w:color w:val="000000"/>
        </w:rPr>
        <w:t>Eine Tuberkuloseprophylaxe vor Beginn der Behandlung mit Amsparity sollte ebenfalls bei Patienten 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6982980F" w14:textId="77777777" w:rsidR="00C46587" w:rsidRPr="004F5FB4" w:rsidRDefault="00C46587" w:rsidP="00982118">
      <w:pPr>
        <w:rPr>
          <w:color w:val="000000"/>
        </w:rPr>
      </w:pPr>
    </w:p>
    <w:p w14:paraId="5210618C" w14:textId="77777777" w:rsidR="00C46587" w:rsidRPr="004F5FB4" w:rsidRDefault="00C46587" w:rsidP="00982118">
      <w:pPr>
        <w:rPr>
          <w:color w:val="000000"/>
        </w:rPr>
      </w:pPr>
      <w:r w:rsidRPr="004F5FB4">
        <w:rPr>
          <w:color w:val="000000"/>
        </w:rPr>
        <w:t xml:space="preserve">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 </w:t>
      </w:r>
    </w:p>
    <w:p w14:paraId="597B197D" w14:textId="77777777" w:rsidR="00C46587" w:rsidRPr="004F5FB4" w:rsidRDefault="00C46587" w:rsidP="00982118">
      <w:pPr>
        <w:rPr>
          <w:color w:val="000000"/>
        </w:rPr>
      </w:pPr>
    </w:p>
    <w:p w14:paraId="628DC43F" w14:textId="77777777" w:rsidR="00C46587" w:rsidRPr="004F5FB4" w:rsidRDefault="00C46587" w:rsidP="00982118">
      <w:pPr>
        <w:rPr>
          <w:color w:val="000000"/>
        </w:rPr>
      </w:pPr>
      <w:r w:rsidRPr="004F5FB4">
        <w:rPr>
          <w:color w:val="000000"/>
        </w:rPr>
        <w:t>Die Patienten sind anzuweisen, ärztlichen Rat einzuholen, falls es während oder nach der Behandlung mit Amsparity zu klinischen Anzeichen/</w:t>
      </w:r>
      <w:r w:rsidR="00CC6D75" w:rsidRPr="004F5FB4">
        <w:rPr>
          <w:color w:val="000000"/>
        </w:rPr>
        <w:t xml:space="preserve"> </w:t>
      </w:r>
      <w:r w:rsidRPr="004F5FB4">
        <w:rPr>
          <w:color w:val="000000"/>
        </w:rPr>
        <w:t>Symptomen kommt, die auf eine Tuberkuloseinfektion hinweisen (z. B. anhaltender Husten, Kräfteschwund/</w:t>
      </w:r>
      <w:r w:rsidR="00AB5DF7" w:rsidRPr="004F5FB4">
        <w:rPr>
          <w:color w:val="000000"/>
        </w:rPr>
        <w:t xml:space="preserve"> </w:t>
      </w:r>
      <w:r w:rsidRPr="004F5FB4">
        <w:rPr>
          <w:color w:val="000000"/>
        </w:rPr>
        <w:t xml:space="preserve">Gewichtsverlust, leicht erhöhte Körpertemperatur, Teilnahmslosigkeit). </w:t>
      </w:r>
    </w:p>
    <w:p w14:paraId="73AE9E0B" w14:textId="77777777" w:rsidR="00C46587" w:rsidRPr="004F5FB4" w:rsidRDefault="00C46587" w:rsidP="00982118">
      <w:pPr>
        <w:rPr>
          <w:color w:val="000000"/>
        </w:rPr>
      </w:pPr>
    </w:p>
    <w:p w14:paraId="0CF20130" w14:textId="77777777" w:rsidR="00C46587" w:rsidRPr="004F5FB4" w:rsidRDefault="00C46587" w:rsidP="00982118">
      <w:pPr>
        <w:keepNext/>
        <w:rPr>
          <w:i/>
          <w:color w:val="000000"/>
        </w:rPr>
      </w:pPr>
      <w:r w:rsidRPr="004F5FB4">
        <w:rPr>
          <w:i/>
          <w:color w:val="000000"/>
        </w:rPr>
        <w:t>Andere opportunistische Infektionen</w:t>
      </w:r>
    </w:p>
    <w:p w14:paraId="3B244536" w14:textId="77777777" w:rsidR="00C46587" w:rsidRPr="004F5FB4" w:rsidRDefault="00C46587" w:rsidP="00982118">
      <w:pPr>
        <w:keepNext/>
        <w:rPr>
          <w:color w:val="000000"/>
        </w:rPr>
      </w:pPr>
    </w:p>
    <w:p w14:paraId="797FF9FC" w14:textId="77777777" w:rsidR="00C46587" w:rsidRPr="004F5FB4" w:rsidRDefault="00C46587" w:rsidP="00982118">
      <w:pPr>
        <w:rPr>
          <w:color w:val="000000"/>
        </w:rPr>
      </w:pPr>
      <w:r w:rsidRPr="004F5FB4">
        <w:rPr>
          <w:color w:val="000000"/>
        </w:rPr>
        <w:t>Opportunistische Infektionen, einschließlich invasiver Pilzinfektionen, wurden bei Patienten beobachtet, die Adalimumab erhielten. Diese Infektionen wurden nicht lückenlos bei Patienten erkannt, die TNF</w:t>
      </w:r>
      <w:r w:rsidRPr="004F5FB4">
        <w:rPr>
          <w:color w:val="000000"/>
        </w:rPr>
        <w:noBreakHyphen/>
        <w:t>Antagonisten anwendeten. Dies führte zu Verzögerungen bei der geeigneten Therapie, manchmal mit tödlichem Ausgang.</w:t>
      </w:r>
    </w:p>
    <w:p w14:paraId="3DA642CA" w14:textId="77777777" w:rsidR="00C46587" w:rsidRPr="004F5FB4" w:rsidRDefault="00C46587" w:rsidP="00982118">
      <w:pPr>
        <w:rPr>
          <w:color w:val="000000"/>
        </w:rPr>
      </w:pPr>
    </w:p>
    <w:p w14:paraId="2E5D1E2B" w14:textId="77777777" w:rsidR="00C46587" w:rsidRPr="004F5FB4" w:rsidRDefault="00C46587" w:rsidP="00982118">
      <w:pPr>
        <w:rPr>
          <w:color w:val="000000"/>
        </w:rPr>
      </w:pPr>
      <w:r w:rsidRPr="004F5FB4">
        <w:rPr>
          <w:color w:val="000000"/>
        </w:rPr>
        <w:t>Bei Patienten, die Anzeichen oder Symptome wie z. B. Fieber, Unwohlsein, Gewichtsverlust, Schweißausbrüche, Husten, Atemnot und/</w:t>
      </w:r>
      <w:r w:rsidR="00AB5DF7" w:rsidRPr="004F5FB4">
        <w:rPr>
          <w:color w:val="000000"/>
        </w:rPr>
        <w:t xml:space="preserve"> </w:t>
      </w:r>
      <w:r w:rsidRPr="004F5FB4">
        <w:rPr>
          <w:color w:val="000000"/>
        </w:rPr>
        <w:t xml:space="preserve">oder Lungeninfiltrate oder eine andere schwere systemische </w:t>
      </w:r>
      <w:r w:rsidRPr="004F5FB4">
        <w:rPr>
          <w:color w:val="000000"/>
        </w:rPr>
        <w:lastRenderedPageBreak/>
        <w:t xml:space="preserve">Erkrankung mit oder ohne gleichzeitigem Schock entwickeln, ist eine invasive Pilzinfektion zu </w:t>
      </w:r>
      <w:r w:rsidR="00B501B8" w:rsidRPr="004F5FB4">
        <w:rPr>
          <w:color w:val="000000"/>
        </w:rPr>
        <w:t>befürchten</w:t>
      </w:r>
      <w:r w:rsidRPr="004F5FB4">
        <w:rPr>
          <w:color w:val="000000"/>
        </w:rPr>
        <w:t xml:space="preserve">. Die Verabreichung von Amsparity muss sofort unterbrochen werden. Bei diesen Patienten sollten die Diagnose und die Einleitung einer empirischen Antimykotikatherapie mit einem Arzt abgesprochen werden, der in der Behandlung von Patienten mit invasiven Pilzinfektionen Erfahrung hat. </w:t>
      </w:r>
    </w:p>
    <w:p w14:paraId="455B28D8" w14:textId="77777777" w:rsidR="00C46587" w:rsidRPr="004F5FB4" w:rsidRDefault="00C46587" w:rsidP="00982118">
      <w:pPr>
        <w:rPr>
          <w:color w:val="000000"/>
        </w:rPr>
      </w:pPr>
    </w:p>
    <w:p w14:paraId="553ABC69" w14:textId="77777777" w:rsidR="00C46587" w:rsidRPr="004F5FB4" w:rsidRDefault="00C46587" w:rsidP="00982118">
      <w:pPr>
        <w:keepNext/>
        <w:rPr>
          <w:color w:val="000000"/>
          <w:u w:val="single"/>
        </w:rPr>
      </w:pPr>
      <w:r w:rsidRPr="004F5FB4">
        <w:rPr>
          <w:color w:val="000000"/>
          <w:u w:val="single"/>
        </w:rPr>
        <w:t>Hepatitis-B-Reaktivierung</w:t>
      </w:r>
    </w:p>
    <w:p w14:paraId="495AEF19" w14:textId="77777777" w:rsidR="00C46587" w:rsidRPr="004F5FB4" w:rsidRDefault="00C46587" w:rsidP="00982118">
      <w:pPr>
        <w:keepNext/>
        <w:rPr>
          <w:color w:val="000000"/>
        </w:rPr>
      </w:pPr>
    </w:p>
    <w:p w14:paraId="40935B96" w14:textId="77777777" w:rsidR="00C46587" w:rsidRPr="004F5FB4" w:rsidRDefault="00C46587" w:rsidP="00982118">
      <w:pPr>
        <w:rPr>
          <w:color w:val="000000"/>
        </w:rPr>
      </w:pPr>
      <w:r w:rsidRPr="004F5FB4">
        <w:rPr>
          <w:color w:val="000000"/>
        </w:rPr>
        <w:t>Die Reaktivierung einer Hepatitis</w:t>
      </w:r>
      <w:r w:rsidR="00AB5DF7" w:rsidRPr="004F5FB4">
        <w:rPr>
          <w:color w:val="000000"/>
        </w:rPr>
        <w:t> </w:t>
      </w:r>
      <w:r w:rsidRPr="004F5FB4">
        <w:rPr>
          <w:color w:val="000000"/>
        </w:rPr>
        <w:t>B trat bei Patienten auf, die einen TNF</w:t>
      </w:r>
      <w:r w:rsidRPr="004F5FB4">
        <w:rPr>
          <w:color w:val="000000"/>
        </w:rPr>
        <w:noBreakHyphen/>
        <w:t>Antagonisten, einschließlich Adalimumab, erhielten und chronische Träger dieses Virus waren (d.</w:t>
      </w:r>
      <w:r w:rsidR="00AB5DF7" w:rsidRPr="004F5FB4">
        <w:rPr>
          <w:color w:val="000000"/>
        </w:rPr>
        <w:t> </w:t>
      </w:r>
      <w:r w:rsidRPr="004F5FB4">
        <w:rPr>
          <w:color w:val="000000"/>
        </w:rPr>
        <w:t>h. HBsAg-positiv). Einige Fälle nahmen einen tödlichen Ausgang. Patienten müssen vor Beginn der Therapie mit Amsparity auf eine HBV-Infektion untersucht werden. Patienten, die positiv auf eine Hepatitis-B-Infektion getestet wurden, sollten Rücksprache mit einem Arzt halten, der Fachkenntnisse zur Behandlung von Hepatitis</w:t>
      </w:r>
      <w:r w:rsidR="00AB5DF7" w:rsidRPr="004F5FB4">
        <w:rPr>
          <w:color w:val="000000"/>
        </w:rPr>
        <w:t> </w:t>
      </w:r>
      <w:r w:rsidRPr="004F5FB4">
        <w:rPr>
          <w:color w:val="000000"/>
        </w:rPr>
        <w:t>B hat.</w:t>
      </w:r>
    </w:p>
    <w:p w14:paraId="702D6A99" w14:textId="77777777" w:rsidR="00C46587" w:rsidRPr="004F5FB4" w:rsidRDefault="00C46587" w:rsidP="00982118">
      <w:pPr>
        <w:rPr>
          <w:color w:val="000000"/>
        </w:rPr>
      </w:pPr>
    </w:p>
    <w:p w14:paraId="195F5902" w14:textId="77777777" w:rsidR="00C46587" w:rsidRPr="004F5FB4" w:rsidRDefault="00C46587" w:rsidP="00982118">
      <w:pPr>
        <w:rPr>
          <w:color w:val="000000"/>
        </w:rPr>
      </w:pPr>
      <w:r w:rsidRPr="004F5FB4">
        <w:rPr>
          <w:color w:val="000000"/>
        </w:rPr>
        <w:t xml:space="preserve">Träger von HBV, die eine Behandlung mit Amsparity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TNF-Antagonisten behandelt werden und Träger von HBV sind. Patienten, bei denen eine HBV-Reaktivierung auftritt, müssen Amsparity absetzen, und eine effektive antivirale Therapie mit geeigneter unterstützender Behandlung muss eingeleitet werden. </w:t>
      </w:r>
    </w:p>
    <w:p w14:paraId="79E66B14" w14:textId="77777777" w:rsidR="00C46587" w:rsidRPr="004F5FB4" w:rsidRDefault="00C46587" w:rsidP="00982118">
      <w:pPr>
        <w:rPr>
          <w:color w:val="000000"/>
        </w:rPr>
      </w:pPr>
    </w:p>
    <w:p w14:paraId="17A6D7CD" w14:textId="77777777" w:rsidR="00C46587" w:rsidRPr="004F5FB4" w:rsidRDefault="00C46587" w:rsidP="00982118">
      <w:pPr>
        <w:keepNext/>
        <w:rPr>
          <w:color w:val="000000"/>
          <w:u w:val="single"/>
        </w:rPr>
      </w:pPr>
      <w:r w:rsidRPr="004F5FB4">
        <w:rPr>
          <w:color w:val="000000"/>
          <w:u w:val="single"/>
        </w:rPr>
        <w:t>Neurologische Ereignisse</w:t>
      </w:r>
    </w:p>
    <w:p w14:paraId="76B19EEC" w14:textId="77777777" w:rsidR="00C46587" w:rsidRPr="004F5FB4" w:rsidRDefault="00C46587" w:rsidP="00982118">
      <w:pPr>
        <w:keepNext/>
        <w:rPr>
          <w:color w:val="000000"/>
        </w:rPr>
      </w:pPr>
    </w:p>
    <w:p w14:paraId="172AC091" w14:textId="77777777" w:rsidR="00C46587" w:rsidRPr="004F5FB4" w:rsidRDefault="00C46587" w:rsidP="00982118">
      <w:pPr>
        <w:rPr>
          <w:color w:val="000000"/>
        </w:rPr>
      </w:pPr>
      <w:r w:rsidRPr="004F5FB4">
        <w:rPr>
          <w:color w:val="000000"/>
        </w:rPr>
        <w:t>TNF</w:t>
      </w:r>
      <w:r w:rsidRPr="004F5FB4">
        <w:rPr>
          <w:color w:val="000000"/>
        </w:rPr>
        <w:noBreakHyphen/>
        <w:t>Antagonisten, einschließlich Adalimumab, wurden in seltenen Fällen mit dem neuen Auftreten oder der Verstärkung der klinischen Symptomatik und/</w:t>
      </w:r>
      <w:r w:rsidR="00AB5DF7" w:rsidRPr="004F5FB4">
        <w:rPr>
          <w:color w:val="000000"/>
        </w:rPr>
        <w:t xml:space="preserve"> </w:t>
      </w:r>
      <w:r w:rsidRPr="004F5FB4">
        <w:rPr>
          <w:color w:val="000000"/>
        </w:rPr>
        <w:t xml:space="preserve">oder dem radiologischen Nachweis von demyelinisierenden Erkrankungen im zentralen Nervensystem, einschließlich </w:t>
      </w:r>
      <w:r w:rsidR="00A63F9C" w:rsidRPr="004F5FB4">
        <w:rPr>
          <w:color w:val="000000"/>
        </w:rPr>
        <w:t>M</w:t>
      </w:r>
      <w:r w:rsidRPr="004F5FB4">
        <w:rPr>
          <w:color w:val="000000"/>
        </w:rPr>
        <w:t>ultipler Sklerose und Optikusneuritis, und demyelinisierenden Erkrankungen im peripheren Nervensystem, einschließlich Guillain</w:t>
      </w:r>
      <w:r w:rsidRPr="004F5FB4">
        <w:rPr>
          <w:color w:val="000000"/>
        </w:rPr>
        <w:noBreakHyphen/>
        <w:t>Barré-Syndrom, in Verbindung gebracht. Die Verordnung von Amsparity sollte bei Patienten mit vorbestehenden oder beginnenden demyelinisierenden Erkrankungen des ZNS oder des peripheren Nervensystems vom verschreibenden Arzt sorgfältig abgewogen werden. Tritt eine dieser Erkrankungen auf, sollte in Betracht gezogen werden, Amsparity abzusetzen. Es besteht ein bekannter Zusammenhang zwischen einer Uveitis intermedia und demyelinisierenden Erkrankungen des ZNS. Patienten mit nicht infektiöser Uveitis intermedia sollten vor der Einleitung einer Amsparity-Therapie und regelmäßig während der Behandlung neurologisch untersucht werden, um vorbestehende oder beginnende demyelinisierende Erkrankungen des ZNS zu erfassen.</w:t>
      </w:r>
    </w:p>
    <w:p w14:paraId="5E2A45D4" w14:textId="77777777" w:rsidR="00C46587" w:rsidRPr="004F5FB4" w:rsidRDefault="00C46587" w:rsidP="00982118">
      <w:pPr>
        <w:rPr>
          <w:color w:val="000000"/>
        </w:rPr>
      </w:pPr>
    </w:p>
    <w:p w14:paraId="16C5B6FA" w14:textId="77777777" w:rsidR="00C46587" w:rsidRPr="004F5FB4" w:rsidRDefault="00C46587" w:rsidP="00982118">
      <w:pPr>
        <w:keepNext/>
        <w:rPr>
          <w:color w:val="000000"/>
          <w:u w:val="single"/>
        </w:rPr>
      </w:pPr>
      <w:r w:rsidRPr="004F5FB4">
        <w:rPr>
          <w:color w:val="000000"/>
          <w:u w:val="single"/>
        </w:rPr>
        <w:t>Allergische Reaktionen</w:t>
      </w:r>
    </w:p>
    <w:p w14:paraId="3A0949F2" w14:textId="77777777" w:rsidR="00C46587" w:rsidRPr="004F5FB4" w:rsidRDefault="00C46587" w:rsidP="00982118">
      <w:pPr>
        <w:keepNext/>
        <w:rPr>
          <w:color w:val="000000"/>
          <w:u w:val="single"/>
        </w:rPr>
      </w:pPr>
    </w:p>
    <w:p w14:paraId="11669A70" w14:textId="77777777" w:rsidR="00C46587" w:rsidRPr="004F5FB4" w:rsidRDefault="00C46587" w:rsidP="00982118">
      <w:pPr>
        <w:rPr>
          <w:color w:val="000000"/>
        </w:rPr>
      </w:pPr>
      <w:r w:rsidRPr="004F5FB4">
        <w:rPr>
          <w:color w:val="000000"/>
        </w:rPr>
        <w:t xml:space="preserve">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Amsparity sofort abgesetzt und eine geeignete Behandlung eingeleitet werden. </w:t>
      </w:r>
    </w:p>
    <w:p w14:paraId="283F8624" w14:textId="77777777" w:rsidR="00C46587" w:rsidRPr="004F5FB4" w:rsidRDefault="00C46587" w:rsidP="00982118">
      <w:pPr>
        <w:rPr>
          <w:color w:val="000000"/>
        </w:rPr>
      </w:pPr>
    </w:p>
    <w:p w14:paraId="2809E98C" w14:textId="77777777" w:rsidR="00C46587" w:rsidRPr="004F5FB4" w:rsidRDefault="00C46587" w:rsidP="00982118">
      <w:pPr>
        <w:keepNext/>
        <w:rPr>
          <w:color w:val="000000"/>
          <w:u w:val="single"/>
        </w:rPr>
      </w:pPr>
      <w:r w:rsidRPr="004F5FB4">
        <w:rPr>
          <w:color w:val="000000"/>
          <w:u w:val="single"/>
        </w:rPr>
        <w:t>Immunsuppression</w:t>
      </w:r>
    </w:p>
    <w:p w14:paraId="1F516ADD" w14:textId="77777777" w:rsidR="00C46587" w:rsidRPr="004F5FB4" w:rsidRDefault="00C46587" w:rsidP="00982118">
      <w:pPr>
        <w:keepNext/>
        <w:rPr>
          <w:color w:val="000000"/>
          <w:u w:val="single"/>
        </w:rPr>
      </w:pPr>
    </w:p>
    <w:p w14:paraId="117D734F" w14:textId="77777777" w:rsidR="00C46587" w:rsidRPr="004F5FB4" w:rsidRDefault="00C46587" w:rsidP="00982118">
      <w:pPr>
        <w:rPr>
          <w:color w:val="000000"/>
        </w:rPr>
      </w:pPr>
      <w:r w:rsidRPr="004F5FB4">
        <w:rPr>
          <w:color w:val="000000"/>
        </w:rPr>
        <w:t>In einer Studie mit 64</w:t>
      </w:r>
      <w:r w:rsidR="00AB5DF7" w:rsidRPr="004F5FB4">
        <w:rPr>
          <w:color w:val="000000"/>
        </w:rPr>
        <w:t> </w:t>
      </w:r>
      <w:r w:rsidRPr="004F5FB4">
        <w:rPr>
          <w:color w:val="000000"/>
        </w:rPr>
        <w:t>Patienten mit rheumatoider Arthritis, die mit Adalimumab behandelt wurden, ergab sich kein Beleg für eine Abschwächung der Überempfindlichkeitsreaktion vom verzögerten Typ, für eine Abnahme der Immunglobulinkonzentration oder für Veränderungen der Zahl von Effektor-T</w:t>
      </w:r>
      <w:r w:rsidRPr="004F5FB4">
        <w:rPr>
          <w:color w:val="000000"/>
        </w:rPr>
        <w:noBreakHyphen/>
        <w:t>, B</w:t>
      </w:r>
      <w:r w:rsidRPr="004F5FB4">
        <w:rPr>
          <w:color w:val="000000"/>
        </w:rPr>
        <w:noBreakHyphen/>
        <w:t>, NK</w:t>
      </w:r>
      <w:r w:rsidRPr="004F5FB4">
        <w:rPr>
          <w:color w:val="000000"/>
        </w:rPr>
        <w:noBreakHyphen/>
        <w:t>Zellen, Monozyten/</w:t>
      </w:r>
      <w:r w:rsidR="00AB5DF7" w:rsidRPr="004F5FB4">
        <w:rPr>
          <w:color w:val="000000"/>
        </w:rPr>
        <w:t xml:space="preserve"> </w:t>
      </w:r>
      <w:r w:rsidRPr="004F5FB4">
        <w:rPr>
          <w:color w:val="000000"/>
        </w:rPr>
        <w:t xml:space="preserve">Makrophagen und neutrophilen Granulozyten. </w:t>
      </w:r>
    </w:p>
    <w:p w14:paraId="14BD5B12" w14:textId="77777777" w:rsidR="00C46587" w:rsidRPr="004F5FB4" w:rsidRDefault="00C46587" w:rsidP="00982118">
      <w:pPr>
        <w:rPr>
          <w:color w:val="000000"/>
        </w:rPr>
      </w:pPr>
    </w:p>
    <w:p w14:paraId="3F5B6BF3" w14:textId="77777777" w:rsidR="00C46587" w:rsidRPr="004F5FB4" w:rsidRDefault="00C46587" w:rsidP="00982118">
      <w:pPr>
        <w:keepNext/>
        <w:rPr>
          <w:color w:val="000000"/>
          <w:u w:val="single"/>
        </w:rPr>
      </w:pPr>
      <w:r w:rsidRPr="004F5FB4">
        <w:rPr>
          <w:color w:val="000000"/>
          <w:u w:val="single"/>
        </w:rPr>
        <w:lastRenderedPageBreak/>
        <w:t>Maligne und lymphoproliferative Erkrankungen</w:t>
      </w:r>
    </w:p>
    <w:p w14:paraId="31491BC6" w14:textId="77777777" w:rsidR="00C46587" w:rsidRPr="004F5FB4" w:rsidRDefault="00C46587" w:rsidP="00982118">
      <w:pPr>
        <w:keepNext/>
        <w:rPr>
          <w:color w:val="000000"/>
          <w:u w:val="single"/>
        </w:rPr>
      </w:pPr>
    </w:p>
    <w:p w14:paraId="5CBB543E" w14:textId="77777777" w:rsidR="00C46587" w:rsidRPr="004F5FB4" w:rsidRDefault="00C46587" w:rsidP="00982118">
      <w:pPr>
        <w:rPr>
          <w:color w:val="000000"/>
        </w:rPr>
      </w:pPr>
      <w:r w:rsidRPr="004F5FB4">
        <w:rPr>
          <w:color w:val="000000"/>
        </w:rPr>
        <w:t xml:space="preserve">Innerhalb kontrollierter Phasen von klinischen Studien </w:t>
      </w:r>
      <w:r w:rsidR="00036D76" w:rsidRPr="004F5FB4">
        <w:rPr>
          <w:color w:val="000000"/>
        </w:rPr>
        <w:t xml:space="preserve">mit TNF-Antagonisten </w:t>
      </w:r>
      <w:r w:rsidRPr="004F5FB4">
        <w:rPr>
          <w:color w:val="000000"/>
        </w:rPr>
        <w:t xml:space="preserve">wurden </w:t>
      </w:r>
      <w:r w:rsidR="00036D76" w:rsidRPr="004F5FB4">
        <w:rPr>
          <w:color w:val="000000"/>
        </w:rPr>
        <w:t xml:space="preserve">mehr Fälle von malignen Erkrankungen, einschließlich Lymphome, </w:t>
      </w:r>
      <w:r w:rsidRPr="004F5FB4">
        <w:rPr>
          <w:color w:val="000000"/>
        </w:rPr>
        <w:t>bei Patienten unter TNF</w:t>
      </w:r>
      <w:r w:rsidRPr="004F5FB4">
        <w:rPr>
          <w:color w:val="000000"/>
        </w:rPr>
        <w:noBreakHyphen/>
        <w:t>Antagonisten im Vergleich zu Kontrollpatienten beobachtet. Allerdings war das Auftreten selten. In der Phase nach Markteinführung wurden Fälle von Leukämie bei Patienten, die mit einem TNF</w:t>
      </w:r>
      <w:r w:rsidRPr="004F5FB4">
        <w:rPr>
          <w:color w:val="000000"/>
        </w:rPr>
        <w:noBreakHyphen/>
        <w:t>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w:t>
      </w:r>
      <w:r w:rsidRPr="004F5FB4">
        <w:rPr>
          <w:color w:val="000000"/>
        </w:rPr>
        <w:noBreakHyphen/>
        <w:t>Antagonisten behandelt werden, nicht ausgeschlossen werden.</w:t>
      </w:r>
    </w:p>
    <w:p w14:paraId="199BBC25" w14:textId="77777777" w:rsidR="00C46587" w:rsidRPr="004F5FB4" w:rsidRDefault="00C46587" w:rsidP="00982118">
      <w:pPr>
        <w:rPr>
          <w:color w:val="000000"/>
        </w:rPr>
      </w:pPr>
    </w:p>
    <w:p w14:paraId="068DA752" w14:textId="77777777" w:rsidR="00C46587" w:rsidRPr="004F5FB4" w:rsidRDefault="00C46587" w:rsidP="00982118">
      <w:pPr>
        <w:rPr>
          <w:color w:val="000000"/>
        </w:rPr>
      </w:pPr>
      <w:r w:rsidRPr="004F5FB4">
        <w:rPr>
          <w:color w:val="000000"/>
        </w:rPr>
        <w:t>Bei Kindern, Jugendlichen und jungen Erwachsenen (bis 22 Jahre), die mit TNF</w:t>
      </w:r>
      <w:r w:rsidRPr="004F5FB4">
        <w:rPr>
          <w:color w:val="000000"/>
        </w:rPr>
        <w:noBreakHyphen/>
        <w:t>Antagonisten (einschließlich Adalimumab in der Phase nach der Markteinführung) behandelt wurden (Therapieeinleitung ≤</w:t>
      </w:r>
      <w:r w:rsidR="00AB5DF7" w:rsidRPr="004F5FB4">
        <w:rPr>
          <w:color w:val="000000"/>
        </w:rPr>
        <w:t> </w:t>
      </w:r>
      <w:r w:rsidRPr="004F5FB4">
        <w:rPr>
          <w:color w:val="000000"/>
        </w:rPr>
        <w:t>18</w:t>
      </w:r>
      <w:r w:rsidR="00AB5DF7" w:rsidRPr="004F5FB4">
        <w:rPr>
          <w:color w:val="000000"/>
        </w:rPr>
        <w:t> </w:t>
      </w:r>
      <w:r w:rsidRPr="004F5FB4">
        <w:rPr>
          <w:color w:val="000000"/>
        </w:rPr>
        <w:t>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w:t>
      </w:r>
      <w:r w:rsidRPr="004F5FB4">
        <w:rPr>
          <w:color w:val="000000"/>
        </w:rPr>
        <w:noBreakHyphen/>
        <w:t xml:space="preserve">Antagonisten ein Risiko für die Entwicklung maligner Erkrankungen nicht ausgeschlossen werden. </w:t>
      </w:r>
    </w:p>
    <w:p w14:paraId="03589A08" w14:textId="77777777" w:rsidR="00C46587" w:rsidRPr="004F5FB4" w:rsidRDefault="00C46587" w:rsidP="00982118">
      <w:pPr>
        <w:rPr>
          <w:color w:val="000000"/>
        </w:rPr>
      </w:pPr>
    </w:p>
    <w:p w14:paraId="7919E2F2" w14:textId="77777777" w:rsidR="00C46587" w:rsidRPr="004F5FB4" w:rsidRDefault="00C46587" w:rsidP="00982118">
      <w:pPr>
        <w:rPr>
          <w:color w:val="000000"/>
        </w:rPr>
      </w:pPr>
      <w:r w:rsidRPr="004F5FB4">
        <w:rPr>
          <w:color w:val="000000"/>
        </w:rPr>
        <w:t>Nach Markteinführung wurden bei Patienten, die mit Adalimumab behandelt wurden, seltene Fälle von hepatosplenalen T-Zell-Lymphomen beobachtet. Diese seltene Form eines T</w:t>
      </w:r>
      <w:r w:rsidRPr="004F5FB4">
        <w:rPr>
          <w:color w:val="000000"/>
        </w:rPr>
        <w:noBreakHyphen/>
        <w:t>Zell-Lymphoms hat einen sehr aggressiven Krankheitsverlauf und führt in der Regel zum Tode. Einige der hepatosplenalen T</w:t>
      </w:r>
      <w:r w:rsidRPr="004F5FB4">
        <w:rPr>
          <w:color w:val="000000"/>
        </w:rPr>
        <w:noBreakHyphen/>
        <w:t>Zell-Lymphome sind bei jungen Erwachsenen aufgetreten, die Adalimumab in Kombination mit Azathioprin oder 6</w:t>
      </w:r>
      <w:r w:rsidRPr="004F5FB4">
        <w:rPr>
          <w:color w:val="000000"/>
        </w:rPr>
        <w:noBreakHyphen/>
        <w:t>Mercaptopurin zur Behandlung einer chronisch entzündlichen Darmerkrankung erhielten. Ein mögliches Risiko von Adalimumab in Kombination mit Azathioprin oder 6-Mercaptopurin sollte sorgfältig geprüft werden. Es kann nicht ausgeschlossen werden, dass bei Patienten, die mit Amsparity behandelt werden, ein Risiko für die Entwicklung eines hepatosplenalen T</w:t>
      </w:r>
      <w:r w:rsidRPr="004F5FB4">
        <w:rPr>
          <w:color w:val="000000"/>
        </w:rPr>
        <w:noBreakHyphen/>
        <w:t>Zell-Lymphoms besteht (siehe Abschnitt 4.8).</w:t>
      </w:r>
    </w:p>
    <w:p w14:paraId="71244709" w14:textId="77777777" w:rsidR="00C46587" w:rsidRPr="004F5FB4" w:rsidRDefault="00C46587" w:rsidP="00982118">
      <w:pPr>
        <w:rPr>
          <w:color w:val="000000"/>
        </w:rPr>
      </w:pPr>
    </w:p>
    <w:p w14:paraId="17C61E7B" w14:textId="77777777" w:rsidR="00C46587" w:rsidRPr="004F5FB4" w:rsidRDefault="00C46587" w:rsidP="00982118">
      <w:pPr>
        <w:rPr>
          <w:color w:val="000000"/>
        </w:rPr>
      </w:pPr>
      <w:r w:rsidRPr="004F5FB4">
        <w:rPr>
          <w:color w:val="000000"/>
        </w:rPr>
        <w:t>Es wurden keine Studien durchgeführt, in die Patienten mit einer malignen Erkrankung in der Vorgeschichte eingeschlossen wurden oder in denen die Behandlung bei Patienten fortgesetzt wurde, nachdem sich eine maligne Erkrankung entwickelte. Daher sollte zusätzliche Vorsicht bei der Behandlung dieser Patienten mit Adalimumab angewandt werden (siehe Abschnitt</w:t>
      </w:r>
      <w:r w:rsidR="00ED3047" w:rsidRPr="004F5FB4">
        <w:rPr>
          <w:color w:val="000000"/>
        </w:rPr>
        <w:t> </w:t>
      </w:r>
      <w:r w:rsidRPr="004F5FB4">
        <w:rPr>
          <w:color w:val="000000"/>
        </w:rPr>
        <w:t xml:space="preserve">4.8). </w:t>
      </w:r>
    </w:p>
    <w:p w14:paraId="268C120D" w14:textId="77777777" w:rsidR="00C46587" w:rsidRPr="004F5FB4" w:rsidRDefault="00C46587" w:rsidP="00982118">
      <w:pPr>
        <w:rPr>
          <w:color w:val="000000"/>
        </w:rPr>
      </w:pPr>
    </w:p>
    <w:p w14:paraId="669D4D7E" w14:textId="77777777" w:rsidR="00C46587" w:rsidRPr="004F5FB4" w:rsidRDefault="00C46587" w:rsidP="00982118">
      <w:pPr>
        <w:rPr>
          <w:color w:val="000000"/>
        </w:rPr>
      </w:pPr>
      <w:r w:rsidRPr="004F5FB4">
        <w:rPr>
          <w:color w:val="000000"/>
        </w:rPr>
        <w:t>Alle Patienten, insbesondere Patienten mit einer intensiven immunsuppressiven Therapie in der Vorgeschichte oder Psoriasispatienten, die zuvor eine PUVA-Therapie erhalten haben, sollten vor und während der Behandlung mit Amsparity auf das Vorliegen von nicht melanomartigen Hauttumoren untersucht werden. Ebenso wurde das Auftreten von Melanomen und Merkelzellkarzinomen bei Patienten, die mit TNF</w:t>
      </w:r>
      <w:r w:rsidRPr="004F5FB4">
        <w:rPr>
          <w:color w:val="000000"/>
        </w:rPr>
        <w:noBreakHyphen/>
        <w:t xml:space="preserve">Antagonisten, einschließlich Adalimumab, behandelt wurden, berichtet (siehe Abschnitt 4.8). </w:t>
      </w:r>
    </w:p>
    <w:p w14:paraId="3BB2D3A2" w14:textId="77777777" w:rsidR="00C46587" w:rsidRPr="004F5FB4" w:rsidRDefault="00C46587" w:rsidP="00982118">
      <w:pPr>
        <w:rPr>
          <w:color w:val="000000"/>
        </w:rPr>
      </w:pPr>
    </w:p>
    <w:p w14:paraId="566DC72A" w14:textId="77777777" w:rsidR="00C46587" w:rsidRPr="004F5FB4" w:rsidRDefault="00C46587" w:rsidP="00982118">
      <w:pPr>
        <w:rPr>
          <w:color w:val="000000"/>
        </w:rPr>
      </w:pPr>
      <w:r w:rsidRPr="004F5FB4">
        <w:rPr>
          <w:color w:val="000000"/>
        </w:rPr>
        <w:t>In einer exploratorischen klinischen Studie zur Evaluierung der Anwendung eines anderen TNF-Antagonisten, Infliximab, bei Patienten mit mäßiger bis schwerer chronischer obstruktiver Lungenerkrankung (COPD) wurden bei mit Infliximab behandelten Patienten im Vergleich zu Kontrollpatienten mehr maligne Erkrankungen, meistens der Lunge oder des Kopfes und Halses, berichtet. Alle Patienten waren in der Vorgeschichte starke Raucher. Daher müssen TNF</w:t>
      </w:r>
      <w:r w:rsidRPr="004F5FB4">
        <w:rPr>
          <w:color w:val="000000"/>
        </w:rPr>
        <w:noBreakHyphen/>
        <w:t xml:space="preserve">Antagonisten bei COPD-Patienten mit Vorsicht angewendet werden, ebenso bei Patienten mit erhöhtem Risiko für maligne Erkrankungen als Folge starken Rauchens. </w:t>
      </w:r>
    </w:p>
    <w:p w14:paraId="4C7E83E1" w14:textId="77777777" w:rsidR="00C46587" w:rsidRPr="004F5FB4" w:rsidRDefault="00C46587" w:rsidP="00982118">
      <w:pPr>
        <w:rPr>
          <w:color w:val="000000"/>
        </w:rPr>
      </w:pPr>
    </w:p>
    <w:p w14:paraId="2C961E9D" w14:textId="77777777" w:rsidR="00C46587" w:rsidRPr="004F5FB4" w:rsidRDefault="00C46587" w:rsidP="00982118">
      <w:pPr>
        <w:rPr>
          <w:color w:val="000000"/>
        </w:rPr>
      </w:pPr>
      <w:r w:rsidRPr="004F5FB4">
        <w:rPr>
          <w:color w:val="000000"/>
        </w:rPr>
        <w:t xml:space="preserve">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w:t>
      </w:r>
      <w:r w:rsidRPr="004F5FB4">
        <w:rPr>
          <w:color w:val="000000"/>
        </w:rPr>
        <w:lastRenderedPageBreak/>
        <w:t xml:space="preserve">des Krankheitsverlaufs in regelmäßigen Intervallen auf Dysplasien untersucht werden. Die Untersuchung sollte Koloskopie und Biopsien entsprechend den nationalen Empfehlungen umfassen. </w:t>
      </w:r>
    </w:p>
    <w:p w14:paraId="162138A4" w14:textId="77777777" w:rsidR="00C46587" w:rsidRPr="004F5FB4" w:rsidRDefault="00C46587" w:rsidP="00982118">
      <w:pPr>
        <w:rPr>
          <w:color w:val="000000"/>
        </w:rPr>
      </w:pPr>
    </w:p>
    <w:p w14:paraId="1386A99F" w14:textId="77777777" w:rsidR="00C46587" w:rsidRPr="004F5FB4" w:rsidRDefault="00C46587" w:rsidP="00982118">
      <w:pPr>
        <w:keepNext/>
        <w:rPr>
          <w:color w:val="000000"/>
          <w:u w:val="single"/>
        </w:rPr>
      </w:pPr>
      <w:r w:rsidRPr="004F5FB4">
        <w:rPr>
          <w:color w:val="000000"/>
          <w:u w:val="single"/>
        </w:rPr>
        <w:t>Hämatologische Reaktionen</w:t>
      </w:r>
    </w:p>
    <w:p w14:paraId="3025FB86" w14:textId="77777777" w:rsidR="00C46587" w:rsidRPr="004F5FB4" w:rsidRDefault="00C46587" w:rsidP="00982118">
      <w:pPr>
        <w:keepNext/>
        <w:rPr>
          <w:color w:val="000000"/>
        </w:rPr>
      </w:pPr>
    </w:p>
    <w:p w14:paraId="3C2F1773" w14:textId="77777777" w:rsidR="00C46587" w:rsidRPr="004F5FB4" w:rsidRDefault="00C46587" w:rsidP="00982118">
      <w:pPr>
        <w:rPr>
          <w:color w:val="000000"/>
        </w:rPr>
      </w:pPr>
      <w:r w:rsidRPr="004F5FB4">
        <w:rPr>
          <w:color w:val="000000"/>
        </w:rPr>
        <w:t>Im Zusammenhang mit TNF</w:t>
      </w:r>
      <w:r w:rsidRPr="004F5FB4">
        <w:rPr>
          <w:color w:val="000000"/>
        </w:rPr>
        <w:noBreakHyphen/>
        <w:t>Antagonisten wurde in seltenen Fällen über das Auftreten von Panzytopenie, einschließlich aplastischer Anämie, berichtet. Unerwünschte Ereignisse des blutbildenden Systems, einschließlich medizinisch signifikanter Zytopenie (z. B. Thrombozytopenie, Leukopenie), wurden unter Adalimumab berichtet. Alle Patienten sollten darauf hingewiesen werden, dass sie sofort einen Arzt aufsuchen sollten, wenn sie unter der Amsparity-Therapie Anzeichen und Symptome entwickeln, die auf eine Blutdyskrasie hindeuten (z.</w:t>
      </w:r>
      <w:r w:rsidR="00AB5DF7" w:rsidRPr="004F5FB4">
        <w:rPr>
          <w:color w:val="000000"/>
        </w:rPr>
        <w:t> </w:t>
      </w:r>
      <w:r w:rsidRPr="004F5FB4">
        <w:rPr>
          <w:color w:val="000000"/>
        </w:rPr>
        <w:t xml:space="preserve">B. anhaltendes Fieber, Blutergüsse, Blutung, Blässe). Bei Patienten mit bestätigten signifikanten hämatologischen Abnormalitäten sollte eine Unterbrechung der Amsparity-Therapie in Betracht gezogen werden. </w:t>
      </w:r>
    </w:p>
    <w:p w14:paraId="75A37376" w14:textId="77777777" w:rsidR="00C46587" w:rsidRPr="004F5FB4" w:rsidRDefault="00C46587" w:rsidP="00982118">
      <w:pPr>
        <w:rPr>
          <w:color w:val="000000"/>
        </w:rPr>
      </w:pPr>
    </w:p>
    <w:p w14:paraId="1A916A29" w14:textId="77777777" w:rsidR="00C46587" w:rsidRPr="004F5FB4" w:rsidRDefault="00C46587" w:rsidP="00982118">
      <w:pPr>
        <w:keepNext/>
        <w:rPr>
          <w:color w:val="000000"/>
          <w:u w:val="single"/>
        </w:rPr>
      </w:pPr>
      <w:r w:rsidRPr="004F5FB4">
        <w:rPr>
          <w:color w:val="000000"/>
          <w:u w:val="single"/>
        </w:rPr>
        <w:t>Impfungen</w:t>
      </w:r>
    </w:p>
    <w:p w14:paraId="57A256C6" w14:textId="77777777" w:rsidR="00C46587" w:rsidRPr="004F5FB4" w:rsidRDefault="00C46587" w:rsidP="00982118">
      <w:pPr>
        <w:keepNext/>
        <w:rPr>
          <w:color w:val="000000"/>
          <w:u w:val="single"/>
        </w:rPr>
      </w:pPr>
    </w:p>
    <w:p w14:paraId="09E7C665" w14:textId="77777777" w:rsidR="00C46587" w:rsidRPr="004F5FB4" w:rsidRDefault="00C46587" w:rsidP="00982118">
      <w:pPr>
        <w:rPr>
          <w:color w:val="000000"/>
        </w:rPr>
      </w:pPr>
      <w:r w:rsidRPr="004F5FB4">
        <w:rPr>
          <w:color w:val="000000"/>
        </w:rPr>
        <w:t>Vergleichbare Antikörperantworten auf einen 23</w:t>
      </w:r>
      <w:r w:rsidRPr="004F5FB4">
        <w:rPr>
          <w:color w:val="000000"/>
        </w:rPr>
        <w:noBreakHyphen/>
        <w:t xml:space="preserve">valenten Standardpneumokokkenimpfstoff und einen trivalenten Influenzaimpfstoff wurden in einer Studie bei 226 Erwachsenen mit rheumatoider Arthritis, die mit Adalimumab oder Placebo behandelt wurden, beobachtet. Es liegen keine Daten vor über eine sekundäre Infektionsübertragung durch Lebendimpfstoffe bei Patienten, die Adalimumab erhielten. </w:t>
      </w:r>
    </w:p>
    <w:p w14:paraId="1BB2C9B7" w14:textId="77777777" w:rsidR="00C46587" w:rsidRPr="004F5FB4" w:rsidRDefault="00C46587" w:rsidP="00982118">
      <w:pPr>
        <w:rPr>
          <w:color w:val="000000"/>
        </w:rPr>
      </w:pPr>
    </w:p>
    <w:p w14:paraId="34F12DB9" w14:textId="77777777" w:rsidR="00C46587" w:rsidRPr="004F5FB4" w:rsidRDefault="00C46587" w:rsidP="00982118">
      <w:pPr>
        <w:rPr>
          <w:color w:val="000000"/>
        </w:rPr>
      </w:pPr>
      <w:r w:rsidRPr="004F5FB4">
        <w:rPr>
          <w:color w:val="000000"/>
        </w:rPr>
        <w:t xml:space="preserve">Bei </w:t>
      </w:r>
      <w:r w:rsidR="00036D76" w:rsidRPr="004F5FB4">
        <w:rPr>
          <w:color w:val="000000"/>
        </w:rPr>
        <w:t>Kindern und Jugendlichen</w:t>
      </w:r>
      <w:r w:rsidRPr="004F5FB4">
        <w:rPr>
          <w:color w:val="000000"/>
        </w:rPr>
        <w:t xml:space="preserve"> wird empfohlen, nach Möglichkeit vor Therapiebeginn mit Adalimumab alle Immunisierungen in Übereinstimmung mit den gegenwärtigen Richtlinien auf den aktuellen Stand zu bringen. </w:t>
      </w:r>
    </w:p>
    <w:p w14:paraId="2373ED8C" w14:textId="77777777" w:rsidR="00C46587" w:rsidRPr="004F5FB4" w:rsidRDefault="00C46587" w:rsidP="00982118">
      <w:pPr>
        <w:rPr>
          <w:color w:val="000000"/>
        </w:rPr>
      </w:pPr>
    </w:p>
    <w:p w14:paraId="316CD772" w14:textId="77777777" w:rsidR="00C46587" w:rsidRPr="004F5FB4" w:rsidRDefault="00C46587" w:rsidP="00982118">
      <w:pPr>
        <w:rPr>
          <w:color w:val="000000"/>
        </w:rPr>
      </w:pPr>
      <w:r w:rsidRPr="004F5FB4">
        <w:rPr>
          <w:color w:val="000000"/>
        </w:rPr>
        <w:t xml:space="preserve">Patienten können gleichzeitig zur Adalimumab-Therapie Impfungen erhalten, mit Ausnahme von Lebendimpfstoffen. Es wird empfohlen, Säuglinge, die </w:t>
      </w:r>
      <w:r w:rsidRPr="004F5FB4">
        <w:rPr>
          <w:i/>
          <w:color w:val="000000"/>
        </w:rPr>
        <w:t>in utero</w:t>
      </w:r>
      <w:r w:rsidRPr="004F5FB4">
        <w:rPr>
          <w:color w:val="000000"/>
        </w:rPr>
        <w:t xml:space="preserve"> Adalimumab ausgesetzt waren, nicht vor Ablauf von 5 Monaten nach der letzten Gabe von Adalimumab bei der Mutter während der Schwangerschaft mit Lebendimpfstoffen (z.</w:t>
      </w:r>
      <w:r w:rsidR="00AB5DF7" w:rsidRPr="004F5FB4">
        <w:rPr>
          <w:color w:val="000000"/>
        </w:rPr>
        <w:t> </w:t>
      </w:r>
      <w:r w:rsidRPr="004F5FB4">
        <w:rPr>
          <w:color w:val="000000"/>
        </w:rPr>
        <w:t xml:space="preserve">B. BCG-Vakzine) zu impfen. </w:t>
      </w:r>
    </w:p>
    <w:p w14:paraId="3792041C" w14:textId="77777777" w:rsidR="00C46587" w:rsidRPr="004F5FB4" w:rsidRDefault="00C46587" w:rsidP="00982118">
      <w:pPr>
        <w:rPr>
          <w:color w:val="000000"/>
        </w:rPr>
      </w:pPr>
    </w:p>
    <w:p w14:paraId="77B47BE3" w14:textId="77777777" w:rsidR="00C46587" w:rsidRPr="004F5FB4" w:rsidRDefault="00C46587" w:rsidP="00982118">
      <w:pPr>
        <w:keepNext/>
        <w:rPr>
          <w:color w:val="000000"/>
          <w:u w:val="single"/>
        </w:rPr>
      </w:pPr>
      <w:r w:rsidRPr="004F5FB4">
        <w:rPr>
          <w:color w:val="000000"/>
          <w:u w:val="single"/>
        </w:rPr>
        <w:t>Dekompensierte Herzinsuffizienz</w:t>
      </w:r>
    </w:p>
    <w:p w14:paraId="6201ABDF" w14:textId="77777777" w:rsidR="00C46587" w:rsidRPr="004F5FB4" w:rsidRDefault="00C46587" w:rsidP="00982118">
      <w:pPr>
        <w:keepNext/>
        <w:rPr>
          <w:color w:val="000000"/>
          <w:u w:val="single"/>
        </w:rPr>
      </w:pPr>
    </w:p>
    <w:p w14:paraId="752B8651" w14:textId="77777777" w:rsidR="00C46587" w:rsidRPr="004F5FB4" w:rsidRDefault="00C46587" w:rsidP="00982118">
      <w:pPr>
        <w:rPr>
          <w:color w:val="000000"/>
        </w:rPr>
      </w:pPr>
      <w:r w:rsidRPr="004F5FB4">
        <w:rPr>
          <w:color w:val="000000"/>
        </w:rPr>
        <w:t>In einer klinischen Studie mit einem anderen TNF</w:t>
      </w:r>
      <w:r w:rsidRPr="004F5FB4">
        <w:rPr>
          <w:color w:val="000000"/>
        </w:rPr>
        <w:noBreakHyphen/>
        <w:t>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Amsparity sollte bei Patienten mit leichter Herzinsuffizienz (NYHA-Klasse I/II) mit Vorsicht eingesetzt werden. Amsparity darf nicht bei mäßiger bis schwerer Herzinsuffizienz angewendet werden (siehe Abschnitt 4.3). Die Behandlung mit Amsparity muss bei Patienten, die neue oder sich verschlechternde Symptome einer dekompensierten Herzinsuffizienz entwickeln, abgesetzt werden.</w:t>
      </w:r>
    </w:p>
    <w:p w14:paraId="21CCB861" w14:textId="77777777" w:rsidR="00C46587" w:rsidRPr="004F5FB4" w:rsidRDefault="00C46587" w:rsidP="00982118">
      <w:pPr>
        <w:rPr>
          <w:color w:val="000000"/>
        </w:rPr>
      </w:pPr>
    </w:p>
    <w:p w14:paraId="45CA2AE5" w14:textId="77777777" w:rsidR="00C46587" w:rsidRPr="004F5FB4" w:rsidRDefault="00C46587" w:rsidP="00982118">
      <w:pPr>
        <w:keepNext/>
        <w:rPr>
          <w:color w:val="000000"/>
          <w:u w:val="single"/>
        </w:rPr>
      </w:pPr>
      <w:r w:rsidRPr="004F5FB4">
        <w:rPr>
          <w:color w:val="000000"/>
          <w:u w:val="single"/>
        </w:rPr>
        <w:t>Autoimmunprozesse</w:t>
      </w:r>
    </w:p>
    <w:p w14:paraId="77DC5BDE" w14:textId="77777777" w:rsidR="00C46587" w:rsidRPr="004F5FB4" w:rsidRDefault="00C46587" w:rsidP="00982118">
      <w:pPr>
        <w:keepNext/>
        <w:rPr>
          <w:color w:val="000000"/>
          <w:u w:val="single"/>
        </w:rPr>
      </w:pPr>
    </w:p>
    <w:p w14:paraId="5BBD5B31" w14:textId="77777777" w:rsidR="00C46587" w:rsidRPr="004F5FB4" w:rsidRDefault="00C46587" w:rsidP="00982118">
      <w:pPr>
        <w:rPr>
          <w:color w:val="000000"/>
        </w:rPr>
      </w:pPr>
      <w:r w:rsidRPr="004F5FB4">
        <w:rPr>
          <w:color w:val="000000"/>
        </w:rPr>
        <w:t>Die Behandlung mit Amsparity kann zur Bildung von Autoantikörpern führen. Der Einfluss einer Langzeitbehandlung mit Adalimumab auf die Entwicklung von Autoimmunerkrankungen ist nicht bekannt. Entwickelt ein Patient nach der Behandlung mit Amsparity Symptome, die auf ein lupusähnliches Syndrom hindeuten und wird positiv auf Antikörper gegen doppelsträngige DNA getestet, darf die Behandlung mit Amsparity nicht weitergeführt werden (siehe Abschnitt 4.8).</w:t>
      </w:r>
    </w:p>
    <w:p w14:paraId="0A605746" w14:textId="77777777" w:rsidR="00C46587" w:rsidRPr="004F5FB4" w:rsidRDefault="00C46587" w:rsidP="00982118">
      <w:pPr>
        <w:rPr>
          <w:color w:val="000000"/>
        </w:rPr>
      </w:pPr>
    </w:p>
    <w:p w14:paraId="2D00BE32" w14:textId="77777777" w:rsidR="00C46587" w:rsidRPr="004F5FB4" w:rsidRDefault="00C46587" w:rsidP="00982118">
      <w:pPr>
        <w:keepNext/>
        <w:rPr>
          <w:color w:val="000000"/>
          <w:u w:val="single"/>
        </w:rPr>
      </w:pPr>
      <w:r w:rsidRPr="004F5FB4">
        <w:rPr>
          <w:color w:val="000000"/>
          <w:u w:val="single"/>
        </w:rPr>
        <w:t>Gleichzeitige Anwendung von biologischen DMARDs oder TNF</w:t>
      </w:r>
      <w:r w:rsidRPr="004F5FB4">
        <w:rPr>
          <w:color w:val="000000"/>
          <w:u w:val="single"/>
        </w:rPr>
        <w:noBreakHyphen/>
        <w:t>Antagonisten</w:t>
      </w:r>
    </w:p>
    <w:p w14:paraId="108D4C9F" w14:textId="77777777" w:rsidR="00C46587" w:rsidRPr="004F5FB4" w:rsidRDefault="00C46587" w:rsidP="00982118">
      <w:pPr>
        <w:keepNext/>
        <w:rPr>
          <w:color w:val="000000"/>
          <w:u w:val="single"/>
        </w:rPr>
      </w:pPr>
    </w:p>
    <w:p w14:paraId="17C13C0B" w14:textId="77777777" w:rsidR="00C46587" w:rsidRPr="004F5FB4" w:rsidRDefault="00C46587" w:rsidP="00982118">
      <w:pPr>
        <w:rPr>
          <w:color w:val="000000"/>
        </w:rPr>
      </w:pPr>
      <w:r w:rsidRPr="004F5FB4">
        <w:rPr>
          <w:color w:val="000000"/>
        </w:rPr>
        <w:t>In klinischen Studien wurden bei gleichzeitiger Anwendung von Anakinra und einem anderen TNF</w:t>
      </w:r>
      <w:r w:rsidRPr="004F5FB4">
        <w:rPr>
          <w:color w:val="000000"/>
        </w:rPr>
        <w:noBreakHyphen/>
        <w:t xml:space="preserve">Antagonisten, Etanercept, schwere Infektionen beobachtet, während die Kombinationstherapie im Vergleich zur Etanercept-Monotherapie keinen zusätzlichen klinischen Nutzen aufwies. Aufgrund der Art der unerwünschten Ereignisse, die unter der Kombinationstherapie mit Etanercept und Anakinra beobachtet wurden, könnten ähnliche Toxizitäten auch aus der Kombination von Anakinra </w:t>
      </w:r>
      <w:r w:rsidRPr="004F5FB4">
        <w:rPr>
          <w:color w:val="000000"/>
        </w:rPr>
        <w:lastRenderedPageBreak/>
        <w:t>und anderen TNF</w:t>
      </w:r>
      <w:r w:rsidRPr="004F5FB4">
        <w:rPr>
          <w:color w:val="000000"/>
        </w:rPr>
        <w:noBreakHyphen/>
        <w:t xml:space="preserve">Antagonisten resultieren. Daher wird die Kombination von Adalimumab und Anakinra nicht empfohlen (siehe Abschnitt 4.5). </w:t>
      </w:r>
    </w:p>
    <w:p w14:paraId="6B292206" w14:textId="77777777" w:rsidR="00C46587" w:rsidRPr="004F5FB4" w:rsidRDefault="00C46587" w:rsidP="00982118">
      <w:pPr>
        <w:rPr>
          <w:color w:val="000000"/>
        </w:rPr>
      </w:pPr>
    </w:p>
    <w:p w14:paraId="240B2A94" w14:textId="77777777" w:rsidR="00C46587" w:rsidRPr="004F5FB4" w:rsidRDefault="00C46587" w:rsidP="00982118">
      <w:pPr>
        <w:rPr>
          <w:color w:val="000000"/>
        </w:rPr>
      </w:pPr>
      <w:r w:rsidRPr="004F5FB4">
        <w:rPr>
          <w:color w:val="000000"/>
        </w:rPr>
        <w:t>Die gleichzeitige Anwendung von Adalimumab mit anderen biologischen DMARDs (z. B. Anakinra und Abatacept) oder anderen TNF</w:t>
      </w:r>
      <w:r w:rsidRPr="004F5FB4">
        <w:rPr>
          <w:color w:val="000000"/>
        </w:rPr>
        <w:noBreakHyphen/>
        <w:t xml:space="preserve">Antagonisten wird aufgrund des möglichen erhöhten Infektionsrisikos, einschließlich schwerwiegender Infektionen, und anderer möglicher pharmakologischer Interaktionen nicht empfohlen (siehe Abschnitt 4.5). </w:t>
      </w:r>
    </w:p>
    <w:p w14:paraId="5B6D46E8" w14:textId="77777777" w:rsidR="00C46587" w:rsidRPr="004F5FB4" w:rsidRDefault="00C46587" w:rsidP="00982118">
      <w:pPr>
        <w:rPr>
          <w:color w:val="000000"/>
        </w:rPr>
      </w:pPr>
    </w:p>
    <w:p w14:paraId="0A4615A4" w14:textId="77777777" w:rsidR="00C46587" w:rsidRPr="004F5FB4" w:rsidRDefault="00C46587" w:rsidP="00982118">
      <w:pPr>
        <w:keepNext/>
        <w:rPr>
          <w:color w:val="000000"/>
          <w:u w:val="single"/>
        </w:rPr>
      </w:pPr>
      <w:r w:rsidRPr="004F5FB4">
        <w:rPr>
          <w:color w:val="000000"/>
          <w:u w:val="single"/>
        </w:rPr>
        <w:t>Operationen</w:t>
      </w:r>
    </w:p>
    <w:p w14:paraId="3DB8E282" w14:textId="77777777" w:rsidR="00C46587" w:rsidRPr="004F5FB4" w:rsidRDefault="00C46587" w:rsidP="00982118">
      <w:pPr>
        <w:keepNext/>
        <w:rPr>
          <w:color w:val="000000"/>
          <w:u w:val="single"/>
        </w:rPr>
      </w:pPr>
    </w:p>
    <w:p w14:paraId="78D67C53" w14:textId="77777777" w:rsidR="00C46587" w:rsidRPr="004F5FB4" w:rsidRDefault="00C46587" w:rsidP="00982118">
      <w:pPr>
        <w:rPr>
          <w:color w:val="000000"/>
        </w:rPr>
      </w:pPr>
      <w:r w:rsidRPr="004F5FB4">
        <w:rPr>
          <w:color w:val="000000"/>
        </w:rPr>
        <w:t xml:space="preserve">Es liegen begrenzte Erfahrungen hinsichtlich der Sicherheit von Adalimumab </w:t>
      </w:r>
      <w:r w:rsidR="00D830DF" w:rsidRPr="004F5FB4">
        <w:rPr>
          <w:color w:val="000000"/>
        </w:rPr>
        <w:t>im Rahmen von operativen Eingriffen</w:t>
      </w:r>
      <w:r w:rsidRPr="004F5FB4">
        <w:rPr>
          <w:color w:val="000000"/>
        </w:rPr>
        <w:t xml:space="preserve"> vor. Bei der Planung von operativen Eingriffen sollte die lange Halbwertszeit von Adalimumab berücksichtigt werden. Patienten, die während der Therapie mit Amsparity operiert werden, sollten im Hinblick auf Infektionen engmaschig überwacht werden, und es sollten geeignete Maßnahmen ergriffen werden. Es liegen begrenzte Erfahrungen hinsichtlich der Sicherheit</w:t>
      </w:r>
      <w:r w:rsidR="00D830DF" w:rsidRPr="004F5FB4">
        <w:rPr>
          <w:color w:val="000000"/>
        </w:rPr>
        <w:t xml:space="preserve"> von Adalimumab im Rahmen von</w:t>
      </w:r>
      <w:r w:rsidRPr="004F5FB4">
        <w:rPr>
          <w:color w:val="000000"/>
        </w:rPr>
        <w:t xml:space="preserve"> Gelenkersatzoperation</w:t>
      </w:r>
      <w:r w:rsidR="00D830DF" w:rsidRPr="004F5FB4">
        <w:rPr>
          <w:color w:val="000000"/>
        </w:rPr>
        <w:t>en vor</w:t>
      </w:r>
      <w:r w:rsidRPr="004F5FB4">
        <w:rPr>
          <w:color w:val="000000"/>
        </w:rPr>
        <w:t xml:space="preserve">. </w:t>
      </w:r>
    </w:p>
    <w:p w14:paraId="576C79F5" w14:textId="77777777" w:rsidR="00C46587" w:rsidRPr="004F5FB4" w:rsidRDefault="00C46587" w:rsidP="00982118">
      <w:pPr>
        <w:rPr>
          <w:color w:val="000000"/>
        </w:rPr>
      </w:pPr>
    </w:p>
    <w:p w14:paraId="778F84F1" w14:textId="77777777" w:rsidR="00C46587" w:rsidRPr="00235D93" w:rsidRDefault="00C46587" w:rsidP="00982118">
      <w:pPr>
        <w:keepNext/>
        <w:rPr>
          <w:color w:val="000000"/>
          <w:u w:val="single"/>
        </w:rPr>
      </w:pPr>
      <w:r w:rsidRPr="00235D93">
        <w:rPr>
          <w:color w:val="000000"/>
          <w:u w:val="single"/>
        </w:rPr>
        <w:t>Dünndarmstenose</w:t>
      </w:r>
    </w:p>
    <w:p w14:paraId="57EC02B1" w14:textId="77777777" w:rsidR="00C46587" w:rsidRPr="004F5FB4" w:rsidRDefault="00C46587" w:rsidP="00982118">
      <w:pPr>
        <w:keepNext/>
        <w:rPr>
          <w:color w:val="000000"/>
        </w:rPr>
      </w:pPr>
    </w:p>
    <w:p w14:paraId="143024EF" w14:textId="77777777" w:rsidR="00C46587" w:rsidRPr="004F5FB4" w:rsidRDefault="00C46587" w:rsidP="00982118">
      <w:pPr>
        <w:rPr>
          <w:color w:val="000000"/>
        </w:rPr>
      </w:pPr>
      <w:r w:rsidRPr="004F5FB4">
        <w:rPr>
          <w:color w:val="000000"/>
        </w:rPr>
        <w:t xml:space="preserve">Ein unzureichendes Ansprechen auf die Behandlung bei Morbus Crohn kann ein Hinweis für eine fibrotische Stenose sein, die gegebenenfalls chirurgisch behandelt werden sollte. Nach den verfügbaren Daten scheint Adalimumab eine Stenose weder zu verschlimmern noch zu verursachen. </w:t>
      </w:r>
    </w:p>
    <w:p w14:paraId="16059621" w14:textId="77777777" w:rsidR="00C46587" w:rsidRPr="004F5FB4" w:rsidRDefault="00C46587" w:rsidP="00982118">
      <w:pPr>
        <w:rPr>
          <w:color w:val="000000"/>
        </w:rPr>
      </w:pPr>
    </w:p>
    <w:p w14:paraId="6F5D3764" w14:textId="77777777" w:rsidR="00C46587" w:rsidRPr="004F5FB4" w:rsidRDefault="00C46587" w:rsidP="00982118">
      <w:pPr>
        <w:keepNext/>
        <w:rPr>
          <w:color w:val="000000"/>
          <w:u w:val="single"/>
        </w:rPr>
      </w:pPr>
      <w:r w:rsidRPr="004F5FB4">
        <w:rPr>
          <w:color w:val="000000"/>
          <w:u w:val="single"/>
        </w:rPr>
        <w:t>Ältere Patienten</w:t>
      </w:r>
    </w:p>
    <w:p w14:paraId="6622FB80" w14:textId="77777777" w:rsidR="00C46587" w:rsidRPr="004F5FB4" w:rsidRDefault="00C46587" w:rsidP="00982118">
      <w:pPr>
        <w:keepNext/>
        <w:rPr>
          <w:color w:val="000000"/>
          <w:u w:val="single"/>
        </w:rPr>
      </w:pPr>
    </w:p>
    <w:p w14:paraId="67174739" w14:textId="77777777" w:rsidR="00C46587" w:rsidRPr="004F5FB4" w:rsidRDefault="00C46587" w:rsidP="00982118">
      <w:pPr>
        <w:rPr>
          <w:color w:val="000000"/>
        </w:rPr>
      </w:pPr>
      <w:r w:rsidRPr="004F5FB4">
        <w:rPr>
          <w:color w:val="000000"/>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03143ADD" w14:textId="77777777" w:rsidR="00C46587" w:rsidRPr="004F5FB4" w:rsidRDefault="00C46587" w:rsidP="00982118">
      <w:pPr>
        <w:rPr>
          <w:color w:val="000000"/>
        </w:rPr>
      </w:pPr>
    </w:p>
    <w:p w14:paraId="3A22EC01" w14:textId="77777777" w:rsidR="00C46587" w:rsidRPr="004F5FB4" w:rsidRDefault="00150D33" w:rsidP="00982118">
      <w:pPr>
        <w:keepNext/>
        <w:rPr>
          <w:color w:val="000000"/>
          <w:u w:val="single"/>
        </w:rPr>
      </w:pPr>
      <w:r w:rsidRPr="004F5FB4">
        <w:rPr>
          <w:color w:val="000000"/>
          <w:u w:val="single"/>
        </w:rPr>
        <w:t>Kinder und Jugendliche</w:t>
      </w:r>
    </w:p>
    <w:p w14:paraId="68C4B349" w14:textId="77777777" w:rsidR="00C46587" w:rsidRPr="004F5FB4" w:rsidRDefault="00C46587" w:rsidP="00982118">
      <w:pPr>
        <w:keepNext/>
        <w:rPr>
          <w:color w:val="000000"/>
          <w:u w:val="single"/>
        </w:rPr>
      </w:pPr>
    </w:p>
    <w:p w14:paraId="5D1EEEF4" w14:textId="77777777" w:rsidR="00C46587" w:rsidRPr="004F5FB4" w:rsidRDefault="00C46587" w:rsidP="00982118">
      <w:pPr>
        <w:rPr>
          <w:color w:val="000000"/>
        </w:rPr>
      </w:pPr>
      <w:r w:rsidRPr="004F5FB4">
        <w:rPr>
          <w:color w:val="000000"/>
        </w:rPr>
        <w:t xml:space="preserve">Zu Impfungen siehe oben. </w:t>
      </w:r>
    </w:p>
    <w:p w14:paraId="06C1F504" w14:textId="77777777" w:rsidR="00955F88" w:rsidRPr="004F5FB4" w:rsidRDefault="00955F88" w:rsidP="00982118">
      <w:pPr>
        <w:rPr>
          <w:color w:val="000000"/>
        </w:rPr>
      </w:pPr>
    </w:p>
    <w:p w14:paraId="59E13CEB" w14:textId="172D567B" w:rsidR="00955F88" w:rsidRPr="004F5FB4" w:rsidRDefault="00955F88" w:rsidP="00982118">
      <w:pPr>
        <w:rPr>
          <w:color w:val="000000"/>
          <w:u w:val="single"/>
        </w:rPr>
      </w:pPr>
      <w:r w:rsidRPr="004F5FB4">
        <w:rPr>
          <w:color w:val="000000"/>
          <w:u w:val="single"/>
        </w:rPr>
        <w:t>Sonstige Bestandteil</w:t>
      </w:r>
      <w:r w:rsidR="007E4617">
        <w:rPr>
          <w:color w:val="000000"/>
          <w:u w:val="single"/>
        </w:rPr>
        <w:t>e</w:t>
      </w:r>
      <w:r w:rsidR="000A61CC">
        <w:rPr>
          <w:color w:val="000000"/>
          <w:u w:val="single"/>
        </w:rPr>
        <w:t xml:space="preserve"> </w:t>
      </w:r>
      <w:r w:rsidR="000A61CC" w:rsidRPr="004F5FB4">
        <w:rPr>
          <w:color w:val="000000"/>
          <w:u w:val="single"/>
        </w:rPr>
        <w:t>mit bekannter Wirkung</w:t>
      </w:r>
    </w:p>
    <w:p w14:paraId="2EA4F3D8" w14:textId="77777777" w:rsidR="007E4617" w:rsidRDefault="007E4617" w:rsidP="007E4617">
      <w:pPr>
        <w:rPr>
          <w:i/>
        </w:rPr>
      </w:pPr>
    </w:p>
    <w:p w14:paraId="55BF9D37" w14:textId="70F6298D" w:rsidR="007E4617" w:rsidRPr="007F47A9" w:rsidRDefault="007E4617" w:rsidP="007E4617">
      <w:pPr>
        <w:rPr>
          <w:i/>
          <w:iCs/>
        </w:rPr>
      </w:pPr>
      <w:r>
        <w:rPr>
          <w:i/>
        </w:rPr>
        <w:t>Polysorbat</w:t>
      </w:r>
      <w:r>
        <w:rPr>
          <w:i/>
        </w:rPr>
        <w:br/>
      </w:r>
    </w:p>
    <w:p w14:paraId="32FF39B2" w14:textId="140B6378" w:rsidR="007E4617" w:rsidRPr="007F47A9" w:rsidRDefault="007E4617" w:rsidP="007E4617">
      <w:pPr>
        <w:rPr>
          <w:i/>
          <w:iCs/>
        </w:rPr>
      </w:pPr>
      <w:r>
        <w:t>Dieses Arzneimittel enthält Polysorbat 80.</w:t>
      </w:r>
      <w:r w:rsidR="00B21B52">
        <w:t xml:space="preserve"> </w:t>
      </w:r>
      <w:r w:rsidR="00B21B52" w:rsidRPr="004F5FB4">
        <w:rPr>
          <w:color w:val="000000"/>
        </w:rPr>
        <w:t>Amsparity 40 mg/0,8 ml Injektionslösung</w:t>
      </w:r>
      <w:r w:rsidR="005E20FE">
        <w:rPr>
          <w:color w:val="000000"/>
        </w:rPr>
        <w:t xml:space="preserve"> enthält 0,16 mg Polysorbat 80 </w:t>
      </w:r>
      <w:r w:rsidR="004B4BD9">
        <w:rPr>
          <w:color w:val="000000"/>
        </w:rPr>
        <w:t>pro</w:t>
      </w:r>
      <w:r w:rsidR="005E20FE">
        <w:rPr>
          <w:color w:val="000000"/>
        </w:rPr>
        <w:t xml:space="preserve"> Einzeldosis-Durchstechflasche</w:t>
      </w:r>
      <w:r w:rsidR="006A02E4">
        <w:rPr>
          <w:color w:val="000000"/>
        </w:rPr>
        <w:t>, was 0,2 mg/ml Polysorbat 80 entspricht.</w:t>
      </w:r>
      <w:r w:rsidR="006A02E4">
        <w:t xml:space="preserve"> </w:t>
      </w:r>
      <w:r w:rsidR="00197B44">
        <w:t xml:space="preserve">Polysorbate können allergische Reaktionen </w:t>
      </w:r>
      <w:r>
        <w:t>hervorrufen.</w:t>
      </w:r>
    </w:p>
    <w:p w14:paraId="04553F07" w14:textId="77777777" w:rsidR="007E4617" w:rsidRPr="00EC03BF" w:rsidRDefault="007E4617" w:rsidP="007E4617">
      <w:pPr>
        <w:rPr>
          <w:i/>
          <w:iCs/>
        </w:rPr>
      </w:pPr>
    </w:p>
    <w:p w14:paraId="30EAF27E" w14:textId="555FAF75" w:rsidR="00955F88" w:rsidRDefault="007E4617" w:rsidP="007E4617">
      <w:pPr>
        <w:rPr>
          <w:i/>
        </w:rPr>
      </w:pPr>
      <w:r>
        <w:rPr>
          <w:i/>
        </w:rPr>
        <w:t>Natrium</w:t>
      </w:r>
    </w:p>
    <w:p w14:paraId="6B1F8123" w14:textId="77777777" w:rsidR="007E4617" w:rsidRPr="004F5FB4" w:rsidRDefault="007E4617" w:rsidP="007E4617">
      <w:pPr>
        <w:rPr>
          <w:color w:val="000000"/>
        </w:rPr>
      </w:pPr>
    </w:p>
    <w:p w14:paraId="40658D90" w14:textId="77777777" w:rsidR="00955F88" w:rsidRPr="004F5FB4" w:rsidRDefault="00955F88" w:rsidP="00982118">
      <w:pPr>
        <w:rPr>
          <w:color w:val="000000"/>
        </w:rPr>
      </w:pPr>
      <w:r w:rsidRPr="004F5FB4">
        <w:rPr>
          <w:color w:val="000000"/>
        </w:rPr>
        <w:t>Dieses Arzneimittel enthält weniger als 1 mmol Natrium (23 mg) pro 0,8 ml Dosis, das heißt</w:t>
      </w:r>
      <w:r w:rsidR="00D830DF" w:rsidRPr="004F5FB4">
        <w:rPr>
          <w:color w:val="000000"/>
        </w:rPr>
        <w:t>,</w:t>
      </w:r>
      <w:r w:rsidRPr="004F5FB4">
        <w:rPr>
          <w:color w:val="000000"/>
        </w:rPr>
        <w:t xml:space="preserve"> es ist nahezu „natriumfrei“.</w:t>
      </w:r>
    </w:p>
    <w:p w14:paraId="12F49339" w14:textId="77777777" w:rsidR="00C46587" w:rsidRPr="004F5FB4" w:rsidRDefault="00C46587" w:rsidP="00982118">
      <w:pPr>
        <w:rPr>
          <w:color w:val="000000"/>
        </w:rPr>
      </w:pPr>
    </w:p>
    <w:p w14:paraId="4BC0B73D" w14:textId="77777777" w:rsidR="00C46587" w:rsidRPr="004F5FB4" w:rsidRDefault="00C46587" w:rsidP="00D4051F">
      <w:pPr>
        <w:keepNext/>
        <w:keepLines/>
        <w:tabs>
          <w:tab w:val="left" w:pos="562"/>
        </w:tabs>
        <w:rPr>
          <w:b/>
          <w:color w:val="000000"/>
        </w:rPr>
      </w:pPr>
      <w:r w:rsidRPr="004F5FB4">
        <w:rPr>
          <w:b/>
          <w:color w:val="000000"/>
        </w:rPr>
        <w:t>4.5</w:t>
      </w:r>
      <w:r w:rsidR="00ED3047" w:rsidRPr="004F5FB4">
        <w:rPr>
          <w:b/>
          <w:color w:val="000000"/>
        </w:rPr>
        <w:tab/>
      </w:r>
      <w:r w:rsidRPr="004F5FB4">
        <w:rPr>
          <w:b/>
          <w:color w:val="000000"/>
        </w:rPr>
        <w:t>Wechselwirkungen mit anderen Arzneimitteln und sonstige Wechselwirkungen</w:t>
      </w:r>
    </w:p>
    <w:p w14:paraId="3B428E94" w14:textId="77777777" w:rsidR="00C46587" w:rsidRPr="004F5FB4" w:rsidRDefault="00C46587" w:rsidP="00D4051F">
      <w:pPr>
        <w:keepNext/>
        <w:keepLines/>
        <w:rPr>
          <w:color w:val="000000"/>
        </w:rPr>
      </w:pPr>
    </w:p>
    <w:p w14:paraId="0364A16E" w14:textId="77777777" w:rsidR="00C46587" w:rsidRPr="004F5FB4" w:rsidRDefault="005A4709" w:rsidP="00982118">
      <w:pPr>
        <w:rPr>
          <w:color w:val="000000"/>
        </w:rPr>
      </w:pPr>
      <w:r w:rsidRPr="004F5FB4">
        <w:rPr>
          <w:color w:val="000000"/>
        </w:rPr>
        <w:t>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Clearance und einer verminderten Wirksamkeit von Adalimumab (siehe Abschnitt</w:t>
      </w:r>
      <w:r w:rsidR="00AB5DF7" w:rsidRPr="004F5FB4">
        <w:rPr>
          <w:color w:val="000000"/>
        </w:rPr>
        <w:t> </w:t>
      </w:r>
      <w:r w:rsidRPr="004F5FB4">
        <w:rPr>
          <w:color w:val="000000"/>
        </w:rPr>
        <w:t xml:space="preserve">5.1). </w:t>
      </w:r>
    </w:p>
    <w:p w14:paraId="4691AE62" w14:textId="77777777" w:rsidR="00C46587" w:rsidRPr="004F5FB4" w:rsidRDefault="00C46587" w:rsidP="00982118">
      <w:pPr>
        <w:rPr>
          <w:color w:val="000000"/>
        </w:rPr>
      </w:pPr>
    </w:p>
    <w:p w14:paraId="5DDBD2FF" w14:textId="77777777" w:rsidR="00C46587" w:rsidRPr="004F5FB4" w:rsidRDefault="00C46587" w:rsidP="00982118">
      <w:pPr>
        <w:rPr>
          <w:color w:val="000000"/>
        </w:rPr>
      </w:pPr>
      <w:r w:rsidRPr="004F5FB4">
        <w:rPr>
          <w:color w:val="000000"/>
        </w:rPr>
        <w:lastRenderedPageBreak/>
        <w:t>Die Kombination von Amsparity und Anakinra wird nicht empfohlen (siehe in Abschnitt</w:t>
      </w:r>
      <w:r w:rsidR="00AB5DF7" w:rsidRPr="004F5FB4">
        <w:rPr>
          <w:color w:val="000000"/>
        </w:rPr>
        <w:t> </w:t>
      </w:r>
      <w:r w:rsidRPr="004F5FB4">
        <w:rPr>
          <w:color w:val="000000"/>
        </w:rPr>
        <w:t xml:space="preserve">4.4 „Gleichzeitige Anwendung von biologischen DMARDs oder TNF-Antagonisten“). </w:t>
      </w:r>
    </w:p>
    <w:p w14:paraId="553A61F8" w14:textId="77777777" w:rsidR="00C46587" w:rsidRPr="004F5FB4" w:rsidRDefault="00C46587" w:rsidP="00982118">
      <w:pPr>
        <w:rPr>
          <w:color w:val="000000"/>
        </w:rPr>
      </w:pPr>
    </w:p>
    <w:p w14:paraId="3BCD3F0F" w14:textId="77777777" w:rsidR="00C46587" w:rsidRPr="004F5FB4" w:rsidRDefault="00C46587" w:rsidP="00982118">
      <w:pPr>
        <w:rPr>
          <w:color w:val="000000"/>
        </w:rPr>
      </w:pPr>
      <w:r w:rsidRPr="004F5FB4">
        <w:rPr>
          <w:color w:val="000000"/>
        </w:rPr>
        <w:t>Die Kombination von Amsparity und Abatacept wird nicht empfohlen (siehe in Abschnitt</w:t>
      </w:r>
      <w:r w:rsidR="00AB5DF7" w:rsidRPr="004F5FB4">
        <w:rPr>
          <w:color w:val="000000"/>
        </w:rPr>
        <w:t> </w:t>
      </w:r>
      <w:r w:rsidRPr="004F5FB4">
        <w:rPr>
          <w:color w:val="000000"/>
        </w:rPr>
        <w:t xml:space="preserve">4.4 „Gleichzeitige Anwendung von biologischen DMARDs oder TNF-Antagonisten“). </w:t>
      </w:r>
    </w:p>
    <w:p w14:paraId="4BF905BB" w14:textId="77777777" w:rsidR="00C46587" w:rsidRPr="004F5FB4" w:rsidRDefault="00C46587" w:rsidP="00982118">
      <w:pPr>
        <w:rPr>
          <w:color w:val="000000"/>
        </w:rPr>
      </w:pPr>
    </w:p>
    <w:p w14:paraId="2B5DA443" w14:textId="77777777" w:rsidR="00C46587" w:rsidRPr="004F5FB4" w:rsidRDefault="00C46587" w:rsidP="00982118">
      <w:pPr>
        <w:keepNext/>
        <w:tabs>
          <w:tab w:val="left" w:pos="562"/>
        </w:tabs>
        <w:rPr>
          <w:b/>
          <w:color w:val="000000"/>
        </w:rPr>
      </w:pPr>
      <w:r w:rsidRPr="004F5FB4">
        <w:rPr>
          <w:b/>
          <w:color w:val="000000"/>
        </w:rPr>
        <w:t>4.6</w:t>
      </w:r>
      <w:r w:rsidRPr="004F5FB4">
        <w:rPr>
          <w:b/>
          <w:color w:val="000000"/>
        </w:rPr>
        <w:tab/>
        <w:t xml:space="preserve">Fertilität, Schwangerschaft und Stillzeit </w:t>
      </w:r>
    </w:p>
    <w:p w14:paraId="42736333" w14:textId="77777777" w:rsidR="00C46587" w:rsidRPr="004F5FB4" w:rsidRDefault="00C46587" w:rsidP="00982118">
      <w:pPr>
        <w:keepNext/>
        <w:rPr>
          <w:color w:val="000000"/>
        </w:rPr>
      </w:pPr>
    </w:p>
    <w:p w14:paraId="5FB17298" w14:textId="77777777" w:rsidR="00664796" w:rsidRPr="004F5FB4" w:rsidRDefault="00664796" w:rsidP="00ED34EF">
      <w:pPr>
        <w:keepNext/>
        <w:rPr>
          <w:color w:val="000000"/>
          <w:u w:val="single"/>
        </w:rPr>
      </w:pPr>
      <w:r w:rsidRPr="004F5FB4">
        <w:rPr>
          <w:color w:val="000000"/>
          <w:u w:val="single"/>
        </w:rPr>
        <w:t>Frauen im gebärfähigen Alter</w:t>
      </w:r>
    </w:p>
    <w:p w14:paraId="35860D9B" w14:textId="77777777" w:rsidR="00ED52A9" w:rsidRPr="004F5FB4" w:rsidRDefault="00ED52A9" w:rsidP="00ED34EF">
      <w:pPr>
        <w:keepNext/>
        <w:rPr>
          <w:color w:val="000000"/>
        </w:rPr>
      </w:pPr>
    </w:p>
    <w:p w14:paraId="72C4CBB9" w14:textId="77777777" w:rsidR="00664796" w:rsidRPr="004F5FB4" w:rsidRDefault="00664796" w:rsidP="00982118">
      <w:pPr>
        <w:rPr>
          <w:color w:val="000000"/>
        </w:rPr>
      </w:pPr>
      <w:r w:rsidRPr="004F5FB4">
        <w:rPr>
          <w:color w:val="000000"/>
        </w:rPr>
        <w:t>Frauen im gebärfähigen Alter sollten zur Vermeidung einer Schwangerschaft geeignete Empfängnisverhütungsmethoden in Erwägung ziehen und diese für mindestens fünf Monate nach der letzten Gabe von Amsparity fortführen.</w:t>
      </w:r>
    </w:p>
    <w:p w14:paraId="02C85EF0" w14:textId="77777777" w:rsidR="00664796" w:rsidRPr="004F5FB4" w:rsidRDefault="00664796" w:rsidP="00982118">
      <w:pPr>
        <w:rPr>
          <w:color w:val="000000"/>
        </w:rPr>
      </w:pPr>
    </w:p>
    <w:p w14:paraId="5BEED1DC" w14:textId="77777777" w:rsidR="00664796" w:rsidRPr="004F5FB4" w:rsidRDefault="00664796" w:rsidP="00ED34EF">
      <w:pPr>
        <w:keepNext/>
        <w:rPr>
          <w:color w:val="000000"/>
          <w:u w:val="single"/>
        </w:rPr>
      </w:pPr>
      <w:r w:rsidRPr="004F5FB4">
        <w:rPr>
          <w:color w:val="000000"/>
          <w:u w:val="single"/>
        </w:rPr>
        <w:t>Schwangerschaft</w:t>
      </w:r>
    </w:p>
    <w:p w14:paraId="73F5D95C" w14:textId="77777777" w:rsidR="00ED52A9" w:rsidRPr="004F5FB4" w:rsidRDefault="00ED52A9" w:rsidP="00ED34EF">
      <w:pPr>
        <w:keepNext/>
        <w:rPr>
          <w:color w:val="000000"/>
        </w:rPr>
      </w:pPr>
    </w:p>
    <w:p w14:paraId="39A0999B" w14:textId="77777777" w:rsidR="00664796" w:rsidRPr="004F5FB4" w:rsidRDefault="00664796" w:rsidP="00982118">
      <w:pPr>
        <w:rPr>
          <w:color w:val="000000"/>
        </w:rPr>
      </w:pPr>
      <w:r w:rsidRPr="004F5FB4">
        <w:rPr>
          <w:color w:val="000000"/>
        </w:rPr>
        <w:t>Die Auswertung einer großen Anzahl (etwa</w:t>
      </w:r>
      <w:r w:rsidR="00837305" w:rsidRPr="004F5FB4">
        <w:rPr>
          <w:color w:val="000000"/>
        </w:rPr>
        <w:t> </w:t>
      </w:r>
      <w:r w:rsidRPr="004F5FB4">
        <w:rPr>
          <w:color w:val="000000"/>
        </w:rPr>
        <w:t>2</w:t>
      </w:r>
      <w:r w:rsidR="00ED3047" w:rsidRPr="004F5FB4">
        <w:rPr>
          <w:color w:val="000000"/>
        </w:rPr>
        <w:t>.</w:t>
      </w:r>
      <w:r w:rsidRPr="004F5FB4">
        <w:rPr>
          <w:color w:val="000000"/>
        </w:rPr>
        <w:t>100) prospektiv erfasster Schwangerschaften mit Exposition gegenüber Adalimumab und mit Lebendgeburten mit bekanntem Ausgang deutete nicht auf eine erhöhte Rate von Missbildungen bei Neugeborenen hin. Bei über 1</w:t>
      </w:r>
      <w:r w:rsidR="00ED3047" w:rsidRPr="004F5FB4">
        <w:rPr>
          <w:color w:val="000000"/>
        </w:rPr>
        <w:t>.</w:t>
      </w:r>
      <w:r w:rsidRPr="004F5FB4">
        <w:rPr>
          <w:color w:val="000000"/>
        </w:rPr>
        <w:t>500 dieser Schwangerschaften fand die Exposition während des ersten Trimesters statt.</w:t>
      </w:r>
    </w:p>
    <w:p w14:paraId="61319A76" w14:textId="77777777" w:rsidR="00ED52A9" w:rsidRPr="004F5FB4" w:rsidRDefault="00ED52A9" w:rsidP="00982118">
      <w:pPr>
        <w:rPr>
          <w:color w:val="000000"/>
        </w:rPr>
      </w:pPr>
    </w:p>
    <w:p w14:paraId="46FF81D3" w14:textId="77777777" w:rsidR="00C11CFE" w:rsidRPr="004F5FB4" w:rsidRDefault="00C11CFE" w:rsidP="00C11CFE">
      <w:pPr>
        <w:pStyle w:val="BodyText"/>
        <w:widowControl/>
        <w:kinsoku w:val="0"/>
        <w:overflowPunct w:val="0"/>
        <w:ind w:left="0"/>
        <w:rPr>
          <w:color w:val="000000"/>
        </w:rPr>
      </w:pPr>
      <w:r w:rsidRPr="004F5FB4">
        <w:rPr>
          <w:color w:val="000000"/>
        </w:rPr>
        <w:t>Folgende Probanden wurden in eine prospektive Kohortenstudie eingeschlossen: 257 Frauen mit rheumatoider Arthritis (RA) oder Morbus Crohn (MC), die mindestens während des ersten Trimesters mit Adalimumab behandelt wurden, sowie 120 Frauen mit RA oder MC, die nicht mit Adalimumab behandelt wurden. Der primäre Endpunkt war die Prävalenz schwerwiegender Geburtsfehler. Der Anteil an Schwangerschaften mit mindestens einem lebend geborenen Kind, das einen schwerwiegenden Geburtsfehler hatte, betrug 6/69 (8,7 %) bei mit Adalimumab behandelten Patientinnen mit RA, 5/74 (6,8 %) bei unbehandelten Frauen mit RA (nicht bereinigte OR 1,31; 95 % CI 0,38 – 4,52); 16/152 (10,5 %) bei mit Adalimumab behandelten Patientinnen mit MC und 3/32 (9,4 %) bei unbehandelten Frauen mit MC (nicht bereinigte OR 1,14; 95 % CI 0,31 – 4,16). Die bereinigte OR (die Unterschiede bei Baseline miteinbezieht) betrug für RA und MC zusammen insgesamt 1,10</w:t>
      </w:r>
      <w:r w:rsidR="001368B8" w:rsidRPr="004F5FB4">
        <w:rPr>
          <w:color w:val="000000"/>
        </w:rPr>
        <w:t> </w:t>
      </w:r>
      <w:r w:rsidRPr="004F5FB4">
        <w:rPr>
          <w:color w:val="000000"/>
        </w:rPr>
        <w:t>(95 % CI 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Infektionen. Es wurden keine Totgeburten oder maligne Erkrankungen berichtet. Die Auswertung der Daten kann durch die methodologischen Einschränkungen der Registerstudie beeinflusst sein, darunter eine kleine Fallzahl und ein nicht randomisiertes Design.</w:t>
      </w:r>
    </w:p>
    <w:p w14:paraId="53245724" w14:textId="77777777" w:rsidR="00ED52A9" w:rsidRPr="004F5FB4" w:rsidRDefault="00ED52A9" w:rsidP="00982118">
      <w:pPr>
        <w:rPr>
          <w:color w:val="000000"/>
        </w:rPr>
      </w:pPr>
    </w:p>
    <w:p w14:paraId="342FD19A" w14:textId="77777777" w:rsidR="00664796" w:rsidRPr="004F5FB4" w:rsidRDefault="00664796" w:rsidP="00982118">
      <w:pPr>
        <w:rPr>
          <w:color w:val="000000"/>
        </w:rPr>
      </w:pPr>
      <w:r w:rsidRPr="004F5FB4">
        <w:rPr>
          <w:color w:val="000000"/>
        </w:rPr>
        <w:t>Eine Studie zur Entwicklungstoxizität an Affen ergab keine Hinweise auf eine maternale Toxizität, Embryotoxizität oder Teratogenität. Präklinische Daten zur postnatalen Toxizität von Adalimumab liegen nicht vor (siehe Abschnitt 5.3).</w:t>
      </w:r>
    </w:p>
    <w:p w14:paraId="2988CC66" w14:textId="77777777" w:rsidR="00ED52A9" w:rsidRPr="004F5FB4" w:rsidRDefault="00ED52A9" w:rsidP="00982118">
      <w:pPr>
        <w:rPr>
          <w:color w:val="000000"/>
        </w:rPr>
      </w:pPr>
    </w:p>
    <w:p w14:paraId="00163B87" w14:textId="77777777" w:rsidR="00664796" w:rsidRPr="004F5FB4" w:rsidRDefault="00664796" w:rsidP="00982118">
      <w:pPr>
        <w:rPr>
          <w:color w:val="000000"/>
        </w:rPr>
      </w:pPr>
      <w:r w:rsidRPr="004F5FB4">
        <w:rPr>
          <w:color w:val="000000"/>
        </w:rPr>
        <w:t>Bei Anwendung von Adalimumab während der Schwangerschaft könnten wegen der TNF-α-Hemmung die normalen Immunreaktionen des Neugeborenen beeinflusst werden. Adalimumab sollte während einer Schwangerschaft nur angewendet werden, wenn dies eindeutig erforderlich ist.</w:t>
      </w:r>
    </w:p>
    <w:p w14:paraId="6FF64EAE" w14:textId="77777777" w:rsidR="00ED52A9" w:rsidRPr="004F5FB4" w:rsidRDefault="00ED52A9" w:rsidP="00982118">
      <w:pPr>
        <w:rPr>
          <w:color w:val="000000"/>
        </w:rPr>
      </w:pPr>
    </w:p>
    <w:p w14:paraId="57356298" w14:textId="77777777" w:rsidR="00664796" w:rsidRPr="004F5FB4" w:rsidRDefault="00664796" w:rsidP="00982118">
      <w:pPr>
        <w:rPr>
          <w:color w:val="000000"/>
        </w:rPr>
      </w:pPr>
      <w:r w:rsidRPr="004F5FB4">
        <w:rPr>
          <w:color w:val="000000"/>
        </w:rPr>
        <w:t xml:space="preserve">Wenn Mütter während der Schwangerschaft mit Adalimumab behandelt wurden, gelangt Adalimumab möglicherweise über die Plazenta in das Serum von Säuglingen. Infolgedessen haben diese Säuglinge eventuell ein erhöhtes Risiko für Infektionen. </w:t>
      </w:r>
      <w:r w:rsidR="000B161E" w:rsidRPr="004F5FB4">
        <w:rPr>
          <w:color w:val="000000"/>
        </w:rPr>
        <w:t>Die Verabreichung von Lebendimpfstoffen (z. B. BCG-Vakzine) an</w:t>
      </w:r>
      <w:r w:rsidRPr="004F5FB4">
        <w:rPr>
          <w:color w:val="000000"/>
        </w:rPr>
        <w:t xml:space="preserve"> Säuglinge, die </w:t>
      </w:r>
      <w:r w:rsidRPr="004F5FB4">
        <w:rPr>
          <w:i/>
          <w:color w:val="000000"/>
        </w:rPr>
        <w:t>in utero</w:t>
      </w:r>
      <w:r w:rsidRPr="004F5FB4">
        <w:rPr>
          <w:color w:val="000000"/>
        </w:rPr>
        <w:t xml:space="preserve"> Adalimumab ausgesetzt waren, </w:t>
      </w:r>
      <w:r w:rsidR="000B161E" w:rsidRPr="004F5FB4">
        <w:rPr>
          <w:color w:val="000000"/>
        </w:rPr>
        <w:t>ist für</w:t>
      </w:r>
      <w:r w:rsidRPr="004F5FB4">
        <w:rPr>
          <w:color w:val="000000"/>
        </w:rPr>
        <w:t xml:space="preserve"> 5 Monate nach der letzten Gabe von Adalimumab bei der Mutter während der Schwangerschaft </w:t>
      </w:r>
      <w:r w:rsidR="000B161E" w:rsidRPr="004F5FB4">
        <w:rPr>
          <w:color w:val="000000"/>
        </w:rPr>
        <w:t>nicht empfohlen</w:t>
      </w:r>
      <w:r w:rsidRPr="004F5FB4">
        <w:rPr>
          <w:color w:val="000000"/>
        </w:rPr>
        <w:t>.</w:t>
      </w:r>
    </w:p>
    <w:p w14:paraId="361452BC" w14:textId="77777777" w:rsidR="00664796" w:rsidRPr="004F5FB4" w:rsidRDefault="00664796" w:rsidP="00982118">
      <w:pPr>
        <w:rPr>
          <w:color w:val="000000"/>
        </w:rPr>
      </w:pPr>
    </w:p>
    <w:p w14:paraId="44B6D741" w14:textId="77777777" w:rsidR="00664796" w:rsidRPr="004F5FB4" w:rsidRDefault="00664796" w:rsidP="00ED34EF">
      <w:pPr>
        <w:keepNext/>
        <w:rPr>
          <w:color w:val="000000"/>
          <w:u w:val="single"/>
        </w:rPr>
      </w:pPr>
      <w:r w:rsidRPr="004F5FB4">
        <w:rPr>
          <w:color w:val="000000"/>
          <w:u w:val="single"/>
        </w:rPr>
        <w:t>Stillzeit</w:t>
      </w:r>
    </w:p>
    <w:p w14:paraId="356CB41A" w14:textId="77777777" w:rsidR="00ED52A9" w:rsidRPr="004F5FB4" w:rsidRDefault="00ED52A9" w:rsidP="00ED34EF">
      <w:pPr>
        <w:keepNext/>
        <w:rPr>
          <w:color w:val="000000"/>
        </w:rPr>
      </w:pPr>
    </w:p>
    <w:p w14:paraId="26461AF8" w14:textId="77777777" w:rsidR="00664796" w:rsidRPr="004F5FB4" w:rsidRDefault="00664796" w:rsidP="00982118">
      <w:pPr>
        <w:rPr>
          <w:color w:val="000000"/>
        </w:rPr>
      </w:pPr>
      <w:r w:rsidRPr="004F5FB4">
        <w:rPr>
          <w:color w:val="000000"/>
        </w:rPr>
        <w:t xml:space="preserve">Eingeschränkte Informationen aus der veröffentlichten Literatur lassen darauf schließen, dass Adalimumab in sehr geringer Konzentration (zwischen 0,1 – 1 % des Serumspiegels der Mutter) in die </w:t>
      </w:r>
      <w:r w:rsidRPr="004F5FB4">
        <w:rPr>
          <w:color w:val="000000"/>
        </w:rPr>
        <w:lastRenderedPageBreak/>
        <w:t>Muttermilch übergeht. Bei oraler Anwendung durchlaufen Proteine des Typs Immunglobulin G eine intestinale Proteolyse und weisen eine schlechte Bioverfügbarkeit auf. Es werden keine Auswirkungen auf die gestillten Neugeborenen/</w:t>
      </w:r>
      <w:r w:rsidR="00AB5DF7" w:rsidRPr="004F5FB4">
        <w:rPr>
          <w:color w:val="000000"/>
        </w:rPr>
        <w:t xml:space="preserve"> </w:t>
      </w:r>
      <w:r w:rsidRPr="004F5FB4">
        <w:rPr>
          <w:color w:val="000000"/>
        </w:rPr>
        <w:t>Säuglinge erwartet. Folglich kann Amsparity während der Stillzeit angewendet werden.</w:t>
      </w:r>
    </w:p>
    <w:p w14:paraId="6A85678B" w14:textId="77777777" w:rsidR="00ED52A9" w:rsidRPr="004F5FB4" w:rsidRDefault="00ED52A9" w:rsidP="00982118">
      <w:pPr>
        <w:rPr>
          <w:color w:val="000000"/>
        </w:rPr>
      </w:pPr>
    </w:p>
    <w:p w14:paraId="1AE23C54" w14:textId="77777777" w:rsidR="00664796" w:rsidRPr="004F5FB4" w:rsidRDefault="00664796" w:rsidP="00ED34EF">
      <w:pPr>
        <w:keepNext/>
        <w:rPr>
          <w:color w:val="000000"/>
          <w:u w:val="single"/>
        </w:rPr>
      </w:pPr>
      <w:r w:rsidRPr="004F5FB4">
        <w:rPr>
          <w:color w:val="000000"/>
          <w:u w:val="single"/>
        </w:rPr>
        <w:t>Fertilität</w:t>
      </w:r>
    </w:p>
    <w:p w14:paraId="74312D84" w14:textId="77777777" w:rsidR="00B56A49" w:rsidRPr="004F5FB4" w:rsidRDefault="00B56A49" w:rsidP="00ED34EF">
      <w:pPr>
        <w:keepNext/>
        <w:rPr>
          <w:color w:val="000000"/>
        </w:rPr>
      </w:pPr>
    </w:p>
    <w:p w14:paraId="1DAC1A57" w14:textId="77777777" w:rsidR="00664796" w:rsidRPr="004F5FB4" w:rsidRDefault="00664796" w:rsidP="00982118">
      <w:pPr>
        <w:rPr>
          <w:color w:val="000000"/>
        </w:rPr>
      </w:pPr>
      <w:r w:rsidRPr="004F5FB4">
        <w:rPr>
          <w:color w:val="000000"/>
        </w:rPr>
        <w:t>Präklinische Daten zu Auswirkungen von Adalimumab auf die Fertilität liegen nicht vor.</w:t>
      </w:r>
    </w:p>
    <w:p w14:paraId="6E7B38F8" w14:textId="77777777" w:rsidR="00C46587" w:rsidRPr="004F5FB4" w:rsidRDefault="00C46587" w:rsidP="00982118">
      <w:pPr>
        <w:rPr>
          <w:color w:val="000000"/>
        </w:rPr>
      </w:pPr>
    </w:p>
    <w:p w14:paraId="0845793C" w14:textId="77777777" w:rsidR="00C46587" w:rsidRPr="004F5FB4" w:rsidRDefault="00C46587" w:rsidP="00F17530">
      <w:pPr>
        <w:keepNext/>
        <w:tabs>
          <w:tab w:val="left" w:pos="562"/>
        </w:tabs>
        <w:ind w:left="567" w:hanging="567"/>
        <w:rPr>
          <w:b/>
          <w:color w:val="000000"/>
        </w:rPr>
      </w:pPr>
      <w:r w:rsidRPr="004F5FB4">
        <w:rPr>
          <w:b/>
          <w:color w:val="000000"/>
        </w:rPr>
        <w:t>4.7</w:t>
      </w:r>
      <w:r w:rsidRPr="004F5FB4">
        <w:rPr>
          <w:b/>
          <w:color w:val="000000"/>
        </w:rPr>
        <w:tab/>
        <w:t xml:space="preserve">Auswirkungen auf die Verkehrstüchtigkeit und die Fähigkeit zum Bedienen von Maschinen </w:t>
      </w:r>
    </w:p>
    <w:p w14:paraId="6C489F14" w14:textId="77777777" w:rsidR="00C46587" w:rsidRPr="004F5FB4" w:rsidRDefault="00C46587" w:rsidP="00ED34EF">
      <w:pPr>
        <w:keepNext/>
        <w:rPr>
          <w:color w:val="000000"/>
        </w:rPr>
      </w:pPr>
    </w:p>
    <w:p w14:paraId="390BA984" w14:textId="77777777" w:rsidR="00C46587" w:rsidRPr="004F5FB4" w:rsidRDefault="005A4709" w:rsidP="00982118">
      <w:pPr>
        <w:rPr>
          <w:color w:val="000000"/>
        </w:rPr>
      </w:pPr>
      <w:r w:rsidRPr="004F5FB4">
        <w:rPr>
          <w:color w:val="000000"/>
        </w:rPr>
        <w:t>Adalimumab kann einen geringen Einfluss auf die Verkehrstüchtigkeit und die Fähigkeit zum Bedienen von Maschinen haben. Es können nach Verabreichung von Amsparity Schwindel und eine Beeinträchtigung des Sehvermögens auftreten (siehe Abschnitt</w:t>
      </w:r>
      <w:r w:rsidR="00193B52" w:rsidRPr="004F5FB4">
        <w:rPr>
          <w:color w:val="000000"/>
        </w:rPr>
        <w:t> </w:t>
      </w:r>
      <w:r w:rsidRPr="004F5FB4">
        <w:rPr>
          <w:color w:val="000000"/>
        </w:rPr>
        <w:t xml:space="preserve">4.8). </w:t>
      </w:r>
    </w:p>
    <w:p w14:paraId="0F73127C" w14:textId="77777777" w:rsidR="00C46587" w:rsidRPr="004F5FB4" w:rsidRDefault="00C46587" w:rsidP="00982118">
      <w:pPr>
        <w:rPr>
          <w:color w:val="000000"/>
        </w:rPr>
      </w:pPr>
    </w:p>
    <w:p w14:paraId="4C98D73E" w14:textId="77777777" w:rsidR="00C46587" w:rsidRPr="004F5FB4" w:rsidRDefault="00C46587" w:rsidP="00ED34EF">
      <w:pPr>
        <w:keepNext/>
        <w:tabs>
          <w:tab w:val="left" w:pos="562"/>
        </w:tabs>
        <w:rPr>
          <w:b/>
          <w:color w:val="000000"/>
        </w:rPr>
      </w:pPr>
      <w:r w:rsidRPr="004F5FB4">
        <w:rPr>
          <w:b/>
          <w:color w:val="000000"/>
        </w:rPr>
        <w:t>4.8</w:t>
      </w:r>
      <w:r w:rsidR="00ED3047" w:rsidRPr="004F5FB4">
        <w:rPr>
          <w:b/>
          <w:color w:val="000000"/>
        </w:rPr>
        <w:tab/>
      </w:r>
      <w:r w:rsidRPr="004F5FB4">
        <w:rPr>
          <w:b/>
          <w:color w:val="000000"/>
        </w:rPr>
        <w:t xml:space="preserve">Nebenwirkungen </w:t>
      </w:r>
    </w:p>
    <w:p w14:paraId="1E864835" w14:textId="77777777" w:rsidR="00C46587" w:rsidRPr="004F5FB4" w:rsidRDefault="00C46587" w:rsidP="00ED34EF">
      <w:pPr>
        <w:keepNext/>
        <w:rPr>
          <w:color w:val="000000"/>
        </w:rPr>
      </w:pPr>
    </w:p>
    <w:p w14:paraId="208CD533" w14:textId="77777777" w:rsidR="00C46587" w:rsidRPr="004F5FB4" w:rsidRDefault="00C46587" w:rsidP="00982118">
      <w:pPr>
        <w:keepNext/>
        <w:rPr>
          <w:color w:val="000000"/>
          <w:u w:val="single"/>
        </w:rPr>
      </w:pPr>
      <w:r w:rsidRPr="004F5FB4">
        <w:rPr>
          <w:color w:val="000000"/>
          <w:u w:val="single"/>
        </w:rPr>
        <w:t>Zusammenfassung des Sicherheitsprofils</w:t>
      </w:r>
    </w:p>
    <w:p w14:paraId="55DBC4FE" w14:textId="77777777" w:rsidR="00C46587" w:rsidRPr="004F5FB4" w:rsidRDefault="00C46587" w:rsidP="00982118">
      <w:pPr>
        <w:keepNext/>
        <w:rPr>
          <w:color w:val="000000"/>
        </w:rPr>
      </w:pPr>
    </w:p>
    <w:p w14:paraId="6B211857" w14:textId="77777777" w:rsidR="00C46587" w:rsidRPr="004F5FB4" w:rsidRDefault="005A4709" w:rsidP="00982118">
      <w:pPr>
        <w:rPr>
          <w:color w:val="000000"/>
        </w:rPr>
      </w:pPr>
      <w:r w:rsidRPr="004F5FB4">
        <w:rPr>
          <w:color w:val="000000"/>
        </w:rPr>
        <w:t>Adalimumab wurde bei 9.506</w:t>
      </w:r>
      <w:r w:rsidR="00193B52" w:rsidRPr="004F5FB4">
        <w:rPr>
          <w:color w:val="000000"/>
        </w:rPr>
        <w:t> </w:t>
      </w:r>
      <w:r w:rsidRPr="004F5FB4">
        <w:rPr>
          <w:color w:val="000000"/>
        </w:rPr>
        <w:t xml:space="preserve">Patienten in kontrollierten Zulassungsstudien und offenen </w:t>
      </w:r>
      <w:r w:rsidR="000B161E" w:rsidRPr="004F5FB4">
        <w:rPr>
          <w:color w:val="000000"/>
        </w:rPr>
        <w:t>Erweiterungss</w:t>
      </w:r>
      <w:r w:rsidRPr="004F5FB4">
        <w:rPr>
          <w:color w:val="000000"/>
        </w:rPr>
        <w:t>tudien über einen Zeitraum von bis zu 60 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und Uveitis. Die pivotalen kontrollierten Studien umfassten 6.089 mit Adalimumab behandelte Patienten und 3.801</w:t>
      </w:r>
      <w:r w:rsidR="00193B52" w:rsidRPr="004F5FB4">
        <w:rPr>
          <w:color w:val="000000"/>
        </w:rPr>
        <w:t> </w:t>
      </w:r>
      <w:r w:rsidRPr="004F5FB4">
        <w:rPr>
          <w:color w:val="000000"/>
        </w:rPr>
        <w:t xml:space="preserve">Patienten, die während der kontrollierten Studienphase Placebo oder eine aktive Vergleichssubstanz erhielten. </w:t>
      </w:r>
    </w:p>
    <w:p w14:paraId="6FAFBA2A" w14:textId="77777777" w:rsidR="00C46587" w:rsidRPr="004F5FB4" w:rsidRDefault="00C46587" w:rsidP="00982118">
      <w:pPr>
        <w:rPr>
          <w:color w:val="000000"/>
        </w:rPr>
      </w:pPr>
    </w:p>
    <w:p w14:paraId="4385C123" w14:textId="77777777" w:rsidR="00C46587" w:rsidRPr="004F5FB4" w:rsidRDefault="00C46587" w:rsidP="00982118">
      <w:pPr>
        <w:rPr>
          <w:color w:val="000000"/>
        </w:rPr>
      </w:pPr>
      <w:r w:rsidRPr="004F5FB4">
        <w:rPr>
          <w:color w:val="000000"/>
        </w:rPr>
        <w:t xml:space="preserve">Der Anteil der Patienten, die die Behandlung während der doppelblinden, kontrollierten Phase der pivotalen Studien aufgrund unerwünschter Ereignisse abbrachen, betrug 5,9 % in der Adalimumab -Gruppe und 5,4 % in der Kontrollgruppe. </w:t>
      </w:r>
    </w:p>
    <w:p w14:paraId="7D4F3A7F" w14:textId="77777777" w:rsidR="00C46587" w:rsidRPr="004F5FB4" w:rsidRDefault="00C46587" w:rsidP="00982118">
      <w:pPr>
        <w:rPr>
          <w:color w:val="000000"/>
        </w:rPr>
      </w:pPr>
    </w:p>
    <w:p w14:paraId="638411B8" w14:textId="77777777" w:rsidR="00C46587" w:rsidRPr="004F5FB4" w:rsidRDefault="00C46587" w:rsidP="00982118">
      <w:pPr>
        <w:rPr>
          <w:color w:val="000000"/>
        </w:rPr>
      </w:pPr>
      <w:r w:rsidRPr="004F5FB4">
        <w:rPr>
          <w:color w:val="000000"/>
        </w:rPr>
        <w:t xml:space="preserve">Die am häufigsten berichteten Nebenwirkungen sind Infektionen (wie z. B. Nasopharyngitis, Infektion im oberen Respirationstrakt und Sinusitis), Reaktionen an der Injektionsstelle (Erytheme, Juckreiz, Hämorrhagien, Schmerzen oder Schwellungen), Kopfschmerzen und muskuloskelettale Schmerzen. </w:t>
      </w:r>
    </w:p>
    <w:p w14:paraId="5CA8BC26" w14:textId="77777777" w:rsidR="00C46587" w:rsidRPr="004F5FB4" w:rsidRDefault="00C46587" w:rsidP="00982118">
      <w:pPr>
        <w:rPr>
          <w:color w:val="000000"/>
        </w:rPr>
      </w:pPr>
    </w:p>
    <w:p w14:paraId="5046E4C1" w14:textId="77777777" w:rsidR="00C46587" w:rsidRPr="004F5FB4" w:rsidRDefault="00C46587" w:rsidP="00982118">
      <w:pPr>
        <w:rPr>
          <w:color w:val="000000"/>
        </w:rPr>
      </w:pPr>
      <w:r w:rsidRPr="004F5FB4">
        <w:rPr>
          <w:color w:val="000000"/>
        </w:rPr>
        <w:t>Es wurden für Adalimumab schwerwiegende Nebenwirkungen berichtet. TNF</w:t>
      </w:r>
      <w:r w:rsidRPr="004F5FB4">
        <w:rPr>
          <w:color w:val="000000"/>
        </w:rPr>
        <w:noBreakHyphen/>
        <w:t xml:space="preserve">Antagonisten, wie z. B. Adalimumab, beeinflussen das Immunsystem, und ihre Anwendung kann die körpereigene Abwehr gegen Infektionen und Krebs beeinflussen. Tödlich verlaufende und lebensbedrohende Infektionen (einschließlich Sepsis, opportunistischer Infektionen und TB), HBV-Reaktivierung und verschiedene maligne Erkrankungen (einschließlich Leukämie, Lymphome und HSTCL) sind auch unter der Anwendung von Adalimumab berichtet worden. </w:t>
      </w:r>
    </w:p>
    <w:p w14:paraId="4AC2AFFB" w14:textId="77777777" w:rsidR="00C46587" w:rsidRPr="004F5FB4" w:rsidRDefault="00C46587" w:rsidP="00982118">
      <w:pPr>
        <w:rPr>
          <w:color w:val="000000"/>
        </w:rPr>
      </w:pPr>
    </w:p>
    <w:p w14:paraId="29E6114B" w14:textId="77777777" w:rsidR="00C46587" w:rsidRPr="004F5FB4" w:rsidRDefault="00C46587" w:rsidP="00982118">
      <w:pPr>
        <w:rPr>
          <w:color w:val="000000"/>
        </w:rPr>
      </w:pPr>
      <w:r w:rsidRPr="004F5FB4">
        <w:rPr>
          <w:color w:val="000000"/>
        </w:rPr>
        <w:t>Schwerwiegende hämatologische, neurologische und Autoimmunreaktionen sind ebenfalls berichtet worden. Diese umfassen seltene Berichte zu Panzytopenie, aplastischer Anämie, zentralen und peripheren Demyelinisierungen und Berichte zu Lupus, lupusähnlichen Zuständen und Stevens</w:t>
      </w:r>
      <w:r w:rsidRPr="004F5FB4">
        <w:rPr>
          <w:color w:val="000000"/>
        </w:rPr>
        <w:noBreakHyphen/>
        <w:t xml:space="preserve">Johnson-Syndrom. </w:t>
      </w:r>
    </w:p>
    <w:p w14:paraId="7A322D4E" w14:textId="77777777" w:rsidR="00C46587" w:rsidRPr="004F5FB4" w:rsidRDefault="00C46587" w:rsidP="00982118">
      <w:pPr>
        <w:rPr>
          <w:color w:val="000000"/>
        </w:rPr>
      </w:pPr>
    </w:p>
    <w:p w14:paraId="7200F8FA" w14:textId="77777777" w:rsidR="00C46587" w:rsidRPr="00235D93" w:rsidRDefault="00C46587" w:rsidP="00982118">
      <w:pPr>
        <w:keepNext/>
        <w:rPr>
          <w:color w:val="000000"/>
          <w:u w:val="single"/>
        </w:rPr>
      </w:pPr>
      <w:r w:rsidRPr="00235D93">
        <w:rPr>
          <w:color w:val="000000"/>
          <w:u w:val="single"/>
        </w:rPr>
        <w:t xml:space="preserve">Kinder und Jugendliche </w:t>
      </w:r>
    </w:p>
    <w:p w14:paraId="2A5C818A" w14:textId="77777777" w:rsidR="00C46587" w:rsidRPr="004F5FB4" w:rsidRDefault="00C46587" w:rsidP="00982118">
      <w:pPr>
        <w:keepNext/>
        <w:rPr>
          <w:color w:val="000000"/>
        </w:rPr>
      </w:pPr>
    </w:p>
    <w:p w14:paraId="39E24235" w14:textId="77777777" w:rsidR="00C46587" w:rsidRPr="004F5FB4" w:rsidRDefault="00C46587" w:rsidP="00982118">
      <w:pPr>
        <w:rPr>
          <w:color w:val="000000"/>
        </w:rPr>
      </w:pPr>
      <w:r w:rsidRPr="004F5FB4">
        <w:rPr>
          <w:color w:val="000000"/>
        </w:rPr>
        <w:t xml:space="preserve">Im Allgemeinen waren die bei </w:t>
      </w:r>
      <w:r w:rsidR="00036D76" w:rsidRPr="004F5FB4">
        <w:rPr>
          <w:color w:val="000000"/>
        </w:rPr>
        <w:t>Kindern und Jugendlichen</w:t>
      </w:r>
      <w:r w:rsidRPr="004F5FB4">
        <w:rPr>
          <w:color w:val="000000"/>
        </w:rPr>
        <w:t xml:space="preserve"> beobachteten unerwünschten Ereignisse bezüglich Häufigkeit und Art ähnlich denjenigen, die bei erwachsenen Patienten beobachtet wurden. </w:t>
      </w:r>
    </w:p>
    <w:p w14:paraId="3812B223" w14:textId="77777777" w:rsidR="00C46587" w:rsidRPr="004F5FB4" w:rsidRDefault="00C46587" w:rsidP="00982118">
      <w:pPr>
        <w:rPr>
          <w:color w:val="000000"/>
        </w:rPr>
      </w:pPr>
    </w:p>
    <w:p w14:paraId="4048BC1C" w14:textId="77777777" w:rsidR="00C46587" w:rsidRPr="00235D93" w:rsidRDefault="00C46587" w:rsidP="00982118">
      <w:pPr>
        <w:keepNext/>
        <w:rPr>
          <w:color w:val="000000"/>
          <w:u w:val="single"/>
        </w:rPr>
      </w:pPr>
      <w:r w:rsidRPr="00235D93">
        <w:rPr>
          <w:color w:val="000000"/>
          <w:u w:val="single"/>
        </w:rPr>
        <w:lastRenderedPageBreak/>
        <w:t xml:space="preserve">Tabellarische Auflistung der Nebenwirkungen </w:t>
      </w:r>
    </w:p>
    <w:p w14:paraId="41655E61" w14:textId="77777777" w:rsidR="00C46587" w:rsidRPr="004F5FB4" w:rsidRDefault="00C46587" w:rsidP="00982118">
      <w:pPr>
        <w:keepNext/>
        <w:rPr>
          <w:color w:val="000000"/>
        </w:rPr>
      </w:pPr>
    </w:p>
    <w:p w14:paraId="68E291C4" w14:textId="77777777" w:rsidR="00C46587" w:rsidRPr="004F5FB4" w:rsidRDefault="00C11CFE" w:rsidP="00C11CFE">
      <w:pPr>
        <w:pStyle w:val="BodyText"/>
        <w:widowControl/>
        <w:kinsoku w:val="0"/>
        <w:overflowPunct w:val="0"/>
        <w:ind w:left="0"/>
        <w:rPr>
          <w:color w:val="000000"/>
        </w:rPr>
      </w:pPr>
      <w:r w:rsidRPr="004F5FB4">
        <w:rPr>
          <w:color w:val="000000"/>
        </w:rPr>
        <w:t>Die folgende Auflistung von Nebenwirkungen basiert auf der Erfahrung aus klinischen Studien und auf der Erfahrung nach der Markteinführung und ist in der nachstehenden Tabelle </w:t>
      </w:r>
      <w:r w:rsidR="00235D93">
        <w:rPr>
          <w:color w:val="000000"/>
        </w:rPr>
        <w:t>7</w:t>
      </w:r>
      <w:r w:rsidRPr="004F5FB4">
        <w:rPr>
          <w:color w:val="000000"/>
        </w:rPr>
        <w:t xml:space="preserve"> nach Systemorganklasse und Häufigkeit dargestellt: sehr häufig (≥ 1/10); häufig (≥ 1/100 bis &lt; 1/10); gelegentlich (≥ 1/1.000 bis &lt; 1/100); selten (≥ 1/10.000 bis &lt; 1/1.000)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56FF06EF" w14:textId="77777777" w:rsidR="00C11CFE" w:rsidRPr="004F5FB4" w:rsidRDefault="00C11CFE" w:rsidP="00C11CFE">
      <w:pPr>
        <w:pStyle w:val="BodyText"/>
        <w:widowControl/>
        <w:kinsoku w:val="0"/>
        <w:overflowPunct w:val="0"/>
        <w:ind w:left="0"/>
        <w:rPr>
          <w:color w:val="000000"/>
        </w:rPr>
      </w:pPr>
    </w:p>
    <w:p w14:paraId="10B9ECE6" w14:textId="77777777" w:rsidR="00AD06BE" w:rsidRPr="004F5FB4" w:rsidRDefault="00C11CFE" w:rsidP="00D42C63">
      <w:pPr>
        <w:pStyle w:val="BodyText"/>
        <w:kinsoku w:val="0"/>
        <w:overflowPunct w:val="0"/>
        <w:ind w:left="0"/>
        <w:rPr>
          <w:b/>
          <w:color w:val="000000"/>
        </w:rPr>
      </w:pPr>
      <w:r w:rsidRPr="004F5FB4">
        <w:rPr>
          <w:b/>
          <w:color w:val="000000"/>
        </w:rPr>
        <w:t>Tabelle</w:t>
      </w:r>
      <w:r w:rsidR="008554A1">
        <w:rPr>
          <w:b/>
          <w:color w:val="000000"/>
        </w:rPr>
        <w:t> 7</w:t>
      </w:r>
      <w:r w:rsidRPr="004F5FB4">
        <w:rPr>
          <w:b/>
          <w:color w:val="000000"/>
        </w:rPr>
        <w:t xml:space="preserve"> </w:t>
      </w:r>
    </w:p>
    <w:p w14:paraId="47C1E083" w14:textId="77777777" w:rsidR="00C11CFE" w:rsidRPr="004F5FB4" w:rsidRDefault="00C11CFE" w:rsidP="00D42C63">
      <w:pPr>
        <w:pStyle w:val="BodyText"/>
        <w:kinsoku w:val="0"/>
        <w:overflowPunct w:val="0"/>
        <w:ind w:left="0"/>
        <w:rPr>
          <w:b/>
          <w:color w:val="000000"/>
        </w:rPr>
      </w:pPr>
      <w:r w:rsidRPr="004F5FB4">
        <w:rPr>
          <w:b/>
          <w:color w:val="000000"/>
        </w:rPr>
        <w:t>Nebenwirkungen</w:t>
      </w:r>
    </w:p>
    <w:p w14:paraId="73CEDAD4" w14:textId="77777777" w:rsidR="00C46587" w:rsidRPr="004F5FB4" w:rsidRDefault="00C46587" w:rsidP="00D02C84">
      <w:pPr>
        <w:widowControl w:val="0"/>
        <w:rPr>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2462"/>
        <w:gridCol w:w="2587"/>
      </w:tblGrid>
      <w:tr w:rsidR="00C46587" w:rsidRPr="004F5FB4" w14:paraId="02C4CE56" w14:textId="77777777" w:rsidTr="008419B6">
        <w:trPr>
          <w:cantSplit/>
          <w:tblHeader/>
        </w:trPr>
        <w:tc>
          <w:tcPr>
            <w:tcW w:w="4147" w:type="dxa"/>
            <w:tcBorders>
              <w:top w:val="single" w:sz="4" w:space="0" w:color="auto"/>
              <w:left w:val="single" w:sz="4" w:space="0" w:color="auto"/>
              <w:bottom w:val="single" w:sz="4" w:space="0" w:color="auto"/>
              <w:right w:val="single" w:sz="4" w:space="0" w:color="auto"/>
            </w:tcBorders>
            <w:vAlign w:val="center"/>
            <w:hideMark/>
          </w:tcPr>
          <w:p w14:paraId="61ADDDAA" w14:textId="77777777" w:rsidR="00C46587" w:rsidRPr="004F5FB4" w:rsidRDefault="00C46587" w:rsidP="00D02C84">
            <w:pPr>
              <w:widowControl w:val="0"/>
              <w:jc w:val="center"/>
              <w:rPr>
                <w:b/>
                <w:color w:val="000000"/>
              </w:rPr>
            </w:pPr>
            <w:r w:rsidRPr="004F5FB4">
              <w:rPr>
                <w:b/>
                <w:color w:val="000000"/>
              </w:rPr>
              <w:t>Systemorganklasse</w:t>
            </w:r>
          </w:p>
        </w:tc>
        <w:tc>
          <w:tcPr>
            <w:tcW w:w="2557" w:type="dxa"/>
            <w:tcBorders>
              <w:top w:val="single" w:sz="4" w:space="0" w:color="auto"/>
              <w:left w:val="single" w:sz="4" w:space="0" w:color="auto"/>
              <w:bottom w:val="single" w:sz="4" w:space="0" w:color="auto"/>
              <w:right w:val="single" w:sz="4" w:space="0" w:color="auto"/>
            </w:tcBorders>
            <w:vAlign w:val="center"/>
            <w:hideMark/>
          </w:tcPr>
          <w:p w14:paraId="661DBD43" w14:textId="77777777" w:rsidR="00C46587" w:rsidRPr="004F5FB4" w:rsidRDefault="00C46587" w:rsidP="00D02C84">
            <w:pPr>
              <w:widowControl w:val="0"/>
              <w:jc w:val="center"/>
              <w:rPr>
                <w:b/>
                <w:color w:val="000000"/>
              </w:rPr>
            </w:pPr>
            <w:r w:rsidRPr="004F5FB4">
              <w:rPr>
                <w:b/>
                <w:color w:val="000000"/>
              </w:rPr>
              <w:t>Häufigkeit</w:t>
            </w:r>
          </w:p>
        </w:tc>
        <w:tc>
          <w:tcPr>
            <w:tcW w:w="0" w:type="auto"/>
            <w:tcBorders>
              <w:top w:val="single" w:sz="4" w:space="0" w:color="auto"/>
              <w:left w:val="single" w:sz="4" w:space="0" w:color="auto"/>
              <w:bottom w:val="single" w:sz="4" w:space="0" w:color="auto"/>
              <w:right w:val="single" w:sz="4" w:space="0" w:color="auto"/>
            </w:tcBorders>
            <w:vAlign w:val="center"/>
            <w:hideMark/>
          </w:tcPr>
          <w:p w14:paraId="1DF2B2DF" w14:textId="77777777" w:rsidR="00C46587" w:rsidRPr="004F5FB4" w:rsidRDefault="00C46587" w:rsidP="00D02C84">
            <w:pPr>
              <w:widowControl w:val="0"/>
              <w:jc w:val="center"/>
              <w:rPr>
                <w:b/>
                <w:color w:val="000000"/>
              </w:rPr>
            </w:pPr>
            <w:r w:rsidRPr="004F5FB4">
              <w:rPr>
                <w:b/>
                <w:color w:val="000000"/>
              </w:rPr>
              <w:t>Nebenwirkung</w:t>
            </w:r>
          </w:p>
        </w:tc>
      </w:tr>
      <w:tr w:rsidR="00955F88" w:rsidRPr="004F5FB4" w14:paraId="4054BBDD"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532C6AFE" w14:textId="77777777" w:rsidR="00955F88" w:rsidRPr="004F5FB4" w:rsidRDefault="00955F88" w:rsidP="00D02C84">
            <w:pPr>
              <w:widowControl w:val="0"/>
              <w:rPr>
                <w:color w:val="000000"/>
              </w:rPr>
            </w:pPr>
            <w:r w:rsidRPr="004F5FB4">
              <w:rPr>
                <w:color w:val="000000"/>
              </w:rPr>
              <w:t>Infektionen und parasitäre Erkrankungen*</w:t>
            </w:r>
          </w:p>
        </w:tc>
        <w:tc>
          <w:tcPr>
            <w:tcW w:w="2557" w:type="dxa"/>
            <w:tcBorders>
              <w:top w:val="single" w:sz="4" w:space="0" w:color="auto"/>
              <w:left w:val="single" w:sz="4" w:space="0" w:color="auto"/>
              <w:right w:val="single" w:sz="4" w:space="0" w:color="auto"/>
            </w:tcBorders>
          </w:tcPr>
          <w:p w14:paraId="6A11837D" w14:textId="77777777" w:rsidR="00955F88" w:rsidRPr="004F5FB4" w:rsidRDefault="00955F88" w:rsidP="00D02C84">
            <w:pPr>
              <w:widowControl w:val="0"/>
              <w:rPr>
                <w:color w:val="000000"/>
              </w:rPr>
            </w:pPr>
            <w:r w:rsidRPr="004F5FB4">
              <w:rPr>
                <w:color w:val="000000"/>
              </w:rPr>
              <w:t>Sehr häufig</w:t>
            </w:r>
          </w:p>
          <w:p w14:paraId="3CEE54DC" w14:textId="77777777" w:rsidR="00955F88" w:rsidRPr="004F5FB4" w:rsidRDefault="00955F88" w:rsidP="00D02C84">
            <w:pPr>
              <w:widowControl w:val="0"/>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1E3A5ED4" w14:textId="77777777" w:rsidR="00437FA1" w:rsidRPr="004F5FB4" w:rsidRDefault="00955F88" w:rsidP="00D02C84">
            <w:pPr>
              <w:widowControl w:val="0"/>
              <w:rPr>
                <w:color w:val="000000"/>
              </w:rPr>
            </w:pPr>
            <w:r w:rsidRPr="004F5FB4">
              <w:rPr>
                <w:color w:val="000000"/>
              </w:rPr>
              <w:t>Infektionen des Respirationstraktes (einschließlich des unteren und oberen Respirationstraktes, Pneumonie, Sinusitis, Pharyngitis, Nasopharyngitis und virale Herpespneumonie)</w:t>
            </w:r>
          </w:p>
        </w:tc>
      </w:tr>
      <w:tr w:rsidR="00955F88" w:rsidRPr="004F5FB4" w14:paraId="7B4A07CC" w14:textId="77777777" w:rsidTr="008419B6">
        <w:trPr>
          <w:cantSplit/>
        </w:trPr>
        <w:tc>
          <w:tcPr>
            <w:tcW w:w="4147" w:type="dxa"/>
            <w:vMerge/>
            <w:tcBorders>
              <w:left w:val="single" w:sz="4" w:space="0" w:color="auto"/>
              <w:right w:val="single" w:sz="4" w:space="0" w:color="auto"/>
            </w:tcBorders>
          </w:tcPr>
          <w:p w14:paraId="0DB7E6C1" w14:textId="77777777" w:rsidR="00955F88" w:rsidRPr="004F5FB4" w:rsidRDefault="00955F88" w:rsidP="00D02C84">
            <w:pPr>
              <w:widowControl w:val="0"/>
              <w:rPr>
                <w:color w:val="000000"/>
              </w:rPr>
            </w:pPr>
          </w:p>
        </w:tc>
        <w:tc>
          <w:tcPr>
            <w:tcW w:w="2557" w:type="dxa"/>
            <w:tcBorders>
              <w:left w:val="single" w:sz="4" w:space="0" w:color="auto"/>
              <w:right w:val="single" w:sz="4" w:space="0" w:color="auto"/>
            </w:tcBorders>
          </w:tcPr>
          <w:p w14:paraId="631C28F1" w14:textId="77777777" w:rsidR="00955F88" w:rsidRPr="004F5FB4" w:rsidRDefault="00955F88" w:rsidP="00D02C84">
            <w:pPr>
              <w:widowControl w:val="0"/>
              <w:rPr>
                <w:color w:val="000000"/>
              </w:rPr>
            </w:pPr>
            <w:r w:rsidRPr="004F5FB4">
              <w:rPr>
                <w:color w:val="000000"/>
              </w:rPr>
              <w:t>Häufig</w:t>
            </w:r>
          </w:p>
          <w:p w14:paraId="4A5B938C" w14:textId="77777777" w:rsidR="00955F88" w:rsidRPr="004F5FB4" w:rsidRDefault="00955F88" w:rsidP="00D02C84">
            <w:pPr>
              <w:widowControl w:val="0"/>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36382E36" w14:textId="77777777" w:rsidR="00955F88" w:rsidRPr="004F5FB4" w:rsidRDefault="00437FA1" w:rsidP="00D02C84">
            <w:pPr>
              <w:widowControl w:val="0"/>
              <w:rPr>
                <w:color w:val="000000"/>
              </w:rPr>
            </w:pPr>
            <w:r w:rsidRPr="004F5FB4">
              <w:rPr>
                <w:color w:val="000000"/>
              </w:rPr>
              <w:t xml:space="preserve">systemische Infektionen (einschließlich Sepsis, Candidiasis und Influenza), </w:t>
            </w:r>
          </w:p>
          <w:p w14:paraId="2451AAFB" w14:textId="77777777" w:rsidR="00955F88" w:rsidRPr="004F5FB4" w:rsidRDefault="00955F88" w:rsidP="00D02C84">
            <w:pPr>
              <w:widowControl w:val="0"/>
              <w:rPr>
                <w:color w:val="000000"/>
              </w:rPr>
            </w:pPr>
            <w:r w:rsidRPr="004F5FB4">
              <w:rPr>
                <w:color w:val="000000"/>
              </w:rPr>
              <w:t xml:space="preserve">intestinale Infektionen (einschließlich viraler Gastroenteritis), </w:t>
            </w:r>
          </w:p>
          <w:p w14:paraId="6C191F18" w14:textId="77777777" w:rsidR="00955F88" w:rsidRPr="004F5FB4" w:rsidRDefault="00955F88" w:rsidP="00D02C84">
            <w:pPr>
              <w:widowControl w:val="0"/>
              <w:rPr>
                <w:color w:val="000000"/>
              </w:rPr>
            </w:pPr>
            <w:r w:rsidRPr="004F5FB4">
              <w:rPr>
                <w:color w:val="000000"/>
              </w:rPr>
              <w:t xml:space="preserve">Haut- und Weichteilinfektionen (einschließlich Paronychie, Zellgewebsentzündung, Impetigo, nekrotisierender Fasciitis und Herpes zoster), </w:t>
            </w:r>
          </w:p>
          <w:p w14:paraId="1ACAD99A" w14:textId="77777777" w:rsidR="00955F88" w:rsidRPr="004F5FB4" w:rsidRDefault="00955F88" w:rsidP="00D02C84">
            <w:pPr>
              <w:widowControl w:val="0"/>
              <w:rPr>
                <w:color w:val="000000"/>
              </w:rPr>
            </w:pPr>
            <w:r w:rsidRPr="004F5FB4">
              <w:rPr>
                <w:color w:val="000000"/>
              </w:rPr>
              <w:t xml:space="preserve">Ohrinfektionen, </w:t>
            </w:r>
          </w:p>
          <w:p w14:paraId="730AA26A" w14:textId="77777777" w:rsidR="00955F88" w:rsidRPr="004F5FB4" w:rsidRDefault="00955F88" w:rsidP="00D02C84">
            <w:pPr>
              <w:widowControl w:val="0"/>
              <w:rPr>
                <w:color w:val="000000"/>
              </w:rPr>
            </w:pPr>
            <w:r w:rsidRPr="004F5FB4">
              <w:rPr>
                <w:color w:val="000000"/>
              </w:rPr>
              <w:t xml:space="preserve">Mundinfektionen (einschließlich Herpes simplex, Mundherpes und Zahninfektionen), </w:t>
            </w:r>
          </w:p>
          <w:p w14:paraId="7A05A28F" w14:textId="77777777" w:rsidR="00955F88" w:rsidRPr="004F5FB4" w:rsidRDefault="00955F88" w:rsidP="00D02C84">
            <w:pPr>
              <w:widowControl w:val="0"/>
              <w:rPr>
                <w:color w:val="000000"/>
              </w:rPr>
            </w:pPr>
            <w:r w:rsidRPr="004F5FB4">
              <w:rPr>
                <w:color w:val="000000"/>
              </w:rPr>
              <w:t xml:space="preserve">Genitaltraktinfektionen (einschließlich vulvovaginaler Pilzinfektion), </w:t>
            </w:r>
          </w:p>
          <w:p w14:paraId="453A3113" w14:textId="77777777" w:rsidR="00955F88" w:rsidRPr="004F5FB4" w:rsidRDefault="00955F88" w:rsidP="00D02C84">
            <w:pPr>
              <w:widowControl w:val="0"/>
              <w:rPr>
                <w:color w:val="000000"/>
              </w:rPr>
            </w:pPr>
            <w:r w:rsidRPr="004F5FB4">
              <w:rPr>
                <w:color w:val="000000"/>
              </w:rPr>
              <w:t xml:space="preserve">Harnwegsinfektionen (einschließlich Pyelonephritis), </w:t>
            </w:r>
          </w:p>
          <w:p w14:paraId="647979BF" w14:textId="77777777" w:rsidR="00955F88" w:rsidRPr="004F5FB4" w:rsidRDefault="00955F88" w:rsidP="00D02C84">
            <w:pPr>
              <w:widowControl w:val="0"/>
              <w:rPr>
                <w:color w:val="000000"/>
              </w:rPr>
            </w:pPr>
            <w:r w:rsidRPr="004F5FB4">
              <w:rPr>
                <w:color w:val="000000"/>
              </w:rPr>
              <w:t xml:space="preserve">Pilzinfektionen, </w:t>
            </w:r>
          </w:p>
          <w:p w14:paraId="2340780B" w14:textId="77777777" w:rsidR="00B633E5" w:rsidRPr="004F5FB4" w:rsidDel="00955F88" w:rsidRDefault="00955F88" w:rsidP="00D02C84">
            <w:pPr>
              <w:widowControl w:val="0"/>
              <w:rPr>
                <w:color w:val="000000"/>
                <w:lang w:val="en-GB"/>
              </w:rPr>
            </w:pPr>
            <w:r w:rsidRPr="004F5FB4">
              <w:rPr>
                <w:color w:val="000000"/>
              </w:rPr>
              <w:t>Gelenkinfektionen</w:t>
            </w:r>
          </w:p>
        </w:tc>
      </w:tr>
      <w:tr w:rsidR="00955F88" w:rsidRPr="004F5FB4" w14:paraId="54F0B1A5" w14:textId="77777777" w:rsidTr="008419B6">
        <w:trPr>
          <w:cantSplit/>
        </w:trPr>
        <w:tc>
          <w:tcPr>
            <w:tcW w:w="4147" w:type="dxa"/>
            <w:vMerge/>
            <w:tcBorders>
              <w:left w:val="single" w:sz="4" w:space="0" w:color="auto"/>
              <w:bottom w:val="single" w:sz="4" w:space="0" w:color="auto"/>
              <w:right w:val="single" w:sz="4" w:space="0" w:color="auto"/>
            </w:tcBorders>
          </w:tcPr>
          <w:p w14:paraId="621A1A17" w14:textId="77777777" w:rsidR="00955F88" w:rsidRPr="004F5FB4" w:rsidRDefault="00955F88" w:rsidP="00D02C84">
            <w:pPr>
              <w:widowControl w:val="0"/>
              <w:rPr>
                <w:color w:val="000000"/>
                <w:lang w:val="en-GB"/>
              </w:rPr>
            </w:pPr>
          </w:p>
        </w:tc>
        <w:tc>
          <w:tcPr>
            <w:tcW w:w="2557" w:type="dxa"/>
            <w:tcBorders>
              <w:left w:val="single" w:sz="4" w:space="0" w:color="auto"/>
              <w:bottom w:val="single" w:sz="4" w:space="0" w:color="auto"/>
              <w:right w:val="single" w:sz="4" w:space="0" w:color="auto"/>
            </w:tcBorders>
          </w:tcPr>
          <w:p w14:paraId="1E67BD4C" w14:textId="77777777" w:rsidR="00955F88" w:rsidRPr="004F5FB4" w:rsidRDefault="00955F88" w:rsidP="00D02C84">
            <w:pPr>
              <w:widowControl w:val="0"/>
              <w:rPr>
                <w:color w:val="000000"/>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0CD5D764" w14:textId="77777777" w:rsidR="00955F88" w:rsidRPr="004F5FB4" w:rsidRDefault="00437FA1" w:rsidP="00D02C84">
            <w:pPr>
              <w:widowControl w:val="0"/>
              <w:autoSpaceDE w:val="0"/>
              <w:autoSpaceDN w:val="0"/>
              <w:adjustRightInd w:val="0"/>
              <w:rPr>
                <w:color w:val="000000"/>
              </w:rPr>
            </w:pPr>
            <w:r w:rsidRPr="004F5FB4">
              <w:rPr>
                <w:color w:val="000000"/>
              </w:rPr>
              <w:t>neurologische Infektionen (einschließlich viraler Meningitis),</w:t>
            </w:r>
          </w:p>
          <w:p w14:paraId="02B4D573" w14:textId="77777777" w:rsidR="00955F88" w:rsidRPr="004F5FB4" w:rsidRDefault="00955F88" w:rsidP="00D02C84">
            <w:pPr>
              <w:widowControl w:val="0"/>
              <w:autoSpaceDE w:val="0"/>
              <w:autoSpaceDN w:val="0"/>
              <w:adjustRightInd w:val="0"/>
              <w:rPr>
                <w:color w:val="000000"/>
              </w:rPr>
            </w:pPr>
            <w:r w:rsidRPr="004F5FB4">
              <w:rPr>
                <w:color w:val="000000"/>
              </w:rPr>
              <w:t xml:space="preserve">opportunistische Infektionen und Tuberkulose (einschließlich Kokzidioidomykose, Histoplasmose und komplexe Infektion durch </w:t>
            </w:r>
            <w:r w:rsidRPr="004F5FB4">
              <w:rPr>
                <w:i/>
                <w:color w:val="000000"/>
              </w:rPr>
              <w:t>Mycobacterium avium</w:t>
            </w:r>
            <w:r w:rsidRPr="004F5FB4">
              <w:rPr>
                <w:color w:val="000000"/>
              </w:rPr>
              <w:t>),</w:t>
            </w:r>
          </w:p>
          <w:p w14:paraId="6E6D4024" w14:textId="77777777" w:rsidR="00955F88" w:rsidRPr="004F5FB4" w:rsidRDefault="00955F88" w:rsidP="00D02C84">
            <w:pPr>
              <w:widowControl w:val="0"/>
              <w:autoSpaceDE w:val="0"/>
              <w:autoSpaceDN w:val="0"/>
              <w:adjustRightInd w:val="0"/>
              <w:rPr>
                <w:color w:val="000000"/>
              </w:rPr>
            </w:pPr>
            <w:r w:rsidRPr="004F5FB4">
              <w:rPr>
                <w:color w:val="000000"/>
              </w:rPr>
              <w:t>bakterielle Infektionen,</w:t>
            </w:r>
          </w:p>
          <w:p w14:paraId="70429B17" w14:textId="77777777" w:rsidR="00955F88" w:rsidRPr="004F5FB4" w:rsidRDefault="00955F88" w:rsidP="00D02C84">
            <w:pPr>
              <w:widowControl w:val="0"/>
              <w:autoSpaceDE w:val="0"/>
              <w:autoSpaceDN w:val="0"/>
              <w:adjustRightInd w:val="0"/>
              <w:rPr>
                <w:color w:val="000000"/>
              </w:rPr>
            </w:pPr>
            <w:r w:rsidRPr="004F5FB4">
              <w:rPr>
                <w:color w:val="000000"/>
              </w:rPr>
              <w:t>Augeninfektionen,</w:t>
            </w:r>
          </w:p>
          <w:p w14:paraId="4644B56B" w14:textId="77777777" w:rsidR="00B633E5" w:rsidRPr="004F5FB4" w:rsidDel="00955F88" w:rsidRDefault="00955F88" w:rsidP="00D02C84">
            <w:pPr>
              <w:widowControl w:val="0"/>
              <w:rPr>
                <w:color w:val="000000"/>
                <w:lang w:val="en-GB"/>
              </w:rPr>
            </w:pPr>
            <w:r w:rsidRPr="004F5FB4">
              <w:rPr>
                <w:color w:val="000000"/>
              </w:rPr>
              <w:t>Divertikulitis</w:t>
            </w:r>
            <w:r w:rsidRPr="004F5FB4">
              <w:rPr>
                <w:color w:val="000000"/>
                <w:vertAlign w:val="superscript"/>
              </w:rPr>
              <w:t>1</w:t>
            </w:r>
          </w:p>
        </w:tc>
      </w:tr>
      <w:tr w:rsidR="00437FA1" w:rsidRPr="004F5FB4" w14:paraId="00B04E0A"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30DBF6BC" w14:textId="77777777" w:rsidR="00437FA1" w:rsidRPr="004F5FB4" w:rsidRDefault="00437FA1" w:rsidP="00982118">
            <w:pPr>
              <w:rPr>
                <w:color w:val="000000"/>
              </w:rPr>
            </w:pPr>
            <w:r w:rsidRPr="004F5FB4">
              <w:rPr>
                <w:color w:val="000000"/>
              </w:rPr>
              <w:t>Gutartige, bösartige und unspezifische Neubildungen (einschließlich Zysten und Polypen)*</w:t>
            </w:r>
          </w:p>
        </w:tc>
        <w:tc>
          <w:tcPr>
            <w:tcW w:w="2557" w:type="dxa"/>
            <w:tcBorders>
              <w:top w:val="single" w:sz="4" w:space="0" w:color="auto"/>
              <w:left w:val="single" w:sz="4" w:space="0" w:color="auto"/>
              <w:bottom w:val="single" w:sz="4" w:space="0" w:color="auto"/>
              <w:right w:val="single" w:sz="4" w:space="0" w:color="auto"/>
            </w:tcBorders>
          </w:tcPr>
          <w:p w14:paraId="01956471" w14:textId="77777777" w:rsidR="00437FA1" w:rsidRPr="004F5FB4" w:rsidRDefault="00437FA1" w:rsidP="00982118">
            <w:pPr>
              <w:rPr>
                <w:color w:val="000000"/>
              </w:rPr>
            </w:pPr>
            <w:r w:rsidRPr="004F5FB4">
              <w:rPr>
                <w:color w:val="000000"/>
              </w:rPr>
              <w:t>Häufig</w:t>
            </w:r>
          </w:p>
          <w:p w14:paraId="5B3AE3DE" w14:textId="77777777" w:rsidR="00437FA1" w:rsidRPr="004F5FB4" w:rsidRDefault="00437FA1" w:rsidP="00982118">
            <w:pPr>
              <w:rPr>
                <w:color w:val="000000"/>
                <w:lang w:val="en-GB"/>
              </w:rPr>
            </w:pPr>
          </w:p>
        </w:tc>
        <w:tc>
          <w:tcPr>
            <w:tcW w:w="0" w:type="auto"/>
            <w:tcBorders>
              <w:top w:val="single" w:sz="4" w:space="0" w:color="auto"/>
              <w:left w:val="single" w:sz="4" w:space="0" w:color="auto"/>
              <w:right w:val="single" w:sz="4" w:space="0" w:color="auto"/>
            </w:tcBorders>
          </w:tcPr>
          <w:p w14:paraId="7D44AAEA" w14:textId="77777777" w:rsidR="00437FA1" w:rsidRPr="004F5FB4" w:rsidRDefault="00437FA1" w:rsidP="00982118">
            <w:pPr>
              <w:rPr>
                <w:color w:val="000000"/>
              </w:rPr>
            </w:pPr>
            <w:r w:rsidRPr="004F5FB4">
              <w:rPr>
                <w:color w:val="000000"/>
              </w:rPr>
              <w:t>Hautkrebs außer Melanom (einschließlich Basalzellkarzinom und Plattenepithelkarzinom),</w:t>
            </w:r>
          </w:p>
          <w:p w14:paraId="4E5DD48F" w14:textId="77777777" w:rsidR="00437FA1" w:rsidRPr="004F5FB4" w:rsidRDefault="00437FA1" w:rsidP="00D4051F">
            <w:pPr>
              <w:rPr>
                <w:color w:val="000000"/>
                <w:lang w:val="en-GB"/>
              </w:rPr>
            </w:pPr>
            <w:r w:rsidRPr="004F5FB4">
              <w:rPr>
                <w:color w:val="000000"/>
              </w:rPr>
              <w:t>gutartiges Neoplasma</w:t>
            </w:r>
          </w:p>
        </w:tc>
      </w:tr>
      <w:tr w:rsidR="00437FA1" w:rsidRPr="004F5FB4" w14:paraId="30645FAD" w14:textId="77777777" w:rsidTr="008419B6">
        <w:trPr>
          <w:cantSplit/>
        </w:trPr>
        <w:tc>
          <w:tcPr>
            <w:tcW w:w="4147" w:type="dxa"/>
            <w:vMerge/>
            <w:tcBorders>
              <w:left w:val="single" w:sz="4" w:space="0" w:color="auto"/>
              <w:right w:val="single" w:sz="4" w:space="0" w:color="auto"/>
            </w:tcBorders>
          </w:tcPr>
          <w:p w14:paraId="06AE922E"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722A9932" w14:textId="77777777" w:rsidR="00437FA1" w:rsidRPr="004F5FB4" w:rsidRDefault="00437FA1" w:rsidP="00982118">
            <w:pPr>
              <w:rPr>
                <w:color w:val="000000"/>
              </w:rPr>
            </w:pPr>
            <w:r w:rsidRPr="004F5FB4">
              <w:rPr>
                <w:color w:val="000000"/>
              </w:rPr>
              <w:t>Gelegentlich</w:t>
            </w:r>
          </w:p>
        </w:tc>
        <w:tc>
          <w:tcPr>
            <w:tcW w:w="0" w:type="auto"/>
            <w:tcBorders>
              <w:left w:val="single" w:sz="4" w:space="0" w:color="auto"/>
              <w:right w:val="single" w:sz="4" w:space="0" w:color="auto"/>
            </w:tcBorders>
          </w:tcPr>
          <w:p w14:paraId="6743F821" w14:textId="77777777" w:rsidR="00437FA1" w:rsidRPr="004F5FB4" w:rsidRDefault="00437FA1" w:rsidP="00982118">
            <w:pPr>
              <w:rPr>
                <w:color w:val="000000"/>
              </w:rPr>
            </w:pPr>
            <w:r w:rsidRPr="004F5FB4">
              <w:rPr>
                <w:color w:val="000000"/>
              </w:rPr>
              <w:t>Lymphom**,</w:t>
            </w:r>
          </w:p>
          <w:p w14:paraId="3592EDDE" w14:textId="77777777" w:rsidR="00437FA1" w:rsidRPr="004F5FB4" w:rsidRDefault="00437FA1" w:rsidP="00982118">
            <w:pPr>
              <w:rPr>
                <w:color w:val="000000"/>
              </w:rPr>
            </w:pPr>
            <w:r w:rsidRPr="004F5FB4">
              <w:rPr>
                <w:color w:val="000000"/>
              </w:rPr>
              <w:t>solide Organtumoren (einschließlich Brustkrebs, Lungentumor und Schilddrüsentumor),</w:t>
            </w:r>
          </w:p>
          <w:p w14:paraId="60BC3C5B" w14:textId="77777777" w:rsidR="00437FA1" w:rsidRPr="004F5FB4" w:rsidRDefault="00437FA1" w:rsidP="00D4051F">
            <w:pPr>
              <w:rPr>
                <w:color w:val="000000"/>
                <w:lang w:val="en-GB"/>
              </w:rPr>
            </w:pPr>
            <w:r w:rsidRPr="004F5FB4">
              <w:rPr>
                <w:color w:val="000000"/>
              </w:rPr>
              <w:t>Melanom**</w:t>
            </w:r>
          </w:p>
        </w:tc>
      </w:tr>
      <w:tr w:rsidR="00437FA1" w:rsidRPr="004F5FB4" w14:paraId="7A481CA5" w14:textId="77777777" w:rsidTr="008419B6">
        <w:trPr>
          <w:cantSplit/>
        </w:trPr>
        <w:tc>
          <w:tcPr>
            <w:tcW w:w="4147" w:type="dxa"/>
            <w:vMerge/>
            <w:tcBorders>
              <w:left w:val="single" w:sz="4" w:space="0" w:color="auto"/>
              <w:right w:val="single" w:sz="4" w:space="0" w:color="auto"/>
            </w:tcBorders>
          </w:tcPr>
          <w:p w14:paraId="15B749EA"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39B5639" w14:textId="77777777" w:rsidR="00437FA1" w:rsidRPr="004F5FB4" w:rsidRDefault="00437FA1" w:rsidP="00982118">
            <w:pPr>
              <w:rPr>
                <w:color w:val="000000"/>
              </w:rPr>
            </w:pPr>
            <w:r w:rsidRPr="004F5FB4">
              <w:rPr>
                <w:color w:val="000000"/>
              </w:rPr>
              <w:t>Selten</w:t>
            </w:r>
          </w:p>
        </w:tc>
        <w:tc>
          <w:tcPr>
            <w:tcW w:w="0" w:type="auto"/>
            <w:tcBorders>
              <w:left w:val="single" w:sz="4" w:space="0" w:color="auto"/>
              <w:right w:val="single" w:sz="4" w:space="0" w:color="auto"/>
            </w:tcBorders>
          </w:tcPr>
          <w:p w14:paraId="694795BB" w14:textId="77777777" w:rsidR="00437FA1" w:rsidRPr="004F5FB4" w:rsidRDefault="00437FA1" w:rsidP="00D4051F">
            <w:pPr>
              <w:rPr>
                <w:color w:val="000000"/>
                <w:lang w:val="en-GB"/>
              </w:rPr>
            </w:pPr>
            <w:r w:rsidRPr="004F5FB4">
              <w:rPr>
                <w:color w:val="000000"/>
              </w:rPr>
              <w:t>Leukämie</w:t>
            </w:r>
            <w:r w:rsidRPr="004F5FB4">
              <w:rPr>
                <w:color w:val="000000"/>
                <w:vertAlign w:val="superscript"/>
              </w:rPr>
              <w:t>1</w:t>
            </w:r>
          </w:p>
        </w:tc>
      </w:tr>
      <w:tr w:rsidR="00437FA1" w:rsidRPr="004F5FB4" w14:paraId="33C2E3C7" w14:textId="77777777" w:rsidTr="008419B6">
        <w:trPr>
          <w:cantSplit/>
        </w:trPr>
        <w:tc>
          <w:tcPr>
            <w:tcW w:w="4147" w:type="dxa"/>
            <w:vMerge/>
            <w:tcBorders>
              <w:left w:val="single" w:sz="4" w:space="0" w:color="auto"/>
              <w:bottom w:val="single" w:sz="4" w:space="0" w:color="auto"/>
              <w:right w:val="single" w:sz="4" w:space="0" w:color="auto"/>
            </w:tcBorders>
          </w:tcPr>
          <w:p w14:paraId="3B7FCD7E"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0FB35D0" w14:textId="77777777" w:rsidR="00437FA1" w:rsidRPr="004F5FB4" w:rsidRDefault="00193B52" w:rsidP="00982118">
            <w:pPr>
              <w:rPr>
                <w:color w:val="000000"/>
              </w:rPr>
            </w:pPr>
            <w:r w:rsidRPr="004F5FB4">
              <w:rPr>
                <w:color w:val="000000"/>
              </w:rPr>
              <w:t xml:space="preserve">Nicht </w:t>
            </w:r>
            <w:r w:rsidR="00437FA1" w:rsidRPr="004F5FB4">
              <w:rPr>
                <w:color w:val="000000"/>
              </w:rPr>
              <w:t>bekannt</w:t>
            </w:r>
          </w:p>
        </w:tc>
        <w:tc>
          <w:tcPr>
            <w:tcW w:w="0" w:type="auto"/>
            <w:tcBorders>
              <w:left w:val="single" w:sz="4" w:space="0" w:color="auto"/>
              <w:bottom w:val="single" w:sz="4" w:space="0" w:color="auto"/>
              <w:right w:val="single" w:sz="4" w:space="0" w:color="auto"/>
            </w:tcBorders>
          </w:tcPr>
          <w:p w14:paraId="304C3AA4" w14:textId="77777777" w:rsidR="00437FA1" w:rsidRPr="004F5FB4" w:rsidRDefault="00437FA1" w:rsidP="00982118">
            <w:pPr>
              <w:rPr>
                <w:color w:val="000000"/>
              </w:rPr>
            </w:pPr>
            <w:r w:rsidRPr="004F5FB4">
              <w:rPr>
                <w:color w:val="000000"/>
              </w:rPr>
              <w:t>hepatosplenales T-Zell-Lymphom</w:t>
            </w:r>
            <w:r w:rsidRPr="004F5FB4">
              <w:rPr>
                <w:color w:val="000000"/>
                <w:vertAlign w:val="superscript"/>
              </w:rPr>
              <w:t>1</w:t>
            </w:r>
            <w:r w:rsidRPr="004F5FB4">
              <w:rPr>
                <w:color w:val="000000"/>
              </w:rPr>
              <w:t>,</w:t>
            </w:r>
          </w:p>
          <w:p w14:paraId="77726364" w14:textId="77777777" w:rsidR="00437FA1" w:rsidRPr="004E6403" w:rsidRDefault="00437FA1" w:rsidP="00D4051F">
            <w:pPr>
              <w:rPr>
                <w:color w:val="000000"/>
              </w:rPr>
            </w:pPr>
            <w:r w:rsidRPr="004F5FB4">
              <w:rPr>
                <w:color w:val="000000"/>
              </w:rPr>
              <w:t>Merkelzellkarzinom (neuroendokrines Karzinom der Haut)</w:t>
            </w:r>
            <w:r w:rsidRPr="004F5FB4">
              <w:rPr>
                <w:color w:val="000000"/>
                <w:vertAlign w:val="superscript"/>
              </w:rPr>
              <w:t>1</w:t>
            </w:r>
            <w:r w:rsidR="00E56892" w:rsidRPr="004E6403">
              <w:rPr>
                <w:color w:val="000000"/>
              </w:rPr>
              <w:t>,</w:t>
            </w:r>
          </w:p>
          <w:p w14:paraId="7A5BEDE8" w14:textId="77777777" w:rsidR="00E56892" w:rsidRPr="004F5FB4" w:rsidRDefault="00E56892" w:rsidP="00D4051F">
            <w:pPr>
              <w:rPr>
                <w:color w:val="000000"/>
              </w:rPr>
            </w:pPr>
            <w:r w:rsidRPr="004E6403">
              <w:rPr>
                <w:color w:val="000000"/>
              </w:rPr>
              <w:t>Kaposi-Sarkom</w:t>
            </w:r>
          </w:p>
        </w:tc>
      </w:tr>
      <w:tr w:rsidR="00437FA1" w:rsidRPr="004F5FB4" w14:paraId="1A70B93D"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56A924EE" w14:textId="77777777" w:rsidR="00437FA1" w:rsidRPr="004F5FB4" w:rsidRDefault="00437FA1" w:rsidP="00982118">
            <w:pPr>
              <w:keepNext/>
              <w:rPr>
                <w:color w:val="000000"/>
              </w:rPr>
            </w:pPr>
            <w:r w:rsidRPr="004F5FB4">
              <w:rPr>
                <w:color w:val="000000"/>
              </w:rPr>
              <w:t>Erkrankungen des Blutes und des Lymphsystems*</w:t>
            </w:r>
          </w:p>
        </w:tc>
        <w:tc>
          <w:tcPr>
            <w:tcW w:w="2557" w:type="dxa"/>
            <w:tcBorders>
              <w:top w:val="single" w:sz="4" w:space="0" w:color="auto"/>
              <w:left w:val="single" w:sz="4" w:space="0" w:color="auto"/>
              <w:bottom w:val="single" w:sz="4" w:space="0" w:color="auto"/>
              <w:right w:val="single" w:sz="4" w:space="0" w:color="auto"/>
            </w:tcBorders>
          </w:tcPr>
          <w:p w14:paraId="31FA9DEC" w14:textId="77777777" w:rsidR="00437FA1" w:rsidRPr="004F5FB4" w:rsidRDefault="00437FA1" w:rsidP="00982118">
            <w:pPr>
              <w:keepNext/>
              <w:rPr>
                <w:color w:val="000000"/>
              </w:rPr>
            </w:pPr>
            <w:r w:rsidRPr="004F5FB4">
              <w:rPr>
                <w:color w:val="000000"/>
              </w:rPr>
              <w:t>Sehr häufig</w:t>
            </w:r>
          </w:p>
          <w:p w14:paraId="768929F1" w14:textId="77777777" w:rsidR="00437FA1" w:rsidRPr="004F5FB4" w:rsidRDefault="00437FA1" w:rsidP="00982118">
            <w:pPr>
              <w:keepNext/>
              <w:rPr>
                <w:color w:val="000000"/>
                <w:lang w:val="en-GB"/>
              </w:rPr>
            </w:pPr>
          </w:p>
        </w:tc>
        <w:tc>
          <w:tcPr>
            <w:tcW w:w="0" w:type="auto"/>
            <w:tcBorders>
              <w:top w:val="single" w:sz="4" w:space="0" w:color="auto"/>
              <w:left w:val="single" w:sz="4" w:space="0" w:color="auto"/>
              <w:right w:val="single" w:sz="4" w:space="0" w:color="auto"/>
            </w:tcBorders>
          </w:tcPr>
          <w:p w14:paraId="071B0022" w14:textId="77777777" w:rsidR="00437FA1" w:rsidRPr="004F5FB4" w:rsidRDefault="00437FA1" w:rsidP="00982118">
            <w:pPr>
              <w:keepNext/>
              <w:autoSpaceDE w:val="0"/>
              <w:autoSpaceDN w:val="0"/>
              <w:adjustRightInd w:val="0"/>
              <w:rPr>
                <w:color w:val="000000"/>
              </w:rPr>
            </w:pPr>
            <w:r w:rsidRPr="004F5FB4">
              <w:rPr>
                <w:color w:val="000000"/>
              </w:rPr>
              <w:t>Leukopenie (einschließlich Neutropenie und Agranulozytose),</w:t>
            </w:r>
          </w:p>
          <w:p w14:paraId="31E0DC50" w14:textId="77777777" w:rsidR="00437FA1" w:rsidRPr="004F5FB4" w:rsidRDefault="00437FA1" w:rsidP="00D4051F">
            <w:pPr>
              <w:keepNext/>
              <w:rPr>
                <w:color w:val="000000"/>
                <w:lang w:val="en-GB"/>
              </w:rPr>
            </w:pPr>
            <w:r w:rsidRPr="004F5FB4">
              <w:rPr>
                <w:color w:val="000000"/>
              </w:rPr>
              <w:t>Anämie</w:t>
            </w:r>
          </w:p>
        </w:tc>
      </w:tr>
      <w:tr w:rsidR="00437FA1" w:rsidRPr="004F5FB4" w14:paraId="2FBFECE1" w14:textId="77777777" w:rsidTr="008419B6">
        <w:trPr>
          <w:cantSplit/>
        </w:trPr>
        <w:tc>
          <w:tcPr>
            <w:tcW w:w="4147" w:type="dxa"/>
            <w:vMerge/>
            <w:tcBorders>
              <w:left w:val="single" w:sz="4" w:space="0" w:color="auto"/>
              <w:right w:val="single" w:sz="4" w:space="0" w:color="auto"/>
            </w:tcBorders>
          </w:tcPr>
          <w:p w14:paraId="717F1A45" w14:textId="77777777" w:rsidR="00437FA1" w:rsidRPr="004F5FB4" w:rsidRDefault="00437FA1"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41FC35A" w14:textId="77777777" w:rsidR="00437FA1" w:rsidRPr="004F5FB4" w:rsidRDefault="00437FA1" w:rsidP="00982118">
            <w:pPr>
              <w:keepNext/>
              <w:rPr>
                <w:color w:val="000000"/>
              </w:rPr>
            </w:pPr>
            <w:r w:rsidRPr="004F5FB4">
              <w:rPr>
                <w:color w:val="000000"/>
              </w:rPr>
              <w:t>Häufig</w:t>
            </w:r>
          </w:p>
          <w:p w14:paraId="419617F5" w14:textId="77777777" w:rsidR="00437FA1" w:rsidRPr="004F5FB4" w:rsidRDefault="00437FA1" w:rsidP="00982118">
            <w:pPr>
              <w:keepNext/>
              <w:rPr>
                <w:color w:val="000000"/>
                <w:lang w:val="en-GB"/>
              </w:rPr>
            </w:pPr>
          </w:p>
        </w:tc>
        <w:tc>
          <w:tcPr>
            <w:tcW w:w="0" w:type="auto"/>
            <w:tcBorders>
              <w:left w:val="single" w:sz="4" w:space="0" w:color="auto"/>
              <w:right w:val="single" w:sz="4" w:space="0" w:color="auto"/>
            </w:tcBorders>
          </w:tcPr>
          <w:p w14:paraId="3621D7B0" w14:textId="77777777" w:rsidR="00437FA1" w:rsidRPr="004F5FB4" w:rsidRDefault="00437FA1" w:rsidP="00982118">
            <w:pPr>
              <w:keepNext/>
              <w:autoSpaceDE w:val="0"/>
              <w:autoSpaceDN w:val="0"/>
              <w:adjustRightInd w:val="0"/>
              <w:rPr>
                <w:color w:val="000000"/>
              </w:rPr>
            </w:pPr>
            <w:r w:rsidRPr="004F5FB4">
              <w:rPr>
                <w:color w:val="000000"/>
              </w:rPr>
              <w:t>Leukozytose,</w:t>
            </w:r>
          </w:p>
          <w:p w14:paraId="4B5C51EE" w14:textId="77777777" w:rsidR="00437FA1" w:rsidRPr="004F5FB4" w:rsidDel="00437FA1" w:rsidRDefault="00437FA1" w:rsidP="00D4051F">
            <w:pPr>
              <w:keepNext/>
              <w:rPr>
                <w:color w:val="000000"/>
                <w:lang w:val="en-GB"/>
              </w:rPr>
            </w:pPr>
            <w:r w:rsidRPr="004F5FB4">
              <w:rPr>
                <w:color w:val="000000"/>
              </w:rPr>
              <w:t>Thrombozytopenie</w:t>
            </w:r>
          </w:p>
        </w:tc>
      </w:tr>
      <w:tr w:rsidR="00437FA1" w:rsidRPr="004F5FB4" w14:paraId="57326688" w14:textId="77777777" w:rsidTr="008419B6">
        <w:trPr>
          <w:cantSplit/>
        </w:trPr>
        <w:tc>
          <w:tcPr>
            <w:tcW w:w="4147" w:type="dxa"/>
            <w:vMerge/>
            <w:tcBorders>
              <w:left w:val="single" w:sz="4" w:space="0" w:color="auto"/>
              <w:right w:val="single" w:sz="4" w:space="0" w:color="auto"/>
            </w:tcBorders>
          </w:tcPr>
          <w:p w14:paraId="70EF5046" w14:textId="77777777" w:rsidR="00437FA1" w:rsidRPr="004F5FB4" w:rsidRDefault="00437FA1"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27E773C9" w14:textId="77777777" w:rsidR="00437FA1" w:rsidRPr="004F5FB4" w:rsidRDefault="00437FA1" w:rsidP="00D4051F">
            <w:pPr>
              <w:keepNext/>
              <w:rPr>
                <w:color w:val="000000"/>
                <w:lang w:val="en-GB"/>
              </w:rPr>
            </w:pPr>
            <w:r w:rsidRPr="004F5FB4">
              <w:rPr>
                <w:color w:val="000000"/>
              </w:rPr>
              <w:t>Gelegentlich</w:t>
            </w:r>
          </w:p>
        </w:tc>
        <w:tc>
          <w:tcPr>
            <w:tcW w:w="0" w:type="auto"/>
            <w:tcBorders>
              <w:left w:val="single" w:sz="4" w:space="0" w:color="auto"/>
              <w:right w:val="single" w:sz="4" w:space="0" w:color="auto"/>
            </w:tcBorders>
          </w:tcPr>
          <w:p w14:paraId="75519E4A" w14:textId="77777777" w:rsidR="00437FA1" w:rsidRPr="004F5FB4" w:rsidDel="00437FA1" w:rsidRDefault="00437FA1" w:rsidP="00D4051F">
            <w:pPr>
              <w:keepNext/>
              <w:rPr>
                <w:color w:val="000000"/>
                <w:lang w:val="en-GB"/>
              </w:rPr>
            </w:pPr>
            <w:r w:rsidRPr="004F5FB4">
              <w:rPr>
                <w:color w:val="000000"/>
              </w:rPr>
              <w:t>idiopathische thrombozytopenische Purpura</w:t>
            </w:r>
          </w:p>
        </w:tc>
      </w:tr>
      <w:tr w:rsidR="00437FA1" w:rsidRPr="004F5FB4" w14:paraId="1A1BAE00" w14:textId="77777777" w:rsidTr="008419B6">
        <w:trPr>
          <w:cantSplit/>
        </w:trPr>
        <w:tc>
          <w:tcPr>
            <w:tcW w:w="4147" w:type="dxa"/>
            <w:vMerge/>
            <w:tcBorders>
              <w:left w:val="single" w:sz="4" w:space="0" w:color="auto"/>
              <w:bottom w:val="single" w:sz="4" w:space="0" w:color="auto"/>
              <w:right w:val="single" w:sz="4" w:space="0" w:color="auto"/>
            </w:tcBorders>
          </w:tcPr>
          <w:p w14:paraId="43944DBE"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2B773FCD" w14:textId="77777777" w:rsidR="00437FA1" w:rsidRPr="004F5FB4" w:rsidRDefault="00437FA1" w:rsidP="00D4051F">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18D763C8" w14:textId="77777777" w:rsidR="00437FA1" w:rsidRPr="004F5FB4" w:rsidDel="00437FA1" w:rsidRDefault="00437FA1" w:rsidP="00982118">
            <w:pPr>
              <w:autoSpaceDE w:val="0"/>
              <w:autoSpaceDN w:val="0"/>
              <w:adjustRightInd w:val="0"/>
              <w:rPr>
                <w:color w:val="000000"/>
              </w:rPr>
            </w:pPr>
            <w:r w:rsidRPr="004F5FB4">
              <w:rPr>
                <w:color w:val="000000"/>
              </w:rPr>
              <w:t>Panzytopenie</w:t>
            </w:r>
          </w:p>
        </w:tc>
      </w:tr>
      <w:tr w:rsidR="00437FA1" w:rsidRPr="004F5FB4" w14:paraId="3C7C6D0A"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32EEEE46" w14:textId="77777777" w:rsidR="00437FA1" w:rsidRPr="004F5FB4" w:rsidRDefault="00437FA1" w:rsidP="00982118">
            <w:pPr>
              <w:rPr>
                <w:color w:val="000000"/>
              </w:rPr>
            </w:pPr>
            <w:r w:rsidRPr="004F5FB4">
              <w:rPr>
                <w:color w:val="000000"/>
              </w:rPr>
              <w:t>Erkrankungen des Immunsystems*</w:t>
            </w:r>
          </w:p>
        </w:tc>
        <w:tc>
          <w:tcPr>
            <w:tcW w:w="2557" w:type="dxa"/>
            <w:tcBorders>
              <w:top w:val="single" w:sz="4" w:space="0" w:color="auto"/>
              <w:left w:val="single" w:sz="4" w:space="0" w:color="auto"/>
              <w:bottom w:val="single" w:sz="4" w:space="0" w:color="auto"/>
              <w:right w:val="single" w:sz="4" w:space="0" w:color="auto"/>
            </w:tcBorders>
          </w:tcPr>
          <w:p w14:paraId="1337B6B8" w14:textId="77777777" w:rsidR="00437FA1" w:rsidRPr="004F5FB4" w:rsidRDefault="00437FA1" w:rsidP="00982118">
            <w:pPr>
              <w:rPr>
                <w:color w:val="000000"/>
              </w:rPr>
            </w:pPr>
            <w:r w:rsidRPr="004F5FB4">
              <w:rPr>
                <w:color w:val="000000"/>
              </w:rPr>
              <w:t>Häufig</w:t>
            </w:r>
          </w:p>
          <w:p w14:paraId="5B6968AA" w14:textId="77777777" w:rsidR="00437FA1" w:rsidRPr="004F5FB4" w:rsidRDefault="00437FA1" w:rsidP="00982118">
            <w:pPr>
              <w:rPr>
                <w:color w:val="000000"/>
                <w:lang w:val="en-GB"/>
              </w:rPr>
            </w:pPr>
          </w:p>
        </w:tc>
        <w:tc>
          <w:tcPr>
            <w:tcW w:w="0" w:type="auto"/>
            <w:tcBorders>
              <w:top w:val="single" w:sz="4" w:space="0" w:color="auto"/>
              <w:left w:val="single" w:sz="4" w:space="0" w:color="auto"/>
              <w:right w:val="single" w:sz="4" w:space="0" w:color="auto"/>
            </w:tcBorders>
          </w:tcPr>
          <w:p w14:paraId="75E127F5" w14:textId="77777777" w:rsidR="00437FA1" w:rsidRPr="004F5FB4" w:rsidRDefault="00437FA1" w:rsidP="00982118">
            <w:pPr>
              <w:rPr>
                <w:color w:val="000000"/>
              </w:rPr>
            </w:pPr>
            <w:r w:rsidRPr="004F5FB4">
              <w:rPr>
                <w:color w:val="000000"/>
              </w:rPr>
              <w:t>Überempfindlichkeit,</w:t>
            </w:r>
          </w:p>
          <w:p w14:paraId="59C6D8EA" w14:textId="77777777" w:rsidR="00437FA1" w:rsidRPr="004F5FB4" w:rsidRDefault="00437FA1" w:rsidP="00D4051F">
            <w:pPr>
              <w:rPr>
                <w:color w:val="000000"/>
              </w:rPr>
            </w:pPr>
            <w:r w:rsidRPr="004F5FB4">
              <w:rPr>
                <w:color w:val="000000"/>
              </w:rPr>
              <w:t>Allergien (einschließlich durch Jahreszeiten bedingte Allergie)</w:t>
            </w:r>
          </w:p>
        </w:tc>
      </w:tr>
      <w:tr w:rsidR="00437FA1" w:rsidRPr="004F5FB4" w14:paraId="4E0C1471" w14:textId="77777777" w:rsidTr="008419B6">
        <w:trPr>
          <w:cantSplit/>
        </w:trPr>
        <w:tc>
          <w:tcPr>
            <w:tcW w:w="4147" w:type="dxa"/>
            <w:vMerge/>
            <w:tcBorders>
              <w:left w:val="single" w:sz="4" w:space="0" w:color="auto"/>
              <w:right w:val="single" w:sz="4" w:space="0" w:color="auto"/>
            </w:tcBorders>
          </w:tcPr>
          <w:p w14:paraId="0C6FDEEB" w14:textId="77777777" w:rsidR="00437FA1" w:rsidRPr="004F5FB4" w:rsidRDefault="00437FA1"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3AC79F62" w14:textId="77777777" w:rsidR="00437FA1" w:rsidRPr="004F5FB4" w:rsidRDefault="00437FA1" w:rsidP="00982118">
            <w:pPr>
              <w:rPr>
                <w:color w:val="000000"/>
              </w:rPr>
            </w:pPr>
            <w:r w:rsidRPr="004F5FB4">
              <w:rPr>
                <w:color w:val="000000"/>
              </w:rPr>
              <w:t>Gelegentlich</w:t>
            </w:r>
          </w:p>
          <w:p w14:paraId="173A4D6B" w14:textId="77777777" w:rsidR="00437FA1" w:rsidRPr="004F5FB4" w:rsidRDefault="00437FA1" w:rsidP="00982118">
            <w:pPr>
              <w:rPr>
                <w:color w:val="000000"/>
                <w:lang w:val="en-GB"/>
              </w:rPr>
            </w:pPr>
          </w:p>
        </w:tc>
        <w:tc>
          <w:tcPr>
            <w:tcW w:w="0" w:type="auto"/>
            <w:tcBorders>
              <w:left w:val="single" w:sz="4" w:space="0" w:color="auto"/>
              <w:right w:val="single" w:sz="4" w:space="0" w:color="auto"/>
            </w:tcBorders>
          </w:tcPr>
          <w:p w14:paraId="32B8BB0B" w14:textId="77777777" w:rsidR="00437FA1" w:rsidRPr="004F5FB4" w:rsidRDefault="00437FA1" w:rsidP="00982118">
            <w:pPr>
              <w:rPr>
                <w:color w:val="000000"/>
              </w:rPr>
            </w:pPr>
            <w:r w:rsidRPr="004F5FB4">
              <w:rPr>
                <w:color w:val="000000"/>
              </w:rPr>
              <w:t>Sarkoidose</w:t>
            </w:r>
            <w:r w:rsidRPr="004F5FB4">
              <w:rPr>
                <w:color w:val="000000"/>
                <w:vertAlign w:val="superscript"/>
              </w:rPr>
              <w:t>1</w:t>
            </w:r>
            <w:r w:rsidRPr="004F5FB4">
              <w:rPr>
                <w:color w:val="000000"/>
              </w:rPr>
              <w:t>,</w:t>
            </w:r>
          </w:p>
          <w:p w14:paraId="73EC5F2C" w14:textId="77777777" w:rsidR="00437FA1" w:rsidRPr="004F5FB4" w:rsidRDefault="00437FA1" w:rsidP="00D4051F">
            <w:pPr>
              <w:rPr>
                <w:color w:val="000000"/>
                <w:lang w:val="en-GB"/>
              </w:rPr>
            </w:pPr>
            <w:r w:rsidRPr="004F5FB4">
              <w:rPr>
                <w:color w:val="000000"/>
              </w:rPr>
              <w:t>Vaskulitis</w:t>
            </w:r>
          </w:p>
        </w:tc>
      </w:tr>
      <w:tr w:rsidR="00437FA1" w:rsidRPr="004F5FB4" w14:paraId="63E769E1" w14:textId="77777777" w:rsidTr="008419B6">
        <w:trPr>
          <w:cantSplit/>
        </w:trPr>
        <w:tc>
          <w:tcPr>
            <w:tcW w:w="4147" w:type="dxa"/>
            <w:vMerge/>
            <w:tcBorders>
              <w:left w:val="single" w:sz="4" w:space="0" w:color="auto"/>
              <w:bottom w:val="single" w:sz="4" w:space="0" w:color="auto"/>
              <w:right w:val="single" w:sz="4" w:space="0" w:color="auto"/>
            </w:tcBorders>
          </w:tcPr>
          <w:p w14:paraId="40791DD3"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0179FB47" w14:textId="77777777" w:rsidR="00437FA1" w:rsidRPr="004F5FB4" w:rsidRDefault="00437FA1" w:rsidP="00982118">
            <w:pPr>
              <w:rPr>
                <w:color w:val="000000"/>
              </w:rPr>
            </w:pPr>
            <w:r w:rsidRPr="004F5FB4">
              <w:rPr>
                <w:color w:val="000000"/>
              </w:rPr>
              <w:t>Selten</w:t>
            </w:r>
          </w:p>
        </w:tc>
        <w:tc>
          <w:tcPr>
            <w:tcW w:w="0" w:type="auto"/>
            <w:tcBorders>
              <w:left w:val="single" w:sz="4" w:space="0" w:color="auto"/>
              <w:bottom w:val="single" w:sz="4" w:space="0" w:color="auto"/>
              <w:right w:val="single" w:sz="4" w:space="0" w:color="auto"/>
            </w:tcBorders>
          </w:tcPr>
          <w:p w14:paraId="3FA97B2E" w14:textId="77777777" w:rsidR="00437FA1" w:rsidRPr="004F5FB4" w:rsidRDefault="00437FA1" w:rsidP="00D4051F">
            <w:pPr>
              <w:rPr>
                <w:color w:val="000000"/>
                <w:lang w:val="en-GB"/>
              </w:rPr>
            </w:pPr>
            <w:r w:rsidRPr="004F5FB4">
              <w:rPr>
                <w:color w:val="000000"/>
              </w:rPr>
              <w:t>Anaphylaxie</w:t>
            </w:r>
            <w:r w:rsidRPr="004F5FB4">
              <w:rPr>
                <w:color w:val="000000"/>
                <w:vertAlign w:val="superscript"/>
              </w:rPr>
              <w:t>1</w:t>
            </w:r>
          </w:p>
        </w:tc>
      </w:tr>
      <w:tr w:rsidR="00437FA1" w:rsidRPr="004F5FB4" w14:paraId="314B2FC1"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3FD5BDB2" w14:textId="77777777" w:rsidR="00437FA1" w:rsidRPr="004F5FB4" w:rsidRDefault="00437FA1" w:rsidP="00982118">
            <w:pPr>
              <w:rPr>
                <w:color w:val="000000"/>
              </w:rPr>
            </w:pPr>
            <w:r w:rsidRPr="004F5FB4">
              <w:rPr>
                <w:color w:val="000000"/>
              </w:rPr>
              <w:t>Stoffwechsel- und Ernährungsstörungen</w:t>
            </w:r>
          </w:p>
        </w:tc>
        <w:tc>
          <w:tcPr>
            <w:tcW w:w="2557" w:type="dxa"/>
            <w:tcBorders>
              <w:top w:val="single" w:sz="4" w:space="0" w:color="auto"/>
              <w:left w:val="single" w:sz="4" w:space="0" w:color="auto"/>
              <w:bottom w:val="single" w:sz="4" w:space="0" w:color="auto"/>
              <w:right w:val="single" w:sz="4" w:space="0" w:color="auto"/>
            </w:tcBorders>
          </w:tcPr>
          <w:p w14:paraId="05DB3128" w14:textId="77777777" w:rsidR="00437FA1" w:rsidRPr="004F5FB4" w:rsidRDefault="00437FA1" w:rsidP="00D4051F">
            <w:pPr>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44F976B1" w14:textId="77777777" w:rsidR="00437FA1" w:rsidRPr="004F5FB4" w:rsidRDefault="00437FA1" w:rsidP="00D4051F">
            <w:pPr>
              <w:rPr>
                <w:color w:val="000000"/>
                <w:lang w:val="en-GB"/>
              </w:rPr>
            </w:pPr>
            <w:r w:rsidRPr="004F5FB4">
              <w:rPr>
                <w:color w:val="000000"/>
              </w:rPr>
              <w:t>erhöhte Blutfettwerte</w:t>
            </w:r>
          </w:p>
        </w:tc>
      </w:tr>
      <w:tr w:rsidR="00437FA1" w:rsidRPr="004F5FB4" w14:paraId="3B59326C" w14:textId="77777777" w:rsidTr="008419B6">
        <w:trPr>
          <w:cantSplit/>
        </w:trPr>
        <w:tc>
          <w:tcPr>
            <w:tcW w:w="4147" w:type="dxa"/>
            <w:vMerge/>
            <w:tcBorders>
              <w:left w:val="single" w:sz="4" w:space="0" w:color="auto"/>
              <w:bottom w:val="single" w:sz="4" w:space="0" w:color="auto"/>
              <w:right w:val="single" w:sz="4" w:space="0" w:color="auto"/>
            </w:tcBorders>
          </w:tcPr>
          <w:p w14:paraId="2C73D595"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72D58021" w14:textId="77777777" w:rsidR="00437FA1" w:rsidRPr="004F5FB4" w:rsidRDefault="00437FA1" w:rsidP="00982118">
            <w:pPr>
              <w:rPr>
                <w:color w:val="000000"/>
              </w:rPr>
            </w:pPr>
            <w:r w:rsidRPr="004F5FB4">
              <w:rPr>
                <w:color w:val="000000"/>
              </w:rPr>
              <w:t>Häufig</w:t>
            </w:r>
          </w:p>
        </w:tc>
        <w:tc>
          <w:tcPr>
            <w:tcW w:w="0" w:type="auto"/>
            <w:tcBorders>
              <w:left w:val="single" w:sz="4" w:space="0" w:color="auto"/>
              <w:bottom w:val="single" w:sz="4" w:space="0" w:color="auto"/>
              <w:right w:val="single" w:sz="4" w:space="0" w:color="auto"/>
            </w:tcBorders>
          </w:tcPr>
          <w:p w14:paraId="03A16B60" w14:textId="77777777" w:rsidR="00437FA1" w:rsidRPr="004F5FB4" w:rsidRDefault="00437FA1" w:rsidP="00982118">
            <w:pPr>
              <w:rPr>
                <w:color w:val="000000"/>
              </w:rPr>
            </w:pPr>
            <w:r w:rsidRPr="004F5FB4">
              <w:rPr>
                <w:color w:val="000000"/>
              </w:rPr>
              <w:t>Hypokaliämie,</w:t>
            </w:r>
          </w:p>
          <w:p w14:paraId="62A0FF3D" w14:textId="77777777" w:rsidR="00437FA1" w:rsidRPr="004F5FB4" w:rsidRDefault="00437FA1" w:rsidP="00982118">
            <w:pPr>
              <w:rPr>
                <w:color w:val="000000"/>
              </w:rPr>
            </w:pPr>
            <w:r w:rsidRPr="004F5FB4">
              <w:rPr>
                <w:color w:val="000000"/>
              </w:rPr>
              <w:t>erhöhte Harnsäurewerte,</w:t>
            </w:r>
          </w:p>
          <w:p w14:paraId="556CBE4C" w14:textId="77777777" w:rsidR="00437FA1" w:rsidRPr="004F5FB4" w:rsidRDefault="00437FA1" w:rsidP="00982118">
            <w:pPr>
              <w:autoSpaceDE w:val="0"/>
              <w:autoSpaceDN w:val="0"/>
              <w:adjustRightInd w:val="0"/>
              <w:rPr>
                <w:color w:val="000000"/>
              </w:rPr>
            </w:pPr>
            <w:r w:rsidRPr="004F5FB4">
              <w:rPr>
                <w:color w:val="000000"/>
              </w:rPr>
              <w:t>abweichende Natriumwerte im Blut,</w:t>
            </w:r>
          </w:p>
          <w:p w14:paraId="47CD3C1B" w14:textId="77777777" w:rsidR="00437FA1" w:rsidRPr="004F5FB4" w:rsidRDefault="00437FA1" w:rsidP="00982118">
            <w:pPr>
              <w:autoSpaceDE w:val="0"/>
              <w:autoSpaceDN w:val="0"/>
              <w:adjustRightInd w:val="0"/>
              <w:rPr>
                <w:color w:val="000000"/>
              </w:rPr>
            </w:pPr>
            <w:r w:rsidRPr="004F5FB4">
              <w:rPr>
                <w:color w:val="000000"/>
              </w:rPr>
              <w:t>Hypokalzämie,</w:t>
            </w:r>
          </w:p>
          <w:p w14:paraId="2787B120" w14:textId="77777777" w:rsidR="00437FA1" w:rsidRPr="004F5FB4" w:rsidRDefault="00437FA1" w:rsidP="00982118">
            <w:pPr>
              <w:autoSpaceDE w:val="0"/>
              <w:autoSpaceDN w:val="0"/>
              <w:adjustRightInd w:val="0"/>
              <w:rPr>
                <w:color w:val="000000"/>
              </w:rPr>
            </w:pPr>
            <w:r w:rsidRPr="004F5FB4">
              <w:rPr>
                <w:color w:val="000000"/>
              </w:rPr>
              <w:t>Hyperglykämie,</w:t>
            </w:r>
          </w:p>
          <w:p w14:paraId="1BA2DFE2" w14:textId="77777777" w:rsidR="00437FA1" w:rsidRPr="004F5FB4" w:rsidRDefault="00437FA1" w:rsidP="00982118">
            <w:pPr>
              <w:autoSpaceDE w:val="0"/>
              <w:autoSpaceDN w:val="0"/>
              <w:adjustRightInd w:val="0"/>
              <w:rPr>
                <w:color w:val="000000"/>
              </w:rPr>
            </w:pPr>
            <w:r w:rsidRPr="004F5FB4">
              <w:rPr>
                <w:color w:val="000000"/>
              </w:rPr>
              <w:t>Hypophosphatämie,</w:t>
            </w:r>
          </w:p>
          <w:p w14:paraId="5273B0F9" w14:textId="77777777" w:rsidR="00437FA1" w:rsidRPr="004F5FB4" w:rsidDel="00437FA1" w:rsidRDefault="00437FA1" w:rsidP="00D4051F">
            <w:pPr>
              <w:rPr>
                <w:color w:val="000000"/>
                <w:lang w:val="en-GB"/>
              </w:rPr>
            </w:pPr>
            <w:r w:rsidRPr="004F5FB4">
              <w:rPr>
                <w:color w:val="000000"/>
              </w:rPr>
              <w:t>Dehydratation</w:t>
            </w:r>
          </w:p>
        </w:tc>
      </w:tr>
      <w:tr w:rsidR="00C46587" w:rsidRPr="004F5FB4" w14:paraId="667CEB45" w14:textId="77777777" w:rsidTr="008419B6">
        <w:trPr>
          <w:cantSplit/>
        </w:trPr>
        <w:tc>
          <w:tcPr>
            <w:tcW w:w="4147" w:type="dxa"/>
            <w:tcBorders>
              <w:top w:val="single" w:sz="4" w:space="0" w:color="auto"/>
              <w:left w:val="single" w:sz="4" w:space="0" w:color="auto"/>
              <w:bottom w:val="single" w:sz="4" w:space="0" w:color="auto"/>
              <w:right w:val="single" w:sz="4" w:space="0" w:color="auto"/>
            </w:tcBorders>
            <w:hideMark/>
          </w:tcPr>
          <w:p w14:paraId="67F03DA3" w14:textId="77777777" w:rsidR="00C46587" w:rsidRPr="004F5FB4" w:rsidRDefault="00C46587" w:rsidP="00982118">
            <w:pPr>
              <w:rPr>
                <w:color w:val="000000"/>
              </w:rPr>
            </w:pPr>
            <w:r w:rsidRPr="004F5FB4">
              <w:rPr>
                <w:color w:val="000000"/>
              </w:rPr>
              <w:t>Psychiatrische Erkrankungen</w:t>
            </w:r>
          </w:p>
        </w:tc>
        <w:tc>
          <w:tcPr>
            <w:tcW w:w="2557" w:type="dxa"/>
            <w:tcBorders>
              <w:top w:val="single" w:sz="4" w:space="0" w:color="auto"/>
              <w:left w:val="single" w:sz="4" w:space="0" w:color="auto"/>
              <w:bottom w:val="single" w:sz="4" w:space="0" w:color="auto"/>
              <w:right w:val="single" w:sz="4" w:space="0" w:color="auto"/>
            </w:tcBorders>
            <w:hideMark/>
          </w:tcPr>
          <w:p w14:paraId="06797F58" w14:textId="77777777" w:rsidR="00C46587" w:rsidRPr="004F5FB4" w:rsidRDefault="00C46587"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tcPr>
          <w:p w14:paraId="7E17005F" w14:textId="77777777" w:rsidR="00C46587" w:rsidRPr="004F5FB4" w:rsidRDefault="00437FA1" w:rsidP="00982118">
            <w:pPr>
              <w:autoSpaceDE w:val="0"/>
              <w:autoSpaceDN w:val="0"/>
              <w:adjustRightInd w:val="0"/>
              <w:rPr>
                <w:color w:val="000000"/>
              </w:rPr>
            </w:pPr>
            <w:r w:rsidRPr="004F5FB4">
              <w:rPr>
                <w:color w:val="000000"/>
              </w:rPr>
              <w:t>Stimmungsschwankungen (einschließlich Depression),</w:t>
            </w:r>
          </w:p>
          <w:p w14:paraId="53763F8F" w14:textId="77777777" w:rsidR="00C46587" w:rsidRPr="004F5FB4" w:rsidRDefault="00C46587" w:rsidP="00982118">
            <w:pPr>
              <w:autoSpaceDE w:val="0"/>
              <w:autoSpaceDN w:val="0"/>
              <w:adjustRightInd w:val="0"/>
              <w:rPr>
                <w:color w:val="000000"/>
              </w:rPr>
            </w:pPr>
            <w:r w:rsidRPr="004F5FB4">
              <w:rPr>
                <w:color w:val="000000"/>
              </w:rPr>
              <w:t>Ängstlichkeit,</w:t>
            </w:r>
          </w:p>
          <w:p w14:paraId="7A71454F" w14:textId="77777777" w:rsidR="00C46587" w:rsidRPr="001E125B" w:rsidRDefault="00C46587" w:rsidP="00D4051F">
            <w:pPr>
              <w:rPr>
                <w:color w:val="000000"/>
              </w:rPr>
            </w:pPr>
            <w:r w:rsidRPr="004F5FB4">
              <w:rPr>
                <w:color w:val="000000"/>
              </w:rPr>
              <w:t>Schlaflosigkeit</w:t>
            </w:r>
          </w:p>
        </w:tc>
      </w:tr>
      <w:tr w:rsidR="00437FA1" w:rsidRPr="004F5FB4" w14:paraId="50416EF7"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615AB4C5" w14:textId="77777777" w:rsidR="00437FA1" w:rsidRPr="004F5FB4" w:rsidRDefault="00437FA1" w:rsidP="00982118">
            <w:pPr>
              <w:rPr>
                <w:color w:val="000000"/>
              </w:rPr>
            </w:pPr>
            <w:r w:rsidRPr="004F5FB4">
              <w:rPr>
                <w:color w:val="000000"/>
              </w:rPr>
              <w:t>Erkrankungen des Nervensystems*</w:t>
            </w:r>
          </w:p>
        </w:tc>
        <w:tc>
          <w:tcPr>
            <w:tcW w:w="2557" w:type="dxa"/>
            <w:tcBorders>
              <w:top w:val="single" w:sz="4" w:space="0" w:color="auto"/>
              <w:left w:val="single" w:sz="4" w:space="0" w:color="auto"/>
              <w:bottom w:val="single" w:sz="4" w:space="0" w:color="auto"/>
              <w:right w:val="single" w:sz="4" w:space="0" w:color="auto"/>
            </w:tcBorders>
          </w:tcPr>
          <w:p w14:paraId="6FD5C952" w14:textId="77777777" w:rsidR="00437FA1" w:rsidRPr="004F5FB4" w:rsidRDefault="00437FA1" w:rsidP="00D4051F">
            <w:pPr>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7799543C" w14:textId="77777777" w:rsidR="00437FA1" w:rsidRPr="004F5FB4" w:rsidRDefault="00437FA1" w:rsidP="00D4051F">
            <w:pPr>
              <w:rPr>
                <w:color w:val="000000"/>
                <w:lang w:val="en-GB"/>
              </w:rPr>
            </w:pPr>
            <w:r w:rsidRPr="004F5FB4">
              <w:rPr>
                <w:color w:val="000000"/>
              </w:rPr>
              <w:t>Kopfschmerzen</w:t>
            </w:r>
          </w:p>
        </w:tc>
      </w:tr>
      <w:tr w:rsidR="00437FA1" w:rsidRPr="004F5FB4" w14:paraId="27F50518" w14:textId="77777777" w:rsidTr="008419B6">
        <w:trPr>
          <w:cantSplit/>
        </w:trPr>
        <w:tc>
          <w:tcPr>
            <w:tcW w:w="4147" w:type="dxa"/>
            <w:vMerge/>
            <w:tcBorders>
              <w:left w:val="single" w:sz="4" w:space="0" w:color="auto"/>
              <w:right w:val="single" w:sz="4" w:space="0" w:color="auto"/>
            </w:tcBorders>
          </w:tcPr>
          <w:p w14:paraId="794AEC98"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4A636E84" w14:textId="77777777" w:rsidR="00437FA1" w:rsidRPr="004F5FB4" w:rsidRDefault="00437FA1" w:rsidP="00982118">
            <w:pPr>
              <w:rPr>
                <w:color w:val="000000"/>
              </w:rPr>
            </w:pPr>
            <w:r w:rsidRPr="004F5FB4">
              <w:rPr>
                <w:color w:val="000000"/>
              </w:rPr>
              <w:t>Häufig</w:t>
            </w:r>
          </w:p>
          <w:p w14:paraId="63939BFC" w14:textId="77777777" w:rsidR="00437FA1" w:rsidRPr="004F5FB4" w:rsidRDefault="00437FA1" w:rsidP="00982118">
            <w:pPr>
              <w:rPr>
                <w:color w:val="000000"/>
                <w:lang w:val="en-GB"/>
              </w:rPr>
            </w:pPr>
          </w:p>
        </w:tc>
        <w:tc>
          <w:tcPr>
            <w:tcW w:w="0" w:type="auto"/>
            <w:tcBorders>
              <w:left w:val="single" w:sz="4" w:space="0" w:color="auto"/>
              <w:right w:val="single" w:sz="4" w:space="0" w:color="auto"/>
            </w:tcBorders>
          </w:tcPr>
          <w:p w14:paraId="30D4112D" w14:textId="77777777" w:rsidR="00437FA1" w:rsidRPr="004F5FB4" w:rsidRDefault="00437FA1" w:rsidP="00982118">
            <w:pPr>
              <w:autoSpaceDE w:val="0"/>
              <w:autoSpaceDN w:val="0"/>
              <w:adjustRightInd w:val="0"/>
              <w:rPr>
                <w:color w:val="000000"/>
              </w:rPr>
            </w:pPr>
            <w:r w:rsidRPr="004F5FB4">
              <w:rPr>
                <w:color w:val="000000"/>
              </w:rPr>
              <w:t>Parästhesien (einschließlich Hypästhesie),</w:t>
            </w:r>
          </w:p>
          <w:p w14:paraId="52A3C423" w14:textId="77777777" w:rsidR="00437FA1" w:rsidRPr="004F5FB4" w:rsidRDefault="00437FA1" w:rsidP="00982118">
            <w:pPr>
              <w:autoSpaceDE w:val="0"/>
              <w:autoSpaceDN w:val="0"/>
              <w:adjustRightInd w:val="0"/>
              <w:rPr>
                <w:color w:val="000000"/>
              </w:rPr>
            </w:pPr>
            <w:r w:rsidRPr="004F5FB4">
              <w:rPr>
                <w:color w:val="000000"/>
              </w:rPr>
              <w:t>Migräne,</w:t>
            </w:r>
          </w:p>
          <w:p w14:paraId="6FA855EB" w14:textId="77777777" w:rsidR="00437FA1" w:rsidRPr="004F5FB4" w:rsidRDefault="00437FA1" w:rsidP="00982118">
            <w:pPr>
              <w:rPr>
                <w:color w:val="000000"/>
              </w:rPr>
            </w:pPr>
            <w:r w:rsidRPr="004F5FB4">
              <w:rPr>
                <w:color w:val="000000"/>
              </w:rPr>
              <w:t>Nervenwurzelkompression</w:t>
            </w:r>
          </w:p>
        </w:tc>
      </w:tr>
      <w:tr w:rsidR="00437FA1" w:rsidRPr="004F5FB4" w14:paraId="648B5D59" w14:textId="77777777" w:rsidTr="008419B6">
        <w:trPr>
          <w:cantSplit/>
        </w:trPr>
        <w:tc>
          <w:tcPr>
            <w:tcW w:w="4147" w:type="dxa"/>
            <w:vMerge/>
            <w:tcBorders>
              <w:left w:val="single" w:sz="4" w:space="0" w:color="auto"/>
              <w:right w:val="single" w:sz="4" w:space="0" w:color="auto"/>
            </w:tcBorders>
          </w:tcPr>
          <w:p w14:paraId="7DD132C5" w14:textId="77777777" w:rsidR="00437FA1" w:rsidRPr="004F5FB4" w:rsidRDefault="00437FA1"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5D95B397" w14:textId="77777777" w:rsidR="00437FA1" w:rsidRPr="004F5FB4" w:rsidRDefault="00437FA1" w:rsidP="00982118">
            <w:pPr>
              <w:rPr>
                <w:color w:val="000000"/>
              </w:rPr>
            </w:pPr>
            <w:r w:rsidRPr="004F5FB4">
              <w:rPr>
                <w:color w:val="000000"/>
              </w:rPr>
              <w:t>Gelegentlich</w:t>
            </w:r>
          </w:p>
          <w:p w14:paraId="531783CB" w14:textId="77777777" w:rsidR="00437FA1" w:rsidRPr="004F5FB4" w:rsidRDefault="00437FA1" w:rsidP="00982118">
            <w:pPr>
              <w:rPr>
                <w:color w:val="000000"/>
                <w:lang w:val="en-GB"/>
              </w:rPr>
            </w:pPr>
          </w:p>
        </w:tc>
        <w:tc>
          <w:tcPr>
            <w:tcW w:w="0" w:type="auto"/>
            <w:tcBorders>
              <w:left w:val="single" w:sz="4" w:space="0" w:color="auto"/>
              <w:right w:val="single" w:sz="4" w:space="0" w:color="auto"/>
            </w:tcBorders>
          </w:tcPr>
          <w:p w14:paraId="4827D7B7" w14:textId="77777777" w:rsidR="00437FA1" w:rsidRPr="004F5FB4" w:rsidRDefault="00046A80" w:rsidP="00982118">
            <w:pPr>
              <w:rPr>
                <w:color w:val="000000"/>
              </w:rPr>
            </w:pPr>
            <w:r w:rsidRPr="004F5FB4">
              <w:rPr>
                <w:color w:val="000000"/>
              </w:rPr>
              <w:t>zerebrovaskuläre Zwischenfälle</w:t>
            </w:r>
            <w:r w:rsidR="00437FA1" w:rsidRPr="004F5FB4">
              <w:rPr>
                <w:color w:val="000000"/>
                <w:vertAlign w:val="superscript"/>
              </w:rPr>
              <w:t>1</w:t>
            </w:r>
            <w:r w:rsidR="00437FA1" w:rsidRPr="004F5FB4">
              <w:rPr>
                <w:color w:val="000000"/>
              </w:rPr>
              <w:t>,</w:t>
            </w:r>
          </w:p>
          <w:p w14:paraId="3B8B6092" w14:textId="77777777" w:rsidR="00437FA1" w:rsidRPr="004F5FB4" w:rsidRDefault="00437FA1" w:rsidP="00982118">
            <w:pPr>
              <w:rPr>
                <w:color w:val="000000"/>
              </w:rPr>
            </w:pPr>
            <w:r w:rsidRPr="004F5FB4">
              <w:rPr>
                <w:color w:val="000000"/>
              </w:rPr>
              <w:t>Tremor,</w:t>
            </w:r>
          </w:p>
          <w:p w14:paraId="6D0499C0" w14:textId="77777777" w:rsidR="00437FA1" w:rsidRPr="004F5FB4" w:rsidRDefault="00437FA1" w:rsidP="00D4051F">
            <w:pPr>
              <w:rPr>
                <w:color w:val="000000"/>
                <w:lang w:val="en-GB"/>
              </w:rPr>
            </w:pPr>
            <w:r w:rsidRPr="004F5FB4">
              <w:rPr>
                <w:color w:val="000000"/>
              </w:rPr>
              <w:t>Neuropathie</w:t>
            </w:r>
          </w:p>
        </w:tc>
      </w:tr>
      <w:tr w:rsidR="00437FA1" w:rsidRPr="00D42C63" w14:paraId="131771ED" w14:textId="77777777" w:rsidTr="008419B6">
        <w:trPr>
          <w:cantSplit/>
        </w:trPr>
        <w:tc>
          <w:tcPr>
            <w:tcW w:w="4147" w:type="dxa"/>
            <w:vMerge/>
            <w:tcBorders>
              <w:left w:val="single" w:sz="4" w:space="0" w:color="auto"/>
              <w:bottom w:val="single" w:sz="4" w:space="0" w:color="auto"/>
              <w:right w:val="single" w:sz="4" w:space="0" w:color="auto"/>
            </w:tcBorders>
          </w:tcPr>
          <w:p w14:paraId="51891040" w14:textId="77777777" w:rsidR="00437FA1" w:rsidRPr="004F5FB4" w:rsidRDefault="00437FA1"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24136D4" w14:textId="77777777" w:rsidR="00437FA1" w:rsidRPr="004F5FB4" w:rsidRDefault="00437FA1" w:rsidP="00982118">
            <w:pPr>
              <w:rPr>
                <w:color w:val="000000"/>
              </w:rPr>
            </w:pPr>
            <w:r w:rsidRPr="004F5FB4">
              <w:rPr>
                <w:color w:val="000000"/>
              </w:rPr>
              <w:t>Selten</w:t>
            </w:r>
          </w:p>
          <w:p w14:paraId="6AE112BE" w14:textId="77777777" w:rsidR="00437FA1" w:rsidRPr="004F5FB4" w:rsidRDefault="00437FA1" w:rsidP="00982118">
            <w:pPr>
              <w:rPr>
                <w:color w:val="000000"/>
                <w:lang w:val="en-GB"/>
              </w:rPr>
            </w:pPr>
          </w:p>
        </w:tc>
        <w:tc>
          <w:tcPr>
            <w:tcW w:w="0" w:type="auto"/>
            <w:tcBorders>
              <w:left w:val="single" w:sz="4" w:space="0" w:color="auto"/>
              <w:bottom w:val="single" w:sz="4" w:space="0" w:color="auto"/>
              <w:right w:val="single" w:sz="4" w:space="0" w:color="auto"/>
            </w:tcBorders>
          </w:tcPr>
          <w:p w14:paraId="5798F7E9" w14:textId="77777777" w:rsidR="00437FA1" w:rsidRPr="00D42C63" w:rsidRDefault="00A63F9C" w:rsidP="00982118">
            <w:pPr>
              <w:rPr>
                <w:color w:val="000000"/>
              </w:rPr>
            </w:pPr>
            <w:r w:rsidRPr="00D42C63">
              <w:rPr>
                <w:color w:val="000000"/>
              </w:rPr>
              <w:t>M</w:t>
            </w:r>
            <w:r w:rsidR="00437FA1" w:rsidRPr="00D42C63">
              <w:rPr>
                <w:color w:val="000000"/>
              </w:rPr>
              <w:t>ultiple Sklerose,</w:t>
            </w:r>
          </w:p>
          <w:p w14:paraId="226B8D46" w14:textId="77777777" w:rsidR="00437FA1" w:rsidRPr="00D42C63" w:rsidRDefault="00437FA1" w:rsidP="00D4051F">
            <w:pPr>
              <w:rPr>
                <w:color w:val="000000"/>
              </w:rPr>
            </w:pPr>
            <w:r w:rsidRPr="00D42C63">
              <w:rPr>
                <w:color w:val="000000"/>
              </w:rPr>
              <w:t>demyelinisierende Erkrankungen (z. B. Optikusneuritis,</w:t>
            </w:r>
            <w:r w:rsidR="00046A80" w:rsidRPr="00D42C63">
              <w:rPr>
                <w:color w:val="000000"/>
              </w:rPr>
              <w:t xml:space="preserve"> </w:t>
            </w:r>
            <w:r w:rsidRPr="00D42C63">
              <w:rPr>
                <w:color w:val="000000"/>
              </w:rPr>
              <w:t>Guillain-Barré-Syndrom)</w:t>
            </w:r>
            <w:r w:rsidRPr="00D42C63">
              <w:rPr>
                <w:color w:val="000000"/>
                <w:vertAlign w:val="superscript"/>
              </w:rPr>
              <w:t>1</w:t>
            </w:r>
          </w:p>
        </w:tc>
      </w:tr>
      <w:tr w:rsidR="00437FA1" w:rsidRPr="004F5FB4" w14:paraId="499C2BB3"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057A4D1E" w14:textId="77777777" w:rsidR="00437FA1" w:rsidRPr="004F5FB4" w:rsidRDefault="00437FA1" w:rsidP="00D4051F">
            <w:pPr>
              <w:rPr>
                <w:color w:val="000000"/>
              </w:rPr>
            </w:pPr>
            <w:r w:rsidRPr="004F5FB4">
              <w:rPr>
                <w:color w:val="000000"/>
              </w:rPr>
              <w:t>Augenerkrankungen</w:t>
            </w:r>
          </w:p>
        </w:tc>
        <w:tc>
          <w:tcPr>
            <w:tcW w:w="2557" w:type="dxa"/>
            <w:tcBorders>
              <w:top w:val="single" w:sz="4" w:space="0" w:color="auto"/>
              <w:left w:val="single" w:sz="4" w:space="0" w:color="auto"/>
              <w:right w:val="single" w:sz="4" w:space="0" w:color="auto"/>
            </w:tcBorders>
          </w:tcPr>
          <w:p w14:paraId="3FED3E55" w14:textId="77777777" w:rsidR="00437FA1" w:rsidRPr="004F5FB4" w:rsidRDefault="00437FA1" w:rsidP="00D4051F">
            <w:pPr>
              <w:rPr>
                <w:color w:val="000000"/>
              </w:rPr>
            </w:pPr>
            <w:r w:rsidRPr="004F5FB4">
              <w:rPr>
                <w:color w:val="000000"/>
              </w:rPr>
              <w:t>Häufig</w:t>
            </w:r>
          </w:p>
          <w:p w14:paraId="0B7D12D5" w14:textId="77777777" w:rsidR="00437FA1" w:rsidRPr="004F5FB4" w:rsidRDefault="00437FA1" w:rsidP="00D4051F">
            <w:pPr>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58482196" w14:textId="77777777" w:rsidR="00437FA1" w:rsidRPr="004F5FB4" w:rsidRDefault="00B633E5" w:rsidP="00D4051F">
            <w:pPr>
              <w:autoSpaceDE w:val="0"/>
              <w:autoSpaceDN w:val="0"/>
              <w:adjustRightInd w:val="0"/>
              <w:rPr>
                <w:color w:val="000000"/>
              </w:rPr>
            </w:pPr>
            <w:r w:rsidRPr="004F5FB4">
              <w:rPr>
                <w:color w:val="000000"/>
              </w:rPr>
              <w:t>eingeschränktes Sehvermögen,</w:t>
            </w:r>
          </w:p>
          <w:p w14:paraId="623D57C6" w14:textId="77777777" w:rsidR="00437FA1" w:rsidRPr="004F5FB4" w:rsidRDefault="00437FA1" w:rsidP="00D4051F">
            <w:pPr>
              <w:autoSpaceDE w:val="0"/>
              <w:autoSpaceDN w:val="0"/>
              <w:adjustRightInd w:val="0"/>
              <w:rPr>
                <w:color w:val="000000"/>
              </w:rPr>
            </w:pPr>
            <w:r w:rsidRPr="004F5FB4">
              <w:rPr>
                <w:color w:val="000000"/>
              </w:rPr>
              <w:t>Konjunktivitis,</w:t>
            </w:r>
          </w:p>
          <w:p w14:paraId="665D306D" w14:textId="77777777" w:rsidR="00437FA1" w:rsidRPr="004F5FB4" w:rsidRDefault="00437FA1" w:rsidP="00D4051F">
            <w:pPr>
              <w:autoSpaceDE w:val="0"/>
              <w:autoSpaceDN w:val="0"/>
              <w:adjustRightInd w:val="0"/>
              <w:rPr>
                <w:color w:val="000000"/>
              </w:rPr>
            </w:pPr>
            <w:r w:rsidRPr="004F5FB4">
              <w:rPr>
                <w:color w:val="000000"/>
              </w:rPr>
              <w:t>Blepharitis,</w:t>
            </w:r>
          </w:p>
          <w:p w14:paraId="2017BC36" w14:textId="77777777" w:rsidR="00437FA1" w:rsidRPr="004F5FB4" w:rsidRDefault="00437FA1" w:rsidP="00D4051F">
            <w:pPr>
              <w:rPr>
                <w:color w:val="000000"/>
              </w:rPr>
            </w:pPr>
            <w:r w:rsidRPr="004F5FB4">
              <w:rPr>
                <w:color w:val="000000"/>
              </w:rPr>
              <w:t>Anschwellen des Auges</w:t>
            </w:r>
          </w:p>
        </w:tc>
      </w:tr>
      <w:tr w:rsidR="00437FA1" w:rsidRPr="004F5FB4" w14:paraId="53D52BC4" w14:textId="77777777" w:rsidTr="008419B6">
        <w:trPr>
          <w:cantSplit/>
        </w:trPr>
        <w:tc>
          <w:tcPr>
            <w:tcW w:w="4147" w:type="dxa"/>
            <w:vMerge/>
            <w:tcBorders>
              <w:left w:val="single" w:sz="4" w:space="0" w:color="auto"/>
              <w:bottom w:val="single" w:sz="4" w:space="0" w:color="auto"/>
              <w:right w:val="single" w:sz="4" w:space="0" w:color="auto"/>
            </w:tcBorders>
          </w:tcPr>
          <w:p w14:paraId="074541D4" w14:textId="77777777" w:rsidR="00437FA1" w:rsidRPr="004F5FB4" w:rsidRDefault="00437FA1" w:rsidP="00D4051F">
            <w:pPr>
              <w:rPr>
                <w:color w:val="000000"/>
              </w:rPr>
            </w:pPr>
          </w:p>
        </w:tc>
        <w:tc>
          <w:tcPr>
            <w:tcW w:w="2557" w:type="dxa"/>
            <w:tcBorders>
              <w:left w:val="single" w:sz="4" w:space="0" w:color="auto"/>
              <w:bottom w:val="single" w:sz="4" w:space="0" w:color="auto"/>
              <w:right w:val="single" w:sz="4" w:space="0" w:color="auto"/>
            </w:tcBorders>
          </w:tcPr>
          <w:p w14:paraId="06FB26A7" w14:textId="77777777" w:rsidR="00B633E5" w:rsidRPr="004F5FB4" w:rsidRDefault="00B633E5" w:rsidP="00D4051F">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6C0696D4" w14:textId="77777777" w:rsidR="00437FA1" w:rsidRPr="004F5FB4" w:rsidRDefault="00B633E5" w:rsidP="00D4051F">
            <w:pPr>
              <w:rPr>
                <w:color w:val="000000"/>
                <w:lang w:val="en-GB"/>
              </w:rPr>
            </w:pPr>
            <w:r w:rsidRPr="004F5FB4">
              <w:rPr>
                <w:color w:val="000000"/>
              </w:rPr>
              <w:t>Doppeltsehen</w:t>
            </w:r>
          </w:p>
        </w:tc>
      </w:tr>
      <w:tr w:rsidR="00B633E5" w:rsidRPr="004F5FB4" w14:paraId="0E6D0554"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33FCD5A5" w14:textId="77777777" w:rsidR="00B633E5" w:rsidRPr="004F5FB4" w:rsidRDefault="00B633E5" w:rsidP="00D4051F">
            <w:pPr>
              <w:rPr>
                <w:color w:val="000000"/>
              </w:rPr>
            </w:pPr>
            <w:r w:rsidRPr="004F5FB4">
              <w:rPr>
                <w:color w:val="000000"/>
              </w:rPr>
              <w:t>Erkrankungen des Ohres und des Labyrinths</w:t>
            </w:r>
          </w:p>
        </w:tc>
        <w:tc>
          <w:tcPr>
            <w:tcW w:w="2557" w:type="dxa"/>
            <w:tcBorders>
              <w:top w:val="single" w:sz="4" w:space="0" w:color="auto"/>
              <w:left w:val="single" w:sz="4" w:space="0" w:color="auto"/>
              <w:bottom w:val="single" w:sz="4" w:space="0" w:color="auto"/>
              <w:right w:val="single" w:sz="4" w:space="0" w:color="auto"/>
            </w:tcBorders>
          </w:tcPr>
          <w:p w14:paraId="059CF3CF" w14:textId="77777777" w:rsidR="00B633E5" w:rsidRPr="004F5FB4" w:rsidRDefault="00B633E5" w:rsidP="00D4051F">
            <w:pPr>
              <w:rPr>
                <w:color w:val="000000"/>
                <w:lang w:val="en-GB"/>
              </w:rPr>
            </w:pPr>
            <w:r w:rsidRPr="004F5FB4">
              <w:rPr>
                <w:color w:val="000000"/>
              </w:rPr>
              <w:t>Häufig</w:t>
            </w:r>
          </w:p>
        </w:tc>
        <w:tc>
          <w:tcPr>
            <w:tcW w:w="0" w:type="auto"/>
            <w:tcBorders>
              <w:top w:val="single" w:sz="4" w:space="0" w:color="auto"/>
              <w:left w:val="single" w:sz="4" w:space="0" w:color="auto"/>
              <w:right w:val="single" w:sz="4" w:space="0" w:color="auto"/>
            </w:tcBorders>
          </w:tcPr>
          <w:p w14:paraId="71421002" w14:textId="77777777" w:rsidR="00B633E5" w:rsidRPr="004F5FB4" w:rsidRDefault="00B633E5" w:rsidP="00D4051F">
            <w:pPr>
              <w:rPr>
                <w:color w:val="000000"/>
                <w:lang w:val="en-GB"/>
              </w:rPr>
            </w:pPr>
            <w:r w:rsidRPr="004F5FB4">
              <w:rPr>
                <w:color w:val="000000"/>
              </w:rPr>
              <w:t>Schwindel</w:t>
            </w:r>
          </w:p>
        </w:tc>
      </w:tr>
      <w:tr w:rsidR="00B633E5" w:rsidRPr="004F5FB4" w14:paraId="5B8E31CF" w14:textId="77777777" w:rsidTr="008419B6">
        <w:trPr>
          <w:cantSplit/>
        </w:trPr>
        <w:tc>
          <w:tcPr>
            <w:tcW w:w="4147" w:type="dxa"/>
            <w:vMerge/>
            <w:tcBorders>
              <w:left w:val="single" w:sz="4" w:space="0" w:color="auto"/>
              <w:bottom w:val="single" w:sz="4" w:space="0" w:color="auto"/>
              <w:right w:val="single" w:sz="4" w:space="0" w:color="auto"/>
            </w:tcBorders>
          </w:tcPr>
          <w:p w14:paraId="077230E0" w14:textId="77777777" w:rsidR="00B633E5" w:rsidRPr="004F5FB4" w:rsidRDefault="00B633E5" w:rsidP="00D4051F">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42C9AE2F" w14:textId="77777777" w:rsidR="00B633E5" w:rsidRPr="004F5FB4" w:rsidRDefault="00B633E5" w:rsidP="00D4051F">
            <w:pPr>
              <w:rPr>
                <w:color w:val="000000"/>
              </w:rPr>
            </w:pPr>
            <w:r w:rsidRPr="004F5FB4">
              <w:rPr>
                <w:color w:val="000000"/>
              </w:rPr>
              <w:t>Gelegentlich</w:t>
            </w:r>
          </w:p>
        </w:tc>
        <w:tc>
          <w:tcPr>
            <w:tcW w:w="0" w:type="auto"/>
            <w:tcBorders>
              <w:left w:val="single" w:sz="4" w:space="0" w:color="auto"/>
              <w:bottom w:val="single" w:sz="4" w:space="0" w:color="auto"/>
              <w:right w:val="single" w:sz="4" w:space="0" w:color="auto"/>
            </w:tcBorders>
          </w:tcPr>
          <w:p w14:paraId="4E2C0C60" w14:textId="77777777" w:rsidR="00B633E5" w:rsidRPr="004F5FB4" w:rsidRDefault="00B633E5" w:rsidP="00D4051F">
            <w:pPr>
              <w:rPr>
                <w:color w:val="000000"/>
              </w:rPr>
            </w:pPr>
            <w:r w:rsidRPr="004F5FB4">
              <w:rPr>
                <w:color w:val="000000"/>
              </w:rPr>
              <w:t>Taubheit,</w:t>
            </w:r>
          </w:p>
          <w:p w14:paraId="0AE3ADC6" w14:textId="77777777" w:rsidR="00B633E5" w:rsidRPr="004F5FB4" w:rsidRDefault="00B633E5" w:rsidP="00D4051F">
            <w:pPr>
              <w:rPr>
                <w:color w:val="000000"/>
                <w:lang w:val="en-GB"/>
              </w:rPr>
            </w:pPr>
            <w:r w:rsidRPr="004F5FB4">
              <w:rPr>
                <w:color w:val="000000"/>
              </w:rPr>
              <w:t>Tinnitus</w:t>
            </w:r>
          </w:p>
        </w:tc>
      </w:tr>
      <w:tr w:rsidR="00B633E5" w:rsidRPr="004F5FB4" w14:paraId="51DB0B14"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919CAD5" w14:textId="77777777" w:rsidR="00B633E5" w:rsidRPr="004F5FB4" w:rsidRDefault="00B633E5" w:rsidP="00D4051F">
            <w:pPr>
              <w:keepNext/>
              <w:keepLines/>
              <w:rPr>
                <w:color w:val="000000"/>
              </w:rPr>
            </w:pPr>
            <w:r w:rsidRPr="004F5FB4">
              <w:rPr>
                <w:color w:val="000000"/>
              </w:rPr>
              <w:t>Herzerkrankungen*</w:t>
            </w:r>
          </w:p>
        </w:tc>
        <w:tc>
          <w:tcPr>
            <w:tcW w:w="2557" w:type="dxa"/>
            <w:tcBorders>
              <w:top w:val="single" w:sz="4" w:space="0" w:color="auto"/>
              <w:left w:val="single" w:sz="4" w:space="0" w:color="auto"/>
              <w:bottom w:val="single" w:sz="4" w:space="0" w:color="auto"/>
              <w:right w:val="single" w:sz="4" w:space="0" w:color="auto"/>
            </w:tcBorders>
          </w:tcPr>
          <w:p w14:paraId="6D873826" w14:textId="77777777" w:rsidR="00B633E5" w:rsidRPr="004F5FB4" w:rsidRDefault="00B633E5" w:rsidP="00D4051F">
            <w:pPr>
              <w:keepNext/>
              <w:keepLines/>
              <w:rPr>
                <w:color w:val="000000"/>
                <w:lang w:val="en-GB"/>
              </w:rPr>
            </w:pPr>
            <w:r w:rsidRPr="004F5FB4">
              <w:rPr>
                <w:color w:val="000000"/>
              </w:rPr>
              <w:t>Häufig</w:t>
            </w:r>
          </w:p>
        </w:tc>
        <w:tc>
          <w:tcPr>
            <w:tcW w:w="0" w:type="auto"/>
            <w:tcBorders>
              <w:top w:val="single" w:sz="4" w:space="0" w:color="auto"/>
              <w:left w:val="single" w:sz="4" w:space="0" w:color="auto"/>
              <w:right w:val="single" w:sz="4" w:space="0" w:color="auto"/>
            </w:tcBorders>
          </w:tcPr>
          <w:p w14:paraId="778203DC" w14:textId="77777777" w:rsidR="00B633E5" w:rsidRPr="004F5FB4" w:rsidRDefault="00B633E5" w:rsidP="00D4051F">
            <w:pPr>
              <w:keepNext/>
              <w:keepLines/>
              <w:rPr>
                <w:color w:val="000000"/>
                <w:lang w:val="en-GB"/>
              </w:rPr>
            </w:pPr>
            <w:r w:rsidRPr="004F5FB4">
              <w:rPr>
                <w:color w:val="000000"/>
              </w:rPr>
              <w:t>Tachykardie</w:t>
            </w:r>
          </w:p>
        </w:tc>
      </w:tr>
      <w:tr w:rsidR="00B633E5" w:rsidRPr="004F5FB4" w14:paraId="03A5E18B" w14:textId="77777777" w:rsidTr="008419B6">
        <w:trPr>
          <w:cantSplit/>
        </w:trPr>
        <w:tc>
          <w:tcPr>
            <w:tcW w:w="4147" w:type="dxa"/>
            <w:vMerge/>
            <w:tcBorders>
              <w:left w:val="single" w:sz="4" w:space="0" w:color="auto"/>
              <w:right w:val="single" w:sz="4" w:space="0" w:color="auto"/>
            </w:tcBorders>
          </w:tcPr>
          <w:p w14:paraId="5B44D75B" w14:textId="77777777" w:rsidR="00B633E5" w:rsidRPr="004F5FB4" w:rsidRDefault="00B633E5" w:rsidP="00D4051F">
            <w:pPr>
              <w:keepNext/>
              <w:keepLines/>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7B0696C5" w14:textId="77777777" w:rsidR="00B633E5" w:rsidRPr="004F5FB4" w:rsidRDefault="00B633E5" w:rsidP="00D4051F">
            <w:pPr>
              <w:keepNext/>
              <w:keepLines/>
              <w:rPr>
                <w:color w:val="000000"/>
              </w:rPr>
            </w:pPr>
            <w:r w:rsidRPr="004F5FB4">
              <w:rPr>
                <w:color w:val="000000"/>
              </w:rPr>
              <w:t>Gelegentlich</w:t>
            </w:r>
          </w:p>
          <w:p w14:paraId="46D3062B" w14:textId="77777777" w:rsidR="00B633E5" w:rsidRPr="004F5FB4" w:rsidRDefault="00B633E5" w:rsidP="00D4051F">
            <w:pPr>
              <w:keepNext/>
              <w:keepLines/>
              <w:rPr>
                <w:color w:val="000000"/>
                <w:lang w:val="en-GB"/>
              </w:rPr>
            </w:pPr>
          </w:p>
        </w:tc>
        <w:tc>
          <w:tcPr>
            <w:tcW w:w="0" w:type="auto"/>
            <w:tcBorders>
              <w:left w:val="single" w:sz="4" w:space="0" w:color="auto"/>
              <w:right w:val="single" w:sz="4" w:space="0" w:color="auto"/>
            </w:tcBorders>
          </w:tcPr>
          <w:p w14:paraId="28A06A2D" w14:textId="77777777" w:rsidR="00B633E5" w:rsidRPr="004F5FB4" w:rsidRDefault="00B633E5" w:rsidP="00D4051F">
            <w:pPr>
              <w:keepNext/>
              <w:keepLines/>
              <w:autoSpaceDE w:val="0"/>
              <w:autoSpaceDN w:val="0"/>
              <w:adjustRightInd w:val="0"/>
              <w:rPr>
                <w:color w:val="000000"/>
              </w:rPr>
            </w:pPr>
            <w:r w:rsidRPr="004F5FB4">
              <w:rPr>
                <w:color w:val="000000"/>
              </w:rPr>
              <w:t>Myokardinfarkt</w:t>
            </w:r>
            <w:r w:rsidRPr="004F5FB4">
              <w:rPr>
                <w:color w:val="000000"/>
                <w:vertAlign w:val="superscript"/>
              </w:rPr>
              <w:t>1</w:t>
            </w:r>
            <w:r w:rsidRPr="004F5FB4">
              <w:rPr>
                <w:color w:val="000000"/>
              </w:rPr>
              <w:t>,</w:t>
            </w:r>
          </w:p>
          <w:p w14:paraId="2D160FEC" w14:textId="77777777" w:rsidR="00B633E5" w:rsidRPr="004F5FB4" w:rsidRDefault="00B633E5" w:rsidP="00D4051F">
            <w:pPr>
              <w:keepNext/>
              <w:keepLines/>
              <w:autoSpaceDE w:val="0"/>
              <w:autoSpaceDN w:val="0"/>
              <w:adjustRightInd w:val="0"/>
              <w:rPr>
                <w:color w:val="000000"/>
              </w:rPr>
            </w:pPr>
            <w:r w:rsidRPr="004F5FB4">
              <w:rPr>
                <w:color w:val="000000"/>
              </w:rPr>
              <w:t>Arrhythmie,</w:t>
            </w:r>
          </w:p>
          <w:p w14:paraId="426DA6D4" w14:textId="77777777" w:rsidR="00B633E5" w:rsidRPr="004F5FB4" w:rsidRDefault="00B633E5" w:rsidP="00D4051F">
            <w:pPr>
              <w:keepNext/>
              <w:keepLines/>
              <w:rPr>
                <w:color w:val="000000"/>
                <w:lang w:val="en-GB"/>
              </w:rPr>
            </w:pPr>
            <w:r w:rsidRPr="004F5FB4">
              <w:rPr>
                <w:color w:val="000000"/>
              </w:rPr>
              <w:t>dekompensierte Herzinsuffizienz</w:t>
            </w:r>
          </w:p>
        </w:tc>
      </w:tr>
      <w:tr w:rsidR="00B633E5" w:rsidRPr="004F5FB4" w14:paraId="0517C1C7" w14:textId="77777777" w:rsidTr="008419B6">
        <w:trPr>
          <w:cantSplit/>
        </w:trPr>
        <w:tc>
          <w:tcPr>
            <w:tcW w:w="4147" w:type="dxa"/>
            <w:vMerge/>
            <w:tcBorders>
              <w:left w:val="single" w:sz="4" w:space="0" w:color="auto"/>
              <w:bottom w:val="single" w:sz="4" w:space="0" w:color="auto"/>
              <w:right w:val="single" w:sz="4" w:space="0" w:color="auto"/>
            </w:tcBorders>
          </w:tcPr>
          <w:p w14:paraId="0DCA52C3" w14:textId="77777777" w:rsidR="00B633E5" w:rsidRPr="004F5FB4" w:rsidRDefault="00B633E5" w:rsidP="00D4051F">
            <w:pPr>
              <w:keepNext/>
              <w:keepLines/>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25D5BE56" w14:textId="77777777" w:rsidR="00B633E5" w:rsidRPr="004F5FB4" w:rsidRDefault="00B633E5" w:rsidP="00D4051F">
            <w:pPr>
              <w:keepNext/>
              <w:keepLines/>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13F3A543" w14:textId="77777777" w:rsidR="00B633E5" w:rsidRPr="004F5FB4" w:rsidRDefault="00B633E5" w:rsidP="00D4051F">
            <w:pPr>
              <w:keepNext/>
              <w:keepLines/>
              <w:rPr>
                <w:color w:val="000000"/>
                <w:lang w:val="en-GB"/>
              </w:rPr>
            </w:pPr>
            <w:r w:rsidRPr="004F5FB4">
              <w:rPr>
                <w:color w:val="000000"/>
              </w:rPr>
              <w:t>Herzstillstand</w:t>
            </w:r>
          </w:p>
        </w:tc>
      </w:tr>
      <w:tr w:rsidR="00B633E5" w:rsidRPr="004F5FB4" w14:paraId="311397D6"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B7198E0" w14:textId="77777777" w:rsidR="00B633E5" w:rsidRPr="004F5FB4" w:rsidRDefault="00B633E5" w:rsidP="00982118">
            <w:pPr>
              <w:rPr>
                <w:color w:val="000000"/>
              </w:rPr>
            </w:pPr>
            <w:r w:rsidRPr="004F5FB4">
              <w:rPr>
                <w:color w:val="000000"/>
              </w:rPr>
              <w:t>Gefäßerkrankungen</w:t>
            </w:r>
          </w:p>
        </w:tc>
        <w:tc>
          <w:tcPr>
            <w:tcW w:w="2557" w:type="dxa"/>
            <w:tcBorders>
              <w:top w:val="single" w:sz="4" w:space="0" w:color="auto"/>
              <w:left w:val="single" w:sz="4" w:space="0" w:color="auto"/>
              <w:bottom w:val="single" w:sz="4" w:space="0" w:color="auto"/>
              <w:right w:val="single" w:sz="4" w:space="0" w:color="auto"/>
            </w:tcBorders>
          </w:tcPr>
          <w:p w14:paraId="5002C24F" w14:textId="77777777" w:rsidR="00B633E5" w:rsidRPr="004F5FB4" w:rsidRDefault="00B633E5" w:rsidP="00982118">
            <w:pPr>
              <w:rPr>
                <w:color w:val="000000"/>
              </w:rPr>
            </w:pPr>
            <w:r w:rsidRPr="004F5FB4">
              <w:rPr>
                <w:color w:val="000000"/>
              </w:rPr>
              <w:t>Häufig</w:t>
            </w:r>
          </w:p>
          <w:p w14:paraId="14E53123" w14:textId="77777777" w:rsidR="00B633E5" w:rsidRPr="004F5FB4" w:rsidRDefault="00B633E5" w:rsidP="00982118">
            <w:pPr>
              <w:rPr>
                <w:color w:val="000000"/>
                <w:lang w:val="en-GB"/>
              </w:rPr>
            </w:pPr>
          </w:p>
        </w:tc>
        <w:tc>
          <w:tcPr>
            <w:tcW w:w="0" w:type="auto"/>
            <w:tcBorders>
              <w:top w:val="single" w:sz="4" w:space="0" w:color="auto"/>
              <w:left w:val="single" w:sz="4" w:space="0" w:color="auto"/>
              <w:right w:val="single" w:sz="4" w:space="0" w:color="auto"/>
            </w:tcBorders>
          </w:tcPr>
          <w:p w14:paraId="379AB66D" w14:textId="77777777" w:rsidR="00B633E5" w:rsidRPr="004F5FB4" w:rsidRDefault="00B633E5" w:rsidP="00982118">
            <w:pPr>
              <w:autoSpaceDE w:val="0"/>
              <w:autoSpaceDN w:val="0"/>
              <w:adjustRightInd w:val="0"/>
              <w:rPr>
                <w:color w:val="000000"/>
              </w:rPr>
            </w:pPr>
            <w:r w:rsidRPr="004F5FB4">
              <w:rPr>
                <w:color w:val="000000"/>
              </w:rPr>
              <w:t>Hypertonie,</w:t>
            </w:r>
          </w:p>
          <w:p w14:paraId="45553B9B" w14:textId="77777777" w:rsidR="00B633E5" w:rsidRPr="004F5FB4" w:rsidRDefault="00B633E5" w:rsidP="00982118">
            <w:pPr>
              <w:autoSpaceDE w:val="0"/>
              <w:autoSpaceDN w:val="0"/>
              <w:adjustRightInd w:val="0"/>
              <w:rPr>
                <w:color w:val="000000"/>
              </w:rPr>
            </w:pPr>
            <w:r w:rsidRPr="004F5FB4">
              <w:rPr>
                <w:color w:val="000000"/>
              </w:rPr>
              <w:t>Hitzegefühl,</w:t>
            </w:r>
          </w:p>
          <w:p w14:paraId="71DC7223" w14:textId="77777777" w:rsidR="00B633E5" w:rsidRPr="004F5FB4" w:rsidRDefault="00B633E5" w:rsidP="00D4051F">
            <w:pPr>
              <w:rPr>
                <w:color w:val="000000"/>
                <w:lang w:val="en-GB"/>
              </w:rPr>
            </w:pPr>
            <w:r w:rsidRPr="004F5FB4">
              <w:rPr>
                <w:color w:val="000000"/>
              </w:rPr>
              <w:t>Hämatome</w:t>
            </w:r>
          </w:p>
        </w:tc>
      </w:tr>
      <w:tr w:rsidR="00B633E5" w:rsidRPr="004F5FB4" w14:paraId="1FFF96E3" w14:textId="77777777" w:rsidTr="008419B6">
        <w:trPr>
          <w:cantSplit/>
        </w:trPr>
        <w:tc>
          <w:tcPr>
            <w:tcW w:w="4147" w:type="dxa"/>
            <w:vMerge/>
            <w:tcBorders>
              <w:left w:val="single" w:sz="4" w:space="0" w:color="auto"/>
              <w:bottom w:val="single" w:sz="4" w:space="0" w:color="auto"/>
              <w:right w:val="single" w:sz="4" w:space="0" w:color="auto"/>
            </w:tcBorders>
          </w:tcPr>
          <w:p w14:paraId="57B4AE9A" w14:textId="77777777" w:rsidR="00B633E5" w:rsidRPr="004F5FB4" w:rsidRDefault="00B633E5"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499B3D2F" w14:textId="77777777" w:rsidR="00B633E5" w:rsidRPr="004F5FB4" w:rsidRDefault="00B633E5" w:rsidP="00982118">
            <w:pPr>
              <w:rPr>
                <w:color w:val="000000"/>
              </w:rPr>
            </w:pPr>
            <w:r w:rsidRPr="004F5FB4">
              <w:rPr>
                <w:color w:val="000000"/>
              </w:rPr>
              <w:t>Gelegentlich</w:t>
            </w:r>
          </w:p>
        </w:tc>
        <w:tc>
          <w:tcPr>
            <w:tcW w:w="0" w:type="auto"/>
            <w:tcBorders>
              <w:left w:val="single" w:sz="4" w:space="0" w:color="auto"/>
              <w:bottom w:val="single" w:sz="4" w:space="0" w:color="auto"/>
              <w:right w:val="single" w:sz="4" w:space="0" w:color="auto"/>
            </w:tcBorders>
          </w:tcPr>
          <w:p w14:paraId="63871BD9" w14:textId="77777777" w:rsidR="00B633E5" w:rsidRPr="004F5FB4" w:rsidRDefault="00B633E5" w:rsidP="00982118">
            <w:pPr>
              <w:autoSpaceDE w:val="0"/>
              <w:autoSpaceDN w:val="0"/>
              <w:adjustRightInd w:val="0"/>
              <w:rPr>
                <w:color w:val="000000"/>
              </w:rPr>
            </w:pPr>
            <w:r w:rsidRPr="004F5FB4">
              <w:rPr>
                <w:color w:val="000000"/>
              </w:rPr>
              <w:t>Aortenaneurysma,</w:t>
            </w:r>
          </w:p>
          <w:p w14:paraId="514443A0" w14:textId="77777777" w:rsidR="00B633E5" w:rsidRPr="004F5FB4" w:rsidRDefault="00B633E5" w:rsidP="00982118">
            <w:pPr>
              <w:autoSpaceDE w:val="0"/>
              <w:autoSpaceDN w:val="0"/>
              <w:adjustRightInd w:val="0"/>
              <w:rPr>
                <w:color w:val="000000"/>
              </w:rPr>
            </w:pPr>
            <w:r w:rsidRPr="004F5FB4">
              <w:rPr>
                <w:color w:val="000000"/>
              </w:rPr>
              <w:t>arterieller Gefäßverschluss,</w:t>
            </w:r>
          </w:p>
          <w:p w14:paraId="42E32B44" w14:textId="77777777" w:rsidR="00B633E5" w:rsidRPr="004F5FB4" w:rsidDel="00B633E5" w:rsidRDefault="00B633E5" w:rsidP="00D4051F">
            <w:pPr>
              <w:rPr>
                <w:color w:val="000000"/>
                <w:lang w:val="en-GB"/>
              </w:rPr>
            </w:pPr>
            <w:r w:rsidRPr="004F5FB4">
              <w:rPr>
                <w:color w:val="000000"/>
              </w:rPr>
              <w:t>Thrombophlebitis</w:t>
            </w:r>
          </w:p>
        </w:tc>
      </w:tr>
      <w:tr w:rsidR="00B633E5" w:rsidRPr="004F5FB4" w14:paraId="657BC8F4"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2B4C4B5F" w14:textId="77777777" w:rsidR="00B633E5" w:rsidRPr="004F5FB4" w:rsidRDefault="00B633E5" w:rsidP="00982118">
            <w:pPr>
              <w:autoSpaceDE w:val="0"/>
              <w:autoSpaceDN w:val="0"/>
              <w:adjustRightInd w:val="0"/>
              <w:rPr>
                <w:color w:val="000000"/>
              </w:rPr>
            </w:pPr>
            <w:r w:rsidRPr="004F5FB4">
              <w:rPr>
                <w:color w:val="000000"/>
              </w:rPr>
              <w:t>Erkrankungen der Atemwege, des Brustraumes und Mediastinums*</w:t>
            </w:r>
          </w:p>
        </w:tc>
        <w:tc>
          <w:tcPr>
            <w:tcW w:w="2557" w:type="dxa"/>
            <w:tcBorders>
              <w:top w:val="single" w:sz="4" w:space="0" w:color="auto"/>
              <w:left w:val="single" w:sz="4" w:space="0" w:color="auto"/>
              <w:bottom w:val="single" w:sz="4" w:space="0" w:color="auto"/>
              <w:right w:val="single" w:sz="4" w:space="0" w:color="auto"/>
            </w:tcBorders>
          </w:tcPr>
          <w:p w14:paraId="28F44B3D" w14:textId="77777777" w:rsidR="00B633E5" w:rsidRPr="004F5FB4" w:rsidRDefault="00B633E5" w:rsidP="00982118">
            <w:pPr>
              <w:rPr>
                <w:color w:val="000000"/>
              </w:rPr>
            </w:pPr>
            <w:r w:rsidRPr="004F5FB4">
              <w:rPr>
                <w:color w:val="000000"/>
              </w:rPr>
              <w:t>Häufig</w:t>
            </w:r>
          </w:p>
          <w:p w14:paraId="3EF720D4" w14:textId="77777777" w:rsidR="00B633E5" w:rsidRPr="004F5FB4" w:rsidRDefault="00B633E5" w:rsidP="00982118">
            <w:pPr>
              <w:rPr>
                <w:color w:val="000000"/>
                <w:lang w:val="en-GB"/>
              </w:rPr>
            </w:pPr>
          </w:p>
        </w:tc>
        <w:tc>
          <w:tcPr>
            <w:tcW w:w="0" w:type="auto"/>
            <w:tcBorders>
              <w:top w:val="single" w:sz="4" w:space="0" w:color="auto"/>
              <w:left w:val="single" w:sz="4" w:space="0" w:color="auto"/>
              <w:right w:val="single" w:sz="4" w:space="0" w:color="auto"/>
            </w:tcBorders>
          </w:tcPr>
          <w:p w14:paraId="29B32B4D" w14:textId="77777777" w:rsidR="00B633E5" w:rsidRPr="004F5FB4" w:rsidRDefault="00B633E5" w:rsidP="00982118">
            <w:pPr>
              <w:autoSpaceDE w:val="0"/>
              <w:autoSpaceDN w:val="0"/>
              <w:adjustRightInd w:val="0"/>
              <w:rPr>
                <w:color w:val="000000"/>
              </w:rPr>
            </w:pPr>
            <w:r w:rsidRPr="004F5FB4">
              <w:rPr>
                <w:color w:val="000000"/>
              </w:rPr>
              <w:t>Asthma,</w:t>
            </w:r>
          </w:p>
          <w:p w14:paraId="5990EAFC" w14:textId="77777777" w:rsidR="00B633E5" w:rsidRPr="004F5FB4" w:rsidRDefault="00B633E5" w:rsidP="00982118">
            <w:pPr>
              <w:autoSpaceDE w:val="0"/>
              <w:autoSpaceDN w:val="0"/>
              <w:adjustRightInd w:val="0"/>
              <w:rPr>
                <w:color w:val="000000"/>
              </w:rPr>
            </w:pPr>
            <w:r w:rsidRPr="004F5FB4">
              <w:rPr>
                <w:color w:val="000000"/>
              </w:rPr>
              <w:t>Dyspnoe,</w:t>
            </w:r>
          </w:p>
          <w:p w14:paraId="2793A05D" w14:textId="77777777" w:rsidR="00B633E5" w:rsidRPr="004F5FB4" w:rsidRDefault="00B633E5" w:rsidP="00D4051F">
            <w:pPr>
              <w:autoSpaceDE w:val="0"/>
              <w:autoSpaceDN w:val="0"/>
              <w:adjustRightInd w:val="0"/>
              <w:rPr>
                <w:color w:val="000000"/>
                <w:lang w:val="en-GB"/>
              </w:rPr>
            </w:pPr>
            <w:r w:rsidRPr="004F5FB4">
              <w:rPr>
                <w:color w:val="000000"/>
              </w:rPr>
              <w:t>Husten</w:t>
            </w:r>
          </w:p>
        </w:tc>
      </w:tr>
      <w:tr w:rsidR="00B633E5" w:rsidRPr="004F5FB4" w14:paraId="0C24926A" w14:textId="77777777" w:rsidTr="008419B6">
        <w:trPr>
          <w:cantSplit/>
        </w:trPr>
        <w:tc>
          <w:tcPr>
            <w:tcW w:w="4147" w:type="dxa"/>
            <w:vMerge/>
            <w:tcBorders>
              <w:left w:val="single" w:sz="4" w:space="0" w:color="auto"/>
              <w:right w:val="single" w:sz="4" w:space="0" w:color="auto"/>
            </w:tcBorders>
          </w:tcPr>
          <w:p w14:paraId="58D9292F" w14:textId="77777777" w:rsidR="00B633E5" w:rsidRPr="004F5FB4" w:rsidRDefault="00B633E5" w:rsidP="00982118">
            <w:pPr>
              <w:autoSpaceDE w:val="0"/>
              <w:autoSpaceDN w:val="0"/>
              <w:adjustRightInd w:val="0"/>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E0DC32C" w14:textId="77777777" w:rsidR="00B633E5" w:rsidRPr="004F5FB4" w:rsidRDefault="00B633E5" w:rsidP="00982118">
            <w:pPr>
              <w:rPr>
                <w:color w:val="000000"/>
              </w:rPr>
            </w:pPr>
            <w:r w:rsidRPr="004F5FB4">
              <w:rPr>
                <w:color w:val="000000"/>
              </w:rPr>
              <w:t>Gelegentlich</w:t>
            </w:r>
          </w:p>
          <w:p w14:paraId="11053352" w14:textId="77777777" w:rsidR="00B633E5" w:rsidRPr="004F5FB4" w:rsidRDefault="00B633E5" w:rsidP="00982118">
            <w:pPr>
              <w:rPr>
                <w:color w:val="000000"/>
                <w:lang w:val="en-GB"/>
              </w:rPr>
            </w:pPr>
          </w:p>
        </w:tc>
        <w:tc>
          <w:tcPr>
            <w:tcW w:w="0" w:type="auto"/>
            <w:tcBorders>
              <w:left w:val="single" w:sz="4" w:space="0" w:color="auto"/>
              <w:right w:val="single" w:sz="4" w:space="0" w:color="auto"/>
            </w:tcBorders>
          </w:tcPr>
          <w:p w14:paraId="0F8E9D72" w14:textId="77777777" w:rsidR="00B633E5" w:rsidRPr="004F5FB4" w:rsidRDefault="00B633E5" w:rsidP="00982118">
            <w:pPr>
              <w:autoSpaceDE w:val="0"/>
              <w:autoSpaceDN w:val="0"/>
              <w:adjustRightInd w:val="0"/>
              <w:rPr>
                <w:color w:val="000000"/>
              </w:rPr>
            </w:pPr>
            <w:r w:rsidRPr="004F5FB4">
              <w:rPr>
                <w:color w:val="000000"/>
              </w:rPr>
              <w:t>Lungenembolie</w:t>
            </w:r>
            <w:r w:rsidRPr="004F5FB4">
              <w:rPr>
                <w:color w:val="000000"/>
                <w:vertAlign w:val="superscript"/>
              </w:rPr>
              <w:t>1</w:t>
            </w:r>
            <w:r w:rsidRPr="004F5FB4">
              <w:rPr>
                <w:color w:val="000000"/>
              </w:rPr>
              <w:t>,</w:t>
            </w:r>
          </w:p>
          <w:p w14:paraId="6D3ACAEB" w14:textId="77777777" w:rsidR="00B633E5" w:rsidRPr="004F5FB4" w:rsidRDefault="00B633E5" w:rsidP="00982118">
            <w:pPr>
              <w:autoSpaceDE w:val="0"/>
              <w:autoSpaceDN w:val="0"/>
              <w:adjustRightInd w:val="0"/>
              <w:rPr>
                <w:color w:val="000000"/>
              </w:rPr>
            </w:pPr>
            <w:r w:rsidRPr="004F5FB4">
              <w:rPr>
                <w:color w:val="000000"/>
              </w:rPr>
              <w:t>interstitielle Lungenerkrankung,</w:t>
            </w:r>
          </w:p>
          <w:p w14:paraId="03879588" w14:textId="77777777" w:rsidR="00B633E5" w:rsidRPr="004F5FB4" w:rsidRDefault="00B633E5" w:rsidP="00982118">
            <w:pPr>
              <w:autoSpaceDE w:val="0"/>
              <w:autoSpaceDN w:val="0"/>
              <w:adjustRightInd w:val="0"/>
              <w:rPr>
                <w:color w:val="000000"/>
              </w:rPr>
            </w:pPr>
            <w:r w:rsidRPr="004F5FB4">
              <w:rPr>
                <w:color w:val="000000"/>
              </w:rPr>
              <w:t>chronisch-obstruktive Lungenerkrankung,</w:t>
            </w:r>
          </w:p>
          <w:p w14:paraId="03803523" w14:textId="77777777" w:rsidR="00B633E5" w:rsidRPr="004F5FB4" w:rsidRDefault="00B633E5" w:rsidP="00982118">
            <w:pPr>
              <w:autoSpaceDE w:val="0"/>
              <w:autoSpaceDN w:val="0"/>
              <w:adjustRightInd w:val="0"/>
              <w:rPr>
                <w:color w:val="000000"/>
              </w:rPr>
            </w:pPr>
            <w:r w:rsidRPr="004F5FB4">
              <w:rPr>
                <w:color w:val="000000"/>
              </w:rPr>
              <w:t>Pneumonitis,</w:t>
            </w:r>
          </w:p>
          <w:p w14:paraId="68833211" w14:textId="77777777" w:rsidR="00B633E5" w:rsidRPr="004F5FB4" w:rsidRDefault="00B633E5" w:rsidP="00D4051F">
            <w:pPr>
              <w:autoSpaceDE w:val="0"/>
              <w:autoSpaceDN w:val="0"/>
              <w:adjustRightInd w:val="0"/>
              <w:rPr>
                <w:color w:val="000000"/>
                <w:lang w:val="en-GB"/>
              </w:rPr>
            </w:pPr>
            <w:r w:rsidRPr="004F5FB4">
              <w:rPr>
                <w:color w:val="000000"/>
              </w:rPr>
              <w:t>Pleuraerguss</w:t>
            </w:r>
            <w:r w:rsidRPr="004F5FB4">
              <w:rPr>
                <w:color w:val="000000"/>
                <w:vertAlign w:val="superscript"/>
              </w:rPr>
              <w:t>1</w:t>
            </w:r>
          </w:p>
        </w:tc>
      </w:tr>
      <w:tr w:rsidR="00B633E5" w:rsidRPr="004F5FB4" w14:paraId="76BD49A4" w14:textId="77777777" w:rsidTr="008419B6">
        <w:trPr>
          <w:cantSplit/>
        </w:trPr>
        <w:tc>
          <w:tcPr>
            <w:tcW w:w="4147" w:type="dxa"/>
            <w:vMerge/>
            <w:tcBorders>
              <w:left w:val="single" w:sz="4" w:space="0" w:color="auto"/>
              <w:bottom w:val="single" w:sz="4" w:space="0" w:color="auto"/>
              <w:right w:val="single" w:sz="4" w:space="0" w:color="auto"/>
            </w:tcBorders>
          </w:tcPr>
          <w:p w14:paraId="7211B6FC" w14:textId="77777777" w:rsidR="00B633E5" w:rsidRPr="004F5FB4" w:rsidRDefault="00B633E5" w:rsidP="00982118">
            <w:pPr>
              <w:autoSpaceDE w:val="0"/>
              <w:autoSpaceDN w:val="0"/>
              <w:adjustRightInd w:val="0"/>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2CA5D084" w14:textId="77777777" w:rsidR="00B633E5" w:rsidRPr="004F5FB4" w:rsidRDefault="00B633E5" w:rsidP="00D4051F">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703D323D" w14:textId="77777777" w:rsidR="00B633E5" w:rsidRPr="004F5FB4" w:rsidRDefault="00B633E5" w:rsidP="00D4051F">
            <w:pPr>
              <w:autoSpaceDE w:val="0"/>
              <w:autoSpaceDN w:val="0"/>
              <w:adjustRightInd w:val="0"/>
              <w:rPr>
                <w:color w:val="000000"/>
                <w:lang w:val="en-GB"/>
              </w:rPr>
            </w:pPr>
            <w:r w:rsidRPr="004F5FB4">
              <w:rPr>
                <w:color w:val="000000"/>
              </w:rPr>
              <w:t>Lungenfibrose</w:t>
            </w:r>
            <w:r w:rsidRPr="004F5FB4">
              <w:rPr>
                <w:color w:val="000000"/>
                <w:vertAlign w:val="superscript"/>
              </w:rPr>
              <w:t>1</w:t>
            </w:r>
          </w:p>
        </w:tc>
      </w:tr>
      <w:tr w:rsidR="00B633E5" w:rsidRPr="004F5FB4" w14:paraId="7F5EA0BE"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56BEFF9A" w14:textId="77777777" w:rsidR="00B633E5" w:rsidRPr="004F5FB4" w:rsidRDefault="00B633E5" w:rsidP="00982118">
            <w:pPr>
              <w:keepNext/>
              <w:rPr>
                <w:color w:val="000000"/>
              </w:rPr>
            </w:pPr>
            <w:r w:rsidRPr="004F5FB4">
              <w:rPr>
                <w:color w:val="000000"/>
              </w:rPr>
              <w:t>Erkrankungen des Gastrointestinaltraktes</w:t>
            </w:r>
          </w:p>
        </w:tc>
        <w:tc>
          <w:tcPr>
            <w:tcW w:w="2557" w:type="dxa"/>
            <w:tcBorders>
              <w:top w:val="single" w:sz="4" w:space="0" w:color="auto"/>
              <w:left w:val="single" w:sz="4" w:space="0" w:color="auto"/>
              <w:bottom w:val="single" w:sz="4" w:space="0" w:color="auto"/>
              <w:right w:val="single" w:sz="4" w:space="0" w:color="auto"/>
            </w:tcBorders>
          </w:tcPr>
          <w:p w14:paraId="7860ADDA" w14:textId="77777777" w:rsidR="00B633E5" w:rsidRPr="004F5FB4" w:rsidRDefault="00B633E5" w:rsidP="00982118">
            <w:pPr>
              <w:keepNext/>
              <w:rPr>
                <w:color w:val="000000"/>
              </w:rPr>
            </w:pPr>
            <w:r w:rsidRPr="004F5FB4">
              <w:rPr>
                <w:color w:val="000000"/>
              </w:rPr>
              <w:t>Sehr häufig</w:t>
            </w:r>
          </w:p>
          <w:p w14:paraId="2FFA8E84" w14:textId="77777777" w:rsidR="00B633E5" w:rsidRPr="004F5FB4" w:rsidRDefault="00B633E5" w:rsidP="00982118">
            <w:pPr>
              <w:keepNext/>
              <w:rPr>
                <w:color w:val="000000"/>
                <w:lang w:val="en-GB"/>
              </w:rPr>
            </w:pPr>
          </w:p>
        </w:tc>
        <w:tc>
          <w:tcPr>
            <w:tcW w:w="0" w:type="auto"/>
            <w:tcBorders>
              <w:top w:val="single" w:sz="4" w:space="0" w:color="auto"/>
              <w:left w:val="single" w:sz="4" w:space="0" w:color="auto"/>
              <w:right w:val="single" w:sz="4" w:space="0" w:color="auto"/>
            </w:tcBorders>
          </w:tcPr>
          <w:p w14:paraId="3A3A1D6B" w14:textId="77777777" w:rsidR="00B633E5" w:rsidRPr="004F5FB4" w:rsidRDefault="00136326" w:rsidP="00982118">
            <w:pPr>
              <w:keepNext/>
              <w:autoSpaceDE w:val="0"/>
              <w:autoSpaceDN w:val="0"/>
              <w:adjustRightInd w:val="0"/>
              <w:rPr>
                <w:color w:val="000000"/>
              </w:rPr>
            </w:pPr>
            <w:r w:rsidRPr="004F5FB4">
              <w:rPr>
                <w:color w:val="000000"/>
              </w:rPr>
              <w:t>Abdominalschmerzen,</w:t>
            </w:r>
          </w:p>
          <w:p w14:paraId="628765F0" w14:textId="77777777" w:rsidR="00B633E5" w:rsidRPr="004F5FB4" w:rsidRDefault="00B633E5" w:rsidP="00D4051F">
            <w:pPr>
              <w:keepNext/>
              <w:autoSpaceDE w:val="0"/>
              <w:autoSpaceDN w:val="0"/>
              <w:adjustRightInd w:val="0"/>
              <w:rPr>
                <w:color w:val="000000"/>
                <w:lang w:val="en-GB"/>
              </w:rPr>
            </w:pPr>
            <w:r w:rsidRPr="004F5FB4">
              <w:rPr>
                <w:color w:val="000000"/>
              </w:rPr>
              <w:t>Übelkeit und Erbrechen</w:t>
            </w:r>
          </w:p>
        </w:tc>
      </w:tr>
      <w:tr w:rsidR="00B633E5" w:rsidRPr="004F5FB4" w14:paraId="27665F40" w14:textId="77777777" w:rsidTr="008419B6">
        <w:trPr>
          <w:cantSplit/>
        </w:trPr>
        <w:tc>
          <w:tcPr>
            <w:tcW w:w="4147" w:type="dxa"/>
            <w:vMerge/>
            <w:tcBorders>
              <w:left w:val="single" w:sz="4" w:space="0" w:color="auto"/>
              <w:right w:val="single" w:sz="4" w:space="0" w:color="auto"/>
            </w:tcBorders>
          </w:tcPr>
          <w:p w14:paraId="6C49A330" w14:textId="77777777" w:rsidR="00B633E5" w:rsidRPr="004F5FB4" w:rsidRDefault="00B633E5"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6006668A" w14:textId="77777777" w:rsidR="00B633E5" w:rsidRPr="004F5FB4" w:rsidRDefault="00B633E5" w:rsidP="00982118">
            <w:pPr>
              <w:keepNext/>
              <w:rPr>
                <w:color w:val="000000"/>
              </w:rPr>
            </w:pPr>
            <w:r w:rsidRPr="004F5FB4">
              <w:rPr>
                <w:color w:val="000000"/>
              </w:rPr>
              <w:t>Häufig</w:t>
            </w:r>
          </w:p>
          <w:p w14:paraId="7098B0F2" w14:textId="77777777" w:rsidR="00B633E5" w:rsidRPr="004F5FB4" w:rsidRDefault="00B633E5" w:rsidP="00982118">
            <w:pPr>
              <w:keepNext/>
              <w:rPr>
                <w:color w:val="000000"/>
                <w:lang w:val="en-GB"/>
              </w:rPr>
            </w:pPr>
          </w:p>
        </w:tc>
        <w:tc>
          <w:tcPr>
            <w:tcW w:w="0" w:type="auto"/>
            <w:tcBorders>
              <w:left w:val="single" w:sz="4" w:space="0" w:color="auto"/>
              <w:right w:val="single" w:sz="4" w:space="0" w:color="auto"/>
            </w:tcBorders>
          </w:tcPr>
          <w:p w14:paraId="2CC91493" w14:textId="77777777" w:rsidR="00B633E5" w:rsidRPr="004F5FB4" w:rsidRDefault="00B633E5" w:rsidP="00982118">
            <w:pPr>
              <w:keepNext/>
              <w:autoSpaceDE w:val="0"/>
              <w:autoSpaceDN w:val="0"/>
              <w:adjustRightInd w:val="0"/>
              <w:rPr>
                <w:color w:val="000000"/>
              </w:rPr>
            </w:pPr>
            <w:r w:rsidRPr="004F5FB4">
              <w:rPr>
                <w:color w:val="000000"/>
              </w:rPr>
              <w:t>Blutungen im Gastrointestinaltrakt,</w:t>
            </w:r>
          </w:p>
          <w:p w14:paraId="39270B2B" w14:textId="77777777" w:rsidR="00B633E5" w:rsidRPr="004F5FB4" w:rsidRDefault="00B633E5" w:rsidP="00982118">
            <w:pPr>
              <w:keepNext/>
              <w:autoSpaceDE w:val="0"/>
              <w:autoSpaceDN w:val="0"/>
              <w:adjustRightInd w:val="0"/>
              <w:rPr>
                <w:color w:val="000000"/>
              </w:rPr>
            </w:pPr>
            <w:r w:rsidRPr="004F5FB4">
              <w:rPr>
                <w:color w:val="000000"/>
              </w:rPr>
              <w:t>Dyspepsie,</w:t>
            </w:r>
          </w:p>
          <w:p w14:paraId="29E43A34" w14:textId="77777777" w:rsidR="00B633E5" w:rsidRPr="004F5FB4" w:rsidRDefault="00B633E5" w:rsidP="00982118">
            <w:pPr>
              <w:keepNext/>
              <w:autoSpaceDE w:val="0"/>
              <w:autoSpaceDN w:val="0"/>
              <w:adjustRightInd w:val="0"/>
              <w:rPr>
                <w:color w:val="000000"/>
              </w:rPr>
            </w:pPr>
            <w:r w:rsidRPr="004F5FB4">
              <w:rPr>
                <w:color w:val="000000"/>
              </w:rPr>
              <w:t>gastroösophageale Refluxkrankheit,</w:t>
            </w:r>
          </w:p>
          <w:p w14:paraId="33999E9B" w14:textId="77777777" w:rsidR="00B633E5" w:rsidRPr="004F5FB4" w:rsidRDefault="00B633E5" w:rsidP="00D4051F">
            <w:pPr>
              <w:keepNext/>
              <w:autoSpaceDE w:val="0"/>
              <w:autoSpaceDN w:val="0"/>
              <w:adjustRightInd w:val="0"/>
              <w:rPr>
                <w:color w:val="000000"/>
                <w:lang w:val="en-GB"/>
              </w:rPr>
            </w:pPr>
            <w:r w:rsidRPr="004F5FB4">
              <w:rPr>
                <w:color w:val="000000"/>
              </w:rPr>
              <w:t>Sicca-Syndrom</w:t>
            </w:r>
          </w:p>
        </w:tc>
      </w:tr>
      <w:tr w:rsidR="00B633E5" w:rsidRPr="004F5FB4" w14:paraId="1B0E6D22" w14:textId="77777777" w:rsidTr="008419B6">
        <w:trPr>
          <w:cantSplit/>
        </w:trPr>
        <w:tc>
          <w:tcPr>
            <w:tcW w:w="4147" w:type="dxa"/>
            <w:vMerge/>
            <w:tcBorders>
              <w:left w:val="single" w:sz="4" w:space="0" w:color="auto"/>
              <w:right w:val="single" w:sz="4" w:space="0" w:color="auto"/>
            </w:tcBorders>
          </w:tcPr>
          <w:p w14:paraId="1D60E3E8" w14:textId="77777777" w:rsidR="00B633E5" w:rsidRPr="004F5FB4" w:rsidRDefault="00B633E5"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291403F7" w14:textId="77777777" w:rsidR="00B633E5" w:rsidRPr="004F5FB4" w:rsidRDefault="00B633E5" w:rsidP="00982118">
            <w:pPr>
              <w:keepNext/>
              <w:rPr>
                <w:color w:val="000000"/>
              </w:rPr>
            </w:pPr>
            <w:r w:rsidRPr="004F5FB4">
              <w:rPr>
                <w:color w:val="000000"/>
              </w:rPr>
              <w:t>Gelegentlich</w:t>
            </w:r>
          </w:p>
          <w:p w14:paraId="7FE8D58C" w14:textId="77777777" w:rsidR="00B633E5" w:rsidRPr="004F5FB4" w:rsidRDefault="00B633E5" w:rsidP="00982118">
            <w:pPr>
              <w:keepNext/>
              <w:rPr>
                <w:color w:val="000000"/>
                <w:lang w:val="en-GB"/>
              </w:rPr>
            </w:pPr>
          </w:p>
        </w:tc>
        <w:tc>
          <w:tcPr>
            <w:tcW w:w="0" w:type="auto"/>
            <w:tcBorders>
              <w:left w:val="single" w:sz="4" w:space="0" w:color="auto"/>
              <w:right w:val="single" w:sz="4" w:space="0" w:color="auto"/>
            </w:tcBorders>
          </w:tcPr>
          <w:p w14:paraId="22554C41" w14:textId="77777777" w:rsidR="00B633E5" w:rsidRPr="004F5FB4" w:rsidRDefault="00136326" w:rsidP="00982118">
            <w:pPr>
              <w:keepNext/>
              <w:autoSpaceDE w:val="0"/>
              <w:autoSpaceDN w:val="0"/>
              <w:adjustRightInd w:val="0"/>
              <w:rPr>
                <w:color w:val="000000"/>
              </w:rPr>
            </w:pPr>
            <w:r w:rsidRPr="004F5FB4">
              <w:rPr>
                <w:color w:val="000000"/>
              </w:rPr>
              <w:t>Pankreatitis,</w:t>
            </w:r>
          </w:p>
          <w:p w14:paraId="3D5B1EC6" w14:textId="77777777" w:rsidR="00B633E5" w:rsidRPr="004F5FB4" w:rsidRDefault="00B633E5" w:rsidP="00982118">
            <w:pPr>
              <w:keepNext/>
              <w:autoSpaceDE w:val="0"/>
              <w:autoSpaceDN w:val="0"/>
              <w:adjustRightInd w:val="0"/>
              <w:rPr>
                <w:color w:val="000000"/>
              </w:rPr>
            </w:pPr>
            <w:r w:rsidRPr="004F5FB4">
              <w:rPr>
                <w:color w:val="000000"/>
              </w:rPr>
              <w:t>Dysphagie,</w:t>
            </w:r>
          </w:p>
          <w:p w14:paraId="6BB85E81" w14:textId="77777777" w:rsidR="00B633E5" w:rsidRPr="004F5FB4" w:rsidRDefault="00B633E5" w:rsidP="00D4051F">
            <w:pPr>
              <w:keepNext/>
              <w:autoSpaceDE w:val="0"/>
              <w:autoSpaceDN w:val="0"/>
              <w:adjustRightInd w:val="0"/>
              <w:rPr>
                <w:color w:val="000000"/>
                <w:lang w:val="en-GB"/>
              </w:rPr>
            </w:pPr>
            <w:r w:rsidRPr="004F5FB4">
              <w:rPr>
                <w:color w:val="000000"/>
              </w:rPr>
              <w:t>Gesichtsödeme</w:t>
            </w:r>
          </w:p>
        </w:tc>
      </w:tr>
      <w:tr w:rsidR="00B633E5" w:rsidRPr="004F5FB4" w14:paraId="3FBA7426" w14:textId="77777777" w:rsidTr="008419B6">
        <w:trPr>
          <w:cantSplit/>
        </w:trPr>
        <w:tc>
          <w:tcPr>
            <w:tcW w:w="4147" w:type="dxa"/>
            <w:vMerge/>
            <w:tcBorders>
              <w:left w:val="single" w:sz="4" w:space="0" w:color="auto"/>
              <w:bottom w:val="single" w:sz="4" w:space="0" w:color="auto"/>
              <w:right w:val="single" w:sz="4" w:space="0" w:color="auto"/>
            </w:tcBorders>
          </w:tcPr>
          <w:p w14:paraId="137D64FB" w14:textId="77777777" w:rsidR="00B633E5" w:rsidRPr="004F5FB4" w:rsidRDefault="00B633E5"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4C97AA6E" w14:textId="77777777" w:rsidR="00B633E5" w:rsidRPr="004F5FB4" w:rsidRDefault="00B633E5" w:rsidP="00D4051F">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71720F1B" w14:textId="77777777" w:rsidR="00B633E5" w:rsidRPr="004F5FB4" w:rsidRDefault="00136326" w:rsidP="00D4051F">
            <w:pPr>
              <w:autoSpaceDE w:val="0"/>
              <w:autoSpaceDN w:val="0"/>
              <w:adjustRightInd w:val="0"/>
              <w:rPr>
                <w:color w:val="000000"/>
                <w:lang w:val="en-GB"/>
              </w:rPr>
            </w:pPr>
            <w:r w:rsidRPr="004F5FB4">
              <w:rPr>
                <w:color w:val="000000"/>
              </w:rPr>
              <w:t>Darm</w:t>
            </w:r>
            <w:r w:rsidR="00046A80" w:rsidRPr="004F5FB4">
              <w:rPr>
                <w:color w:val="000000"/>
              </w:rPr>
              <w:t>wand</w:t>
            </w:r>
            <w:r w:rsidRPr="004F5FB4">
              <w:rPr>
                <w:color w:val="000000"/>
              </w:rPr>
              <w:t>perforation</w:t>
            </w:r>
            <w:r w:rsidRPr="004F5FB4">
              <w:rPr>
                <w:color w:val="000000"/>
                <w:vertAlign w:val="superscript"/>
              </w:rPr>
              <w:t>1</w:t>
            </w:r>
          </w:p>
        </w:tc>
      </w:tr>
      <w:tr w:rsidR="00B633E5" w:rsidRPr="004F5FB4" w14:paraId="201498DE"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6F069AA9" w14:textId="77777777" w:rsidR="00B633E5" w:rsidRPr="004F5FB4" w:rsidRDefault="00B633E5" w:rsidP="00982118">
            <w:pPr>
              <w:rPr>
                <w:color w:val="000000"/>
              </w:rPr>
            </w:pPr>
            <w:r w:rsidRPr="004F5FB4">
              <w:rPr>
                <w:color w:val="000000"/>
              </w:rPr>
              <w:t>Leber- und Gallenerkrankungen*</w:t>
            </w:r>
          </w:p>
        </w:tc>
        <w:tc>
          <w:tcPr>
            <w:tcW w:w="2557" w:type="dxa"/>
            <w:tcBorders>
              <w:top w:val="single" w:sz="4" w:space="0" w:color="auto"/>
              <w:left w:val="single" w:sz="4" w:space="0" w:color="auto"/>
              <w:bottom w:val="single" w:sz="4" w:space="0" w:color="auto"/>
              <w:right w:val="single" w:sz="4" w:space="0" w:color="auto"/>
            </w:tcBorders>
          </w:tcPr>
          <w:p w14:paraId="6B6842D2" w14:textId="77777777" w:rsidR="00B633E5" w:rsidRPr="004F5FB4" w:rsidRDefault="006E1391" w:rsidP="00D4051F">
            <w:pPr>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19D87531" w14:textId="77777777" w:rsidR="00B633E5" w:rsidRPr="004F5FB4" w:rsidRDefault="00637923" w:rsidP="00D4051F">
            <w:pPr>
              <w:rPr>
                <w:color w:val="000000"/>
                <w:lang w:val="en-GB"/>
              </w:rPr>
            </w:pPr>
            <w:r w:rsidRPr="004F5FB4">
              <w:rPr>
                <w:color w:val="000000"/>
              </w:rPr>
              <w:t>Erhöhung der Leberenzyme</w:t>
            </w:r>
          </w:p>
        </w:tc>
      </w:tr>
      <w:tr w:rsidR="00B633E5" w:rsidRPr="004F5FB4" w14:paraId="17B31350" w14:textId="77777777" w:rsidTr="008419B6">
        <w:trPr>
          <w:cantSplit/>
        </w:trPr>
        <w:tc>
          <w:tcPr>
            <w:tcW w:w="4147" w:type="dxa"/>
            <w:vMerge/>
            <w:tcBorders>
              <w:left w:val="single" w:sz="4" w:space="0" w:color="auto"/>
              <w:right w:val="single" w:sz="4" w:space="0" w:color="auto"/>
            </w:tcBorders>
          </w:tcPr>
          <w:p w14:paraId="51393BBD" w14:textId="77777777" w:rsidR="00B633E5" w:rsidRPr="004F5FB4" w:rsidRDefault="00B633E5"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BB59941" w14:textId="77777777" w:rsidR="00B633E5" w:rsidRPr="004F5FB4" w:rsidRDefault="00B633E5" w:rsidP="00982118">
            <w:pPr>
              <w:rPr>
                <w:color w:val="000000"/>
              </w:rPr>
            </w:pPr>
            <w:r w:rsidRPr="004F5FB4">
              <w:rPr>
                <w:color w:val="000000"/>
              </w:rPr>
              <w:t>Gelegentlich</w:t>
            </w:r>
          </w:p>
          <w:p w14:paraId="20C5130E" w14:textId="77777777" w:rsidR="00B633E5" w:rsidRPr="004F5FB4" w:rsidRDefault="00B633E5" w:rsidP="00982118">
            <w:pPr>
              <w:rPr>
                <w:color w:val="000000"/>
                <w:lang w:val="en-GB"/>
              </w:rPr>
            </w:pPr>
          </w:p>
        </w:tc>
        <w:tc>
          <w:tcPr>
            <w:tcW w:w="0" w:type="auto"/>
            <w:tcBorders>
              <w:left w:val="single" w:sz="4" w:space="0" w:color="auto"/>
              <w:right w:val="single" w:sz="4" w:space="0" w:color="auto"/>
            </w:tcBorders>
          </w:tcPr>
          <w:p w14:paraId="4378BBA7" w14:textId="77777777" w:rsidR="00B633E5" w:rsidRPr="004F5FB4" w:rsidRDefault="00637923" w:rsidP="00982118">
            <w:pPr>
              <w:rPr>
                <w:color w:val="000000"/>
              </w:rPr>
            </w:pPr>
            <w:r w:rsidRPr="004F5FB4">
              <w:rPr>
                <w:color w:val="000000"/>
              </w:rPr>
              <w:t>Cholecystitis und Cholelithiasis,</w:t>
            </w:r>
          </w:p>
          <w:p w14:paraId="09C3DF05" w14:textId="77777777" w:rsidR="00B633E5" w:rsidRPr="004F5FB4" w:rsidRDefault="00B633E5" w:rsidP="00982118">
            <w:pPr>
              <w:rPr>
                <w:color w:val="000000"/>
              </w:rPr>
            </w:pPr>
            <w:r w:rsidRPr="004F5FB4">
              <w:rPr>
                <w:color w:val="000000"/>
              </w:rPr>
              <w:t>Fettleber,</w:t>
            </w:r>
          </w:p>
          <w:p w14:paraId="3A4F8521" w14:textId="77777777" w:rsidR="00B633E5" w:rsidRPr="004F5FB4" w:rsidRDefault="00B633E5" w:rsidP="00D4051F">
            <w:pPr>
              <w:rPr>
                <w:color w:val="000000"/>
              </w:rPr>
            </w:pPr>
            <w:r w:rsidRPr="004F5FB4">
              <w:rPr>
                <w:color w:val="000000"/>
              </w:rPr>
              <w:t>erhöhte Bilirubinwerte</w:t>
            </w:r>
          </w:p>
        </w:tc>
      </w:tr>
      <w:tr w:rsidR="00B633E5" w:rsidRPr="004F5FB4" w14:paraId="32C02D90" w14:textId="77777777" w:rsidTr="008419B6">
        <w:trPr>
          <w:cantSplit/>
        </w:trPr>
        <w:tc>
          <w:tcPr>
            <w:tcW w:w="4147" w:type="dxa"/>
            <w:vMerge/>
            <w:tcBorders>
              <w:left w:val="single" w:sz="4" w:space="0" w:color="auto"/>
              <w:right w:val="single" w:sz="4" w:space="0" w:color="auto"/>
            </w:tcBorders>
          </w:tcPr>
          <w:p w14:paraId="4BF8B31D" w14:textId="77777777" w:rsidR="00B633E5" w:rsidRPr="004F5FB4" w:rsidRDefault="00B633E5"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1EFC2B37" w14:textId="77777777" w:rsidR="00B633E5" w:rsidRPr="004F5FB4" w:rsidRDefault="00B633E5" w:rsidP="00982118">
            <w:pPr>
              <w:rPr>
                <w:color w:val="000000"/>
              </w:rPr>
            </w:pPr>
            <w:r w:rsidRPr="004F5FB4">
              <w:rPr>
                <w:color w:val="000000"/>
              </w:rPr>
              <w:t>Selten</w:t>
            </w:r>
          </w:p>
          <w:p w14:paraId="4B12A1FD" w14:textId="77777777" w:rsidR="00B633E5" w:rsidRPr="004F5FB4" w:rsidRDefault="00B633E5" w:rsidP="00982118">
            <w:pPr>
              <w:rPr>
                <w:color w:val="000000"/>
                <w:lang w:val="en-GB"/>
              </w:rPr>
            </w:pPr>
          </w:p>
        </w:tc>
        <w:tc>
          <w:tcPr>
            <w:tcW w:w="0" w:type="auto"/>
            <w:tcBorders>
              <w:left w:val="single" w:sz="4" w:space="0" w:color="auto"/>
              <w:right w:val="single" w:sz="4" w:space="0" w:color="auto"/>
            </w:tcBorders>
          </w:tcPr>
          <w:p w14:paraId="24DD4BEA" w14:textId="77777777" w:rsidR="00B633E5" w:rsidRPr="004F5FB4" w:rsidRDefault="00637923" w:rsidP="00982118">
            <w:pPr>
              <w:rPr>
                <w:color w:val="000000"/>
              </w:rPr>
            </w:pPr>
            <w:r w:rsidRPr="004F5FB4">
              <w:rPr>
                <w:color w:val="000000"/>
              </w:rPr>
              <w:t>Hepatitis,</w:t>
            </w:r>
          </w:p>
          <w:p w14:paraId="58B62427" w14:textId="77777777" w:rsidR="00B633E5" w:rsidRPr="004F5FB4" w:rsidRDefault="00B633E5" w:rsidP="00982118">
            <w:pPr>
              <w:rPr>
                <w:color w:val="000000"/>
              </w:rPr>
            </w:pPr>
            <w:r w:rsidRPr="004F5FB4">
              <w:rPr>
                <w:color w:val="000000"/>
              </w:rPr>
              <w:t>Reaktivierung einer Hepatitis B</w:t>
            </w:r>
            <w:r w:rsidRPr="004F5FB4">
              <w:rPr>
                <w:color w:val="000000"/>
                <w:vertAlign w:val="superscript"/>
              </w:rPr>
              <w:t>1</w:t>
            </w:r>
          </w:p>
          <w:p w14:paraId="5E95C555" w14:textId="77777777" w:rsidR="00B633E5" w:rsidRPr="004F5FB4" w:rsidRDefault="00B633E5" w:rsidP="00D4051F">
            <w:pPr>
              <w:rPr>
                <w:color w:val="000000"/>
              </w:rPr>
            </w:pPr>
            <w:r w:rsidRPr="004F5FB4">
              <w:rPr>
                <w:color w:val="000000"/>
              </w:rPr>
              <w:t>Autoimmunhepatitis</w:t>
            </w:r>
            <w:r w:rsidRPr="004F5FB4">
              <w:rPr>
                <w:color w:val="000000"/>
                <w:vertAlign w:val="superscript"/>
              </w:rPr>
              <w:t>1</w:t>
            </w:r>
          </w:p>
        </w:tc>
      </w:tr>
      <w:tr w:rsidR="00B633E5" w:rsidRPr="004F5FB4" w14:paraId="773162B2" w14:textId="77777777" w:rsidTr="008419B6">
        <w:trPr>
          <w:cantSplit/>
        </w:trPr>
        <w:tc>
          <w:tcPr>
            <w:tcW w:w="4147" w:type="dxa"/>
            <w:vMerge/>
            <w:tcBorders>
              <w:left w:val="single" w:sz="4" w:space="0" w:color="auto"/>
              <w:bottom w:val="single" w:sz="4" w:space="0" w:color="auto"/>
              <w:right w:val="single" w:sz="4" w:space="0" w:color="auto"/>
            </w:tcBorders>
          </w:tcPr>
          <w:p w14:paraId="11A0C56E" w14:textId="77777777" w:rsidR="00B633E5" w:rsidRPr="004F5FB4" w:rsidRDefault="00B633E5"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5FC2D7D0" w14:textId="77777777" w:rsidR="00B633E5" w:rsidRPr="004F5FB4" w:rsidRDefault="00193B52" w:rsidP="00D4051F">
            <w:pPr>
              <w:rPr>
                <w:color w:val="000000"/>
                <w:lang w:val="en-GB"/>
              </w:rPr>
            </w:pPr>
            <w:r w:rsidRPr="004F5FB4">
              <w:rPr>
                <w:color w:val="000000"/>
              </w:rPr>
              <w:t xml:space="preserve">Nicht </w:t>
            </w:r>
            <w:r w:rsidR="00B633E5" w:rsidRPr="004F5FB4">
              <w:rPr>
                <w:color w:val="000000"/>
              </w:rPr>
              <w:t>bekannt</w:t>
            </w:r>
          </w:p>
        </w:tc>
        <w:tc>
          <w:tcPr>
            <w:tcW w:w="0" w:type="auto"/>
            <w:tcBorders>
              <w:left w:val="single" w:sz="4" w:space="0" w:color="auto"/>
              <w:bottom w:val="single" w:sz="4" w:space="0" w:color="auto"/>
              <w:right w:val="single" w:sz="4" w:space="0" w:color="auto"/>
            </w:tcBorders>
          </w:tcPr>
          <w:p w14:paraId="50DE3202" w14:textId="77777777" w:rsidR="00B633E5" w:rsidRPr="004F5FB4" w:rsidRDefault="00637923" w:rsidP="00D4051F">
            <w:pPr>
              <w:rPr>
                <w:color w:val="000000"/>
                <w:lang w:val="en-GB"/>
              </w:rPr>
            </w:pPr>
            <w:r w:rsidRPr="004F5FB4">
              <w:rPr>
                <w:color w:val="000000"/>
              </w:rPr>
              <w:t>Leberversagen</w:t>
            </w:r>
            <w:r w:rsidRPr="004F5FB4">
              <w:rPr>
                <w:color w:val="000000"/>
                <w:vertAlign w:val="superscript"/>
              </w:rPr>
              <w:t>1</w:t>
            </w:r>
          </w:p>
        </w:tc>
      </w:tr>
      <w:tr w:rsidR="00B633E5" w:rsidRPr="004F5FB4" w14:paraId="7167469A"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3CA43D0D" w14:textId="77777777" w:rsidR="00B633E5" w:rsidRPr="004F5FB4" w:rsidRDefault="00B633E5" w:rsidP="00982118">
            <w:pPr>
              <w:rPr>
                <w:color w:val="000000"/>
              </w:rPr>
            </w:pPr>
            <w:r w:rsidRPr="004F5FB4">
              <w:rPr>
                <w:color w:val="000000"/>
              </w:rPr>
              <w:t>Erkrankungen der Haut und des Unterhautzellgewebes</w:t>
            </w:r>
          </w:p>
        </w:tc>
        <w:tc>
          <w:tcPr>
            <w:tcW w:w="2557" w:type="dxa"/>
            <w:tcBorders>
              <w:top w:val="single" w:sz="4" w:space="0" w:color="auto"/>
              <w:left w:val="single" w:sz="4" w:space="0" w:color="auto"/>
              <w:bottom w:val="single" w:sz="4" w:space="0" w:color="auto"/>
              <w:right w:val="single" w:sz="4" w:space="0" w:color="auto"/>
            </w:tcBorders>
          </w:tcPr>
          <w:p w14:paraId="03C6F544" w14:textId="77777777" w:rsidR="00B633E5" w:rsidRPr="004F5FB4" w:rsidRDefault="006E1391" w:rsidP="00982118">
            <w:pPr>
              <w:rPr>
                <w:color w:val="000000"/>
              </w:rPr>
            </w:pPr>
            <w:r w:rsidRPr="004F5FB4">
              <w:rPr>
                <w:color w:val="000000"/>
              </w:rPr>
              <w:t>Sehr häufig</w:t>
            </w:r>
          </w:p>
          <w:p w14:paraId="02BBE781" w14:textId="77777777" w:rsidR="00B633E5" w:rsidRPr="004F5FB4" w:rsidRDefault="00B633E5" w:rsidP="00982118">
            <w:pPr>
              <w:rPr>
                <w:color w:val="000000"/>
                <w:lang w:val="en-GB"/>
              </w:rPr>
            </w:pPr>
          </w:p>
        </w:tc>
        <w:tc>
          <w:tcPr>
            <w:tcW w:w="0" w:type="auto"/>
            <w:tcBorders>
              <w:top w:val="single" w:sz="4" w:space="0" w:color="auto"/>
              <w:left w:val="single" w:sz="4" w:space="0" w:color="auto"/>
              <w:right w:val="single" w:sz="4" w:space="0" w:color="auto"/>
            </w:tcBorders>
          </w:tcPr>
          <w:p w14:paraId="7DAD035F" w14:textId="77777777" w:rsidR="00B633E5" w:rsidRPr="004F5FB4" w:rsidRDefault="00637923" w:rsidP="00D4051F">
            <w:pPr>
              <w:rPr>
                <w:color w:val="000000"/>
                <w:lang w:val="en-GB"/>
              </w:rPr>
            </w:pPr>
            <w:r w:rsidRPr="004F5FB4">
              <w:rPr>
                <w:color w:val="000000"/>
              </w:rPr>
              <w:t>Hautausschlag (einschließlich schuppenden Hautausschlags)</w:t>
            </w:r>
          </w:p>
        </w:tc>
      </w:tr>
      <w:tr w:rsidR="00B633E5" w:rsidRPr="004F5FB4" w14:paraId="59DFA146" w14:textId="77777777" w:rsidTr="008419B6">
        <w:trPr>
          <w:cantSplit/>
        </w:trPr>
        <w:tc>
          <w:tcPr>
            <w:tcW w:w="4147" w:type="dxa"/>
            <w:vMerge/>
            <w:tcBorders>
              <w:left w:val="single" w:sz="4" w:space="0" w:color="auto"/>
              <w:right w:val="single" w:sz="4" w:space="0" w:color="auto"/>
            </w:tcBorders>
          </w:tcPr>
          <w:p w14:paraId="220C72DD" w14:textId="77777777" w:rsidR="00B633E5" w:rsidRPr="004F5FB4" w:rsidRDefault="00B633E5"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529F57EF" w14:textId="77777777" w:rsidR="00B633E5" w:rsidRPr="004F5FB4" w:rsidRDefault="00B633E5" w:rsidP="00982118">
            <w:pPr>
              <w:rPr>
                <w:color w:val="000000"/>
              </w:rPr>
            </w:pPr>
            <w:r w:rsidRPr="004F5FB4">
              <w:rPr>
                <w:color w:val="000000"/>
              </w:rPr>
              <w:t>Häufig</w:t>
            </w:r>
          </w:p>
          <w:p w14:paraId="45FD48E3" w14:textId="77777777" w:rsidR="00B633E5" w:rsidRPr="004F5FB4" w:rsidRDefault="00B633E5" w:rsidP="00982118">
            <w:pPr>
              <w:rPr>
                <w:color w:val="000000"/>
                <w:lang w:val="en-GB"/>
              </w:rPr>
            </w:pPr>
          </w:p>
        </w:tc>
        <w:tc>
          <w:tcPr>
            <w:tcW w:w="0" w:type="auto"/>
            <w:tcBorders>
              <w:left w:val="single" w:sz="4" w:space="0" w:color="auto"/>
              <w:right w:val="single" w:sz="4" w:space="0" w:color="auto"/>
            </w:tcBorders>
          </w:tcPr>
          <w:p w14:paraId="20E1F6DF" w14:textId="77777777" w:rsidR="00B633E5" w:rsidRPr="004F5FB4" w:rsidRDefault="00637923" w:rsidP="00982118">
            <w:pPr>
              <w:rPr>
                <w:color w:val="000000"/>
              </w:rPr>
            </w:pPr>
            <w:r w:rsidRPr="004F5FB4">
              <w:rPr>
                <w:color w:val="000000"/>
              </w:rPr>
              <w:t>Verschlechterung oder neuer Ausbruch von Psoriasis (einschließlich palmoplantarer pustulöser Psoriasis)</w:t>
            </w:r>
            <w:r w:rsidRPr="004F5FB4">
              <w:rPr>
                <w:color w:val="000000"/>
                <w:vertAlign w:val="superscript"/>
              </w:rPr>
              <w:t>1</w:t>
            </w:r>
            <w:r w:rsidRPr="004F5FB4">
              <w:rPr>
                <w:color w:val="000000"/>
              </w:rPr>
              <w:t>,</w:t>
            </w:r>
          </w:p>
          <w:p w14:paraId="17C88AA7" w14:textId="77777777" w:rsidR="00B633E5" w:rsidRPr="004F5FB4" w:rsidRDefault="00B633E5" w:rsidP="00982118">
            <w:pPr>
              <w:rPr>
                <w:color w:val="000000"/>
              </w:rPr>
            </w:pPr>
            <w:r w:rsidRPr="004F5FB4">
              <w:rPr>
                <w:color w:val="000000"/>
              </w:rPr>
              <w:t>Urtikaria,</w:t>
            </w:r>
          </w:p>
          <w:p w14:paraId="037BE0A5" w14:textId="77777777" w:rsidR="00B633E5" w:rsidRPr="004F5FB4" w:rsidRDefault="00B633E5" w:rsidP="00982118">
            <w:pPr>
              <w:rPr>
                <w:color w:val="000000"/>
              </w:rPr>
            </w:pPr>
            <w:r w:rsidRPr="004F5FB4">
              <w:rPr>
                <w:color w:val="000000"/>
              </w:rPr>
              <w:t>Blutergüsse (einschließlich Purpura),</w:t>
            </w:r>
          </w:p>
          <w:p w14:paraId="4265C15B" w14:textId="77777777" w:rsidR="00B633E5" w:rsidRPr="004F5FB4" w:rsidRDefault="00B633E5" w:rsidP="00982118">
            <w:pPr>
              <w:rPr>
                <w:color w:val="000000"/>
              </w:rPr>
            </w:pPr>
            <w:r w:rsidRPr="004F5FB4">
              <w:rPr>
                <w:color w:val="000000"/>
              </w:rPr>
              <w:t>Dermatitis (einschließlich Ekzem),</w:t>
            </w:r>
          </w:p>
          <w:p w14:paraId="54B7885D" w14:textId="77777777" w:rsidR="00B633E5" w:rsidRPr="004F5FB4" w:rsidRDefault="00B633E5" w:rsidP="00982118">
            <w:pPr>
              <w:rPr>
                <w:color w:val="000000"/>
              </w:rPr>
            </w:pPr>
            <w:r w:rsidRPr="004F5FB4">
              <w:rPr>
                <w:color w:val="000000"/>
              </w:rPr>
              <w:t>Onychoclasis (Brechen der Nägel),</w:t>
            </w:r>
          </w:p>
          <w:p w14:paraId="1FF73C7E" w14:textId="77777777" w:rsidR="00B633E5" w:rsidRPr="004F5FB4" w:rsidRDefault="00B633E5" w:rsidP="00982118">
            <w:pPr>
              <w:rPr>
                <w:color w:val="000000"/>
              </w:rPr>
            </w:pPr>
            <w:r w:rsidRPr="004F5FB4">
              <w:rPr>
                <w:color w:val="000000"/>
              </w:rPr>
              <w:t>Hyperhidrose,</w:t>
            </w:r>
          </w:p>
          <w:p w14:paraId="6AD8660B" w14:textId="77777777" w:rsidR="00B633E5" w:rsidRPr="004F5FB4" w:rsidRDefault="00B633E5" w:rsidP="00982118">
            <w:pPr>
              <w:rPr>
                <w:color w:val="000000"/>
              </w:rPr>
            </w:pPr>
            <w:r w:rsidRPr="004F5FB4">
              <w:rPr>
                <w:color w:val="000000"/>
              </w:rPr>
              <w:t>Alopezie</w:t>
            </w:r>
            <w:r w:rsidRPr="004F5FB4">
              <w:rPr>
                <w:color w:val="000000"/>
                <w:vertAlign w:val="superscript"/>
              </w:rPr>
              <w:t>1</w:t>
            </w:r>
            <w:r w:rsidRPr="004F5FB4">
              <w:rPr>
                <w:color w:val="000000"/>
              </w:rPr>
              <w:t>,</w:t>
            </w:r>
          </w:p>
          <w:p w14:paraId="0ACF9DA6" w14:textId="77777777" w:rsidR="00B633E5" w:rsidRPr="004F5FB4" w:rsidRDefault="00B633E5" w:rsidP="00D4051F">
            <w:pPr>
              <w:rPr>
                <w:color w:val="000000"/>
                <w:lang w:val="en-GB"/>
              </w:rPr>
            </w:pPr>
            <w:r w:rsidRPr="004F5FB4">
              <w:rPr>
                <w:color w:val="000000"/>
              </w:rPr>
              <w:t>Pruritus</w:t>
            </w:r>
          </w:p>
        </w:tc>
      </w:tr>
      <w:tr w:rsidR="00B633E5" w:rsidRPr="004F5FB4" w14:paraId="521D313F" w14:textId="77777777" w:rsidTr="008419B6">
        <w:trPr>
          <w:cantSplit/>
        </w:trPr>
        <w:tc>
          <w:tcPr>
            <w:tcW w:w="4147" w:type="dxa"/>
            <w:vMerge/>
            <w:tcBorders>
              <w:left w:val="single" w:sz="4" w:space="0" w:color="auto"/>
              <w:right w:val="single" w:sz="4" w:space="0" w:color="auto"/>
            </w:tcBorders>
          </w:tcPr>
          <w:p w14:paraId="733AEE91" w14:textId="77777777" w:rsidR="00B633E5" w:rsidRPr="004F5FB4" w:rsidRDefault="00B633E5"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6DF1F59" w14:textId="77777777" w:rsidR="00B633E5" w:rsidRPr="004F5FB4" w:rsidRDefault="00B633E5" w:rsidP="00982118">
            <w:pPr>
              <w:rPr>
                <w:color w:val="000000"/>
              </w:rPr>
            </w:pPr>
            <w:r w:rsidRPr="004F5FB4">
              <w:rPr>
                <w:color w:val="000000"/>
              </w:rPr>
              <w:t>Gelegentlich</w:t>
            </w:r>
          </w:p>
          <w:p w14:paraId="28C257C0" w14:textId="77777777" w:rsidR="00B633E5" w:rsidRPr="004F5FB4" w:rsidRDefault="00B633E5" w:rsidP="00982118">
            <w:pPr>
              <w:rPr>
                <w:color w:val="000000"/>
                <w:lang w:val="en-GB"/>
              </w:rPr>
            </w:pPr>
          </w:p>
        </w:tc>
        <w:tc>
          <w:tcPr>
            <w:tcW w:w="0" w:type="auto"/>
            <w:tcBorders>
              <w:left w:val="single" w:sz="4" w:space="0" w:color="auto"/>
              <w:right w:val="single" w:sz="4" w:space="0" w:color="auto"/>
            </w:tcBorders>
          </w:tcPr>
          <w:p w14:paraId="42AD1FFD" w14:textId="77777777" w:rsidR="00B633E5" w:rsidRPr="004F5FB4" w:rsidRDefault="00637923" w:rsidP="00982118">
            <w:pPr>
              <w:rPr>
                <w:color w:val="000000"/>
              </w:rPr>
            </w:pPr>
            <w:r w:rsidRPr="004F5FB4">
              <w:rPr>
                <w:color w:val="000000"/>
              </w:rPr>
              <w:t>nächtliches Schwitzen,</w:t>
            </w:r>
          </w:p>
          <w:p w14:paraId="06B11271" w14:textId="77777777" w:rsidR="00B633E5" w:rsidRPr="004F5FB4" w:rsidRDefault="00B633E5" w:rsidP="00D4051F">
            <w:pPr>
              <w:rPr>
                <w:color w:val="000000"/>
                <w:lang w:val="en-GB"/>
              </w:rPr>
            </w:pPr>
            <w:r w:rsidRPr="004F5FB4">
              <w:rPr>
                <w:color w:val="000000"/>
              </w:rPr>
              <w:t>Narbenbildung</w:t>
            </w:r>
          </w:p>
        </w:tc>
      </w:tr>
      <w:tr w:rsidR="00B633E5" w:rsidRPr="004F5FB4" w14:paraId="49F18CB2" w14:textId="77777777" w:rsidTr="008419B6">
        <w:trPr>
          <w:cantSplit/>
        </w:trPr>
        <w:tc>
          <w:tcPr>
            <w:tcW w:w="4147" w:type="dxa"/>
            <w:vMerge/>
            <w:tcBorders>
              <w:left w:val="single" w:sz="4" w:space="0" w:color="auto"/>
              <w:right w:val="single" w:sz="4" w:space="0" w:color="auto"/>
            </w:tcBorders>
          </w:tcPr>
          <w:p w14:paraId="44F72091" w14:textId="77777777" w:rsidR="00B633E5" w:rsidRPr="004F5FB4" w:rsidRDefault="00B633E5"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57A93CFB" w14:textId="77777777" w:rsidR="00B633E5" w:rsidRPr="004F5FB4" w:rsidRDefault="00B633E5" w:rsidP="00982118">
            <w:pPr>
              <w:rPr>
                <w:color w:val="000000"/>
              </w:rPr>
            </w:pPr>
            <w:r w:rsidRPr="004F5FB4">
              <w:rPr>
                <w:color w:val="000000"/>
              </w:rPr>
              <w:t>Selten</w:t>
            </w:r>
          </w:p>
          <w:p w14:paraId="12954F04" w14:textId="77777777" w:rsidR="00B633E5" w:rsidRPr="004F5FB4" w:rsidRDefault="00B633E5" w:rsidP="00982118">
            <w:pPr>
              <w:rPr>
                <w:color w:val="000000"/>
                <w:lang w:val="en-GB"/>
              </w:rPr>
            </w:pPr>
          </w:p>
        </w:tc>
        <w:tc>
          <w:tcPr>
            <w:tcW w:w="0" w:type="auto"/>
            <w:tcBorders>
              <w:left w:val="single" w:sz="4" w:space="0" w:color="auto"/>
              <w:right w:val="single" w:sz="4" w:space="0" w:color="auto"/>
            </w:tcBorders>
          </w:tcPr>
          <w:p w14:paraId="0504FA2A" w14:textId="77777777" w:rsidR="00B633E5" w:rsidRPr="00C325BF" w:rsidRDefault="00637923" w:rsidP="00982118">
            <w:pPr>
              <w:rPr>
                <w:color w:val="000000"/>
                <w:lang w:val="fr-FR"/>
              </w:rPr>
            </w:pPr>
            <w:proofErr w:type="spellStart"/>
            <w:r w:rsidRPr="00C325BF">
              <w:rPr>
                <w:color w:val="000000"/>
                <w:lang w:val="fr-FR"/>
              </w:rPr>
              <w:t>Erythema</w:t>
            </w:r>
            <w:proofErr w:type="spellEnd"/>
            <w:r w:rsidRPr="00C325BF">
              <w:rPr>
                <w:color w:val="000000"/>
                <w:lang w:val="fr-FR"/>
              </w:rPr>
              <w:t xml:space="preserve"> multiforme</w:t>
            </w:r>
            <w:r w:rsidRPr="00C325BF">
              <w:rPr>
                <w:color w:val="000000"/>
                <w:vertAlign w:val="superscript"/>
                <w:lang w:val="fr-FR"/>
              </w:rPr>
              <w:t>1</w:t>
            </w:r>
            <w:r w:rsidRPr="00C325BF">
              <w:rPr>
                <w:color w:val="000000"/>
                <w:lang w:val="fr-FR"/>
              </w:rPr>
              <w:t>,</w:t>
            </w:r>
          </w:p>
          <w:p w14:paraId="2AFDC918" w14:textId="77777777" w:rsidR="00B633E5" w:rsidRPr="00C325BF" w:rsidRDefault="00B633E5" w:rsidP="00982118">
            <w:pPr>
              <w:rPr>
                <w:color w:val="000000"/>
                <w:lang w:val="fr-FR"/>
              </w:rPr>
            </w:pPr>
            <w:r w:rsidRPr="00C325BF">
              <w:rPr>
                <w:color w:val="000000"/>
                <w:lang w:val="fr-FR"/>
              </w:rPr>
              <w:t>Stevens</w:t>
            </w:r>
            <w:r w:rsidRPr="00C325BF">
              <w:rPr>
                <w:color w:val="000000"/>
                <w:lang w:val="fr-FR"/>
              </w:rPr>
              <w:noBreakHyphen/>
              <w:t>Johnson-Syndrom</w:t>
            </w:r>
            <w:r w:rsidRPr="00C325BF">
              <w:rPr>
                <w:color w:val="000000"/>
                <w:vertAlign w:val="superscript"/>
                <w:lang w:val="fr-FR"/>
              </w:rPr>
              <w:t>1</w:t>
            </w:r>
            <w:r w:rsidRPr="00C325BF">
              <w:rPr>
                <w:color w:val="000000"/>
                <w:lang w:val="fr-FR"/>
              </w:rPr>
              <w:t>,</w:t>
            </w:r>
          </w:p>
          <w:p w14:paraId="65185B28" w14:textId="77777777" w:rsidR="00B633E5" w:rsidRPr="008F4625" w:rsidRDefault="00B633E5" w:rsidP="00982118">
            <w:pPr>
              <w:rPr>
                <w:color w:val="000000"/>
              </w:rPr>
            </w:pPr>
            <w:r w:rsidRPr="008F4625">
              <w:rPr>
                <w:color w:val="000000"/>
              </w:rPr>
              <w:t>Angioödem</w:t>
            </w:r>
            <w:r w:rsidRPr="008F4625">
              <w:rPr>
                <w:color w:val="000000"/>
                <w:vertAlign w:val="superscript"/>
              </w:rPr>
              <w:t>1</w:t>
            </w:r>
            <w:r w:rsidRPr="008F4625">
              <w:rPr>
                <w:color w:val="000000"/>
              </w:rPr>
              <w:t>,</w:t>
            </w:r>
          </w:p>
          <w:p w14:paraId="726E0BA2" w14:textId="77777777" w:rsidR="00B633E5" w:rsidRPr="008F4625" w:rsidRDefault="00B633E5" w:rsidP="00982118">
            <w:pPr>
              <w:rPr>
                <w:color w:val="000000"/>
              </w:rPr>
            </w:pPr>
            <w:r w:rsidRPr="008F4625">
              <w:rPr>
                <w:color w:val="000000"/>
              </w:rPr>
              <w:t>kutane Vaskulitis</w:t>
            </w:r>
            <w:r w:rsidRPr="008F4625">
              <w:rPr>
                <w:color w:val="000000"/>
                <w:vertAlign w:val="superscript"/>
              </w:rPr>
              <w:t>1</w:t>
            </w:r>
            <w:r w:rsidRPr="008F4625">
              <w:rPr>
                <w:color w:val="000000"/>
              </w:rPr>
              <w:t>,</w:t>
            </w:r>
          </w:p>
          <w:p w14:paraId="02C13A98" w14:textId="77777777" w:rsidR="00B633E5" w:rsidRPr="00C325BF" w:rsidRDefault="00151BF0" w:rsidP="00D4051F">
            <w:pPr>
              <w:rPr>
                <w:color w:val="000000"/>
              </w:rPr>
            </w:pPr>
            <w:r w:rsidRPr="004F5FB4">
              <w:rPr>
                <w:color w:val="000000"/>
              </w:rPr>
              <w:t>lichenoide Hautreaktion</w:t>
            </w:r>
            <w:r w:rsidRPr="004F5FB4">
              <w:rPr>
                <w:color w:val="000000"/>
                <w:vertAlign w:val="superscript"/>
              </w:rPr>
              <w:t>1</w:t>
            </w:r>
          </w:p>
        </w:tc>
      </w:tr>
      <w:tr w:rsidR="00B633E5" w:rsidRPr="004F5FB4" w14:paraId="0BD4C675" w14:textId="77777777" w:rsidTr="008419B6">
        <w:trPr>
          <w:cantSplit/>
        </w:trPr>
        <w:tc>
          <w:tcPr>
            <w:tcW w:w="4147" w:type="dxa"/>
            <w:vMerge/>
            <w:tcBorders>
              <w:left w:val="single" w:sz="4" w:space="0" w:color="auto"/>
              <w:bottom w:val="single" w:sz="4" w:space="0" w:color="auto"/>
              <w:right w:val="single" w:sz="4" w:space="0" w:color="auto"/>
            </w:tcBorders>
          </w:tcPr>
          <w:p w14:paraId="52AF5A56" w14:textId="77777777" w:rsidR="00B633E5" w:rsidRPr="00C325BF" w:rsidRDefault="00B633E5"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2C2985A3" w14:textId="77777777" w:rsidR="00B633E5" w:rsidRPr="004F5FB4" w:rsidRDefault="00193B52" w:rsidP="00982118">
            <w:pPr>
              <w:rPr>
                <w:color w:val="000000"/>
              </w:rPr>
            </w:pPr>
            <w:r w:rsidRPr="004F5FB4">
              <w:rPr>
                <w:color w:val="000000"/>
              </w:rPr>
              <w:t xml:space="preserve">Nicht </w:t>
            </w:r>
            <w:r w:rsidR="00B633E5" w:rsidRPr="004F5FB4">
              <w:rPr>
                <w:color w:val="000000"/>
              </w:rPr>
              <w:t>bekannt</w:t>
            </w:r>
          </w:p>
        </w:tc>
        <w:tc>
          <w:tcPr>
            <w:tcW w:w="0" w:type="auto"/>
            <w:tcBorders>
              <w:left w:val="single" w:sz="4" w:space="0" w:color="auto"/>
              <w:bottom w:val="single" w:sz="4" w:space="0" w:color="auto"/>
              <w:right w:val="single" w:sz="4" w:space="0" w:color="auto"/>
            </w:tcBorders>
          </w:tcPr>
          <w:p w14:paraId="4FF8835F" w14:textId="77777777" w:rsidR="00B633E5" w:rsidRPr="00C325BF" w:rsidRDefault="00637923" w:rsidP="00D4051F">
            <w:pPr>
              <w:rPr>
                <w:color w:val="000000"/>
              </w:rPr>
            </w:pPr>
            <w:r w:rsidRPr="004F5FB4">
              <w:rPr>
                <w:color w:val="000000"/>
              </w:rPr>
              <w:t>Verschlechterung der Symptome einer Dermatomyositis</w:t>
            </w:r>
            <w:r w:rsidRPr="004F5FB4">
              <w:rPr>
                <w:color w:val="000000"/>
                <w:vertAlign w:val="superscript"/>
              </w:rPr>
              <w:t>1</w:t>
            </w:r>
          </w:p>
        </w:tc>
      </w:tr>
      <w:tr w:rsidR="00B633E5" w:rsidRPr="004F5FB4" w14:paraId="4F6EDFCA"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CCE1C0A" w14:textId="77777777" w:rsidR="00B633E5" w:rsidRPr="004F5FB4" w:rsidRDefault="00B633E5" w:rsidP="00982118">
            <w:pPr>
              <w:keepNext/>
              <w:rPr>
                <w:color w:val="000000"/>
              </w:rPr>
            </w:pPr>
            <w:r w:rsidRPr="004F5FB4">
              <w:rPr>
                <w:color w:val="000000"/>
              </w:rPr>
              <w:t>Skelettmuskulatur-, Bindegewebs- und Knochenerkrankungen</w:t>
            </w:r>
          </w:p>
        </w:tc>
        <w:tc>
          <w:tcPr>
            <w:tcW w:w="2557" w:type="dxa"/>
            <w:tcBorders>
              <w:top w:val="single" w:sz="4" w:space="0" w:color="auto"/>
              <w:left w:val="single" w:sz="4" w:space="0" w:color="auto"/>
              <w:bottom w:val="single" w:sz="4" w:space="0" w:color="auto"/>
              <w:right w:val="single" w:sz="4" w:space="0" w:color="auto"/>
            </w:tcBorders>
          </w:tcPr>
          <w:p w14:paraId="0A16ABEA" w14:textId="77777777" w:rsidR="00B633E5" w:rsidRPr="004F5FB4" w:rsidRDefault="00B633E5" w:rsidP="00982118">
            <w:pPr>
              <w:keepNext/>
              <w:rPr>
                <w:color w:val="000000"/>
              </w:rPr>
            </w:pPr>
            <w:r w:rsidRPr="004F5FB4">
              <w:rPr>
                <w:color w:val="000000"/>
              </w:rPr>
              <w:t>Sehr häufig</w:t>
            </w:r>
          </w:p>
        </w:tc>
        <w:tc>
          <w:tcPr>
            <w:tcW w:w="0" w:type="auto"/>
            <w:tcBorders>
              <w:top w:val="single" w:sz="4" w:space="0" w:color="auto"/>
              <w:left w:val="single" w:sz="4" w:space="0" w:color="auto"/>
              <w:right w:val="single" w:sz="4" w:space="0" w:color="auto"/>
            </w:tcBorders>
          </w:tcPr>
          <w:p w14:paraId="22CDE249" w14:textId="77777777" w:rsidR="00B633E5" w:rsidRPr="004F5FB4" w:rsidRDefault="00637923" w:rsidP="00D4051F">
            <w:pPr>
              <w:keepNext/>
              <w:rPr>
                <w:color w:val="000000"/>
                <w:lang w:val="en-GB"/>
              </w:rPr>
            </w:pPr>
            <w:r w:rsidRPr="004F5FB4">
              <w:rPr>
                <w:color w:val="000000"/>
              </w:rPr>
              <w:t>muskuloskelettale Schmerzen</w:t>
            </w:r>
          </w:p>
        </w:tc>
      </w:tr>
      <w:tr w:rsidR="00B633E5" w:rsidRPr="004F5FB4" w14:paraId="28E5DCC2" w14:textId="77777777" w:rsidTr="008419B6">
        <w:trPr>
          <w:cantSplit/>
        </w:trPr>
        <w:tc>
          <w:tcPr>
            <w:tcW w:w="4147" w:type="dxa"/>
            <w:vMerge/>
            <w:tcBorders>
              <w:left w:val="single" w:sz="4" w:space="0" w:color="auto"/>
              <w:right w:val="single" w:sz="4" w:space="0" w:color="auto"/>
            </w:tcBorders>
          </w:tcPr>
          <w:p w14:paraId="6B8C16FB" w14:textId="77777777" w:rsidR="00B633E5" w:rsidRPr="004F5FB4" w:rsidRDefault="00B633E5"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785A89C6" w14:textId="77777777" w:rsidR="00B633E5" w:rsidRPr="004F5FB4" w:rsidRDefault="00B633E5" w:rsidP="00982118">
            <w:pPr>
              <w:keepNext/>
              <w:rPr>
                <w:color w:val="000000"/>
              </w:rPr>
            </w:pPr>
            <w:r w:rsidRPr="004F5FB4">
              <w:rPr>
                <w:color w:val="000000"/>
              </w:rPr>
              <w:t>Häufig</w:t>
            </w:r>
          </w:p>
          <w:p w14:paraId="44647507" w14:textId="77777777" w:rsidR="00B633E5" w:rsidRPr="004F5FB4" w:rsidRDefault="00B633E5" w:rsidP="00982118">
            <w:pPr>
              <w:keepNext/>
              <w:rPr>
                <w:color w:val="000000"/>
                <w:lang w:val="en-GB"/>
              </w:rPr>
            </w:pPr>
          </w:p>
        </w:tc>
        <w:tc>
          <w:tcPr>
            <w:tcW w:w="0" w:type="auto"/>
            <w:tcBorders>
              <w:left w:val="single" w:sz="4" w:space="0" w:color="auto"/>
              <w:right w:val="single" w:sz="4" w:space="0" w:color="auto"/>
            </w:tcBorders>
          </w:tcPr>
          <w:p w14:paraId="5CEA705F" w14:textId="77777777" w:rsidR="00B633E5" w:rsidRPr="004F5FB4" w:rsidRDefault="00637923" w:rsidP="00D4051F">
            <w:pPr>
              <w:keepNext/>
              <w:rPr>
                <w:color w:val="000000"/>
              </w:rPr>
            </w:pPr>
            <w:r w:rsidRPr="004F5FB4">
              <w:rPr>
                <w:color w:val="000000"/>
              </w:rPr>
              <w:t>Muskelkrämpfe (einschließlich Erhöhung der Blut-Kreatinphosphokinase)</w:t>
            </w:r>
          </w:p>
        </w:tc>
      </w:tr>
      <w:tr w:rsidR="00B633E5" w:rsidRPr="004F5FB4" w14:paraId="616AF537" w14:textId="77777777" w:rsidTr="008419B6">
        <w:trPr>
          <w:cantSplit/>
        </w:trPr>
        <w:tc>
          <w:tcPr>
            <w:tcW w:w="4147" w:type="dxa"/>
            <w:vMerge/>
            <w:tcBorders>
              <w:left w:val="single" w:sz="4" w:space="0" w:color="auto"/>
              <w:right w:val="single" w:sz="4" w:space="0" w:color="auto"/>
            </w:tcBorders>
          </w:tcPr>
          <w:p w14:paraId="1552B5B4" w14:textId="77777777" w:rsidR="00B633E5" w:rsidRPr="004F5FB4" w:rsidRDefault="00B633E5" w:rsidP="00982118">
            <w:pPr>
              <w:keepNext/>
              <w:rPr>
                <w:color w:val="000000"/>
              </w:rPr>
            </w:pPr>
          </w:p>
        </w:tc>
        <w:tc>
          <w:tcPr>
            <w:tcW w:w="2557" w:type="dxa"/>
            <w:tcBorders>
              <w:top w:val="single" w:sz="4" w:space="0" w:color="auto"/>
              <w:left w:val="single" w:sz="4" w:space="0" w:color="auto"/>
              <w:bottom w:val="single" w:sz="4" w:space="0" w:color="auto"/>
              <w:right w:val="single" w:sz="4" w:space="0" w:color="auto"/>
            </w:tcBorders>
          </w:tcPr>
          <w:p w14:paraId="211168D9" w14:textId="77777777" w:rsidR="00B633E5" w:rsidRPr="004F5FB4" w:rsidRDefault="00B633E5" w:rsidP="00982118">
            <w:pPr>
              <w:keepNext/>
              <w:rPr>
                <w:color w:val="000000"/>
              </w:rPr>
            </w:pPr>
            <w:r w:rsidRPr="004F5FB4">
              <w:rPr>
                <w:color w:val="000000"/>
              </w:rPr>
              <w:t>Gelegentlich</w:t>
            </w:r>
          </w:p>
          <w:p w14:paraId="33F017FC" w14:textId="77777777" w:rsidR="00B633E5" w:rsidRPr="004F5FB4" w:rsidRDefault="00B633E5" w:rsidP="00982118">
            <w:pPr>
              <w:keepNext/>
              <w:rPr>
                <w:color w:val="000000"/>
                <w:lang w:val="en-GB"/>
              </w:rPr>
            </w:pPr>
          </w:p>
        </w:tc>
        <w:tc>
          <w:tcPr>
            <w:tcW w:w="0" w:type="auto"/>
            <w:tcBorders>
              <w:left w:val="single" w:sz="4" w:space="0" w:color="auto"/>
              <w:right w:val="single" w:sz="4" w:space="0" w:color="auto"/>
            </w:tcBorders>
          </w:tcPr>
          <w:p w14:paraId="1CD4FF82" w14:textId="77777777" w:rsidR="00B633E5" w:rsidRPr="004F5FB4" w:rsidRDefault="00637923" w:rsidP="00982118">
            <w:pPr>
              <w:keepNext/>
              <w:rPr>
                <w:color w:val="000000"/>
              </w:rPr>
            </w:pPr>
            <w:r w:rsidRPr="004F5FB4">
              <w:rPr>
                <w:color w:val="000000"/>
              </w:rPr>
              <w:t>Rhabdomyolyse,</w:t>
            </w:r>
          </w:p>
          <w:p w14:paraId="325AD35A" w14:textId="77777777" w:rsidR="00B633E5" w:rsidRPr="004F5FB4" w:rsidRDefault="00B633E5" w:rsidP="00D4051F">
            <w:pPr>
              <w:keepNext/>
              <w:rPr>
                <w:color w:val="000000"/>
                <w:lang w:val="en-GB"/>
              </w:rPr>
            </w:pPr>
            <w:r w:rsidRPr="004F5FB4">
              <w:rPr>
                <w:color w:val="000000"/>
              </w:rPr>
              <w:t>systemischer Lupus erythematodes</w:t>
            </w:r>
          </w:p>
        </w:tc>
      </w:tr>
      <w:tr w:rsidR="00B633E5" w:rsidRPr="004F5FB4" w14:paraId="22920897" w14:textId="77777777" w:rsidTr="008419B6">
        <w:trPr>
          <w:cantSplit/>
        </w:trPr>
        <w:tc>
          <w:tcPr>
            <w:tcW w:w="4147" w:type="dxa"/>
            <w:vMerge/>
            <w:tcBorders>
              <w:left w:val="single" w:sz="4" w:space="0" w:color="auto"/>
              <w:bottom w:val="single" w:sz="4" w:space="0" w:color="auto"/>
              <w:right w:val="single" w:sz="4" w:space="0" w:color="auto"/>
            </w:tcBorders>
          </w:tcPr>
          <w:p w14:paraId="5F4E30CC" w14:textId="77777777" w:rsidR="00B633E5" w:rsidRPr="004F5FB4" w:rsidRDefault="00B633E5"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55B2D893" w14:textId="77777777" w:rsidR="00B633E5" w:rsidRPr="004F5FB4" w:rsidRDefault="00B633E5" w:rsidP="00982118">
            <w:pPr>
              <w:rPr>
                <w:color w:val="000000"/>
              </w:rPr>
            </w:pPr>
            <w:r w:rsidRPr="004F5FB4">
              <w:rPr>
                <w:color w:val="000000"/>
              </w:rPr>
              <w:t>Selten</w:t>
            </w:r>
          </w:p>
        </w:tc>
        <w:tc>
          <w:tcPr>
            <w:tcW w:w="0" w:type="auto"/>
            <w:tcBorders>
              <w:left w:val="single" w:sz="4" w:space="0" w:color="auto"/>
              <w:bottom w:val="single" w:sz="4" w:space="0" w:color="auto"/>
              <w:right w:val="single" w:sz="4" w:space="0" w:color="auto"/>
            </w:tcBorders>
          </w:tcPr>
          <w:p w14:paraId="492B70C5" w14:textId="77777777" w:rsidR="00B633E5" w:rsidRPr="004F5FB4" w:rsidRDefault="00637923" w:rsidP="00D4051F">
            <w:pPr>
              <w:rPr>
                <w:color w:val="000000"/>
                <w:lang w:val="en-GB"/>
              </w:rPr>
            </w:pPr>
            <w:r w:rsidRPr="004F5FB4">
              <w:rPr>
                <w:color w:val="000000"/>
              </w:rPr>
              <w:t>lupusähnliches Syndrom</w:t>
            </w:r>
            <w:r w:rsidRPr="004F5FB4">
              <w:rPr>
                <w:color w:val="000000"/>
                <w:vertAlign w:val="superscript"/>
              </w:rPr>
              <w:t>1</w:t>
            </w:r>
          </w:p>
        </w:tc>
      </w:tr>
      <w:tr w:rsidR="00B633E5" w:rsidRPr="004F5FB4" w14:paraId="463ACFCD"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57604638" w14:textId="77777777" w:rsidR="00B633E5" w:rsidRPr="004F5FB4" w:rsidRDefault="00B633E5" w:rsidP="00982118">
            <w:pPr>
              <w:rPr>
                <w:color w:val="000000"/>
              </w:rPr>
            </w:pPr>
            <w:r w:rsidRPr="004F5FB4">
              <w:rPr>
                <w:color w:val="000000"/>
              </w:rPr>
              <w:t>Erkrankungen der Nieren und Harnwege</w:t>
            </w:r>
          </w:p>
        </w:tc>
        <w:tc>
          <w:tcPr>
            <w:tcW w:w="2557" w:type="dxa"/>
            <w:tcBorders>
              <w:top w:val="single" w:sz="4" w:space="0" w:color="auto"/>
              <w:left w:val="single" w:sz="4" w:space="0" w:color="auto"/>
              <w:right w:val="single" w:sz="4" w:space="0" w:color="auto"/>
            </w:tcBorders>
          </w:tcPr>
          <w:p w14:paraId="2372C97B" w14:textId="77777777" w:rsidR="00B633E5" w:rsidRPr="004F5FB4" w:rsidRDefault="00B633E5"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tcPr>
          <w:p w14:paraId="05A8462F" w14:textId="77777777" w:rsidR="00B633E5" w:rsidRPr="004F5FB4" w:rsidRDefault="00637923" w:rsidP="00982118">
            <w:pPr>
              <w:rPr>
                <w:color w:val="000000"/>
              </w:rPr>
            </w:pPr>
            <w:r w:rsidRPr="004F5FB4">
              <w:rPr>
                <w:color w:val="000000"/>
              </w:rPr>
              <w:t>eingeschränkte Nierenfunktion,</w:t>
            </w:r>
          </w:p>
          <w:p w14:paraId="23992C07" w14:textId="77777777" w:rsidR="00CA2D0E" w:rsidRPr="004F5FB4" w:rsidRDefault="00B633E5" w:rsidP="00D4051F">
            <w:pPr>
              <w:rPr>
                <w:color w:val="000000"/>
                <w:lang w:val="en-GB"/>
              </w:rPr>
            </w:pPr>
            <w:r w:rsidRPr="004F5FB4">
              <w:rPr>
                <w:color w:val="000000"/>
              </w:rPr>
              <w:t>Hämaturie</w:t>
            </w:r>
          </w:p>
        </w:tc>
      </w:tr>
      <w:tr w:rsidR="00B633E5" w:rsidRPr="004F5FB4" w14:paraId="68EBEB31" w14:textId="77777777" w:rsidTr="008419B6">
        <w:trPr>
          <w:cantSplit/>
        </w:trPr>
        <w:tc>
          <w:tcPr>
            <w:tcW w:w="4147" w:type="dxa"/>
            <w:vMerge/>
            <w:tcBorders>
              <w:left w:val="single" w:sz="4" w:space="0" w:color="auto"/>
              <w:bottom w:val="single" w:sz="4" w:space="0" w:color="auto"/>
              <w:right w:val="single" w:sz="4" w:space="0" w:color="auto"/>
            </w:tcBorders>
          </w:tcPr>
          <w:p w14:paraId="5942BB58" w14:textId="77777777" w:rsidR="00B633E5" w:rsidRPr="004F5FB4" w:rsidRDefault="00B633E5" w:rsidP="00982118">
            <w:pPr>
              <w:rPr>
                <w:color w:val="000000"/>
                <w:lang w:val="en-GB"/>
              </w:rPr>
            </w:pPr>
          </w:p>
        </w:tc>
        <w:tc>
          <w:tcPr>
            <w:tcW w:w="2557" w:type="dxa"/>
            <w:tcBorders>
              <w:left w:val="single" w:sz="4" w:space="0" w:color="auto"/>
              <w:bottom w:val="single" w:sz="4" w:space="0" w:color="auto"/>
              <w:right w:val="single" w:sz="4" w:space="0" w:color="auto"/>
            </w:tcBorders>
          </w:tcPr>
          <w:p w14:paraId="701A10EF" w14:textId="77777777" w:rsidR="00B633E5" w:rsidRPr="004F5FB4" w:rsidRDefault="00B633E5" w:rsidP="00D4051F">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3308853B" w14:textId="77777777" w:rsidR="00B633E5" w:rsidRPr="004F5FB4" w:rsidRDefault="00637923" w:rsidP="00982118">
            <w:pPr>
              <w:rPr>
                <w:color w:val="000000"/>
              </w:rPr>
            </w:pPr>
            <w:r w:rsidRPr="004F5FB4">
              <w:rPr>
                <w:color w:val="000000"/>
              </w:rPr>
              <w:t>Nykturie</w:t>
            </w:r>
          </w:p>
        </w:tc>
      </w:tr>
      <w:tr w:rsidR="00C46587" w:rsidRPr="004F5FB4" w14:paraId="40293632" w14:textId="77777777" w:rsidTr="008419B6">
        <w:trPr>
          <w:cantSplit/>
        </w:trPr>
        <w:tc>
          <w:tcPr>
            <w:tcW w:w="4147" w:type="dxa"/>
            <w:tcBorders>
              <w:top w:val="single" w:sz="4" w:space="0" w:color="auto"/>
              <w:left w:val="single" w:sz="4" w:space="0" w:color="auto"/>
              <w:bottom w:val="single" w:sz="4" w:space="0" w:color="auto"/>
              <w:right w:val="single" w:sz="4" w:space="0" w:color="auto"/>
            </w:tcBorders>
            <w:hideMark/>
          </w:tcPr>
          <w:p w14:paraId="3DAAB0EF" w14:textId="77777777" w:rsidR="00C46587" w:rsidRPr="004F5FB4" w:rsidRDefault="00C46587" w:rsidP="00982118">
            <w:pPr>
              <w:rPr>
                <w:color w:val="000000"/>
              </w:rPr>
            </w:pPr>
            <w:r w:rsidRPr="004F5FB4">
              <w:rPr>
                <w:color w:val="000000"/>
              </w:rPr>
              <w:t>Erkrankungen der Geschlechtsorgane und der Brustdrüse</w:t>
            </w:r>
          </w:p>
        </w:tc>
        <w:tc>
          <w:tcPr>
            <w:tcW w:w="2557" w:type="dxa"/>
            <w:tcBorders>
              <w:top w:val="single" w:sz="4" w:space="0" w:color="auto"/>
              <w:left w:val="single" w:sz="4" w:space="0" w:color="auto"/>
              <w:bottom w:val="single" w:sz="4" w:space="0" w:color="auto"/>
              <w:right w:val="single" w:sz="4" w:space="0" w:color="auto"/>
            </w:tcBorders>
            <w:hideMark/>
          </w:tcPr>
          <w:p w14:paraId="58529D82" w14:textId="77777777" w:rsidR="00C46587" w:rsidRPr="004F5FB4" w:rsidRDefault="00C46587" w:rsidP="00982118">
            <w:pPr>
              <w:rPr>
                <w:color w:val="000000"/>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hideMark/>
          </w:tcPr>
          <w:p w14:paraId="74717883" w14:textId="77777777" w:rsidR="00C46587" w:rsidRPr="004F5FB4" w:rsidRDefault="00637923" w:rsidP="00982118">
            <w:pPr>
              <w:rPr>
                <w:color w:val="000000"/>
              </w:rPr>
            </w:pPr>
            <w:r w:rsidRPr="004F5FB4">
              <w:rPr>
                <w:color w:val="000000"/>
              </w:rPr>
              <w:t>erektile Dysfunktion</w:t>
            </w:r>
          </w:p>
        </w:tc>
      </w:tr>
      <w:tr w:rsidR="00B633E5" w:rsidRPr="004F5FB4" w14:paraId="5065D5CC"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0810F8B4" w14:textId="77777777" w:rsidR="00B633E5" w:rsidRPr="004F5FB4" w:rsidRDefault="00B633E5" w:rsidP="003146E9">
            <w:pPr>
              <w:keepNext/>
              <w:rPr>
                <w:color w:val="000000"/>
              </w:rPr>
            </w:pPr>
            <w:r w:rsidRPr="004F5FB4">
              <w:rPr>
                <w:color w:val="000000"/>
              </w:rPr>
              <w:t>Allgemeine Erkrankungen und Beschwerden am Verabreichungsort*</w:t>
            </w:r>
          </w:p>
        </w:tc>
        <w:tc>
          <w:tcPr>
            <w:tcW w:w="2557" w:type="dxa"/>
            <w:tcBorders>
              <w:top w:val="single" w:sz="4" w:space="0" w:color="auto"/>
              <w:left w:val="single" w:sz="4" w:space="0" w:color="auto"/>
              <w:right w:val="single" w:sz="4" w:space="0" w:color="auto"/>
            </w:tcBorders>
          </w:tcPr>
          <w:p w14:paraId="0E21D162" w14:textId="77777777" w:rsidR="00B633E5" w:rsidRPr="004F5FB4" w:rsidRDefault="006E1391" w:rsidP="003146E9">
            <w:pPr>
              <w:keepNext/>
              <w:rPr>
                <w:color w:val="000000"/>
              </w:rPr>
            </w:pPr>
            <w:r w:rsidRPr="004F5FB4">
              <w:rPr>
                <w:color w:val="000000"/>
              </w:rPr>
              <w:t>Sehr häufig</w:t>
            </w:r>
          </w:p>
          <w:p w14:paraId="426A54B9" w14:textId="77777777" w:rsidR="00B633E5" w:rsidRPr="004F5FB4" w:rsidRDefault="00B633E5" w:rsidP="003146E9">
            <w:pPr>
              <w:keepNext/>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044118EC" w14:textId="77777777" w:rsidR="00B633E5" w:rsidRPr="004F5FB4" w:rsidRDefault="00637923" w:rsidP="00D4051F">
            <w:pPr>
              <w:keepNext/>
              <w:rPr>
                <w:color w:val="000000"/>
              </w:rPr>
            </w:pPr>
            <w:r w:rsidRPr="004F5FB4">
              <w:rPr>
                <w:color w:val="000000"/>
              </w:rPr>
              <w:t>Reaktion an der Injektionsstelle (einschließlich Erytheme an der Injektionsstelle)</w:t>
            </w:r>
          </w:p>
        </w:tc>
      </w:tr>
      <w:tr w:rsidR="00B633E5" w:rsidRPr="004F5FB4" w14:paraId="654BAB6F" w14:textId="77777777" w:rsidTr="008419B6">
        <w:trPr>
          <w:cantSplit/>
        </w:trPr>
        <w:tc>
          <w:tcPr>
            <w:tcW w:w="4147" w:type="dxa"/>
            <w:vMerge/>
            <w:tcBorders>
              <w:left w:val="single" w:sz="4" w:space="0" w:color="auto"/>
              <w:right w:val="single" w:sz="4" w:space="0" w:color="auto"/>
            </w:tcBorders>
          </w:tcPr>
          <w:p w14:paraId="6DC7D88F" w14:textId="77777777" w:rsidR="00B633E5" w:rsidRPr="004F5FB4" w:rsidRDefault="00B633E5" w:rsidP="003146E9">
            <w:pPr>
              <w:keepNext/>
              <w:rPr>
                <w:color w:val="000000"/>
              </w:rPr>
            </w:pPr>
          </w:p>
        </w:tc>
        <w:tc>
          <w:tcPr>
            <w:tcW w:w="2557" w:type="dxa"/>
            <w:tcBorders>
              <w:left w:val="single" w:sz="4" w:space="0" w:color="auto"/>
              <w:right w:val="single" w:sz="4" w:space="0" w:color="auto"/>
            </w:tcBorders>
          </w:tcPr>
          <w:p w14:paraId="26CBE3E8" w14:textId="77777777" w:rsidR="00B633E5" w:rsidRPr="004F5FB4" w:rsidRDefault="00B633E5" w:rsidP="003146E9">
            <w:pPr>
              <w:keepNext/>
              <w:rPr>
                <w:color w:val="000000"/>
              </w:rPr>
            </w:pPr>
            <w:r w:rsidRPr="004F5FB4">
              <w:rPr>
                <w:color w:val="000000"/>
              </w:rPr>
              <w:t>Häufig</w:t>
            </w:r>
          </w:p>
          <w:p w14:paraId="76F2FBCB" w14:textId="77777777" w:rsidR="00B633E5" w:rsidRPr="004F5FB4" w:rsidRDefault="00B633E5" w:rsidP="003146E9">
            <w:pPr>
              <w:keepNext/>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62B283A5" w14:textId="77777777" w:rsidR="00B633E5" w:rsidRPr="004F5FB4" w:rsidRDefault="00637923" w:rsidP="003146E9">
            <w:pPr>
              <w:keepNext/>
              <w:rPr>
                <w:color w:val="000000"/>
              </w:rPr>
            </w:pPr>
            <w:r w:rsidRPr="004F5FB4">
              <w:rPr>
                <w:color w:val="000000"/>
              </w:rPr>
              <w:t>Brustschmerzen,</w:t>
            </w:r>
          </w:p>
          <w:p w14:paraId="7571362B" w14:textId="77777777" w:rsidR="00B633E5" w:rsidRPr="004F5FB4" w:rsidRDefault="00B633E5" w:rsidP="003146E9">
            <w:pPr>
              <w:keepNext/>
              <w:rPr>
                <w:color w:val="000000"/>
              </w:rPr>
            </w:pPr>
            <w:r w:rsidRPr="004F5FB4">
              <w:rPr>
                <w:color w:val="000000"/>
              </w:rPr>
              <w:t>Ödeme,</w:t>
            </w:r>
          </w:p>
          <w:p w14:paraId="1337F8AC" w14:textId="77777777" w:rsidR="00B633E5" w:rsidRPr="004F5FB4" w:rsidRDefault="00B633E5" w:rsidP="00D4051F">
            <w:pPr>
              <w:keepNext/>
              <w:rPr>
                <w:color w:val="000000"/>
                <w:lang w:val="en-GB"/>
              </w:rPr>
            </w:pPr>
            <w:r w:rsidRPr="004F5FB4">
              <w:rPr>
                <w:color w:val="000000"/>
              </w:rPr>
              <w:t>Fieber</w:t>
            </w:r>
            <w:r w:rsidRPr="004F5FB4">
              <w:rPr>
                <w:color w:val="000000"/>
                <w:vertAlign w:val="superscript"/>
              </w:rPr>
              <w:t>1</w:t>
            </w:r>
          </w:p>
        </w:tc>
      </w:tr>
      <w:tr w:rsidR="00B633E5" w:rsidRPr="004F5FB4" w14:paraId="521E7BFE" w14:textId="77777777" w:rsidTr="008419B6">
        <w:trPr>
          <w:cantSplit/>
        </w:trPr>
        <w:tc>
          <w:tcPr>
            <w:tcW w:w="4147" w:type="dxa"/>
            <w:vMerge/>
            <w:tcBorders>
              <w:left w:val="single" w:sz="4" w:space="0" w:color="auto"/>
              <w:bottom w:val="single" w:sz="4" w:space="0" w:color="auto"/>
              <w:right w:val="single" w:sz="4" w:space="0" w:color="auto"/>
            </w:tcBorders>
          </w:tcPr>
          <w:p w14:paraId="22FCB012" w14:textId="77777777" w:rsidR="00B633E5" w:rsidRPr="004F5FB4" w:rsidRDefault="00B633E5" w:rsidP="00982118">
            <w:pPr>
              <w:rPr>
                <w:color w:val="000000"/>
                <w:lang w:val="en-GB"/>
              </w:rPr>
            </w:pPr>
          </w:p>
        </w:tc>
        <w:tc>
          <w:tcPr>
            <w:tcW w:w="2557" w:type="dxa"/>
            <w:tcBorders>
              <w:left w:val="single" w:sz="4" w:space="0" w:color="auto"/>
              <w:bottom w:val="single" w:sz="4" w:space="0" w:color="auto"/>
              <w:right w:val="single" w:sz="4" w:space="0" w:color="auto"/>
            </w:tcBorders>
          </w:tcPr>
          <w:p w14:paraId="52FB67D9" w14:textId="77777777" w:rsidR="00B633E5" w:rsidRPr="004F5FB4" w:rsidRDefault="00B633E5" w:rsidP="00D4051F">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11CBCA59" w14:textId="77777777" w:rsidR="00B633E5" w:rsidRPr="004F5FB4" w:rsidRDefault="00637923" w:rsidP="00982118">
            <w:pPr>
              <w:rPr>
                <w:color w:val="000000"/>
              </w:rPr>
            </w:pPr>
            <w:r w:rsidRPr="004F5FB4">
              <w:rPr>
                <w:color w:val="000000"/>
              </w:rPr>
              <w:t>Entzündung</w:t>
            </w:r>
          </w:p>
        </w:tc>
      </w:tr>
      <w:tr w:rsidR="008419B6" w:rsidRPr="004F5FB4" w14:paraId="3BBD3107"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68799EF" w14:textId="77777777" w:rsidR="008419B6" w:rsidRPr="004F5FB4" w:rsidRDefault="008419B6" w:rsidP="00982118">
            <w:pPr>
              <w:rPr>
                <w:color w:val="000000"/>
              </w:rPr>
            </w:pPr>
            <w:r w:rsidRPr="004F5FB4">
              <w:rPr>
                <w:color w:val="000000"/>
              </w:rPr>
              <w:t>Untersuchungen*</w:t>
            </w:r>
          </w:p>
        </w:tc>
        <w:tc>
          <w:tcPr>
            <w:tcW w:w="2557" w:type="dxa"/>
            <w:tcBorders>
              <w:top w:val="single" w:sz="4" w:space="0" w:color="auto"/>
              <w:left w:val="single" w:sz="4" w:space="0" w:color="auto"/>
              <w:bottom w:val="single" w:sz="4" w:space="0" w:color="auto"/>
              <w:right w:val="single" w:sz="4" w:space="0" w:color="auto"/>
            </w:tcBorders>
            <w:hideMark/>
          </w:tcPr>
          <w:p w14:paraId="4B295DC9" w14:textId="77777777" w:rsidR="008419B6" w:rsidRPr="004F5FB4" w:rsidRDefault="008419B6"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hideMark/>
          </w:tcPr>
          <w:p w14:paraId="0CFFBA85" w14:textId="77777777" w:rsidR="008419B6" w:rsidRPr="004F5FB4" w:rsidRDefault="008419B6" w:rsidP="00982118">
            <w:pPr>
              <w:autoSpaceDE w:val="0"/>
              <w:autoSpaceDN w:val="0"/>
              <w:adjustRightInd w:val="0"/>
              <w:rPr>
                <w:color w:val="000000"/>
              </w:rPr>
            </w:pPr>
            <w:r w:rsidRPr="004F5FB4">
              <w:rPr>
                <w:color w:val="000000"/>
              </w:rPr>
              <w:t xml:space="preserve">Koagulations- und Blutungsstörungen (einschließlich Verlängerung der partiellen Thromboplastinzeit), </w:t>
            </w:r>
          </w:p>
          <w:p w14:paraId="49A33344" w14:textId="77777777" w:rsidR="008419B6" w:rsidRPr="004F5FB4" w:rsidRDefault="008419B6" w:rsidP="00982118">
            <w:pPr>
              <w:autoSpaceDE w:val="0"/>
              <w:autoSpaceDN w:val="0"/>
              <w:adjustRightInd w:val="0"/>
              <w:rPr>
                <w:color w:val="000000"/>
              </w:rPr>
            </w:pPr>
            <w:r w:rsidRPr="004F5FB4">
              <w:rPr>
                <w:color w:val="000000"/>
              </w:rPr>
              <w:t xml:space="preserve">positiver Nachweis von Autoantikörpern (einschließlich doppelsträngiger DNA-Antikörper), </w:t>
            </w:r>
          </w:p>
          <w:p w14:paraId="14F2A553" w14:textId="77777777" w:rsidR="008419B6" w:rsidRPr="004F5FB4" w:rsidRDefault="008419B6" w:rsidP="00D4051F">
            <w:pPr>
              <w:autoSpaceDE w:val="0"/>
              <w:autoSpaceDN w:val="0"/>
              <w:adjustRightInd w:val="0"/>
              <w:rPr>
                <w:color w:val="000000"/>
                <w:lang w:val="en-GB"/>
              </w:rPr>
            </w:pPr>
            <w:r w:rsidRPr="004F5FB4">
              <w:rPr>
                <w:color w:val="000000"/>
              </w:rPr>
              <w:t>erhöhte Blutwerte für Lactatdehydrogenase</w:t>
            </w:r>
          </w:p>
        </w:tc>
      </w:tr>
      <w:tr w:rsidR="008419B6" w:rsidRPr="004F5FB4" w14:paraId="45BDC5FD" w14:textId="77777777" w:rsidTr="008419B6">
        <w:trPr>
          <w:cantSplit/>
        </w:trPr>
        <w:tc>
          <w:tcPr>
            <w:tcW w:w="4147" w:type="dxa"/>
            <w:vMerge/>
            <w:tcBorders>
              <w:left w:val="single" w:sz="4" w:space="0" w:color="auto"/>
              <w:bottom w:val="single" w:sz="4" w:space="0" w:color="auto"/>
              <w:right w:val="single" w:sz="4" w:space="0" w:color="auto"/>
            </w:tcBorders>
          </w:tcPr>
          <w:p w14:paraId="640EA525" w14:textId="77777777" w:rsidR="008419B6" w:rsidRPr="004F5FB4" w:rsidRDefault="008419B6"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20E260D9" w14:textId="77777777" w:rsidR="008419B6" w:rsidRPr="004F5FB4" w:rsidRDefault="008419B6" w:rsidP="00982118">
            <w:pPr>
              <w:rPr>
                <w:color w:val="000000"/>
              </w:rPr>
            </w:pPr>
            <w:r>
              <w:rPr>
                <w:color w:val="000000"/>
              </w:rPr>
              <w:t>Nicht bekannt</w:t>
            </w:r>
          </w:p>
        </w:tc>
        <w:tc>
          <w:tcPr>
            <w:tcW w:w="0" w:type="auto"/>
            <w:tcBorders>
              <w:top w:val="single" w:sz="4" w:space="0" w:color="auto"/>
              <w:left w:val="single" w:sz="4" w:space="0" w:color="auto"/>
              <w:bottom w:val="single" w:sz="4" w:space="0" w:color="auto"/>
              <w:right w:val="single" w:sz="4" w:space="0" w:color="auto"/>
            </w:tcBorders>
          </w:tcPr>
          <w:p w14:paraId="27AA2798" w14:textId="77777777" w:rsidR="008419B6" w:rsidRPr="004F5FB4" w:rsidRDefault="008419B6" w:rsidP="00982118">
            <w:pPr>
              <w:autoSpaceDE w:val="0"/>
              <w:autoSpaceDN w:val="0"/>
              <w:adjustRightInd w:val="0"/>
              <w:rPr>
                <w:color w:val="000000"/>
              </w:rPr>
            </w:pPr>
            <w:r>
              <w:rPr>
                <w:color w:val="000000"/>
              </w:rPr>
              <w:t>Gewichtszunahme</w:t>
            </w:r>
            <w:r w:rsidRPr="00D42C63">
              <w:rPr>
                <w:color w:val="000000"/>
                <w:vertAlign w:val="superscript"/>
              </w:rPr>
              <w:t>2</w:t>
            </w:r>
          </w:p>
        </w:tc>
      </w:tr>
      <w:tr w:rsidR="00C46587" w:rsidRPr="004F5FB4" w14:paraId="45DDCB0E" w14:textId="77777777" w:rsidTr="008419B6">
        <w:trPr>
          <w:cantSplit/>
        </w:trPr>
        <w:tc>
          <w:tcPr>
            <w:tcW w:w="4147" w:type="dxa"/>
            <w:tcBorders>
              <w:top w:val="single" w:sz="4" w:space="0" w:color="auto"/>
              <w:left w:val="single" w:sz="4" w:space="0" w:color="auto"/>
              <w:bottom w:val="single" w:sz="4" w:space="0" w:color="auto"/>
              <w:right w:val="single" w:sz="4" w:space="0" w:color="auto"/>
            </w:tcBorders>
            <w:hideMark/>
          </w:tcPr>
          <w:p w14:paraId="1C615799" w14:textId="77777777" w:rsidR="00C46587" w:rsidRPr="004F5FB4" w:rsidRDefault="00C46587" w:rsidP="00982118">
            <w:pPr>
              <w:rPr>
                <w:color w:val="000000"/>
              </w:rPr>
            </w:pPr>
            <w:r w:rsidRPr="004F5FB4">
              <w:rPr>
                <w:color w:val="000000"/>
              </w:rPr>
              <w:t>Verletzung, Vergiftung und durch Eingriffe bedingte Komplikationen</w:t>
            </w:r>
          </w:p>
        </w:tc>
        <w:tc>
          <w:tcPr>
            <w:tcW w:w="2557" w:type="dxa"/>
            <w:tcBorders>
              <w:top w:val="single" w:sz="4" w:space="0" w:color="auto"/>
              <w:left w:val="single" w:sz="4" w:space="0" w:color="auto"/>
              <w:bottom w:val="single" w:sz="4" w:space="0" w:color="auto"/>
              <w:right w:val="single" w:sz="4" w:space="0" w:color="auto"/>
            </w:tcBorders>
            <w:hideMark/>
          </w:tcPr>
          <w:p w14:paraId="5D6A5682" w14:textId="77777777" w:rsidR="00C46587" w:rsidRPr="004F5FB4" w:rsidRDefault="00C46587"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hideMark/>
          </w:tcPr>
          <w:p w14:paraId="53858F78" w14:textId="77777777" w:rsidR="00C46587" w:rsidRPr="004F5FB4" w:rsidRDefault="00637923" w:rsidP="00982118">
            <w:pPr>
              <w:rPr>
                <w:color w:val="000000"/>
              </w:rPr>
            </w:pPr>
            <w:r w:rsidRPr="004F5FB4">
              <w:rPr>
                <w:color w:val="000000"/>
              </w:rPr>
              <w:t>beeinträchtigte Wundheilung</w:t>
            </w:r>
          </w:p>
        </w:tc>
      </w:tr>
      <w:tr w:rsidR="00C46587" w:rsidRPr="004F5FB4" w14:paraId="3B4D2D7E" w14:textId="77777777" w:rsidTr="0095181C">
        <w:trPr>
          <w:cantSplit/>
        </w:trPr>
        <w:tc>
          <w:tcPr>
            <w:tcW w:w="0" w:type="auto"/>
            <w:gridSpan w:val="3"/>
            <w:tcBorders>
              <w:top w:val="single" w:sz="4" w:space="0" w:color="auto"/>
              <w:left w:val="nil"/>
              <w:bottom w:val="nil"/>
              <w:right w:val="nil"/>
            </w:tcBorders>
            <w:hideMark/>
          </w:tcPr>
          <w:p w14:paraId="68C3B778" w14:textId="77777777" w:rsidR="00C46587" w:rsidRPr="00206AEA" w:rsidRDefault="00C46587" w:rsidP="00982118">
            <w:pPr>
              <w:tabs>
                <w:tab w:val="left" w:pos="360"/>
              </w:tabs>
              <w:rPr>
                <w:color w:val="000000"/>
                <w:sz w:val="20"/>
              </w:rPr>
            </w:pPr>
            <w:r w:rsidRPr="00206AEA">
              <w:rPr>
                <w:color w:val="000000"/>
                <w:sz w:val="20"/>
              </w:rPr>
              <w:lastRenderedPageBreak/>
              <w:t>*</w:t>
            </w:r>
            <w:r w:rsidRPr="00206AEA">
              <w:rPr>
                <w:color w:val="000000"/>
                <w:sz w:val="20"/>
              </w:rPr>
              <w:tab/>
              <w:t>Weitere Information findet sich in den Abschnitten 4.3, 4.4 und 4.8. </w:t>
            </w:r>
          </w:p>
          <w:p w14:paraId="37625933" w14:textId="77777777" w:rsidR="00C46587" w:rsidRPr="00206AEA" w:rsidRDefault="00C46587" w:rsidP="00982118">
            <w:pPr>
              <w:tabs>
                <w:tab w:val="left" w:pos="360"/>
              </w:tabs>
              <w:rPr>
                <w:color w:val="000000"/>
                <w:sz w:val="20"/>
              </w:rPr>
            </w:pPr>
            <w:r w:rsidRPr="00206AEA">
              <w:rPr>
                <w:color w:val="000000"/>
                <w:sz w:val="20"/>
              </w:rPr>
              <w:t xml:space="preserve">** </w:t>
            </w:r>
            <w:r w:rsidRPr="00206AEA">
              <w:rPr>
                <w:color w:val="000000"/>
                <w:sz w:val="20"/>
              </w:rPr>
              <w:tab/>
              <w:t xml:space="preserve">einschließlich offener </w:t>
            </w:r>
            <w:r w:rsidR="00046A80" w:rsidRPr="00206AEA">
              <w:rPr>
                <w:color w:val="000000"/>
                <w:sz w:val="20"/>
              </w:rPr>
              <w:t>Fortsetz</w:t>
            </w:r>
            <w:r w:rsidRPr="00206AEA">
              <w:rPr>
                <w:color w:val="000000"/>
                <w:sz w:val="20"/>
              </w:rPr>
              <w:t>ungsstudien</w:t>
            </w:r>
          </w:p>
          <w:p w14:paraId="5304D4DD" w14:textId="77777777" w:rsidR="00C46587" w:rsidRPr="00206AEA" w:rsidRDefault="00C46587" w:rsidP="00982118">
            <w:pPr>
              <w:tabs>
                <w:tab w:val="left" w:pos="360"/>
              </w:tabs>
              <w:rPr>
                <w:color w:val="000000"/>
                <w:sz w:val="20"/>
              </w:rPr>
            </w:pPr>
            <w:r w:rsidRPr="00206AEA">
              <w:rPr>
                <w:color w:val="000000"/>
                <w:sz w:val="20"/>
                <w:vertAlign w:val="superscript"/>
              </w:rPr>
              <w:t>1</w:t>
            </w:r>
            <w:r w:rsidRPr="00206AEA">
              <w:rPr>
                <w:color w:val="000000"/>
                <w:sz w:val="20"/>
              </w:rPr>
              <w:tab/>
              <w:t xml:space="preserve">einschließlich Daten aus Spontanmeldungen </w:t>
            </w:r>
          </w:p>
          <w:p w14:paraId="7B670C3B" w14:textId="77777777" w:rsidR="008419B6" w:rsidRPr="00206AEA" w:rsidRDefault="008419B6" w:rsidP="00D42C63">
            <w:pPr>
              <w:tabs>
                <w:tab w:val="left" w:pos="360"/>
              </w:tabs>
              <w:ind w:left="357" w:hanging="357"/>
              <w:rPr>
                <w:color w:val="000000"/>
                <w:sz w:val="20"/>
              </w:rPr>
            </w:pPr>
            <w:r w:rsidRPr="00206AEA">
              <w:rPr>
                <w:color w:val="000000"/>
                <w:sz w:val="20"/>
                <w:szCs w:val="20"/>
                <w:vertAlign w:val="superscript"/>
              </w:rPr>
              <w:t>2</w:t>
            </w:r>
            <w:r w:rsidRPr="00206AEA">
              <w:rPr>
                <w:color w:val="000000"/>
                <w:sz w:val="20"/>
                <w:szCs w:val="20"/>
              </w:rPr>
              <w:t xml:space="preserve"> </w:t>
            </w:r>
            <w:r w:rsidRPr="00206AEA">
              <w:rPr>
                <w:color w:val="000000"/>
                <w:sz w:val="20"/>
                <w:szCs w:val="20"/>
              </w:rPr>
              <w:tab/>
              <w:t>Die mittlere Gewichtszunahme ab der Baseline betrug über einen Behandlungszeitraum von 4 – 6 Monaten bei Adalimumab 0,3 kg bis 1,0 kg bei allen Indikationen für Erwachsene im Vergleich zu (minus) -0,4 kg bis (plus) 0,4 kg bei Placebo. Es wurde in Langzeit-Erweiterungsstudien bei einer mittleren Exposition von etwa 1 – 2 Jahren ohne Kontrollgruppe auch eine Gewichtszunahme von 5 – 6 kg beobachtet, insbesondere bei Patienten mit Morbus Crohn und Colitis Ulcerosa. Der Mechanismus hinter dieser Wirkung ist unklar, könnte aber mit der antiinflammatorischen Wirkung von Adalimumab zusammenhängen.</w:t>
            </w:r>
          </w:p>
        </w:tc>
      </w:tr>
    </w:tbl>
    <w:p w14:paraId="1AD71092" w14:textId="77777777" w:rsidR="00C46587" w:rsidRPr="004F5FB4" w:rsidRDefault="00C46587" w:rsidP="00982118">
      <w:pPr>
        <w:rPr>
          <w:color w:val="000000"/>
        </w:rPr>
      </w:pPr>
    </w:p>
    <w:p w14:paraId="47A363B1" w14:textId="77777777" w:rsidR="00637923" w:rsidRPr="004F5FB4" w:rsidRDefault="00637923" w:rsidP="00982118">
      <w:pPr>
        <w:keepNext/>
        <w:rPr>
          <w:color w:val="000000"/>
          <w:u w:val="single"/>
        </w:rPr>
      </w:pPr>
      <w:r w:rsidRPr="004F5FB4">
        <w:rPr>
          <w:color w:val="000000"/>
          <w:u w:val="single"/>
        </w:rPr>
        <w:t>Hidradenitis suppurativa (Acne inversa)</w:t>
      </w:r>
    </w:p>
    <w:p w14:paraId="62344F0C" w14:textId="77777777" w:rsidR="00637923" w:rsidRPr="004F5FB4" w:rsidRDefault="00637923" w:rsidP="00982118">
      <w:pPr>
        <w:keepNext/>
        <w:rPr>
          <w:color w:val="000000"/>
        </w:rPr>
      </w:pPr>
    </w:p>
    <w:p w14:paraId="0BC95FB8" w14:textId="77777777" w:rsidR="00637923" w:rsidRPr="004F5FB4" w:rsidRDefault="00637923" w:rsidP="00982118">
      <w:pPr>
        <w:rPr>
          <w:color w:val="000000"/>
        </w:rPr>
      </w:pPr>
      <w:r w:rsidRPr="004F5FB4">
        <w:rPr>
          <w:color w:val="000000"/>
        </w:rPr>
        <w:t xml:space="preserve">Das Sicherheitsprofil bei Patienten mit HS, die wöchentlich mit Adalimumab behandelt wurden, </w:t>
      </w:r>
      <w:r w:rsidR="00046A80" w:rsidRPr="004F5FB4">
        <w:rPr>
          <w:color w:val="000000"/>
        </w:rPr>
        <w:t>stimmte mit</w:t>
      </w:r>
      <w:r w:rsidRPr="004F5FB4">
        <w:rPr>
          <w:color w:val="000000"/>
        </w:rPr>
        <w:t xml:space="preserve"> dem bekannten Sicherheitsprofil von Adalimumab</w:t>
      </w:r>
      <w:r w:rsidR="00046A80" w:rsidRPr="004F5FB4">
        <w:rPr>
          <w:color w:val="000000"/>
        </w:rPr>
        <w:t xml:space="preserve"> überein</w:t>
      </w:r>
      <w:r w:rsidRPr="004F5FB4">
        <w:rPr>
          <w:color w:val="000000"/>
        </w:rPr>
        <w:t>.</w:t>
      </w:r>
    </w:p>
    <w:p w14:paraId="4769DFF3" w14:textId="77777777" w:rsidR="00637923" w:rsidRPr="004F5FB4" w:rsidRDefault="00637923" w:rsidP="00982118">
      <w:pPr>
        <w:rPr>
          <w:color w:val="000000"/>
        </w:rPr>
      </w:pPr>
    </w:p>
    <w:p w14:paraId="43C13968" w14:textId="77777777" w:rsidR="00637923" w:rsidRPr="004F5FB4" w:rsidRDefault="00637923" w:rsidP="00982118">
      <w:pPr>
        <w:keepNext/>
        <w:rPr>
          <w:color w:val="000000"/>
          <w:u w:val="single"/>
        </w:rPr>
      </w:pPr>
      <w:r w:rsidRPr="004F5FB4">
        <w:rPr>
          <w:color w:val="000000"/>
          <w:u w:val="single"/>
        </w:rPr>
        <w:t>Uveitis</w:t>
      </w:r>
    </w:p>
    <w:p w14:paraId="66C4133C" w14:textId="77777777" w:rsidR="00637923" w:rsidRPr="004F5FB4" w:rsidRDefault="00637923" w:rsidP="00982118">
      <w:pPr>
        <w:keepNext/>
        <w:rPr>
          <w:color w:val="000000"/>
          <w:highlight w:val="green"/>
        </w:rPr>
      </w:pPr>
    </w:p>
    <w:p w14:paraId="0B22D771" w14:textId="77777777" w:rsidR="00637923" w:rsidRPr="004F5FB4" w:rsidRDefault="00383587" w:rsidP="00982118">
      <w:pPr>
        <w:rPr>
          <w:color w:val="000000"/>
        </w:rPr>
      </w:pPr>
      <w:r w:rsidRPr="004F5FB4">
        <w:rPr>
          <w:color w:val="000000"/>
        </w:rPr>
        <w:t xml:space="preserve">Das Sicherheitsprofil bei Patienten mit Uveitis, die alle zwei Wochen mit Adalimumab behandelt wurden, </w:t>
      </w:r>
      <w:r w:rsidR="00237E45" w:rsidRPr="004F5FB4">
        <w:rPr>
          <w:color w:val="000000"/>
        </w:rPr>
        <w:t>stimmte mit</w:t>
      </w:r>
      <w:r w:rsidRPr="004F5FB4">
        <w:rPr>
          <w:color w:val="000000"/>
        </w:rPr>
        <w:t xml:space="preserve"> dem bekannten Sicherheitsprofil von Adalimumab</w:t>
      </w:r>
      <w:r w:rsidR="00237E45" w:rsidRPr="004F5FB4">
        <w:rPr>
          <w:color w:val="000000"/>
        </w:rPr>
        <w:t xml:space="preserve"> überein</w:t>
      </w:r>
      <w:r w:rsidRPr="004F5FB4">
        <w:rPr>
          <w:color w:val="000000"/>
        </w:rPr>
        <w:t>.</w:t>
      </w:r>
    </w:p>
    <w:p w14:paraId="52AFBA14" w14:textId="77777777" w:rsidR="00383587" w:rsidRPr="004F5FB4" w:rsidRDefault="00383587" w:rsidP="00982118">
      <w:pPr>
        <w:rPr>
          <w:color w:val="000000"/>
        </w:rPr>
      </w:pPr>
    </w:p>
    <w:p w14:paraId="3A827BAA" w14:textId="77777777" w:rsidR="00C46587" w:rsidRPr="004F5FB4" w:rsidRDefault="00C46587" w:rsidP="00982118">
      <w:pPr>
        <w:keepNext/>
        <w:rPr>
          <w:color w:val="000000"/>
          <w:u w:val="single"/>
        </w:rPr>
      </w:pPr>
      <w:r w:rsidRPr="004F5FB4">
        <w:rPr>
          <w:color w:val="000000"/>
          <w:u w:val="single"/>
        </w:rPr>
        <w:t>Beschreibung von definierten Nebenwirkungen</w:t>
      </w:r>
    </w:p>
    <w:p w14:paraId="3ACEFFE6" w14:textId="77777777" w:rsidR="00C46587" w:rsidRPr="004F5FB4" w:rsidRDefault="00C46587" w:rsidP="00982118">
      <w:pPr>
        <w:keepNext/>
        <w:rPr>
          <w:color w:val="000000"/>
        </w:rPr>
      </w:pPr>
    </w:p>
    <w:p w14:paraId="323BFDE9" w14:textId="77777777" w:rsidR="00C46587" w:rsidRPr="004F5FB4" w:rsidRDefault="00C46587" w:rsidP="00982118">
      <w:pPr>
        <w:keepNext/>
        <w:rPr>
          <w:i/>
          <w:color w:val="000000"/>
        </w:rPr>
      </w:pPr>
      <w:r w:rsidRPr="004F5FB4">
        <w:rPr>
          <w:i/>
          <w:color w:val="000000"/>
        </w:rPr>
        <w:t>Reaktionen an der Injektionsstelle</w:t>
      </w:r>
    </w:p>
    <w:p w14:paraId="4288A7F0" w14:textId="77777777" w:rsidR="00C46587" w:rsidRPr="004F5FB4" w:rsidRDefault="00C46587" w:rsidP="00982118">
      <w:pPr>
        <w:keepNext/>
        <w:rPr>
          <w:color w:val="000000"/>
        </w:rPr>
      </w:pPr>
    </w:p>
    <w:p w14:paraId="0F9F894B" w14:textId="77777777" w:rsidR="00C46587" w:rsidRPr="004F5FB4" w:rsidRDefault="00C46587" w:rsidP="00982118">
      <w:pPr>
        <w:rPr>
          <w:color w:val="000000"/>
        </w:rPr>
      </w:pPr>
      <w:r w:rsidRPr="004F5FB4">
        <w:rPr>
          <w:color w:val="000000"/>
        </w:rPr>
        <w:t>In den pivotalen kontrollierten Studien bei Erwachsenen und Kindern entwickelten 12,9 % der mit Adalimumab behandelten Patienten Reaktionen an der Injektionsstelle (Erytheme und/</w:t>
      </w:r>
      <w:r w:rsidR="00193B52" w:rsidRPr="004F5FB4">
        <w:rPr>
          <w:color w:val="000000"/>
        </w:rPr>
        <w:t xml:space="preserve"> </w:t>
      </w:r>
      <w:r w:rsidRPr="004F5FB4">
        <w:rPr>
          <w:color w:val="000000"/>
        </w:rPr>
        <w:t>oder Juckreiz, Hämorrhagien, Schmerzen oder Schwellungen) im Vergleich zu 7,2 % der Patienten unter Placebo oder aktiver Vergleichssubstanz. Die Reaktionen an der Injektionsstelle machten im Allgemeinen kein Absetzen des Arzneimittels erforderlich.</w:t>
      </w:r>
    </w:p>
    <w:p w14:paraId="7662B352" w14:textId="77777777" w:rsidR="00C46587" w:rsidRPr="004F5FB4" w:rsidRDefault="00C46587" w:rsidP="00982118">
      <w:pPr>
        <w:rPr>
          <w:color w:val="000000"/>
        </w:rPr>
      </w:pPr>
    </w:p>
    <w:p w14:paraId="43865004" w14:textId="77777777" w:rsidR="00C46587" w:rsidRPr="004F5FB4" w:rsidRDefault="00C46587" w:rsidP="00982118">
      <w:pPr>
        <w:keepNext/>
        <w:rPr>
          <w:i/>
          <w:color w:val="000000"/>
        </w:rPr>
      </w:pPr>
      <w:r w:rsidRPr="004F5FB4">
        <w:rPr>
          <w:i/>
          <w:color w:val="000000"/>
        </w:rPr>
        <w:t xml:space="preserve">Infektionen </w:t>
      </w:r>
    </w:p>
    <w:p w14:paraId="12B893C8" w14:textId="77777777" w:rsidR="00C46587" w:rsidRPr="004F5FB4" w:rsidRDefault="00C46587" w:rsidP="00982118">
      <w:pPr>
        <w:keepNext/>
        <w:rPr>
          <w:i/>
          <w:color w:val="000000"/>
        </w:rPr>
      </w:pPr>
    </w:p>
    <w:p w14:paraId="4E0A0977" w14:textId="77777777" w:rsidR="00C11CFE" w:rsidRPr="004F5FB4" w:rsidRDefault="00C11CFE" w:rsidP="00C11CFE">
      <w:pPr>
        <w:pStyle w:val="BodyText"/>
        <w:widowControl/>
        <w:kinsoku w:val="0"/>
        <w:overflowPunct w:val="0"/>
        <w:ind w:left="0"/>
        <w:rPr>
          <w:color w:val="000000"/>
        </w:rPr>
      </w:pPr>
      <w:r w:rsidRPr="004F5FB4">
        <w:rPr>
          <w:color w:val="000000"/>
        </w:rPr>
        <w:t>In den pivotalen kontrollierten Studien bei Erwachsenen und Kindern betrug die Infektionsrate bei den mit Adalimumab behandelten Patienten 1,51 pro Patientenjahr und bei den Patienten unter Placebo und aktiver Kontrolle 1,46 pro Patientenjahr. Die Infektionen beinhalteten primär Nasopharyngitis, Infektionen der oberen Atemwege und Sinusitis. Die meisten Patienten setzten die Behandlung mit Adalimumab nach Abheilen der Infektion fort.</w:t>
      </w:r>
    </w:p>
    <w:p w14:paraId="721A01B4" w14:textId="77777777" w:rsidR="00C46587" w:rsidRPr="004F5FB4" w:rsidRDefault="00C46587" w:rsidP="00982118">
      <w:pPr>
        <w:rPr>
          <w:color w:val="000000"/>
        </w:rPr>
      </w:pPr>
    </w:p>
    <w:p w14:paraId="6AC050AC" w14:textId="77777777" w:rsidR="00C11CFE" w:rsidRPr="004F5FB4" w:rsidRDefault="00C11CFE" w:rsidP="00C11CFE">
      <w:pPr>
        <w:pStyle w:val="BodyText"/>
        <w:widowControl/>
        <w:kinsoku w:val="0"/>
        <w:overflowPunct w:val="0"/>
        <w:ind w:left="0"/>
        <w:rPr>
          <w:color w:val="000000"/>
        </w:rPr>
      </w:pPr>
      <w:r w:rsidRPr="004F5FB4">
        <w:rPr>
          <w:color w:val="000000"/>
        </w:rPr>
        <w:t>Die Inzidenz schwerer Infektionen lag in der Adalimumab-Gruppe bei 0,04 pro Patientenjahr und in der Placebo- und aktiven Kontrollgruppe bei 0,03 pro Patientenjahr.</w:t>
      </w:r>
    </w:p>
    <w:p w14:paraId="6EE3C11B" w14:textId="77777777" w:rsidR="00C46587" w:rsidRPr="004F5FB4" w:rsidRDefault="00C46587" w:rsidP="00982118">
      <w:pPr>
        <w:rPr>
          <w:color w:val="000000"/>
        </w:rPr>
      </w:pPr>
    </w:p>
    <w:p w14:paraId="327414DB" w14:textId="77777777" w:rsidR="00C46587" w:rsidRPr="004F5FB4" w:rsidRDefault="00C46587" w:rsidP="00982118">
      <w:pPr>
        <w:rPr>
          <w:color w:val="000000"/>
        </w:rPr>
      </w:pPr>
      <w:r w:rsidRPr="004F5FB4">
        <w:rPr>
          <w:color w:val="000000"/>
        </w:rPr>
        <w:t xml:space="preserve">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 B. disseminierte oder extrapulmonale Histoplasmose, Blastomykose, Kokzidioidomykose, Pneumocystisinfektion, Candidiasis (Soor), Aspergillose und Listeriose) berichtet. Die meisten Fälle von Tuberkulose traten innerhalb der ersten 8 Monate nach Beginn der Therapie auf und können die Reaktivierung einer latent bestehenden Erkrankung darstellen. </w:t>
      </w:r>
    </w:p>
    <w:p w14:paraId="2A50ECB4" w14:textId="77777777" w:rsidR="00C46587" w:rsidRPr="004F5FB4" w:rsidRDefault="00C46587" w:rsidP="00982118">
      <w:pPr>
        <w:rPr>
          <w:color w:val="000000"/>
        </w:rPr>
      </w:pPr>
    </w:p>
    <w:p w14:paraId="7D957261" w14:textId="77777777" w:rsidR="00C46587" w:rsidRPr="004F5FB4" w:rsidRDefault="00C46587" w:rsidP="00982118">
      <w:pPr>
        <w:keepNext/>
        <w:rPr>
          <w:i/>
          <w:color w:val="000000"/>
        </w:rPr>
      </w:pPr>
      <w:r w:rsidRPr="004F5FB4">
        <w:rPr>
          <w:i/>
          <w:color w:val="000000"/>
        </w:rPr>
        <w:t>Maligne und lymphoproliferative Erkrankungen</w:t>
      </w:r>
    </w:p>
    <w:p w14:paraId="6951EDE5" w14:textId="77777777" w:rsidR="00C46587" w:rsidRPr="004F5FB4" w:rsidRDefault="00C46587" w:rsidP="00982118">
      <w:pPr>
        <w:keepNext/>
        <w:rPr>
          <w:i/>
          <w:color w:val="000000"/>
        </w:rPr>
      </w:pPr>
    </w:p>
    <w:p w14:paraId="0720515F" w14:textId="77777777" w:rsidR="00C11CFE" w:rsidRPr="004F5FB4" w:rsidRDefault="00C11CFE" w:rsidP="008419B6">
      <w:pPr>
        <w:pStyle w:val="BodyText"/>
        <w:kinsoku w:val="0"/>
        <w:overflowPunct w:val="0"/>
        <w:ind w:left="0"/>
        <w:rPr>
          <w:color w:val="000000"/>
        </w:rPr>
      </w:pPr>
      <w:r w:rsidRPr="004F5FB4">
        <w:rPr>
          <w:color w:val="000000"/>
        </w:rPr>
        <w:t>Während der Studien mit Adalimumab bei Patienten mit juveniler idiopathischer Arthritis (polyartikulärer juveniler idiopathischer Arthritis und Enthesitis-assoziierter Arthritis) wurden bei 249 </w:t>
      </w:r>
      <w:r w:rsidR="00036D76" w:rsidRPr="004F5FB4">
        <w:rPr>
          <w:color w:val="000000"/>
        </w:rPr>
        <w:t xml:space="preserve">Kindern und Jugendlichen </w:t>
      </w:r>
      <w:r w:rsidRPr="004F5FB4">
        <w:rPr>
          <w:color w:val="000000"/>
        </w:rPr>
        <w:t>mit einer Exposition von 655,6 Patientenjahren keine malignen Erkrankungen beobachtet. Außerdem wurden bei 192 </w:t>
      </w:r>
      <w:r w:rsidR="00036D76" w:rsidRPr="004F5FB4">
        <w:rPr>
          <w:color w:val="000000"/>
        </w:rPr>
        <w:t xml:space="preserve">Kindern und Jugendlichen </w:t>
      </w:r>
      <w:r w:rsidRPr="004F5FB4">
        <w:rPr>
          <w:color w:val="000000"/>
        </w:rPr>
        <w:t xml:space="preserve">mit einer Exposition </w:t>
      </w:r>
      <w:r w:rsidRPr="004F5FB4">
        <w:rPr>
          <w:color w:val="000000"/>
        </w:rPr>
        <w:lastRenderedPageBreak/>
        <w:t xml:space="preserve">von 498,1 Patientenjahren während klinischer Studien mit Adalimumab bei Kindern und Jugendlichen mit Morbus Crohn keine malignen Erkrankungen beobachtet. In einer Studie mit Adalimumab zu chronischer Plaque-Psoriasis an </w:t>
      </w:r>
      <w:r w:rsidR="00036D76" w:rsidRPr="004F5FB4">
        <w:rPr>
          <w:color w:val="000000"/>
        </w:rPr>
        <w:t>Kindern und Jugendlichen</w:t>
      </w:r>
      <w:r w:rsidRPr="004F5FB4">
        <w:rPr>
          <w:color w:val="000000"/>
        </w:rPr>
        <w:t xml:space="preserve"> wurden bei 77 </w:t>
      </w:r>
      <w:r w:rsidR="00036D76" w:rsidRPr="004F5FB4">
        <w:rPr>
          <w:color w:val="000000"/>
        </w:rPr>
        <w:t xml:space="preserve">Kindern und Jugendlichen </w:t>
      </w:r>
      <w:r w:rsidRPr="004F5FB4">
        <w:rPr>
          <w:color w:val="000000"/>
        </w:rPr>
        <w:t xml:space="preserve">mit einer Exposition von 80,0 Patientenjahren keine malignen Erkrankungen beobachtet. </w:t>
      </w:r>
      <w:r w:rsidR="009751D5" w:rsidRPr="009751D5">
        <w:rPr>
          <w:color w:val="000000"/>
        </w:rPr>
        <w:t xml:space="preserve">Während einer Studie mit </w:t>
      </w:r>
      <w:r w:rsidR="009751D5">
        <w:rPr>
          <w:color w:val="000000"/>
        </w:rPr>
        <w:t xml:space="preserve">Adalimumab </w:t>
      </w:r>
      <w:r w:rsidR="009751D5" w:rsidRPr="009751D5">
        <w:rPr>
          <w:color w:val="000000"/>
        </w:rPr>
        <w:t>bei Kindern und Jugendlichen mit Colitis ulcero</w:t>
      </w:r>
      <w:r w:rsidR="009751D5">
        <w:rPr>
          <w:color w:val="000000"/>
        </w:rPr>
        <w:t>sa wurden bei 93 </w:t>
      </w:r>
      <w:r w:rsidR="009751D5" w:rsidRPr="009751D5">
        <w:rPr>
          <w:color w:val="000000"/>
        </w:rPr>
        <w:t>Kindern und Jugendlichen mit einer</w:t>
      </w:r>
      <w:r w:rsidR="009751D5">
        <w:rPr>
          <w:color w:val="000000"/>
        </w:rPr>
        <w:t xml:space="preserve"> Exposition von 65,3 </w:t>
      </w:r>
      <w:r w:rsidR="009751D5" w:rsidRPr="009751D5">
        <w:rPr>
          <w:color w:val="000000"/>
        </w:rPr>
        <w:t>Patientenjahren keine malignen Erkrankungen beobachtet</w:t>
      </w:r>
      <w:r w:rsidR="009751D5">
        <w:rPr>
          <w:color w:val="000000"/>
        </w:rPr>
        <w:t xml:space="preserve">. </w:t>
      </w:r>
      <w:r w:rsidRPr="004F5FB4">
        <w:rPr>
          <w:color w:val="000000"/>
        </w:rPr>
        <w:t xml:space="preserve">Während einer Studie mit Adalimumab bei </w:t>
      </w:r>
      <w:r w:rsidR="00036D76" w:rsidRPr="004F5FB4">
        <w:rPr>
          <w:color w:val="000000"/>
        </w:rPr>
        <w:t xml:space="preserve">Kindern und Jugendlichen </w:t>
      </w:r>
      <w:r w:rsidRPr="004F5FB4">
        <w:rPr>
          <w:color w:val="000000"/>
        </w:rPr>
        <w:t>mit Uveitis wurden bei 60 </w:t>
      </w:r>
      <w:r w:rsidR="00036D76" w:rsidRPr="004F5FB4">
        <w:rPr>
          <w:color w:val="000000"/>
        </w:rPr>
        <w:t xml:space="preserve">Kindern und Jugendlichen </w:t>
      </w:r>
      <w:r w:rsidRPr="004F5FB4">
        <w:rPr>
          <w:color w:val="000000"/>
        </w:rPr>
        <w:t>mit einer Exposition von 58,4 Patientenjahren keine malignen Erkrankungen beobachtet.</w:t>
      </w:r>
    </w:p>
    <w:p w14:paraId="7DDE618E" w14:textId="77777777" w:rsidR="00C11CFE" w:rsidRPr="004F5FB4" w:rsidRDefault="00C11CFE" w:rsidP="00C11CFE">
      <w:pPr>
        <w:pStyle w:val="BodyText"/>
        <w:widowControl/>
        <w:kinsoku w:val="0"/>
        <w:overflowPunct w:val="0"/>
        <w:ind w:left="0"/>
        <w:rPr>
          <w:color w:val="000000"/>
        </w:rPr>
      </w:pPr>
    </w:p>
    <w:p w14:paraId="57517FB1" w14:textId="77777777" w:rsidR="00C11CFE" w:rsidRPr="004F5FB4" w:rsidRDefault="00C11CFE" w:rsidP="00C11CFE">
      <w:pPr>
        <w:pStyle w:val="BodyText"/>
        <w:widowControl/>
        <w:kinsoku w:val="0"/>
        <w:overflowPunct w:val="0"/>
        <w:ind w:left="0"/>
        <w:rPr>
          <w:color w:val="000000"/>
        </w:rPr>
      </w:pPr>
      <w:r w:rsidRPr="004F5FB4">
        <w:rPr>
          <w:color w:val="000000"/>
        </w:rPr>
        <w:t>Während der kontrollierten Phasen der pivotalen klinischen Studien an Erwachsenen mit Adalimumab, die mindestens 12 Wochen bei Patienten mit mäßiger bis schwerer aktiver rheumatoider Arthritis, ankylosierender Spondylitis, axialer Spondyloarthritis ohne Röntgennachweis einer AS, Psoriasis-Arthritis, Psoriasis, Hidradenitis suppurativa, Morbus Crohn, Colitis ulcerosa und Uveitis durchgeführt wurden, wurden maligne Erkrankungen, die keine Lymphome oder nicht melanomartige Hauttumoren waren, beobachtet. Die Rate (95 %</w:t>
      </w:r>
      <w:r w:rsidR="00AD06BE" w:rsidRPr="004F5FB4">
        <w:rPr>
          <w:color w:val="000000"/>
        </w:rPr>
        <w:t> </w:t>
      </w:r>
      <w:r w:rsidRPr="004F5FB4">
        <w:rPr>
          <w:color w:val="000000"/>
        </w:rPr>
        <w:t>Konfidenzintervall) betrug 6,8 (4,4;</w:t>
      </w:r>
      <w:r w:rsidR="00AD06BE" w:rsidRPr="004F5FB4">
        <w:rPr>
          <w:color w:val="000000"/>
        </w:rPr>
        <w:t> </w:t>
      </w:r>
      <w:r w:rsidRPr="004F5FB4">
        <w:rPr>
          <w:color w:val="000000"/>
        </w:rPr>
        <w:t>10,5) pro 1.000 Patientenjahre bei 5.291 mit Adalimumab behandelten Patienten gegenüber einer Rate von 6,3 (3,4;</w:t>
      </w:r>
      <w:r w:rsidR="000139CE" w:rsidRPr="004F5FB4">
        <w:rPr>
          <w:color w:val="000000"/>
        </w:rPr>
        <w:t> </w:t>
      </w:r>
      <w:r w:rsidRPr="004F5FB4">
        <w:rPr>
          <w:color w:val="000000"/>
        </w:rPr>
        <w:t>11,8) pro 1.000 Patientenjahre bei 3.444 Kontrollpatienten (die mediane Behandlungsdauer betrug 4,0 Monate bei Patienten, die mit Adalimumab behandelt wurden und 3,8 Monate bei Patienten in der Kontrollgruppe). Die Rate (95 %</w:t>
      </w:r>
      <w:r w:rsidR="00AD06BE" w:rsidRPr="004F5FB4">
        <w:rPr>
          <w:color w:val="000000"/>
        </w:rPr>
        <w:t> </w:t>
      </w:r>
      <w:r w:rsidRPr="004F5FB4">
        <w:rPr>
          <w:color w:val="000000"/>
        </w:rPr>
        <w:t>Konfidenzintervall) nicht melanomartiger Hauttumoren betrug 8,8 (6,0;</w:t>
      </w:r>
      <w:r w:rsidR="000139CE" w:rsidRPr="004F5FB4">
        <w:rPr>
          <w:color w:val="000000"/>
        </w:rPr>
        <w:t> </w:t>
      </w:r>
      <w:r w:rsidRPr="004F5FB4">
        <w:rPr>
          <w:color w:val="000000"/>
        </w:rPr>
        <w:t>13,0) pro 1.000 Patientenjahre bei den mit Adalimumab behandelten Patienten und 3,2</w:t>
      </w:r>
      <w:r w:rsidR="00AD06BE" w:rsidRPr="004F5FB4">
        <w:rPr>
          <w:color w:val="000000"/>
        </w:rPr>
        <w:t> </w:t>
      </w:r>
      <w:r w:rsidRPr="004F5FB4">
        <w:rPr>
          <w:color w:val="000000"/>
        </w:rPr>
        <w:t>(1,3;</w:t>
      </w:r>
      <w:r w:rsidR="000139CE" w:rsidRPr="004F5FB4">
        <w:rPr>
          <w:color w:val="000000"/>
        </w:rPr>
        <w:t> </w:t>
      </w:r>
      <w:r w:rsidRPr="004F5FB4">
        <w:rPr>
          <w:color w:val="000000"/>
        </w:rPr>
        <w:t>7,6) pro 1.000 Patientenjahre bei Kontrollpatienten. Bei diesen Hauttumoren traten Plattenepithelkarzinome mit einer Rate (95 %</w:t>
      </w:r>
      <w:r w:rsidR="00AD06BE" w:rsidRPr="004F5FB4">
        <w:rPr>
          <w:color w:val="000000"/>
        </w:rPr>
        <w:t> </w:t>
      </w:r>
      <w:r w:rsidRPr="004F5FB4">
        <w:rPr>
          <w:color w:val="000000"/>
        </w:rPr>
        <w:t>Konfidenzintervall) von 2,7</w:t>
      </w:r>
      <w:r w:rsidR="00AD06BE" w:rsidRPr="004F5FB4">
        <w:rPr>
          <w:color w:val="000000"/>
        </w:rPr>
        <w:t> </w:t>
      </w:r>
      <w:r w:rsidRPr="004F5FB4">
        <w:rPr>
          <w:color w:val="000000"/>
        </w:rPr>
        <w:t>(1,4;</w:t>
      </w:r>
      <w:r w:rsidR="000139CE" w:rsidRPr="004F5FB4">
        <w:rPr>
          <w:color w:val="000000"/>
        </w:rPr>
        <w:t> </w:t>
      </w:r>
      <w:r w:rsidRPr="004F5FB4">
        <w:rPr>
          <w:color w:val="000000"/>
        </w:rPr>
        <w:t>5,4) pro 1.000 Patientenjahre bei mit Adalimumab behandelten Patienten auf und 0,6</w:t>
      </w:r>
      <w:r w:rsidR="00AD06BE" w:rsidRPr="004F5FB4">
        <w:rPr>
          <w:color w:val="000000"/>
        </w:rPr>
        <w:t> </w:t>
      </w:r>
      <w:r w:rsidRPr="004F5FB4">
        <w:rPr>
          <w:color w:val="000000"/>
        </w:rPr>
        <w:t>(0,1;</w:t>
      </w:r>
      <w:r w:rsidR="000139CE" w:rsidRPr="004F5FB4">
        <w:rPr>
          <w:color w:val="000000"/>
        </w:rPr>
        <w:t> </w:t>
      </w:r>
      <w:r w:rsidRPr="004F5FB4">
        <w:rPr>
          <w:color w:val="000000"/>
        </w:rPr>
        <w:t>4,5) pro 1.000 Patientenjahre bei Kontrollpatienten. Die Rate (95 % Konfidenzintervall) für Lymphome betrug 0,7</w:t>
      </w:r>
      <w:r w:rsidR="00AD06BE" w:rsidRPr="004F5FB4">
        <w:rPr>
          <w:color w:val="000000"/>
        </w:rPr>
        <w:t> </w:t>
      </w:r>
      <w:r w:rsidRPr="004F5FB4">
        <w:rPr>
          <w:color w:val="000000"/>
        </w:rPr>
        <w:t>(0,2;</w:t>
      </w:r>
      <w:r w:rsidR="000139CE" w:rsidRPr="004F5FB4">
        <w:rPr>
          <w:color w:val="000000"/>
        </w:rPr>
        <w:t> </w:t>
      </w:r>
      <w:r w:rsidRPr="004F5FB4">
        <w:rPr>
          <w:color w:val="000000"/>
        </w:rPr>
        <w:t>2,7) pro 1.000 Patientenjahre bei mit Adalimumab behandelten Patienten und 0,6</w:t>
      </w:r>
      <w:r w:rsidR="00AD06BE" w:rsidRPr="004F5FB4">
        <w:rPr>
          <w:color w:val="000000"/>
        </w:rPr>
        <w:t> </w:t>
      </w:r>
      <w:r w:rsidRPr="004F5FB4">
        <w:rPr>
          <w:color w:val="000000"/>
        </w:rPr>
        <w:t>(0,1;</w:t>
      </w:r>
      <w:r w:rsidR="000139CE" w:rsidRPr="004F5FB4">
        <w:rPr>
          <w:color w:val="000000"/>
        </w:rPr>
        <w:t> </w:t>
      </w:r>
      <w:r w:rsidRPr="004F5FB4">
        <w:rPr>
          <w:color w:val="000000"/>
        </w:rPr>
        <w:t>4,5) pro 1.000 Patientenjahre bei Kontrollpatienten.</w:t>
      </w:r>
    </w:p>
    <w:p w14:paraId="6C9C93EC" w14:textId="77777777" w:rsidR="00C11CFE" w:rsidRPr="004F5FB4" w:rsidRDefault="00C11CFE" w:rsidP="00C11CFE">
      <w:pPr>
        <w:pStyle w:val="BodyText"/>
        <w:widowControl/>
        <w:kinsoku w:val="0"/>
        <w:overflowPunct w:val="0"/>
        <w:ind w:left="0"/>
        <w:rPr>
          <w:color w:val="000000"/>
        </w:rPr>
      </w:pPr>
    </w:p>
    <w:p w14:paraId="4DE3B0C8" w14:textId="77777777" w:rsidR="00C11CFE" w:rsidRPr="004F5FB4" w:rsidRDefault="00C11CFE" w:rsidP="00C11CFE">
      <w:pPr>
        <w:pStyle w:val="BodyText"/>
        <w:widowControl/>
        <w:kinsoku w:val="0"/>
        <w:overflowPunct w:val="0"/>
        <w:ind w:left="0"/>
        <w:rPr>
          <w:color w:val="000000"/>
        </w:rPr>
      </w:pPr>
      <w:r w:rsidRPr="004F5FB4">
        <w:rPr>
          <w:color w:val="000000"/>
        </w:rPr>
        <w:t>Fasst man die kontrollierten Phasen dieser Studien und die noch andauernden und abgeschlossenen offenen Fortsetzungsstudien mit einer medianen Therapiedauer von annähernd 3,3 Jahren, 6.427 eingeschlossenen Patienten und über 26.439 Patientenjahren zusammen, beträgt die beobachtete Rate maligner Erkrankungen, die keine Lymphome oder nicht melanomartige Hauttumoren waren, ungefähr 8,5 pro 1.000 Patientenjahre. Die beobachtete Rate nicht melanomartiger Hauttumoren beträgt annähernd 9,6 pro 1.000 Patientenjahre, und die beobachtete Rate für Lymphome beträgt annähernd 1,3 pro 1.000 Patientenjahre.</w:t>
      </w:r>
    </w:p>
    <w:p w14:paraId="3301BFCD" w14:textId="77777777" w:rsidR="00C46587" w:rsidRPr="004F5FB4" w:rsidRDefault="00C46587" w:rsidP="00982118">
      <w:pPr>
        <w:rPr>
          <w:color w:val="000000"/>
        </w:rPr>
      </w:pPr>
    </w:p>
    <w:p w14:paraId="6527D876" w14:textId="7FE18EC0" w:rsidR="00C11CFE" w:rsidRPr="004F5FB4" w:rsidRDefault="00C11CFE" w:rsidP="00C11CFE">
      <w:pPr>
        <w:pStyle w:val="BodyText"/>
        <w:widowControl/>
        <w:kinsoku w:val="0"/>
        <w:overflowPunct w:val="0"/>
        <w:ind w:left="0"/>
        <w:rPr>
          <w:color w:val="000000"/>
        </w:rPr>
      </w:pPr>
      <w:r w:rsidRPr="004F5FB4">
        <w:rPr>
          <w:color w:val="000000"/>
        </w:rPr>
        <w:t xml:space="preserve">In der Zeit nach Markteinführung seit Januar 2003 bis Dezember 2010, vorwiegend aus Erfahrungen bei Patienten mit rheumatoider Arthritis, beträgt die </w:t>
      </w:r>
      <w:r w:rsidR="007E4617">
        <w:rPr>
          <w:color w:val="000000"/>
        </w:rPr>
        <w:t xml:space="preserve">spontan </w:t>
      </w:r>
      <w:r w:rsidRPr="004F5FB4">
        <w:rPr>
          <w:color w:val="000000"/>
        </w:rPr>
        <w:t xml:space="preserve">gemeldete Rate maligner Erkrankungen annähernd 2,7 pro 1.000 Patientenjahre mit Behandlung. Für nicht melanomartige Hauttumoren und für Lymphome wurden </w:t>
      </w:r>
      <w:r w:rsidR="007E4617">
        <w:rPr>
          <w:color w:val="000000"/>
        </w:rPr>
        <w:t xml:space="preserve">spontan </w:t>
      </w:r>
      <w:r w:rsidRPr="004F5FB4">
        <w:rPr>
          <w:color w:val="000000"/>
        </w:rPr>
        <w:t>Raten von annähernd 0,2</w:t>
      </w:r>
      <w:r w:rsidR="00AD06BE" w:rsidRPr="004F5FB4">
        <w:rPr>
          <w:color w:val="000000"/>
        </w:rPr>
        <w:t> </w:t>
      </w:r>
      <w:r w:rsidRPr="004F5FB4">
        <w:rPr>
          <w:color w:val="000000"/>
        </w:rPr>
        <w:t>bzw. 0,3 pro 1.000 Patientenjahre mit Behandlung gemeldet (siehe Abschnitt 4.4).</w:t>
      </w:r>
    </w:p>
    <w:p w14:paraId="44A82186" w14:textId="77777777" w:rsidR="00C11CFE" w:rsidRPr="004F5FB4" w:rsidRDefault="00C11CFE" w:rsidP="00C11CFE">
      <w:pPr>
        <w:pStyle w:val="BodyText"/>
        <w:widowControl/>
        <w:kinsoku w:val="0"/>
        <w:overflowPunct w:val="0"/>
        <w:ind w:left="0"/>
        <w:rPr>
          <w:color w:val="000000"/>
        </w:rPr>
      </w:pPr>
    </w:p>
    <w:p w14:paraId="011AF8C9" w14:textId="77777777" w:rsidR="00C11CFE" w:rsidRPr="004F5FB4" w:rsidRDefault="00C11CFE" w:rsidP="00C11CFE">
      <w:pPr>
        <w:pStyle w:val="BodyText"/>
        <w:widowControl/>
        <w:kinsoku w:val="0"/>
        <w:overflowPunct w:val="0"/>
        <w:ind w:left="0" w:hanging="1"/>
        <w:rPr>
          <w:color w:val="000000"/>
        </w:rPr>
      </w:pPr>
      <w:r w:rsidRPr="004F5FB4">
        <w:rPr>
          <w:color w:val="000000"/>
        </w:rPr>
        <w:t>Nach Markteinführung wurden bei Patienten, die mit Adalimumab behandelt wurden, seltene Fälle von hepatosplenalen T-Zell-Lymphomen berichtet (siehe Abschnitt 4.4).</w:t>
      </w:r>
    </w:p>
    <w:p w14:paraId="02C6E81A" w14:textId="77777777" w:rsidR="00C46587" w:rsidRPr="004F5FB4" w:rsidRDefault="00C46587" w:rsidP="00982118">
      <w:pPr>
        <w:rPr>
          <w:color w:val="000000"/>
        </w:rPr>
      </w:pPr>
    </w:p>
    <w:p w14:paraId="23C2DFF3" w14:textId="77777777" w:rsidR="00C46587" w:rsidRPr="004F5FB4" w:rsidRDefault="00C46587" w:rsidP="00982118">
      <w:pPr>
        <w:keepNext/>
        <w:rPr>
          <w:i/>
          <w:color w:val="000000"/>
        </w:rPr>
      </w:pPr>
      <w:r w:rsidRPr="004F5FB4">
        <w:rPr>
          <w:i/>
          <w:color w:val="000000"/>
        </w:rPr>
        <w:t xml:space="preserve">Autoantikörper </w:t>
      </w:r>
    </w:p>
    <w:p w14:paraId="06163C97" w14:textId="77777777" w:rsidR="00C46587" w:rsidRPr="004F5FB4" w:rsidRDefault="00C46587" w:rsidP="00982118">
      <w:pPr>
        <w:keepNext/>
        <w:rPr>
          <w:color w:val="000000"/>
        </w:rPr>
      </w:pPr>
    </w:p>
    <w:p w14:paraId="1E1F26BD" w14:textId="77777777" w:rsidR="00C11CFE" w:rsidRPr="004F5FB4" w:rsidRDefault="00C11CFE" w:rsidP="00C11CFE">
      <w:pPr>
        <w:pStyle w:val="BodyText"/>
        <w:widowControl/>
        <w:kinsoku w:val="0"/>
        <w:overflowPunct w:val="0"/>
        <w:ind w:left="0"/>
        <w:rPr>
          <w:color w:val="000000"/>
        </w:rPr>
      </w:pPr>
      <w:r w:rsidRPr="004F5FB4">
        <w:rPr>
          <w:color w:val="000000"/>
        </w:rPr>
        <w:t>In den Studien I</w:t>
      </w:r>
      <w:r w:rsidR="00AD06BE" w:rsidRPr="004F5FB4">
        <w:rPr>
          <w:color w:val="000000"/>
        </w:rPr>
        <w:t> </w:t>
      </w:r>
      <w:r w:rsidRPr="004F5FB4">
        <w:rPr>
          <w:color w:val="000000"/>
        </w:rPr>
        <w:t>–</w:t>
      </w:r>
      <w:r w:rsidR="00AD06BE" w:rsidRPr="004F5FB4">
        <w:rPr>
          <w:color w:val="000000"/>
        </w:rPr>
        <w:t> </w:t>
      </w:r>
      <w:r w:rsidRPr="004F5FB4">
        <w:rPr>
          <w:color w:val="000000"/>
        </w:rPr>
        <w:t>V bei rheumatoider Arthritis wurden zu mehreren Zeitpunkten Serumproben von Patienten auf Autoantikörper untersucht. Von denjenigen Patienten, die in diesen Studien bei Behandlungsbeginn negative Titer für antinukleäre Antikörper hatten, wiesen 11,9 % der mit Adalimumab behandelten Patienten und 8,1 % der Patienten unter Placebo und aktiver Kontrolle in Woche 24 positive Titer auf. Zwei von 3.441 mit Adalimumab behandelte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2C1DF37F" w14:textId="77777777" w:rsidR="00C46587" w:rsidRPr="004F5FB4" w:rsidRDefault="00C46587" w:rsidP="00982118">
      <w:pPr>
        <w:rPr>
          <w:color w:val="000000"/>
        </w:rPr>
      </w:pPr>
    </w:p>
    <w:p w14:paraId="14130E44" w14:textId="77777777" w:rsidR="00C46587" w:rsidRPr="004F5FB4" w:rsidRDefault="00C46587" w:rsidP="00982118">
      <w:pPr>
        <w:keepNext/>
        <w:rPr>
          <w:i/>
          <w:color w:val="000000"/>
        </w:rPr>
      </w:pPr>
      <w:r w:rsidRPr="004F5FB4">
        <w:rPr>
          <w:i/>
          <w:color w:val="000000"/>
        </w:rPr>
        <w:lastRenderedPageBreak/>
        <w:t xml:space="preserve">Hepatobiliäre Ereignisse </w:t>
      </w:r>
    </w:p>
    <w:p w14:paraId="3A170E99" w14:textId="77777777" w:rsidR="00C46587" w:rsidRPr="004F5FB4" w:rsidRDefault="00C46587" w:rsidP="00982118">
      <w:pPr>
        <w:keepNext/>
        <w:rPr>
          <w:i/>
          <w:color w:val="000000"/>
        </w:rPr>
      </w:pPr>
    </w:p>
    <w:p w14:paraId="2197D525" w14:textId="77777777" w:rsidR="00C11CFE" w:rsidRPr="004F5FB4" w:rsidRDefault="00C11CFE" w:rsidP="00C11CFE">
      <w:pPr>
        <w:pStyle w:val="BodyText"/>
        <w:widowControl/>
        <w:kinsoku w:val="0"/>
        <w:overflowPunct w:val="0"/>
        <w:ind w:left="0"/>
        <w:rPr>
          <w:color w:val="000000"/>
        </w:rPr>
      </w:pPr>
      <w:r w:rsidRPr="004F5FB4">
        <w:rPr>
          <w:color w:val="000000"/>
        </w:rPr>
        <w:t>In den kontrollierten klinischen Phase-III-Studien zu Adalimumab bei Patienten mit rheumatoider Arthritis bzw. Psoriasis-Arthritis ergaben sich in einem Überwachungszeitraum von 4 bis 104 Wochen Erhöhungen der ALT-Werte um ≥ 3 x ULN (oberer Normbereich) bei 3,7 % der mit Adalimumab behandelten Patienten und bei 1,6 % der Patienten der Kontrollgruppe.</w:t>
      </w:r>
    </w:p>
    <w:p w14:paraId="58D8A83C" w14:textId="77777777" w:rsidR="00C11CFE" w:rsidRPr="004F5FB4" w:rsidRDefault="00C11CFE" w:rsidP="00C11CFE">
      <w:pPr>
        <w:pStyle w:val="BodyText"/>
        <w:widowControl/>
        <w:kinsoku w:val="0"/>
        <w:overflowPunct w:val="0"/>
        <w:ind w:left="0"/>
        <w:rPr>
          <w:color w:val="000000"/>
          <w:szCs w:val="21"/>
        </w:rPr>
      </w:pPr>
    </w:p>
    <w:p w14:paraId="0ABADDB1" w14:textId="77777777" w:rsidR="00C11CFE" w:rsidRPr="004F5FB4" w:rsidRDefault="00C11CFE" w:rsidP="00C11CFE">
      <w:pPr>
        <w:pStyle w:val="BodyText"/>
        <w:widowControl/>
        <w:kinsoku w:val="0"/>
        <w:overflowPunct w:val="0"/>
        <w:ind w:left="0"/>
        <w:rPr>
          <w:color w:val="000000"/>
        </w:rPr>
      </w:pPr>
      <w:r w:rsidRPr="004F5FB4">
        <w:rPr>
          <w:color w:val="000000"/>
        </w:rPr>
        <w:t>In den kontrollierten klinischen Phase-III-Studien zu Adalimumab ergaben sich bei Patienten mit polyartikulärer juveniler idiopathischer Arthritis, die zwischen 4 und 17 Jahren alt waren, und bei Patienten mit Enthesitis-assoziierter Arthritis, die zwischen 6 und 17 Jahren alt waren, Erhöhungen der ALT-Werte um ≥ 3 x ULN bei 6,1 % der mit Adalimumab behandelten Patienten und bei 1,3 % der Patienten der Kontrollgruppe. Die meisten ALT-Erhöhungen traten bei gleichzeitiger Anwendung von Methotrexat auf. In der Phase-III-Studie zu Adalimumab kamen keine ALT-Erhöhungen ≥ 3 x ULN bei Patienten mit polyartikulärer juveniler idiopathischer Arthritis vor, die zwischen 2 und &lt; 4 Jahre alt waren.</w:t>
      </w:r>
    </w:p>
    <w:p w14:paraId="3DD78540" w14:textId="77777777" w:rsidR="00C11CFE" w:rsidRPr="004F5FB4" w:rsidRDefault="00C11CFE" w:rsidP="00C11CFE">
      <w:pPr>
        <w:pStyle w:val="BodyText"/>
        <w:widowControl/>
        <w:kinsoku w:val="0"/>
        <w:overflowPunct w:val="0"/>
        <w:ind w:left="0"/>
        <w:rPr>
          <w:color w:val="000000"/>
        </w:rPr>
      </w:pPr>
    </w:p>
    <w:p w14:paraId="101FB9B3" w14:textId="77777777" w:rsidR="00C11CFE" w:rsidRPr="004F5FB4" w:rsidRDefault="00C11CFE" w:rsidP="00C11CFE">
      <w:pPr>
        <w:pStyle w:val="BodyText"/>
        <w:widowControl/>
        <w:kinsoku w:val="0"/>
        <w:overflowPunct w:val="0"/>
        <w:ind w:left="0"/>
        <w:rPr>
          <w:color w:val="000000"/>
        </w:rPr>
      </w:pPr>
      <w:r w:rsidRPr="004F5FB4">
        <w:rPr>
          <w:color w:val="000000"/>
        </w:rPr>
        <w:t>In den kontrollierten klinischen Phase-III-Studien zu Adalimumab bei Patienten mit Morbus Crohn bzw. Colitis ulcerosa ergaben sich in einem Überwachungszeitraum von 4 bis 52 Wochen Erhöhungen der ALT-Werte um ≥ 3 x ULN bei 0,9 % der mit Adalimumab behandelten Patienten und bei 0,9 % der Patienten der Kontrollgruppe.</w:t>
      </w:r>
    </w:p>
    <w:p w14:paraId="2C23CC83" w14:textId="77777777" w:rsidR="00C11CFE" w:rsidRPr="004F5FB4" w:rsidRDefault="00C11CFE" w:rsidP="00C11CFE">
      <w:pPr>
        <w:pStyle w:val="BodyText"/>
        <w:widowControl/>
        <w:kinsoku w:val="0"/>
        <w:overflowPunct w:val="0"/>
        <w:ind w:left="0"/>
        <w:rPr>
          <w:color w:val="000000"/>
        </w:rPr>
      </w:pPr>
    </w:p>
    <w:p w14:paraId="7469982D" w14:textId="77777777" w:rsidR="00C11CFE" w:rsidRPr="004F5FB4" w:rsidRDefault="00C11CFE" w:rsidP="00C11CFE">
      <w:pPr>
        <w:pStyle w:val="BodyText"/>
        <w:widowControl/>
        <w:kinsoku w:val="0"/>
        <w:overflowPunct w:val="0"/>
        <w:ind w:left="0"/>
        <w:rPr>
          <w:color w:val="000000"/>
        </w:rPr>
      </w:pPr>
      <w:r w:rsidRPr="004F5FB4">
        <w:rPr>
          <w:color w:val="000000"/>
        </w:rPr>
        <w:t>In der klinischen Phase-III-Studie zu Adalimumab bei Kindern und Jugendlichen mit Morbus Crohn wurden Wirksamkeit und Sicherheit von zwei körpergewichtsadaptierten remissionserhaltenden Therapien nach erfolgter körpergewichtsadaptierter Induktionstherapie über 52 Behandlungswochen untersucht. Es ergaben sich Erhöhungen der ALT-Werte</w:t>
      </w:r>
      <w:r w:rsidR="000139CE" w:rsidRPr="004F5FB4">
        <w:rPr>
          <w:color w:val="000000"/>
        </w:rPr>
        <w:t xml:space="preserve"> </w:t>
      </w:r>
      <w:r w:rsidRPr="004F5FB4">
        <w:rPr>
          <w:color w:val="000000"/>
        </w:rPr>
        <w:t>≥ 3 x ULN bei 2,6 % (5 von 192) der Patienten. 4 der Patienten erhielten zu Therapiebeginn begleitend Immunsuppressiva.</w:t>
      </w:r>
    </w:p>
    <w:p w14:paraId="11FFE758" w14:textId="77777777" w:rsidR="00C11CFE" w:rsidRPr="004F5FB4" w:rsidRDefault="00C11CFE" w:rsidP="00C11CFE">
      <w:pPr>
        <w:pStyle w:val="BodyText"/>
        <w:widowControl/>
        <w:kinsoku w:val="0"/>
        <w:overflowPunct w:val="0"/>
        <w:ind w:left="0"/>
        <w:rPr>
          <w:color w:val="000000"/>
          <w:szCs w:val="21"/>
        </w:rPr>
      </w:pPr>
    </w:p>
    <w:p w14:paraId="215ACB26" w14:textId="77777777" w:rsidR="00C11CFE" w:rsidRPr="004F5FB4" w:rsidRDefault="00C11CFE" w:rsidP="00C11CFE">
      <w:pPr>
        <w:pStyle w:val="BodyText"/>
        <w:widowControl/>
        <w:kinsoku w:val="0"/>
        <w:overflowPunct w:val="0"/>
        <w:ind w:left="0"/>
        <w:rPr>
          <w:color w:val="000000"/>
        </w:rPr>
      </w:pPr>
      <w:r w:rsidRPr="004F5FB4">
        <w:rPr>
          <w:color w:val="000000"/>
        </w:rPr>
        <w:t>In den kontrollierten klinischen Phase-III-Studien zu Adalimumab bei Patienten mit Plaque-Psoriasis ergaben sich in einem Überwachungszeitraum von 12 bis 24 Wochen Erhöhungen der ALT-Werte um ≥ 3 x ULN bei 1,8 % der mit Adalimumab behandelten Patienten und bei 1,8 % der Patienten der Kontrollgruppe.</w:t>
      </w:r>
    </w:p>
    <w:p w14:paraId="333042C7" w14:textId="77777777" w:rsidR="00C11CFE" w:rsidRPr="004F5FB4" w:rsidRDefault="00C11CFE" w:rsidP="00C11CFE">
      <w:pPr>
        <w:pStyle w:val="BodyText"/>
        <w:widowControl/>
        <w:kinsoku w:val="0"/>
        <w:overflowPunct w:val="0"/>
        <w:ind w:left="0"/>
        <w:rPr>
          <w:color w:val="000000"/>
          <w:szCs w:val="21"/>
        </w:rPr>
      </w:pPr>
    </w:p>
    <w:p w14:paraId="5D7E9B31" w14:textId="77777777" w:rsidR="00C11CFE" w:rsidRPr="004F5FB4" w:rsidRDefault="00C11CFE" w:rsidP="00C11CFE">
      <w:pPr>
        <w:pStyle w:val="BodyText"/>
        <w:widowControl/>
        <w:kinsoku w:val="0"/>
        <w:overflowPunct w:val="0"/>
        <w:ind w:left="0"/>
        <w:rPr>
          <w:color w:val="000000"/>
        </w:rPr>
      </w:pPr>
      <w:r w:rsidRPr="004F5FB4">
        <w:rPr>
          <w:color w:val="000000"/>
        </w:rPr>
        <w:t xml:space="preserve">In der Phase-III-Studie zu Adalimumab bei </w:t>
      </w:r>
      <w:r w:rsidR="00036D76" w:rsidRPr="004F5FB4">
        <w:rPr>
          <w:color w:val="000000"/>
        </w:rPr>
        <w:t xml:space="preserve">Kindern und Jugendlichen </w:t>
      </w:r>
      <w:r w:rsidRPr="004F5FB4">
        <w:rPr>
          <w:color w:val="000000"/>
        </w:rPr>
        <w:t>mit Plaque-Psoriasis kam es zu keinen ALT-Erhöhungen ≥ 3x ULN.</w:t>
      </w:r>
    </w:p>
    <w:p w14:paraId="5D148AE7" w14:textId="77777777" w:rsidR="00C11CFE" w:rsidRPr="004F5FB4" w:rsidRDefault="00C11CFE" w:rsidP="00C11CFE">
      <w:pPr>
        <w:pStyle w:val="BodyText"/>
        <w:widowControl/>
        <w:kinsoku w:val="0"/>
        <w:overflowPunct w:val="0"/>
        <w:ind w:left="0"/>
        <w:rPr>
          <w:color w:val="000000"/>
        </w:rPr>
      </w:pPr>
    </w:p>
    <w:p w14:paraId="7821B387" w14:textId="77777777" w:rsidR="00C11CFE" w:rsidRPr="004F5FB4" w:rsidRDefault="00C11CFE" w:rsidP="00C11CFE">
      <w:pPr>
        <w:pStyle w:val="BodyText"/>
        <w:widowControl/>
        <w:kinsoku w:val="0"/>
        <w:overflowPunct w:val="0"/>
        <w:ind w:left="0"/>
        <w:rPr>
          <w:color w:val="000000"/>
        </w:rPr>
      </w:pPr>
      <w:r w:rsidRPr="004F5FB4">
        <w:rPr>
          <w:color w:val="000000"/>
        </w:rPr>
        <w:t>In kontrollierten Studien zu Adalimumab (Anfangsdosen von 80 mg in Woche 0, gefolgt von 40 mg alle zwei Wochen ab Woche 1) bei erwachsenen Patienten mit Uveitis ergaben sich in einem Überwachungszeitraum von bis zu 80 Wochen mit einer Behandlungszeit im Median von 166,5 Tagen bei den mit Adalimumab behandelten Patienten bzw. 105,0 Tagen bei den Patienten der Kontrollgruppe ALT-Erhöhungen um ≥ 3 x ULN bei 2,4 % der mit Adalimumab behandelten Patienten und bei 2,4 % der Kontrollgruppe.</w:t>
      </w:r>
    </w:p>
    <w:p w14:paraId="3FF14CA9" w14:textId="77777777" w:rsidR="00C11CFE" w:rsidRDefault="00C11CFE" w:rsidP="00C11CFE">
      <w:pPr>
        <w:pStyle w:val="BodyText"/>
        <w:widowControl/>
        <w:kinsoku w:val="0"/>
        <w:overflowPunct w:val="0"/>
        <w:ind w:left="0"/>
        <w:rPr>
          <w:color w:val="000000"/>
        </w:rPr>
      </w:pPr>
    </w:p>
    <w:p w14:paraId="2716CABC" w14:textId="77777777" w:rsidR="009751D5" w:rsidRDefault="009751D5" w:rsidP="008419B6">
      <w:pPr>
        <w:pStyle w:val="BodyText"/>
        <w:kinsoku w:val="0"/>
        <w:overflowPunct w:val="0"/>
        <w:ind w:left="0"/>
        <w:rPr>
          <w:color w:val="000000"/>
        </w:rPr>
      </w:pPr>
      <w:r w:rsidRPr="009751D5">
        <w:rPr>
          <w:color w:val="000000"/>
        </w:rPr>
        <w:t xml:space="preserve">In der kontrollierten Phase-III-Studie zu </w:t>
      </w:r>
      <w:r>
        <w:rPr>
          <w:color w:val="000000"/>
        </w:rPr>
        <w:t>Adalimumab</w:t>
      </w:r>
      <w:r w:rsidRPr="009751D5">
        <w:rPr>
          <w:color w:val="000000"/>
        </w:rPr>
        <w:t xml:space="preserve"> bei Kindern und Jugendlichen mit Colitis ulcerosa</w:t>
      </w:r>
      <w:r>
        <w:rPr>
          <w:color w:val="000000"/>
        </w:rPr>
        <w:t xml:space="preserve"> </w:t>
      </w:r>
      <w:r w:rsidRPr="009751D5">
        <w:rPr>
          <w:color w:val="000000"/>
        </w:rPr>
        <w:t>(</w:t>
      </w:r>
      <w:r w:rsidR="005B762F">
        <w:rPr>
          <w:color w:val="000000"/>
        </w:rPr>
        <w:t>n </w:t>
      </w:r>
      <w:r w:rsidRPr="009751D5">
        <w:rPr>
          <w:color w:val="000000"/>
        </w:rPr>
        <w:t>=</w:t>
      </w:r>
      <w:r w:rsidR="005B762F">
        <w:rPr>
          <w:color w:val="000000"/>
        </w:rPr>
        <w:t> </w:t>
      </w:r>
      <w:r w:rsidRPr="009751D5">
        <w:rPr>
          <w:color w:val="000000"/>
        </w:rPr>
        <w:t>93) wurden Wirksamkeit und Sicherhei</w:t>
      </w:r>
      <w:r w:rsidR="005B762F">
        <w:rPr>
          <w:color w:val="000000"/>
        </w:rPr>
        <w:t>t einer Erhaltungsdosis von 0,6 mg/kg (maximal 40 </w:t>
      </w:r>
      <w:r w:rsidRPr="009751D5">
        <w:rPr>
          <w:color w:val="000000"/>
        </w:rPr>
        <w:t>mg)</w:t>
      </w:r>
      <w:r w:rsidR="005B762F">
        <w:rPr>
          <w:color w:val="000000"/>
        </w:rPr>
        <w:t xml:space="preserve"> </w:t>
      </w:r>
      <w:r w:rsidRPr="009751D5">
        <w:rPr>
          <w:color w:val="000000"/>
        </w:rPr>
        <w:t>jede zweite Woche (n</w:t>
      </w:r>
      <w:r w:rsidR="005B762F">
        <w:rPr>
          <w:color w:val="000000"/>
        </w:rPr>
        <w:t> </w:t>
      </w:r>
      <w:r w:rsidRPr="009751D5">
        <w:rPr>
          <w:color w:val="000000"/>
        </w:rPr>
        <w:t>=</w:t>
      </w:r>
      <w:r w:rsidR="005B762F">
        <w:rPr>
          <w:color w:val="000000"/>
        </w:rPr>
        <w:t> </w:t>
      </w:r>
      <w:r w:rsidRPr="009751D5">
        <w:rPr>
          <w:color w:val="000000"/>
        </w:rPr>
        <w:t>31) und einer Erhaltungsdosis von 0,6</w:t>
      </w:r>
      <w:r w:rsidR="005B762F">
        <w:rPr>
          <w:color w:val="000000"/>
        </w:rPr>
        <w:t> </w:t>
      </w:r>
      <w:r w:rsidRPr="009751D5">
        <w:rPr>
          <w:color w:val="000000"/>
        </w:rPr>
        <w:t>mg/kg (maximal 40</w:t>
      </w:r>
      <w:r w:rsidR="005B762F">
        <w:rPr>
          <w:color w:val="000000"/>
        </w:rPr>
        <w:t> </w:t>
      </w:r>
      <w:r w:rsidRPr="009751D5">
        <w:rPr>
          <w:color w:val="000000"/>
        </w:rPr>
        <w:t>mg) wöchentlich</w:t>
      </w:r>
      <w:r w:rsidR="005B762F">
        <w:rPr>
          <w:color w:val="000000"/>
        </w:rPr>
        <w:t xml:space="preserve"> </w:t>
      </w:r>
      <w:r w:rsidRPr="009751D5">
        <w:rPr>
          <w:color w:val="000000"/>
        </w:rPr>
        <w:t>(n</w:t>
      </w:r>
      <w:r w:rsidR="005B762F">
        <w:rPr>
          <w:color w:val="000000"/>
        </w:rPr>
        <w:t> </w:t>
      </w:r>
      <w:r w:rsidRPr="009751D5">
        <w:rPr>
          <w:color w:val="000000"/>
        </w:rPr>
        <w:t>=</w:t>
      </w:r>
      <w:r w:rsidR="005B762F">
        <w:rPr>
          <w:color w:val="000000"/>
        </w:rPr>
        <w:t> </w:t>
      </w:r>
      <w:r w:rsidRPr="009751D5">
        <w:rPr>
          <w:color w:val="000000"/>
        </w:rPr>
        <w:t>32) nach Verabreichung einer körpergewichtsadaptierten Induktionsdosis von 2,4</w:t>
      </w:r>
      <w:r w:rsidR="005B762F">
        <w:rPr>
          <w:color w:val="000000"/>
        </w:rPr>
        <w:t> </w:t>
      </w:r>
      <w:r w:rsidRPr="009751D5">
        <w:rPr>
          <w:color w:val="000000"/>
        </w:rPr>
        <w:t>mg/kg</w:t>
      </w:r>
      <w:r w:rsidR="005B762F">
        <w:rPr>
          <w:color w:val="000000"/>
        </w:rPr>
        <w:t xml:space="preserve"> </w:t>
      </w:r>
      <w:r w:rsidRPr="009751D5">
        <w:rPr>
          <w:color w:val="000000"/>
        </w:rPr>
        <w:t>(maximal 160</w:t>
      </w:r>
      <w:r w:rsidR="005B762F">
        <w:rPr>
          <w:color w:val="000000"/>
        </w:rPr>
        <w:t> </w:t>
      </w:r>
      <w:r w:rsidRPr="009751D5">
        <w:rPr>
          <w:color w:val="000000"/>
        </w:rPr>
        <w:t>mg) in Woche</w:t>
      </w:r>
      <w:r w:rsidR="005B762F">
        <w:rPr>
          <w:color w:val="000000"/>
        </w:rPr>
        <w:t> </w:t>
      </w:r>
      <w:r w:rsidRPr="009751D5">
        <w:rPr>
          <w:color w:val="000000"/>
        </w:rPr>
        <w:t>0 und Woche</w:t>
      </w:r>
      <w:r w:rsidR="005B762F">
        <w:rPr>
          <w:color w:val="000000"/>
        </w:rPr>
        <w:t> </w:t>
      </w:r>
      <w:r w:rsidRPr="009751D5">
        <w:rPr>
          <w:color w:val="000000"/>
        </w:rPr>
        <w:t>1 und 1,2</w:t>
      </w:r>
      <w:r w:rsidR="005B762F">
        <w:rPr>
          <w:color w:val="000000"/>
        </w:rPr>
        <w:t> </w:t>
      </w:r>
      <w:r w:rsidRPr="009751D5">
        <w:rPr>
          <w:color w:val="000000"/>
        </w:rPr>
        <w:t>mg/kg (maximal 80</w:t>
      </w:r>
      <w:r w:rsidR="005B762F">
        <w:rPr>
          <w:color w:val="000000"/>
        </w:rPr>
        <w:t> </w:t>
      </w:r>
      <w:r w:rsidRPr="009751D5">
        <w:rPr>
          <w:color w:val="000000"/>
        </w:rPr>
        <w:t>mg) in Woche</w:t>
      </w:r>
      <w:r w:rsidR="005B762F">
        <w:rPr>
          <w:color w:val="000000"/>
        </w:rPr>
        <w:t> </w:t>
      </w:r>
      <w:r w:rsidRPr="009751D5">
        <w:rPr>
          <w:color w:val="000000"/>
        </w:rPr>
        <w:t>2 (n</w:t>
      </w:r>
      <w:r w:rsidR="005B762F">
        <w:rPr>
          <w:color w:val="000000"/>
        </w:rPr>
        <w:t> </w:t>
      </w:r>
      <w:r w:rsidRPr="009751D5">
        <w:rPr>
          <w:color w:val="000000"/>
        </w:rPr>
        <w:t>=</w:t>
      </w:r>
      <w:r w:rsidR="005B762F">
        <w:rPr>
          <w:color w:val="000000"/>
        </w:rPr>
        <w:t> </w:t>
      </w:r>
      <w:r w:rsidRPr="009751D5">
        <w:rPr>
          <w:color w:val="000000"/>
        </w:rPr>
        <w:t>63)</w:t>
      </w:r>
      <w:r w:rsidR="005B762F">
        <w:rPr>
          <w:color w:val="000000"/>
        </w:rPr>
        <w:t xml:space="preserve"> </w:t>
      </w:r>
      <w:r w:rsidRPr="009751D5">
        <w:rPr>
          <w:color w:val="000000"/>
        </w:rPr>
        <w:t>bzw. 2,4</w:t>
      </w:r>
      <w:r w:rsidR="005B762F">
        <w:rPr>
          <w:color w:val="000000"/>
        </w:rPr>
        <w:t> </w:t>
      </w:r>
      <w:r w:rsidRPr="009751D5">
        <w:rPr>
          <w:color w:val="000000"/>
        </w:rPr>
        <w:t>mg/kg (maximal 160</w:t>
      </w:r>
      <w:r w:rsidR="005B762F">
        <w:rPr>
          <w:color w:val="000000"/>
        </w:rPr>
        <w:t> </w:t>
      </w:r>
      <w:r w:rsidRPr="009751D5">
        <w:rPr>
          <w:color w:val="000000"/>
        </w:rPr>
        <w:t>mg) in Woche</w:t>
      </w:r>
      <w:r w:rsidR="005B762F">
        <w:rPr>
          <w:color w:val="000000"/>
        </w:rPr>
        <w:t> </w:t>
      </w:r>
      <w:r w:rsidRPr="009751D5">
        <w:rPr>
          <w:color w:val="000000"/>
        </w:rPr>
        <w:t>0, Placebo in Woche</w:t>
      </w:r>
      <w:r w:rsidR="005B762F">
        <w:rPr>
          <w:color w:val="000000"/>
        </w:rPr>
        <w:t> </w:t>
      </w:r>
      <w:r w:rsidRPr="009751D5">
        <w:rPr>
          <w:color w:val="000000"/>
        </w:rPr>
        <w:t>1 und 1,2</w:t>
      </w:r>
      <w:r w:rsidR="005B762F">
        <w:rPr>
          <w:color w:val="000000"/>
        </w:rPr>
        <w:t> </w:t>
      </w:r>
      <w:r w:rsidRPr="009751D5">
        <w:rPr>
          <w:color w:val="000000"/>
        </w:rPr>
        <w:t>mg/kg (maximal 80</w:t>
      </w:r>
      <w:r w:rsidR="005B762F">
        <w:rPr>
          <w:color w:val="000000"/>
        </w:rPr>
        <w:t> </w:t>
      </w:r>
      <w:r w:rsidRPr="009751D5">
        <w:rPr>
          <w:color w:val="000000"/>
        </w:rPr>
        <w:t>mg)</w:t>
      </w:r>
      <w:r w:rsidR="005B762F">
        <w:rPr>
          <w:color w:val="000000"/>
        </w:rPr>
        <w:t xml:space="preserve"> </w:t>
      </w:r>
      <w:r w:rsidRPr="009751D5">
        <w:rPr>
          <w:color w:val="000000"/>
        </w:rPr>
        <w:t>in Woche</w:t>
      </w:r>
      <w:r w:rsidR="005B762F">
        <w:rPr>
          <w:color w:val="000000"/>
        </w:rPr>
        <w:t> </w:t>
      </w:r>
      <w:r w:rsidRPr="009751D5">
        <w:rPr>
          <w:color w:val="000000"/>
        </w:rPr>
        <w:t>2 (n</w:t>
      </w:r>
      <w:r w:rsidR="005B762F">
        <w:rPr>
          <w:color w:val="000000"/>
        </w:rPr>
        <w:t> </w:t>
      </w:r>
      <w:r w:rsidRPr="009751D5">
        <w:rPr>
          <w:color w:val="000000"/>
        </w:rPr>
        <w:t>=</w:t>
      </w:r>
      <w:r w:rsidR="005B762F">
        <w:rPr>
          <w:color w:val="000000"/>
        </w:rPr>
        <w:t> </w:t>
      </w:r>
      <w:r w:rsidRPr="009751D5">
        <w:rPr>
          <w:color w:val="000000"/>
        </w:rPr>
        <w:t xml:space="preserve">30) untersucht. Es ergaben sich </w:t>
      </w:r>
      <w:r w:rsidR="0084165A">
        <w:rPr>
          <w:color w:val="000000"/>
        </w:rPr>
        <w:t xml:space="preserve">Erhöhungen der </w:t>
      </w:r>
      <w:r w:rsidR="00931089">
        <w:rPr>
          <w:color w:val="000000"/>
        </w:rPr>
        <w:t>ALT-</w:t>
      </w:r>
      <w:r w:rsidR="0084165A">
        <w:rPr>
          <w:color w:val="000000"/>
        </w:rPr>
        <w:t xml:space="preserve">Werte um </w:t>
      </w:r>
      <w:r w:rsidRPr="009751D5">
        <w:rPr>
          <w:color w:val="000000"/>
        </w:rPr>
        <w:t>≥</w:t>
      </w:r>
      <w:r w:rsidR="005B762F">
        <w:rPr>
          <w:color w:val="000000"/>
        </w:rPr>
        <w:t> </w:t>
      </w:r>
      <w:r w:rsidRPr="009751D5">
        <w:rPr>
          <w:color w:val="000000"/>
        </w:rPr>
        <w:t>3</w:t>
      </w:r>
      <w:r w:rsidR="005B762F">
        <w:rPr>
          <w:color w:val="000000"/>
        </w:rPr>
        <w:t> </w:t>
      </w:r>
      <w:r w:rsidRPr="009751D5">
        <w:rPr>
          <w:color w:val="000000"/>
        </w:rPr>
        <w:t>x</w:t>
      </w:r>
      <w:r w:rsidR="005B762F">
        <w:rPr>
          <w:color w:val="000000"/>
        </w:rPr>
        <w:t> </w:t>
      </w:r>
      <w:r w:rsidRPr="009751D5">
        <w:rPr>
          <w:color w:val="000000"/>
        </w:rPr>
        <w:t>ULN bei</w:t>
      </w:r>
      <w:r w:rsidR="005B762F">
        <w:rPr>
          <w:color w:val="000000"/>
        </w:rPr>
        <w:t xml:space="preserve"> </w:t>
      </w:r>
      <w:r w:rsidRPr="009751D5">
        <w:rPr>
          <w:color w:val="000000"/>
        </w:rPr>
        <w:t>1,1</w:t>
      </w:r>
      <w:r w:rsidR="005B762F">
        <w:rPr>
          <w:color w:val="000000"/>
        </w:rPr>
        <w:t> </w:t>
      </w:r>
      <w:r w:rsidRPr="009751D5">
        <w:rPr>
          <w:color w:val="000000"/>
        </w:rPr>
        <w:t>% (1 von 93) der Patienten.</w:t>
      </w:r>
    </w:p>
    <w:p w14:paraId="306C51E2" w14:textId="77777777" w:rsidR="009751D5" w:rsidRPr="004F5FB4" w:rsidRDefault="009751D5" w:rsidP="00C11CFE">
      <w:pPr>
        <w:pStyle w:val="BodyText"/>
        <w:widowControl/>
        <w:kinsoku w:val="0"/>
        <w:overflowPunct w:val="0"/>
        <w:ind w:left="0"/>
        <w:rPr>
          <w:color w:val="000000"/>
        </w:rPr>
      </w:pPr>
    </w:p>
    <w:p w14:paraId="468E1ECC" w14:textId="77777777" w:rsidR="00C11CFE" w:rsidRPr="004F5FB4" w:rsidRDefault="00C11CFE" w:rsidP="00C11CFE">
      <w:pPr>
        <w:pStyle w:val="BodyText"/>
        <w:widowControl/>
        <w:kinsoku w:val="0"/>
        <w:overflowPunct w:val="0"/>
        <w:ind w:left="0"/>
        <w:rPr>
          <w:color w:val="000000"/>
        </w:rPr>
      </w:pPr>
      <w:r w:rsidRPr="004F5FB4">
        <w:rPr>
          <w:color w:val="000000"/>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55404DD4" w14:textId="77777777" w:rsidR="00C46587" w:rsidRPr="004F5FB4" w:rsidRDefault="00C46587" w:rsidP="00982118">
      <w:pPr>
        <w:rPr>
          <w:color w:val="000000"/>
        </w:rPr>
      </w:pPr>
    </w:p>
    <w:p w14:paraId="1EF69010" w14:textId="77777777" w:rsidR="00C46587" w:rsidRPr="004F5FB4" w:rsidRDefault="00C46587" w:rsidP="00982118">
      <w:pPr>
        <w:keepNext/>
        <w:rPr>
          <w:color w:val="000000"/>
          <w:u w:val="single"/>
        </w:rPr>
      </w:pPr>
      <w:r w:rsidRPr="004F5FB4">
        <w:rPr>
          <w:color w:val="000000"/>
          <w:u w:val="single"/>
        </w:rPr>
        <w:lastRenderedPageBreak/>
        <w:t>Kombinationstherapie mit Azathioprin/6-Mercaptopurin</w:t>
      </w:r>
    </w:p>
    <w:p w14:paraId="74018BAD" w14:textId="77777777" w:rsidR="00C46587" w:rsidRPr="004F5FB4" w:rsidRDefault="00C46587" w:rsidP="00982118">
      <w:pPr>
        <w:keepNext/>
        <w:rPr>
          <w:color w:val="000000"/>
        </w:rPr>
      </w:pPr>
    </w:p>
    <w:p w14:paraId="7A587231" w14:textId="77777777" w:rsidR="00C46587" w:rsidRPr="004F5FB4" w:rsidRDefault="00C46587" w:rsidP="00982118">
      <w:pPr>
        <w:rPr>
          <w:color w:val="000000"/>
        </w:rPr>
      </w:pPr>
      <w:r w:rsidRPr="004F5FB4">
        <w:rPr>
          <w:color w:val="000000"/>
        </w:rPr>
        <w:t>In den Studien mit erwachsenen Morbus-Crohn-Patienten war bei Kombination von Adalimumab mit Azathioprin/</w:t>
      </w:r>
      <w:r w:rsidR="00193B52" w:rsidRPr="004F5FB4">
        <w:rPr>
          <w:color w:val="000000"/>
        </w:rPr>
        <w:t xml:space="preserve"> </w:t>
      </w:r>
      <w:r w:rsidRPr="004F5FB4">
        <w:rPr>
          <w:color w:val="000000"/>
        </w:rPr>
        <w:t>6</w:t>
      </w:r>
      <w:r w:rsidRPr="004F5FB4">
        <w:rPr>
          <w:color w:val="000000"/>
        </w:rPr>
        <w:noBreakHyphen/>
        <w:t xml:space="preserve">Mercaptopurin die Inzidenz maligner und schwerwiegender infektiöser Nebenwirkungen im Vergleich zur Adalimumab-Monotherapie höher. </w:t>
      </w:r>
    </w:p>
    <w:p w14:paraId="2E21B5DE" w14:textId="77777777" w:rsidR="00C46587" w:rsidRPr="004F5FB4" w:rsidRDefault="00C46587" w:rsidP="00982118">
      <w:pPr>
        <w:rPr>
          <w:color w:val="000000"/>
        </w:rPr>
      </w:pPr>
    </w:p>
    <w:p w14:paraId="5E4AC70F" w14:textId="77777777" w:rsidR="00C46587" w:rsidRPr="004F5FB4" w:rsidRDefault="00C46587" w:rsidP="00982118">
      <w:pPr>
        <w:keepNext/>
        <w:rPr>
          <w:color w:val="000000"/>
          <w:u w:val="single"/>
        </w:rPr>
      </w:pPr>
      <w:r w:rsidRPr="004F5FB4">
        <w:rPr>
          <w:color w:val="000000"/>
          <w:u w:val="single"/>
        </w:rPr>
        <w:t xml:space="preserve">Meldung des Verdachts auf Nebenwirkungen </w:t>
      </w:r>
    </w:p>
    <w:p w14:paraId="75C37A3D" w14:textId="77777777" w:rsidR="00C46587" w:rsidRPr="004F5FB4" w:rsidRDefault="00C46587" w:rsidP="00982118">
      <w:pPr>
        <w:keepNext/>
        <w:rPr>
          <w:color w:val="000000"/>
          <w:u w:val="single"/>
        </w:rPr>
      </w:pPr>
    </w:p>
    <w:p w14:paraId="673576A9" w14:textId="6FBD31F6" w:rsidR="00C46587" w:rsidRPr="004F5FB4" w:rsidRDefault="00C46587" w:rsidP="00982118">
      <w:pPr>
        <w:rPr>
          <w:color w:val="000000"/>
        </w:rPr>
      </w:pPr>
      <w:r w:rsidRPr="004F5FB4">
        <w:rPr>
          <w:color w:val="000000"/>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A242C3">
        <w:rPr>
          <w:color w:val="000000"/>
          <w:highlight w:val="lightGray"/>
        </w:rPr>
        <w:t xml:space="preserve">das in </w:t>
      </w:r>
      <w:r w:rsidR="007816E9">
        <w:fldChar w:fldCharType="begin"/>
      </w:r>
      <w:r w:rsidR="007816E9">
        <w:instrText>HYPERLINK "https://www.ema.europa.eu/documents/template-form/qrd-appendix-v-adverse-drug-reaction-reporting-details_en.docx"</w:instrText>
      </w:r>
      <w:r w:rsidR="007816E9">
        <w:fldChar w:fldCharType="separate"/>
      </w:r>
      <w:r w:rsidR="007816E9" w:rsidRPr="00A242C3">
        <w:rPr>
          <w:rStyle w:val="Hyperlink"/>
          <w:highlight w:val="lightGray"/>
        </w:rPr>
        <w:t>Anhang V</w:t>
      </w:r>
      <w:r w:rsidR="007816E9">
        <w:fldChar w:fldCharType="end"/>
      </w:r>
      <w:r w:rsidR="007816E9" w:rsidRPr="00A242C3">
        <w:rPr>
          <w:color w:val="000000" w:themeColor="text1"/>
          <w:highlight w:val="lightGray"/>
        </w:rPr>
        <w:t xml:space="preserve"> </w:t>
      </w:r>
      <w:r w:rsidRPr="00A242C3">
        <w:rPr>
          <w:color w:val="000000"/>
          <w:highlight w:val="lightGray"/>
        </w:rPr>
        <w:t>aufgeführte nationale Meldesystem</w:t>
      </w:r>
      <w:r w:rsidRPr="004F5FB4">
        <w:rPr>
          <w:color w:val="000000"/>
        </w:rPr>
        <w:t xml:space="preserve"> anzuzeigen. </w:t>
      </w:r>
    </w:p>
    <w:p w14:paraId="09161F05" w14:textId="77777777" w:rsidR="00C46587" w:rsidRPr="004F5FB4" w:rsidRDefault="00C46587" w:rsidP="00982118">
      <w:pPr>
        <w:rPr>
          <w:color w:val="000000"/>
        </w:rPr>
      </w:pPr>
    </w:p>
    <w:p w14:paraId="30B0AC54" w14:textId="77777777" w:rsidR="00C46587" w:rsidRPr="004F5FB4" w:rsidRDefault="00C46587" w:rsidP="00ED34EF">
      <w:pPr>
        <w:keepNext/>
        <w:tabs>
          <w:tab w:val="left" w:pos="562"/>
        </w:tabs>
        <w:rPr>
          <w:b/>
          <w:color w:val="000000"/>
        </w:rPr>
      </w:pPr>
      <w:r w:rsidRPr="004F5FB4">
        <w:rPr>
          <w:b/>
          <w:color w:val="000000"/>
        </w:rPr>
        <w:t>4.9</w:t>
      </w:r>
      <w:r w:rsidRPr="004F5FB4">
        <w:rPr>
          <w:b/>
          <w:color w:val="000000"/>
        </w:rPr>
        <w:tab/>
        <w:t xml:space="preserve">Überdosierung </w:t>
      </w:r>
    </w:p>
    <w:p w14:paraId="04CFDE1F" w14:textId="77777777" w:rsidR="00C46587" w:rsidRPr="004F5FB4" w:rsidRDefault="00C46587" w:rsidP="00ED34EF">
      <w:pPr>
        <w:keepNext/>
        <w:rPr>
          <w:color w:val="000000"/>
        </w:rPr>
      </w:pPr>
    </w:p>
    <w:p w14:paraId="3589094E" w14:textId="77777777" w:rsidR="00C46587" w:rsidRPr="004F5FB4" w:rsidRDefault="00C46587" w:rsidP="00982118">
      <w:pPr>
        <w:rPr>
          <w:color w:val="000000"/>
        </w:rPr>
      </w:pPr>
      <w:r w:rsidRPr="004F5FB4">
        <w:rPr>
          <w:color w:val="000000"/>
        </w:rPr>
        <w:t xml:space="preserve">Während der klinischen Studien wurde keine dosisbegrenzende Toxizität beobachtet. Die höchste untersuchte Dosierung lag bei intravenösen Mehrfachdosen von 10 mg/kg. Dies ist ungefähr 15-mal höher als die empfohlene Dosis. </w:t>
      </w:r>
    </w:p>
    <w:p w14:paraId="6536B818" w14:textId="77777777" w:rsidR="00C46587" w:rsidRPr="004F5FB4" w:rsidRDefault="00C46587" w:rsidP="00982118">
      <w:pPr>
        <w:rPr>
          <w:color w:val="000000"/>
        </w:rPr>
      </w:pPr>
    </w:p>
    <w:p w14:paraId="7F416AD9" w14:textId="77777777" w:rsidR="00C46587" w:rsidRPr="004F5FB4" w:rsidRDefault="00C46587" w:rsidP="00982118">
      <w:pPr>
        <w:rPr>
          <w:color w:val="000000"/>
        </w:rPr>
      </w:pPr>
    </w:p>
    <w:p w14:paraId="0BAD09E3" w14:textId="77777777" w:rsidR="00C46587" w:rsidRPr="004F5FB4" w:rsidRDefault="00C46587" w:rsidP="00982118">
      <w:pPr>
        <w:keepNext/>
        <w:tabs>
          <w:tab w:val="left" w:pos="562"/>
        </w:tabs>
        <w:rPr>
          <w:b/>
          <w:color w:val="000000"/>
        </w:rPr>
      </w:pPr>
      <w:r w:rsidRPr="004F5FB4">
        <w:rPr>
          <w:b/>
          <w:color w:val="000000"/>
        </w:rPr>
        <w:t>5</w:t>
      </w:r>
      <w:r w:rsidRPr="004F5FB4">
        <w:rPr>
          <w:b/>
          <w:color w:val="000000"/>
        </w:rPr>
        <w:tab/>
        <w:t xml:space="preserve">PHARMAKOLOGISCHE EIGENSCHAFTEN </w:t>
      </w:r>
    </w:p>
    <w:p w14:paraId="0860F11B" w14:textId="77777777" w:rsidR="00C46587" w:rsidRPr="004F5FB4" w:rsidRDefault="00C46587" w:rsidP="00982118">
      <w:pPr>
        <w:keepNext/>
        <w:rPr>
          <w:color w:val="000000"/>
        </w:rPr>
      </w:pPr>
    </w:p>
    <w:p w14:paraId="0A0E4FA9" w14:textId="77777777" w:rsidR="00C46587" w:rsidRPr="004F5FB4" w:rsidRDefault="00C46587" w:rsidP="00982118">
      <w:pPr>
        <w:keepNext/>
        <w:tabs>
          <w:tab w:val="left" w:pos="562"/>
        </w:tabs>
        <w:rPr>
          <w:b/>
          <w:color w:val="000000"/>
        </w:rPr>
      </w:pPr>
      <w:r w:rsidRPr="004F5FB4">
        <w:rPr>
          <w:b/>
          <w:color w:val="000000"/>
        </w:rPr>
        <w:t>5.1</w:t>
      </w:r>
      <w:r w:rsidR="00C010B8" w:rsidRPr="004F5FB4">
        <w:rPr>
          <w:b/>
          <w:color w:val="000000"/>
        </w:rPr>
        <w:tab/>
      </w:r>
      <w:r w:rsidRPr="004F5FB4">
        <w:rPr>
          <w:b/>
          <w:color w:val="000000"/>
        </w:rPr>
        <w:t xml:space="preserve">Pharmakodynamische Eigenschaften </w:t>
      </w:r>
    </w:p>
    <w:p w14:paraId="6212B85F" w14:textId="77777777" w:rsidR="00C46587" w:rsidRPr="004F5FB4" w:rsidRDefault="00C46587" w:rsidP="00982118">
      <w:pPr>
        <w:keepNext/>
        <w:rPr>
          <w:color w:val="000000"/>
        </w:rPr>
      </w:pPr>
    </w:p>
    <w:p w14:paraId="0337F446" w14:textId="77777777" w:rsidR="00AD06BE" w:rsidRPr="004F5FB4" w:rsidRDefault="00C46587" w:rsidP="00982118">
      <w:pPr>
        <w:rPr>
          <w:color w:val="000000"/>
        </w:rPr>
      </w:pPr>
      <w:r w:rsidRPr="004F5FB4">
        <w:rPr>
          <w:color w:val="000000"/>
        </w:rPr>
        <w:t>Pharmakotherapeutische Gruppe: Immunsuppressiva, Tumornekrosefaktor-alpha</w:t>
      </w:r>
      <w:r w:rsidR="000139CE" w:rsidRPr="004F5FB4">
        <w:rPr>
          <w:color w:val="000000"/>
        </w:rPr>
        <w:t xml:space="preserve"> </w:t>
      </w:r>
      <w:r w:rsidRPr="004F5FB4">
        <w:rPr>
          <w:color w:val="000000"/>
        </w:rPr>
        <w:t xml:space="preserve">(TNF-alpha)-Inhibitoren. </w:t>
      </w:r>
    </w:p>
    <w:p w14:paraId="14A2DA27" w14:textId="77777777" w:rsidR="00AD06BE" w:rsidRPr="004F5FB4" w:rsidRDefault="00AD06BE" w:rsidP="00982118">
      <w:pPr>
        <w:rPr>
          <w:color w:val="000000"/>
        </w:rPr>
      </w:pPr>
    </w:p>
    <w:p w14:paraId="4697D0E7" w14:textId="77777777" w:rsidR="00B75C51" w:rsidRPr="004F5FB4" w:rsidRDefault="00C46587" w:rsidP="00982118">
      <w:pPr>
        <w:rPr>
          <w:color w:val="000000"/>
        </w:rPr>
      </w:pPr>
      <w:r w:rsidRPr="004F5FB4">
        <w:rPr>
          <w:color w:val="000000"/>
        </w:rPr>
        <w:t>ATC-Code: L04AB04</w:t>
      </w:r>
    </w:p>
    <w:p w14:paraId="49360A61" w14:textId="77777777" w:rsidR="00B75C51" w:rsidRPr="004F5FB4" w:rsidRDefault="00B75C51" w:rsidP="00982118">
      <w:pPr>
        <w:rPr>
          <w:color w:val="000000"/>
        </w:rPr>
      </w:pPr>
    </w:p>
    <w:p w14:paraId="39390A9F" w14:textId="56C722D3" w:rsidR="00C46587" w:rsidRPr="004F5FB4" w:rsidRDefault="006A1144" w:rsidP="00971955">
      <w:pPr>
        <w:pStyle w:val="BodyText"/>
        <w:widowControl/>
        <w:kinsoku w:val="0"/>
        <w:overflowPunct w:val="0"/>
        <w:ind w:left="0" w:right="-6"/>
        <w:rPr>
          <w:color w:val="000000"/>
        </w:rPr>
      </w:pPr>
      <w:r w:rsidRPr="004F5FB4">
        <w:rPr>
          <w:color w:val="000000"/>
        </w:rPr>
        <w:t xml:space="preserve">Amsparity ist ein biologisch/ biotechnologisch hergestelltes Arzneimittel, das im Wesentlichen einem bereits zugelassenen Arzneimittel gleicht. Ausführliche Informationen sind auf den Internetseiten der Europäischen Arzneimittel-Agentur </w:t>
      </w:r>
      <w:r w:rsidR="007816E9">
        <w:fldChar w:fldCharType="begin"/>
      </w:r>
      <w:r w:rsidR="007816E9">
        <w:instrText>HYPERLINK "https://www.ema.europa.eu"</w:instrText>
      </w:r>
      <w:r w:rsidR="007816E9">
        <w:fldChar w:fldCharType="separate"/>
      </w:r>
      <w:r w:rsidR="007816E9" w:rsidRPr="00A242C3">
        <w:rPr>
          <w:rStyle w:val="Hyperlink"/>
        </w:rPr>
        <w:t>https://www.ema.europa.eu</w:t>
      </w:r>
      <w:r w:rsidR="007816E9">
        <w:fldChar w:fldCharType="end"/>
      </w:r>
      <w:r w:rsidR="007816E9" w:rsidRPr="00000C6C">
        <w:rPr>
          <w:rStyle w:val="Hyperlink"/>
          <w:color w:val="000000" w:themeColor="text1"/>
        </w:rPr>
        <w:t xml:space="preserve"> </w:t>
      </w:r>
      <w:r w:rsidRPr="004F5FB4">
        <w:rPr>
          <w:color w:val="000000"/>
        </w:rPr>
        <w:t>verfügbar.</w:t>
      </w:r>
    </w:p>
    <w:p w14:paraId="5C59585E" w14:textId="77777777" w:rsidR="00C46587" w:rsidRPr="004F5FB4" w:rsidRDefault="00C46587" w:rsidP="00982118">
      <w:pPr>
        <w:rPr>
          <w:color w:val="000000"/>
        </w:rPr>
      </w:pPr>
    </w:p>
    <w:p w14:paraId="6A9FE97C" w14:textId="77777777" w:rsidR="00C46587" w:rsidRPr="004F5FB4" w:rsidRDefault="00C46587" w:rsidP="00982118">
      <w:pPr>
        <w:keepNext/>
        <w:rPr>
          <w:color w:val="000000"/>
          <w:u w:val="single"/>
        </w:rPr>
      </w:pPr>
      <w:r w:rsidRPr="004F5FB4">
        <w:rPr>
          <w:color w:val="000000"/>
          <w:u w:val="single"/>
        </w:rPr>
        <w:t xml:space="preserve">Wirkmechanismus </w:t>
      </w:r>
    </w:p>
    <w:p w14:paraId="13CD2400" w14:textId="77777777" w:rsidR="00C46587" w:rsidRPr="004F5FB4" w:rsidRDefault="00C46587" w:rsidP="00982118">
      <w:pPr>
        <w:keepNext/>
        <w:rPr>
          <w:color w:val="000000"/>
        </w:rPr>
      </w:pPr>
    </w:p>
    <w:p w14:paraId="3FEAC155" w14:textId="77777777" w:rsidR="00C46587" w:rsidRPr="004F5FB4" w:rsidRDefault="00C46587" w:rsidP="00982118">
      <w:pPr>
        <w:rPr>
          <w:color w:val="000000"/>
        </w:rPr>
      </w:pPr>
      <w:r w:rsidRPr="004F5FB4">
        <w:rPr>
          <w:color w:val="000000"/>
        </w:rPr>
        <w:t xml:space="preserve">Adalimumab bindet spezifisch an TNF und neutralisiert dessen biologische Funktion, indem es die Interaktion mit den zellständigen p55- und p75-TNF-Rezeptoren blockiert. </w:t>
      </w:r>
    </w:p>
    <w:p w14:paraId="2C07AF99" w14:textId="77777777" w:rsidR="00C46587" w:rsidRPr="004F5FB4" w:rsidRDefault="00C46587" w:rsidP="00982118">
      <w:pPr>
        <w:rPr>
          <w:color w:val="000000"/>
        </w:rPr>
      </w:pPr>
    </w:p>
    <w:p w14:paraId="3DE852A1" w14:textId="77777777" w:rsidR="00C46587" w:rsidRPr="004F5FB4" w:rsidRDefault="00C46587" w:rsidP="00982118">
      <w:pPr>
        <w:rPr>
          <w:color w:val="000000"/>
        </w:rPr>
      </w:pPr>
      <w:r w:rsidRPr="004F5FB4">
        <w:rPr>
          <w:color w:val="000000"/>
        </w:rPr>
        <w:t>Adalimumab beeinflusst weiterhin biologische Reaktionen, die durch TNF ausgelöst oder gesteuert werden, einschließlich der Veränderungen der Konzentrationen von für die Leukozytenmigration verantwortlichen Adhäsionsmolekülen (ELAM</w:t>
      </w:r>
      <w:r w:rsidRPr="004F5FB4">
        <w:rPr>
          <w:color w:val="000000"/>
        </w:rPr>
        <w:noBreakHyphen/>
        <w:t>1, VCAM</w:t>
      </w:r>
      <w:r w:rsidRPr="004F5FB4">
        <w:rPr>
          <w:color w:val="000000"/>
        </w:rPr>
        <w:noBreakHyphen/>
        <w:t>1 und ICAM</w:t>
      </w:r>
      <w:r w:rsidRPr="004F5FB4">
        <w:rPr>
          <w:color w:val="000000"/>
        </w:rPr>
        <w:noBreakHyphen/>
        <w:t>1 mit einer IC</w:t>
      </w:r>
      <w:r w:rsidRPr="004F5FB4">
        <w:rPr>
          <w:color w:val="000000"/>
          <w:vertAlign w:val="subscript"/>
        </w:rPr>
        <w:t>50</w:t>
      </w:r>
      <w:r w:rsidRPr="004F5FB4">
        <w:rPr>
          <w:color w:val="000000"/>
        </w:rPr>
        <w:t xml:space="preserve"> von 0,1 – 0,2 nM). </w:t>
      </w:r>
    </w:p>
    <w:p w14:paraId="14B6C05C" w14:textId="77777777" w:rsidR="00C46587" w:rsidRPr="004F5FB4" w:rsidRDefault="00C46587" w:rsidP="00982118">
      <w:pPr>
        <w:rPr>
          <w:color w:val="000000"/>
        </w:rPr>
      </w:pPr>
    </w:p>
    <w:p w14:paraId="41FE430B" w14:textId="77777777" w:rsidR="00C46587" w:rsidRPr="004F5FB4" w:rsidRDefault="00C46587" w:rsidP="00982118">
      <w:pPr>
        <w:keepNext/>
        <w:rPr>
          <w:color w:val="000000"/>
          <w:u w:val="single"/>
        </w:rPr>
      </w:pPr>
      <w:r w:rsidRPr="004F5FB4">
        <w:rPr>
          <w:color w:val="000000"/>
          <w:u w:val="single"/>
        </w:rPr>
        <w:t xml:space="preserve">Pharmakodynamische Wirkungen </w:t>
      </w:r>
    </w:p>
    <w:p w14:paraId="525ECA9F" w14:textId="77777777" w:rsidR="00C46587" w:rsidRPr="004F5FB4" w:rsidRDefault="00C46587" w:rsidP="00982118">
      <w:pPr>
        <w:keepNext/>
        <w:rPr>
          <w:color w:val="000000"/>
          <w:u w:val="single"/>
        </w:rPr>
      </w:pPr>
    </w:p>
    <w:p w14:paraId="1990167F" w14:textId="77777777" w:rsidR="00C46587" w:rsidRPr="004F5FB4" w:rsidRDefault="00C46587" w:rsidP="00982118">
      <w:pPr>
        <w:rPr>
          <w:color w:val="000000"/>
        </w:rPr>
      </w:pPr>
      <w:r w:rsidRPr="004F5FB4">
        <w:rPr>
          <w:color w:val="000000"/>
        </w:rPr>
        <w:t xml:space="preserve">Nach Behandlung mit Adalimumab wurde bei Patienten mit rheumatoider Arthritis eine im Vergleich zu den Ausgangswerten rasche Konzentrationsabnahme der Akute-Phase-Entzündungsparameter (C-reaktives Protein </w:t>
      </w:r>
      <w:r w:rsidR="001D6B79" w:rsidRPr="004F5FB4">
        <w:rPr>
          <w:color w:val="000000"/>
        </w:rPr>
        <w:t>[</w:t>
      </w:r>
      <w:r w:rsidRPr="004F5FB4">
        <w:rPr>
          <w:color w:val="000000"/>
        </w:rPr>
        <w:t>CRP</w:t>
      </w:r>
      <w:r w:rsidR="001D6B79" w:rsidRPr="004F5FB4">
        <w:rPr>
          <w:color w:val="000000"/>
        </w:rPr>
        <w:t>]</w:t>
      </w:r>
      <w:r w:rsidRPr="004F5FB4">
        <w:rPr>
          <w:color w:val="000000"/>
        </w:rPr>
        <w:t xml:space="preserve"> und Blutsenkungsgeschwindigkeit </w:t>
      </w:r>
      <w:r w:rsidR="001D6B79" w:rsidRPr="004F5FB4">
        <w:rPr>
          <w:color w:val="000000"/>
        </w:rPr>
        <w:t>[</w:t>
      </w:r>
      <w:r w:rsidRPr="004F5FB4">
        <w:rPr>
          <w:color w:val="000000"/>
        </w:rPr>
        <w:t>BSG</w:t>
      </w:r>
      <w:r w:rsidR="001D6B79" w:rsidRPr="004F5FB4">
        <w:rPr>
          <w:color w:val="000000"/>
        </w:rPr>
        <w:t>]</w:t>
      </w:r>
      <w:r w:rsidRPr="004F5FB4">
        <w:rPr>
          <w:color w:val="000000"/>
        </w:rPr>
        <w:t>) und der Serumzytokine (IL-6) beobachtet. Die Serumspiegel von Matrixmetalloproteinasen (MMP</w:t>
      </w:r>
      <w:r w:rsidRPr="004F5FB4">
        <w:rPr>
          <w:color w:val="000000"/>
        </w:rPr>
        <w:noBreakHyphen/>
        <w:t>1 und MMP</w:t>
      </w:r>
      <w:r w:rsidRPr="004F5FB4">
        <w:rPr>
          <w:color w:val="000000"/>
        </w:rPr>
        <w:noBreakHyphen/>
        <w:t>3), die die für die Knorpelzerstörung verantwortliche Gewebsumwandlung hervorrufen, waren nach der Verabreichung von Adalimumab ebenfalls vermindert. Bei mit Adalimumab behandelten Patienten besserte sich i</w:t>
      </w:r>
      <w:r w:rsidR="00D656D9" w:rsidRPr="004F5FB4">
        <w:rPr>
          <w:color w:val="000000"/>
        </w:rPr>
        <w:t>m Allgemeinen</w:t>
      </w:r>
      <w:r w:rsidRPr="004F5FB4">
        <w:rPr>
          <w:color w:val="000000"/>
        </w:rPr>
        <w:t xml:space="preserve"> die mit einer chronischen Entzündung einhergehende Veränderung der Blutwerte. </w:t>
      </w:r>
    </w:p>
    <w:p w14:paraId="47BBCCB8" w14:textId="77777777" w:rsidR="00C46587" w:rsidRPr="004F5FB4" w:rsidRDefault="00C46587" w:rsidP="00982118">
      <w:pPr>
        <w:rPr>
          <w:color w:val="000000"/>
        </w:rPr>
      </w:pPr>
    </w:p>
    <w:p w14:paraId="0AA98CBC" w14:textId="77777777" w:rsidR="00C46587" w:rsidRPr="004F5FB4" w:rsidRDefault="00C46587" w:rsidP="00982118">
      <w:pPr>
        <w:rPr>
          <w:color w:val="000000"/>
        </w:rPr>
      </w:pPr>
      <w:r w:rsidRPr="004F5FB4">
        <w:rPr>
          <w:color w:val="000000"/>
        </w:rPr>
        <w:t xml:space="preserve">Ein schneller Rückgang der CRP-Werte wurde auch bei Patienten mit polyartikulärer juveniler idiopathischer Arthritis, Morbus Crohn, Colitis ulcerosa und Hidradenitis suppurativa nach Behandlung mit Adalimumab beobachtet. Bei Morbus-Crohn-Patienten wurde die Zahl der Zellen, die Entzündungsmarker im Kolon exprimieren, reduziert (einschließlich einer signifikanten Reduzierung </w:t>
      </w:r>
      <w:r w:rsidRPr="004F5FB4">
        <w:rPr>
          <w:color w:val="000000"/>
        </w:rPr>
        <w:lastRenderedPageBreak/>
        <w:t xml:space="preserve">der TNF-alpha-Expression). Endoskopiestudien an intestinaler Mukosa zeigten, dass die Mukosa bei Patienten, die mit Adalimumab behandelt wurden, abheilte. </w:t>
      </w:r>
    </w:p>
    <w:p w14:paraId="2588AC44" w14:textId="77777777" w:rsidR="00C46587" w:rsidRPr="004F5FB4" w:rsidRDefault="00C46587" w:rsidP="00982118">
      <w:pPr>
        <w:rPr>
          <w:color w:val="000000"/>
        </w:rPr>
      </w:pPr>
    </w:p>
    <w:p w14:paraId="07456760" w14:textId="77777777" w:rsidR="00C46587" w:rsidRPr="004F5FB4" w:rsidRDefault="00C46587" w:rsidP="00982118">
      <w:pPr>
        <w:keepNext/>
        <w:rPr>
          <w:color w:val="000000"/>
          <w:u w:val="single"/>
        </w:rPr>
      </w:pPr>
      <w:r w:rsidRPr="004F5FB4">
        <w:rPr>
          <w:color w:val="000000"/>
          <w:u w:val="single"/>
        </w:rPr>
        <w:t>Klinische Wirksamkeit und Sicherheit</w:t>
      </w:r>
    </w:p>
    <w:p w14:paraId="0C9B89F9" w14:textId="77777777" w:rsidR="00C46587" w:rsidRPr="004F5FB4" w:rsidRDefault="00C46587" w:rsidP="00982118">
      <w:pPr>
        <w:keepNext/>
        <w:rPr>
          <w:color w:val="000000"/>
        </w:rPr>
      </w:pPr>
    </w:p>
    <w:p w14:paraId="4608BC7F" w14:textId="77777777" w:rsidR="00C46587" w:rsidRPr="004F5FB4" w:rsidRDefault="00C46587" w:rsidP="00982118">
      <w:pPr>
        <w:keepNext/>
        <w:rPr>
          <w:i/>
          <w:color w:val="000000"/>
        </w:rPr>
      </w:pPr>
      <w:r w:rsidRPr="004F5FB4">
        <w:rPr>
          <w:i/>
          <w:color w:val="000000"/>
        </w:rPr>
        <w:t xml:space="preserve">Rheumatoide Arthritis bei Erwachsenen </w:t>
      </w:r>
    </w:p>
    <w:p w14:paraId="58341FF7" w14:textId="77777777" w:rsidR="00C46587" w:rsidRPr="004F5FB4" w:rsidRDefault="00C46587" w:rsidP="00982118">
      <w:pPr>
        <w:keepNext/>
        <w:rPr>
          <w:color w:val="000000"/>
        </w:rPr>
      </w:pPr>
    </w:p>
    <w:p w14:paraId="62BB19AD" w14:textId="77777777" w:rsidR="00C46587" w:rsidRPr="004F5FB4" w:rsidRDefault="00C60901" w:rsidP="00982118">
      <w:pPr>
        <w:rPr>
          <w:color w:val="000000"/>
        </w:rPr>
      </w:pPr>
      <w:r w:rsidRPr="004F5FB4">
        <w:rPr>
          <w:color w:val="000000"/>
        </w:rPr>
        <w:t>Im Rahmen aller klinischen Studien bei rheumatoider Arthritis wurde Adalimumab bei mehr als 3.000</w:t>
      </w:r>
      <w:r w:rsidR="00787A91" w:rsidRPr="004F5FB4">
        <w:rPr>
          <w:color w:val="000000"/>
        </w:rPr>
        <w:t> </w:t>
      </w:r>
      <w:r w:rsidRPr="004F5FB4">
        <w:rPr>
          <w:color w:val="000000"/>
        </w:rPr>
        <w:t xml:space="preserve">Patienten untersucht. Die Wirksamkeit und Sicherheit von Adalimumab wurden in fünf randomisierten, doppelblinden und gut kontrollierten Studien untersucht. Einige Patienten wurden über einen Zeitraum von bis zu 120 Monaten behandelt. </w:t>
      </w:r>
    </w:p>
    <w:p w14:paraId="3ED4DE9C" w14:textId="77777777" w:rsidR="00C46587" w:rsidRPr="004F5FB4" w:rsidRDefault="00C46587" w:rsidP="00982118">
      <w:pPr>
        <w:rPr>
          <w:color w:val="000000"/>
        </w:rPr>
      </w:pPr>
    </w:p>
    <w:p w14:paraId="076CDB92" w14:textId="77777777" w:rsidR="00C46587" w:rsidRPr="004F5FB4" w:rsidRDefault="00C46587" w:rsidP="00982118">
      <w:pPr>
        <w:rPr>
          <w:color w:val="000000"/>
        </w:rPr>
      </w:pPr>
      <w:r w:rsidRPr="004F5FB4">
        <w:rPr>
          <w:color w:val="000000"/>
        </w:rPr>
        <w:t>In der RA-Studie</w:t>
      </w:r>
      <w:r w:rsidR="005F702C" w:rsidRPr="004F5FB4">
        <w:rPr>
          <w:color w:val="000000"/>
        </w:rPr>
        <w:t> </w:t>
      </w:r>
      <w:r w:rsidRPr="004F5FB4">
        <w:rPr>
          <w:color w:val="000000"/>
        </w:rPr>
        <w:t>I wurden 271 Patienten mit mäßiger bis schwerer, aktiver rheumatoider Arthritis untersucht. Die Patienten waren ≥ 18</w:t>
      </w:r>
      <w:r w:rsidR="005F702C" w:rsidRPr="004F5FB4">
        <w:rPr>
          <w:color w:val="000000"/>
        </w:rPr>
        <w:t> </w:t>
      </w:r>
      <w:r w:rsidRPr="004F5FB4">
        <w:rPr>
          <w:color w:val="000000"/>
        </w:rPr>
        <w:t>Jahre alt, die Behandlung mit mindestens einem krankheitsmodifizierenden Antirheumatikum war fehlgeschlagen, Methotrexat in Dosen von 12,5 bis 25 mg (10 mg bei Methotrexat-Intoleranz) pro Woche zeigte eine unzureichende Wirkung, und die Methotrexat-Dosis lag gleichbleibend bei 10 bis 25 mg pro Woche. Während eines Zeitraums von 24</w:t>
      </w:r>
      <w:r w:rsidR="00787A91" w:rsidRPr="004F5FB4">
        <w:rPr>
          <w:color w:val="000000"/>
        </w:rPr>
        <w:t> </w:t>
      </w:r>
      <w:r w:rsidRPr="004F5FB4">
        <w:rPr>
          <w:color w:val="000000"/>
        </w:rPr>
        <w:t xml:space="preserve">Wochen wurden jede zweite Woche Dosen von 20, 40 oder 80 mg Adalimumab oder Placebo verabreicht. </w:t>
      </w:r>
    </w:p>
    <w:p w14:paraId="76301BCB" w14:textId="77777777" w:rsidR="00C46587" w:rsidRPr="004F5FB4" w:rsidRDefault="00C46587" w:rsidP="00982118">
      <w:pPr>
        <w:rPr>
          <w:color w:val="000000"/>
        </w:rPr>
      </w:pPr>
    </w:p>
    <w:p w14:paraId="2EA73DF2" w14:textId="77777777" w:rsidR="00C46587" w:rsidRPr="004F5FB4" w:rsidRDefault="00C46587" w:rsidP="00982118">
      <w:pPr>
        <w:rPr>
          <w:color w:val="000000"/>
        </w:rPr>
      </w:pPr>
      <w:r w:rsidRPr="004F5FB4">
        <w:rPr>
          <w:color w:val="000000"/>
        </w:rPr>
        <w:t>An der RA-Studie</w:t>
      </w:r>
      <w:r w:rsidR="005F702C" w:rsidRPr="004F5FB4">
        <w:rPr>
          <w:color w:val="000000"/>
        </w:rPr>
        <w:t> </w:t>
      </w:r>
      <w:r w:rsidRPr="004F5FB4">
        <w:rPr>
          <w:color w:val="000000"/>
        </w:rPr>
        <w:t>II nahmen 544 Patienten mit mäßiger bis schwerer, aktiver rheumatoider Arthritis teil. Die Patienten waren ≥ 18</w:t>
      </w:r>
      <w:r w:rsidR="005F702C" w:rsidRPr="004F5FB4">
        <w:rPr>
          <w:color w:val="000000"/>
        </w:rPr>
        <w:t> </w:t>
      </w:r>
      <w:r w:rsidRPr="004F5FB4">
        <w:rPr>
          <w:color w:val="000000"/>
        </w:rPr>
        <w:t>Jahre alt und die Behandlung mit mindestens einem krankheitsmodifizierenden Antirheumatikum war fehlgeschlagen. Adalimumab wurde über 26 Wochen als subkutane Injektion in Dosen von 20 mg oder 40 mg jede zweite Woche mit Placeboinjektion in den dazwischen liegenden Wochen oder in Dosen von 20</w:t>
      </w:r>
      <w:r w:rsidR="005F702C" w:rsidRPr="004F5FB4">
        <w:rPr>
          <w:color w:val="000000"/>
        </w:rPr>
        <w:t> </w:t>
      </w:r>
      <w:r w:rsidRPr="004F5FB4">
        <w:rPr>
          <w:color w:val="000000"/>
        </w:rPr>
        <w:t>mg oder 40</w:t>
      </w:r>
      <w:r w:rsidR="005F702C" w:rsidRPr="004F5FB4">
        <w:rPr>
          <w:color w:val="000000"/>
        </w:rPr>
        <w:t> </w:t>
      </w:r>
      <w:r w:rsidRPr="004F5FB4">
        <w:rPr>
          <w:color w:val="000000"/>
        </w:rPr>
        <w:t xml:space="preserve">mg wöchentlich verabreicht; Placebo wurde während desselben Zeitraums wöchentlich verabreicht. Andere krankheitsmodifizierende Antirheumatika waren nicht erlaubt. </w:t>
      </w:r>
    </w:p>
    <w:p w14:paraId="610048D9" w14:textId="77777777" w:rsidR="00C46587" w:rsidRPr="004F5FB4" w:rsidRDefault="00C46587" w:rsidP="00982118">
      <w:pPr>
        <w:rPr>
          <w:color w:val="000000"/>
        </w:rPr>
      </w:pPr>
    </w:p>
    <w:p w14:paraId="62F7A82A" w14:textId="77777777" w:rsidR="00C46587" w:rsidRPr="004F5FB4" w:rsidRDefault="00C46587" w:rsidP="00982118">
      <w:pPr>
        <w:rPr>
          <w:color w:val="000000"/>
        </w:rPr>
      </w:pPr>
      <w:r w:rsidRPr="004F5FB4">
        <w:rPr>
          <w:color w:val="000000"/>
        </w:rPr>
        <w:t>Die RA-Studie</w:t>
      </w:r>
      <w:r w:rsidR="005F702C" w:rsidRPr="004F5FB4">
        <w:rPr>
          <w:color w:val="000000"/>
        </w:rPr>
        <w:t> </w:t>
      </w:r>
      <w:r w:rsidRPr="004F5FB4">
        <w:rPr>
          <w:color w:val="000000"/>
        </w:rPr>
        <w:t>III wurde bei 619 Patienten mit mäßiger bis schwerer, aktiver rheumatoider Arthritis durchgeführt, die ≥ 18 Jahre alt waren und die ein unzureichendes Ansprechen auf Methotrexat in Dosen von 12,5 bis 25 mg pro Woche oder eine Unverträglichkeit gegenüber 10 mg Methotrexat pro Woche aufwiesen. Es gab in dieser Studie drei Behandlungsgruppen. Die erste Gruppe erhielt über einen Zeitraum von 52</w:t>
      </w:r>
      <w:r w:rsidR="005F702C" w:rsidRPr="004F5FB4">
        <w:rPr>
          <w:color w:val="000000"/>
        </w:rPr>
        <w:t> </w:t>
      </w:r>
      <w:r w:rsidRPr="004F5FB4">
        <w:rPr>
          <w:color w:val="000000"/>
        </w:rPr>
        <w:t>Wochen wöchentlich eine Placeboinjektion. Die zweite Gruppe wurde 52 Wochen lang mit wöchentlich 20 mg Adalimumab behandelt. Die dritte Gruppe erhielt jede zweite Woche 40 mg Adalimumab mit Placeboinjektionen in den dazwischen liegenden Wochen. Nach Abschluss der ersten 52</w:t>
      </w:r>
      <w:r w:rsidR="005F702C" w:rsidRPr="004F5FB4">
        <w:rPr>
          <w:color w:val="000000"/>
        </w:rPr>
        <w:t> </w:t>
      </w:r>
      <w:r w:rsidRPr="004F5FB4">
        <w:rPr>
          <w:color w:val="000000"/>
        </w:rPr>
        <w:t>Wochen wurden 457</w:t>
      </w:r>
      <w:r w:rsidR="005F702C" w:rsidRPr="004F5FB4">
        <w:rPr>
          <w:color w:val="000000"/>
        </w:rPr>
        <w:t> </w:t>
      </w:r>
      <w:r w:rsidRPr="004F5FB4">
        <w:rPr>
          <w:color w:val="000000"/>
        </w:rPr>
        <w:t>Patienten in eine offene Erweiterungsphase überführt und erhielten bis zu 10</w:t>
      </w:r>
      <w:r w:rsidR="005F702C" w:rsidRPr="004F5FB4">
        <w:rPr>
          <w:color w:val="000000"/>
        </w:rPr>
        <w:t> </w:t>
      </w:r>
      <w:r w:rsidRPr="004F5FB4">
        <w:rPr>
          <w:color w:val="000000"/>
        </w:rPr>
        <w:t xml:space="preserve">Jahre lang jede zweite Woche 40 mg Adalimumab/MTX. </w:t>
      </w:r>
    </w:p>
    <w:p w14:paraId="51FB2C59" w14:textId="77777777" w:rsidR="00C46587" w:rsidRPr="004F5FB4" w:rsidRDefault="00C46587" w:rsidP="00982118">
      <w:pPr>
        <w:rPr>
          <w:color w:val="000000"/>
        </w:rPr>
      </w:pPr>
    </w:p>
    <w:p w14:paraId="2BE12B0C" w14:textId="77777777" w:rsidR="00C46587" w:rsidRPr="004F5FB4" w:rsidRDefault="00C46587" w:rsidP="00982118">
      <w:pPr>
        <w:rPr>
          <w:color w:val="000000"/>
        </w:rPr>
      </w:pPr>
      <w:r w:rsidRPr="004F5FB4">
        <w:rPr>
          <w:color w:val="000000"/>
        </w:rPr>
        <w:t>In der RA-Studie</w:t>
      </w:r>
      <w:r w:rsidR="005F702C" w:rsidRPr="004F5FB4">
        <w:rPr>
          <w:color w:val="000000"/>
        </w:rPr>
        <w:t> </w:t>
      </w:r>
      <w:r w:rsidRPr="004F5FB4">
        <w:rPr>
          <w:color w:val="000000"/>
        </w:rPr>
        <w:t>IV wurde die Sicherheit bei 636</w:t>
      </w:r>
      <w:r w:rsidR="005F702C" w:rsidRPr="004F5FB4">
        <w:rPr>
          <w:color w:val="000000"/>
        </w:rPr>
        <w:t> </w:t>
      </w:r>
      <w:r w:rsidRPr="004F5FB4">
        <w:rPr>
          <w:color w:val="000000"/>
        </w:rPr>
        <w:t>Patienten mit mäßiger bis schwerer, aktiver rheumatoider Arthritis untersucht. Die Patienten waren ≥</w:t>
      </w:r>
      <w:r w:rsidR="005F702C" w:rsidRPr="004F5FB4">
        <w:rPr>
          <w:color w:val="000000"/>
        </w:rPr>
        <w:t> </w:t>
      </w:r>
      <w:r w:rsidRPr="004F5FB4">
        <w:rPr>
          <w:color w:val="000000"/>
        </w:rPr>
        <w:t>18</w:t>
      </w:r>
      <w:r w:rsidR="005F702C" w:rsidRPr="004F5FB4">
        <w:rPr>
          <w:color w:val="000000"/>
        </w:rPr>
        <w:t> </w:t>
      </w:r>
      <w:r w:rsidRPr="004F5FB4">
        <w:rPr>
          <w:color w:val="000000"/>
        </w:rPr>
        <w:t>Jahre alt</w:t>
      </w:r>
      <w:r w:rsidR="004C0440" w:rsidRPr="004F5FB4">
        <w:rPr>
          <w:color w:val="000000"/>
        </w:rPr>
        <w:t xml:space="preserve"> und</w:t>
      </w:r>
      <w:r w:rsidRPr="004F5FB4">
        <w:rPr>
          <w:color w:val="000000"/>
        </w:rPr>
        <w:t xml:space="preserve">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w:t>
      </w:r>
      <w:r w:rsidR="004C0440" w:rsidRPr="004F5FB4">
        <w:rPr>
          <w:color w:val="000000"/>
        </w:rPr>
        <w:t xml:space="preserve"> </w:t>
      </w:r>
      <w:r w:rsidRPr="004F5FB4">
        <w:rPr>
          <w:color w:val="000000"/>
        </w:rPr>
        <w:t>oder Goldsalze ein. Nach Randomisierung erhielten die Patienten über einen Zeitraum von 24</w:t>
      </w:r>
      <w:r w:rsidR="00787A91" w:rsidRPr="004F5FB4">
        <w:rPr>
          <w:color w:val="000000"/>
        </w:rPr>
        <w:t> </w:t>
      </w:r>
      <w:r w:rsidRPr="004F5FB4">
        <w:rPr>
          <w:color w:val="000000"/>
        </w:rPr>
        <w:t xml:space="preserve">Wochen jede zweite Woche 40 mg Adalimumab oder Placebo. </w:t>
      </w:r>
    </w:p>
    <w:p w14:paraId="783D4798" w14:textId="77777777" w:rsidR="00C46587" w:rsidRPr="004F5FB4" w:rsidRDefault="00C46587" w:rsidP="00982118">
      <w:pPr>
        <w:rPr>
          <w:color w:val="000000"/>
        </w:rPr>
      </w:pPr>
    </w:p>
    <w:p w14:paraId="61F0830F" w14:textId="77777777" w:rsidR="00C46587" w:rsidRPr="004F5FB4" w:rsidRDefault="00C46587" w:rsidP="00982118">
      <w:pPr>
        <w:rPr>
          <w:color w:val="000000"/>
        </w:rPr>
      </w:pPr>
      <w:r w:rsidRPr="004F5FB4">
        <w:rPr>
          <w:color w:val="000000"/>
        </w:rPr>
        <w:t>In die RA-Studie</w:t>
      </w:r>
      <w:r w:rsidR="005F702C" w:rsidRPr="004F5FB4">
        <w:rPr>
          <w:color w:val="000000"/>
        </w:rPr>
        <w:t> </w:t>
      </w:r>
      <w:r w:rsidRPr="004F5FB4">
        <w:rPr>
          <w:color w:val="000000"/>
        </w:rPr>
        <w:t>V wurden 799</w:t>
      </w:r>
      <w:r w:rsidR="00F811FC" w:rsidRPr="004F5FB4">
        <w:rPr>
          <w:color w:val="000000"/>
        </w:rPr>
        <w:t> </w:t>
      </w:r>
      <w:r w:rsidRPr="004F5FB4">
        <w:rPr>
          <w:color w:val="000000"/>
        </w:rPr>
        <w:t>erwachsene Methotrexat-naive Patienten mit mäßiger bis schwerer aktiver früher rheumatoider Arthritis (mittlere Erkrankungsdauer weniger als 9</w:t>
      </w:r>
      <w:r w:rsidR="005F702C" w:rsidRPr="004F5FB4">
        <w:rPr>
          <w:color w:val="000000"/>
        </w:rPr>
        <w:t> </w:t>
      </w:r>
      <w:r w:rsidRPr="004F5FB4">
        <w:rPr>
          <w:color w:val="000000"/>
        </w:rPr>
        <w:t>Monate) eingeschlossen. Diese Studie untersuchte die Wirksamkeit von 40 mg Adalimumab jede zweite Woche in Kombination mit Methotrexat, von 40 mg Adalimumab jede zweite Woche als Monotherapie und von Methotrexat als Monotherapie im Hinblick auf die Verringerung der Anzeichen und Symptome sowie des Fortschreitens der Gelenkschädigung bei rheumatoider Arthritis über einen Zeitraum von 104 Wochen. Nach Abschluss der ersten 104</w:t>
      </w:r>
      <w:r w:rsidR="005F702C" w:rsidRPr="004F5FB4">
        <w:rPr>
          <w:color w:val="000000"/>
        </w:rPr>
        <w:t> </w:t>
      </w:r>
      <w:r w:rsidRPr="004F5FB4">
        <w:rPr>
          <w:color w:val="000000"/>
        </w:rPr>
        <w:t>Wochen wurden 497</w:t>
      </w:r>
      <w:r w:rsidR="005F702C" w:rsidRPr="004F5FB4">
        <w:rPr>
          <w:color w:val="000000"/>
        </w:rPr>
        <w:t> </w:t>
      </w:r>
      <w:r w:rsidRPr="004F5FB4">
        <w:rPr>
          <w:color w:val="000000"/>
        </w:rPr>
        <w:t xml:space="preserve">Patienten in eine bis zu 10-jährige offene </w:t>
      </w:r>
      <w:r w:rsidR="0026548C" w:rsidRPr="004F5FB4">
        <w:rPr>
          <w:color w:val="000000"/>
        </w:rPr>
        <w:t>Fortsetz</w:t>
      </w:r>
      <w:r w:rsidRPr="004F5FB4">
        <w:rPr>
          <w:color w:val="000000"/>
        </w:rPr>
        <w:t xml:space="preserve">ungsphase überführt, in der sie alle zwei Wochen 40 mg Adalimumab erhielten. </w:t>
      </w:r>
    </w:p>
    <w:p w14:paraId="62E0C591" w14:textId="77777777" w:rsidR="00C46587" w:rsidRPr="004F5FB4" w:rsidRDefault="00C46587" w:rsidP="00982118">
      <w:pPr>
        <w:rPr>
          <w:color w:val="000000"/>
        </w:rPr>
      </w:pPr>
    </w:p>
    <w:p w14:paraId="640833D3" w14:textId="77777777" w:rsidR="00C46587" w:rsidRPr="004F5FB4" w:rsidRDefault="00C46587" w:rsidP="00982118">
      <w:pPr>
        <w:rPr>
          <w:color w:val="000000"/>
        </w:rPr>
      </w:pPr>
      <w:r w:rsidRPr="004F5FB4">
        <w:rPr>
          <w:color w:val="000000"/>
        </w:rPr>
        <w:t>Der primäre Endpunkt der RA-Studien</w:t>
      </w:r>
      <w:r w:rsidR="005F702C" w:rsidRPr="004F5FB4">
        <w:rPr>
          <w:color w:val="000000"/>
        </w:rPr>
        <w:t> </w:t>
      </w:r>
      <w:r w:rsidRPr="004F5FB4">
        <w:rPr>
          <w:color w:val="000000"/>
        </w:rPr>
        <w:t>I, II und III und der sekundäre Endpunkt der RA-Studie</w:t>
      </w:r>
      <w:r w:rsidR="005F702C" w:rsidRPr="004F5FB4">
        <w:rPr>
          <w:color w:val="000000"/>
        </w:rPr>
        <w:t> </w:t>
      </w:r>
      <w:r w:rsidRPr="004F5FB4">
        <w:rPr>
          <w:color w:val="000000"/>
        </w:rPr>
        <w:t>IV war der prozentuale Anteil derjenigen Patienten, die nach 24 bzw. 26</w:t>
      </w:r>
      <w:r w:rsidR="005F702C" w:rsidRPr="004F5FB4">
        <w:rPr>
          <w:color w:val="000000"/>
        </w:rPr>
        <w:t> </w:t>
      </w:r>
      <w:r w:rsidRPr="004F5FB4">
        <w:rPr>
          <w:color w:val="000000"/>
        </w:rPr>
        <w:t xml:space="preserve">Wochen </w:t>
      </w:r>
      <w:r w:rsidR="0026548C" w:rsidRPr="004F5FB4">
        <w:rPr>
          <w:color w:val="000000"/>
        </w:rPr>
        <w:t>die</w:t>
      </w:r>
      <w:r w:rsidRPr="004F5FB4">
        <w:rPr>
          <w:color w:val="000000"/>
        </w:rPr>
        <w:t xml:space="preserve"> ACR-20-Ansprech</w:t>
      </w:r>
      <w:r w:rsidR="0026548C" w:rsidRPr="004F5FB4">
        <w:rPr>
          <w:color w:val="000000"/>
        </w:rPr>
        <w:t>raten</w:t>
      </w:r>
      <w:r w:rsidRPr="004F5FB4">
        <w:rPr>
          <w:color w:val="000000"/>
        </w:rPr>
        <w:t xml:space="preserve"> </w:t>
      </w:r>
      <w:r w:rsidRPr="004F5FB4">
        <w:rPr>
          <w:color w:val="000000"/>
        </w:rPr>
        <w:lastRenderedPageBreak/>
        <w:t>erreichten. Der primäre Endpunkt in der RA-Studie</w:t>
      </w:r>
      <w:r w:rsidR="005F702C" w:rsidRPr="004F5FB4">
        <w:rPr>
          <w:color w:val="000000"/>
        </w:rPr>
        <w:t> </w:t>
      </w:r>
      <w:r w:rsidRPr="004F5FB4">
        <w:rPr>
          <w:color w:val="000000"/>
        </w:rPr>
        <w:t>V war der prozentuale Anteil derjenigen Patienten, die nach 52</w:t>
      </w:r>
      <w:r w:rsidR="005F702C" w:rsidRPr="004F5FB4">
        <w:rPr>
          <w:color w:val="000000"/>
        </w:rPr>
        <w:t> </w:t>
      </w:r>
      <w:r w:rsidRPr="004F5FB4">
        <w:rPr>
          <w:color w:val="000000"/>
        </w:rPr>
        <w:t>Wochen ein ACR-50-Ansprechen erreichten. Ein weiterer primärer Endpunkt in den RA-Studien</w:t>
      </w:r>
      <w:r w:rsidR="005F702C" w:rsidRPr="004F5FB4">
        <w:rPr>
          <w:color w:val="000000"/>
        </w:rPr>
        <w:t> </w:t>
      </w:r>
      <w:r w:rsidRPr="004F5FB4">
        <w:rPr>
          <w:color w:val="000000"/>
        </w:rPr>
        <w:t>III und V nach 52</w:t>
      </w:r>
      <w:r w:rsidR="005F702C" w:rsidRPr="004F5FB4">
        <w:rPr>
          <w:color w:val="000000"/>
        </w:rPr>
        <w:t> </w:t>
      </w:r>
      <w:r w:rsidRPr="004F5FB4">
        <w:rPr>
          <w:color w:val="000000"/>
        </w:rPr>
        <w:t>Wochen war die Verzögerung des Fortschreitens der Krankheit (ermittelt durch Röntgenergebnisse). In der RA-Studie</w:t>
      </w:r>
      <w:r w:rsidR="005F702C" w:rsidRPr="004F5FB4">
        <w:rPr>
          <w:color w:val="000000"/>
        </w:rPr>
        <w:t> </w:t>
      </w:r>
      <w:r w:rsidRPr="004F5FB4">
        <w:rPr>
          <w:color w:val="000000"/>
        </w:rPr>
        <w:t xml:space="preserve">III wurde darüber hinaus die Veränderung der Lebensqualität als primärer Endpunkt erfasst. </w:t>
      </w:r>
    </w:p>
    <w:p w14:paraId="29B911ED" w14:textId="77777777" w:rsidR="00C46587" w:rsidRPr="004F5FB4" w:rsidRDefault="00C46587" w:rsidP="00982118">
      <w:pPr>
        <w:rPr>
          <w:color w:val="000000"/>
        </w:rPr>
      </w:pPr>
    </w:p>
    <w:p w14:paraId="3BF176A2" w14:textId="77777777" w:rsidR="00C46587" w:rsidRPr="004F5FB4" w:rsidRDefault="00C46587" w:rsidP="00982118">
      <w:pPr>
        <w:keepNext/>
        <w:rPr>
          <w:color w:val="000000"/>
          <w:u w:val="single"/>
        </w:rPr>
      </w:pPr>
      <w:r w:rsidRPr="004F5FB4">
        <w:rPr>
          <w:color w:val="000000"/>
          <w:u w:val="single"/>
        </w:rPr>
        <w:t>ACR-Ansprechraten</w:t>
      </w:r>
    </w:p>
    <w:p w14:paraId="3960EDE8" w14:textId="77777777" w:rsidR="00C46587" w:rsidRPr="004F5FB4" w:rsidRDefault="00C46587" w:rsidP="00982118">
      <w:pPr>
        <w:keepNext/>
        <w:rPr>
          <w:color w:val="000000"/>
        </w:rPr>
      </w:pPr>
    </w:p>
    <w:p w14:paraId="5693BAF1" w14:textId="77777777" w:rsidR="00C46587" w:rsidRPr="004F5FB4" w:rsidRDefault="00C46587" w:rsidP="00982118">
      <w:pPr>
        <w:rPr>
          <w:color w:val="000000"/>
        </w:rPr>
      </w:pPr>
      <w:r w:rsidRPr="004F5FB4">
        <w:rPr>
          <w:color w:val="000000"/>
        </w:rPr>
        <w:t>Der prozentuale Anteil der mit Adalimumab behandelten Patienten, die ACR-20-, ACR-50- oder ACR-70-Ansprechraten erreichten, war in den RA-Studien</w:t>
      </w:r>
      <w:r w:rsidR="005F702C" w:rsidRPr="004F5FB4">
        <w:rPr>
          <w:color w:val="000000"/>
        </w:rPr>
        <w:t> </w:t>
      </w:r>
      <w:r w:rsidRPr="004F5FB4">
        <w:rPr>
          <w:color w:val="000000"/>
        </w:rPr>
        <w:t>I, II und III vergleichbar. Die Behandlungsergebnisse mit 40 mg jede zweite Woche sind in Tabelle</w:t>
      </w:r>
      <w:r w:rsidR="005F702C" w:rsidRPr="004F5FB4">
        <w:rPr>
          <w:color w:val="000000"/>
        </w:rPr>
        <w:t> </w:t>
      </w:r>
      <w:r w:rsidR="00C34252">
        <w:rPr>
          <w:color w:val="000000"/>
        </w:rPr>
        <w:t>8</w:t>
      </w:r>
      <w:r w:rsidRPr="004F5FB4">
        <w:rPr>
          <w:color w:val="000000"/>
        </w:rPr>
        <w:t xml:space="preserve"> zusammengefasst. </w:t>
      </w:r>
    </w:p>
    <w:p w14:paraId="7C778B56" w14:textId="77777777" w:rsidR="00C46587" w:rsidRPr="004F5FB4" w:rsidRDefault="00C46587" w:rsidP="00982118">
      <w:pPr>
        <w:rPr>
          <w:color w:val="000000"/>
        </w:rPr>
      </w:pPr>
    </w:p>
    <w:p w14:paraId="11294FA4" w14:textId="77777777" w:rsidR="00534661" w:rsidRPr="00CA7719" w:rsidRDefault="00F811FC" w:rsidP="00CA7719">
      <w:pPr>
        <w:pStyle w:val="BodyText"/>
        <w:widowControl/>
        <w:kinsoku w:val="0"/>
        <w:overflowPunct w:val="0"/>
        <w:ind w:left="0"/>
        <w:rPr>
          <w:b/>
          <w:color w:val="000000"/>
        </w:rPr>
      </w:pPr>
      <w:r w:rsidRPr="00CA7719">
        <w:rPr>
          <w:b/>
          <w:color w:val="000000"/>
        </w:rPr>
        <w:t>Tabelle</w:t>
      </w:r>
      <w:r w:rsidR="00C34252">
        <w:rPr>
          <w:b/>
          <w:color w:val="000000"/>
        </w:rPr>
        <w:t> 8</w:t>
      </w:r>
    </w:p>
    <w:p w14:paraId="78E1018B" w14:textId="77777777" w:rsidR="00FB15B9" w:rsidRPr="00CA7719" w:rsidRDefault="00F811FC" w:rsidP="00CA7719">
      <w:pPr>
        <w:pStyle w:val="BodyText"/>
        <w:widowControl/>
        <w:kinsoku w:val="0"/>
        <w:overflowPunct w:val="0"/>
        <w:ind w:left="0"/>
        <w:rPr>
          <w:b/>
          <w:color w:val="000000"/>
        </w:rPr>
      </w:pPr>
      <w:r w:rsidRPr="00CA7719">
        <w:rPr>
          <w:b/>
          <w:color w:val="000000"/>
        </w:rPr>
        <w:t>ACR</w:t>
      </w:r>
      <w:r w:rsidRPr="00CA7719">
        <w:rPr>
          <w:b/>
          <w:color w:val="000000"/>
        </w:rPr>
        <w:noBreakHyphen/>
        <w:t>Ansprechraten in placebokontrollierten Studien (prozentualer Anteil der Patienten)</w:t>
      </w:r>
    </w:p>
    <w:p w14:paraId="6B052FD3" w14:textId="77777777" w:rsidR="00FB15B9" w:rsidRPr="004F5FB4" w:rsidRDefault="00FB15B9" w:rsidP="00FB15B9">
      <w:pPr>
        <w:pStyle w:val="BodyText"/>
        <w:keepNext/>
        <w:widowControl/>
        <w:kinsoku w:val="0"/>
        <w:overflowPunct w:val="0"/>
        <w:ind w:left="0"/>
        <w:rPr>
          <w:bCs/>
          <w:color w:val="000000"/>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8"/>
        <w:gridCol w:w="1034"/>
        <w:gridCol w:w="1494"/>
        <w:gridCol w:w="967"/>
        <w:gridCol w:w="1664"/>
        <w:gridCol w:w="1087"/>
        <w:gridCol w:w="1544"/>
      </w:tblGrid>
      <w:tr w:rsidR="00FB15B9" w:rsidRPr="004F5FB4" w14:paraId="7AE5ED76" w14:textId="77777777" w:rsidTr="00F811FC">
        <w:trPr>
          <w:tblHeader/>
        </w:trPr>
        <w:tc>
          <w:tcPr>
            <w:tcW w:w="1384" w:type="dxa"/>
            <w:vMerge w:val="restart"/>
            <w:shd w:val="clear" w:color="auto" w:fill="auto"/>
          </w:tcPr>
          <w:p w14:paraId="41089515" w14:textId="77777777" w:rsidR="00FB15B9" w:rsidRPr="004F5FB4" w:rsidRDefault="00FB15B9" w:rsidP="00D67346">
            <w:pPr>
              <w:pStyle w:val="TableParagraph"/>
              <w:keepNext/>
              <w:keepLines/>
              <w:widowControl/>
              <w:kinsoku w:val="0"/>
              <w:overflowPunct w:val="0"/>
              <w:spacing w:before="7"/>
              <w:ind w:left="-2"/>
              <w:rPr>
                <w:rFonts w:ascii="Times New Roman" w:hAnsi="Times New Roman"/>
                <w:b/>
                <w:color w:val="000000"/>
              </w:rPr>
            </w:pPr>
            <w:r w:rsidRPr="004F5FB4">
              <w:rPr>
                <w:rFonts w:ascii="Times New Roman" w:hAnsi="Times New Roman"/>
                <w:b/>
                <w:color w:val="000000"/>
              </w:rPr>
              <w:t>Ansprechen</w:t>
            </w:r>
          </w:p>
        </w:tc>
        <w:tc>
          <w:tcPr>
            <w:tcW w:w="2593" w:type="dxa"/>
            <w:gridSpan w:val="2"/>
            <w:shd w:val="clear" w:color="auto" w:fill="auto"/>
            <w:vAlign w:val="center"/>
          </w:tcPr>
          <w:p w14:paraId="014C21F8" w14:textId="77777777" w:rsidR="00FB15B9" w:rsidRPr="004F5FB4"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rPr>
            </w:pPr>
            <w:r w:rsidRPr="004F5FB4">
              <w:rPr>
                <w:rFonts w:ascii="Times New Roman" w:hAnsi="Times New Roman"/>
                <w:b/>
                <w:color w:val="000000"/>
              </w:rPr>
              <w:t>RA-Studie</w:t>
            </w:r>
            <w:r w:rsidR="005F702C" w:rsidRPr="004F5FB4">
              <w:rPr>
                <w:rFonts w:ascii="Times New Roman" w:hAnsi="Times New Roman"/>
                <w:b/>
                <w:color w:val="000000"/>
              </w:rPr>
              <w:t> </w:t>
            </w:r>
            <w:r w:rsidRPr="004F5FB4">
              <w:rPr>
                <w:rFonts w:ascii="Times New Roman" w:hAnsi="Times New Roman"/>
                <w:b/>
                <w:color w:val="000000"/>
              </w:rPr>
              <w:t>I</w:t>
            </w:r>
            <w:r w:rsidRPr="004F5FB4">
              <w:rPr>
                <w:rFonts w:ascii="Times New Roman" w:hAnsi="Times New Roman"/>
                <w:b/>
                <w:color w:val="000000"/>
                <w:vertAlign w:val="superscript"/>
              </w:rPr>
              <w:t>a</w:t>
            </w:r>
            <w:r w:rsidRPr="004F5FB4">
              <w:rPr>
                <w:rFonts w:ascii="Times New Roman" w:hAnsi="Times New Roman"/>
                <w:b/>
                <w:color w:val="000000"/>
              </w:rPr>
              <w:t>**</w:t>
            </w:r>
          </w:p>
        </w:tc>
        <w:tc>
          <w:tcPr>
            <w:tcW w:w="2700" w:type="dxa"/>
            <w:gridSpan w:val="2"/>
            <w:shd w:val="clear" w:color="auto" w:fill="auto"/>
            <w:vAlign w:val="center"/>
          </w:tcPr>
          <w:p w14:paraId="60BFEAAD" w14:textId="77777777" w:rsidR="00FB15B9" w:rsidRPr="004F5FB4"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rPr>
            </w:pPr>
            <w:r w:rsidRPr="004F5FB4">
              <w:rPr>
                <w:rFonts w:ascii="Times New Roman" w:hAnsi="Times New Roman"/>
                <w:b/>
                <w:color w:val="000000"/>
              </w:rPr>
              <w:t>RA-Studie</w:t>
            </w:r>
            <w:r w:rsidR="005F702C" w:rsidRPr="004F5FB4">
              <w:rPr>
                <w:rFonts w:ascii="Times New Roman" w:hAnsi="Times New Roman"/>
                <w:b/>
                <w:color w:val="000000"/>
              </w:rPr>
              <w:t> </w:t>
            </w:r>
            <w:r w:rsidRPr="004F5FB4">
              <w:rPr>
                <w:rFonts w:ascii="Times New Roman" w:hAnsi="Times New Roman"/>
                <w:b/>
                <w:color w:val="000000"/>
              </w:rPr>
              <w:t>II</w:t>
            </w:r>
            <w:r w:rsidRPr="004F5FB4">
              <w:rPr>
                <w:rFonts w:ascii="Times New Roman" w:hAnsi="Times New Roman"/>
                <w:b/>
                <w:color w:val="000000"/>
                <w:vertAlign w:val="superscript"/>
              </w:rPr>
              <w:t>a</w:t>
            </w:r>
            <w:r w:rsidRPr="004F5FB4">
              <w:rPr>
                <w:rFonts w:ascii="Times New Roman" w:hAnsi="Times New Roman"/>
                <w:b/>
                <w:color w:val="000000"/>
              </w:rPr>
              <w:t>**</w:t>
            </w:r>
          </w:p>
        </w:tc>
        <w:tc>
          <w:tcPr>
            <w:tcW w:w="2700" w:type="dxa"/>
            <w:gridSpan w:val="2"/>
            <w:shd w:val="clear" w:color="auto" w:fill="auto"/>
            <w:vAlign w:val="center"/>
          </w:tcPr>
          <w:p w14:paraId="3D9AE8E8" w14:textId="77777777" w:rsidR="00FB15B9" w:rsidRPr="004F5FB4" w:rsidRDefault="00FB15B9" w:rsidP="00D67346">
            <w:pPr>
              <w:pStyle w:val="TableParagraph"/>
              <w:keepNext/>
              <w:keepLines/>
              <w:widowControl/>
              <w:kinsoku w:val="0"/>
              <w:overflowPunct w:val="0"/>
              <w:spacing w:line="260" w:lineRule="exact"/>
              <w:jc w:val="center"/>
              <w:rPr>
                <w:rFonts w:ascii="Times New Roman" w:hAnsi="Times New Roman"/>
                <w:b/>
                <w:color w:val="000000"/>
              </w:rPr>
            </w:pPr>
            <w:r w:rsidRPr="004F5FB4">
              <w:rPr>
                <w:rFonts w:ascii="Times New Roman" w:hAnsi="Times New Roman"/>
                <w:b/>
                <w:color w:val="000000"/>
              </w:rPr>
              <w:t>RA-Studie</w:t>
            </w:r>
            <w:r w:rsidR="005F702C" w:rsidRPr="004F5FB4">
              <w:rPr>
                <w:rFonts w:ascii="Times New Roman" w:hAnsi="Times New Roman"/>
                <w:b/>
                <w:color w:val="000000"/>
              </w:rPr>
              <w:t> </w:t>
            </w:r>
            <w:r w:rsidRPr="004F5FB4">
              <w:rPr>
                <w:rFonts w:ascii="Times New Roman" w:hAnsi="Times New Roman"/>
                <w:b/>
                <w:color w:val="000000"/>
              </w:rPr>
              <w:t>III</w:t>
            </w:r>
            <w:r w:rsidRPr="004F5FB4">
              <w:rPr>
                <w:rFonts w:ascii="Times New Roman" w:hAnsi="Times New Roman"/>
                <w:b/>
                <w:color w:val="000000"/>
                <w:vertAlign w:val="superscript"/>
              </w:rPr>
              <w:t>a</w:t>
            </w:r>
            <w:r w:rsidRPr="004F5FB4">
              <w:rPr>
                <w:rFonts w:ascii="Times New Roman" w:hAnsi="Times New Roman"/>
                <w:b/>
                <w:color w:val="000000"/>
              </w:rPr>
              <w:t>**</w:t>
            </w:r>
          </w:p>
        </w:tc>
      </w:tr>
      <w:tr w:rsidR="00F811FC" w:rsidRPr="004F5FB4" w14:paraId="24D8F7B2" w14:textId="77777777" w:rsidTr="00F811FC">
        <w:trPr>
          <w:tblHeader/>
        </w:trPr>
        <w:tc>
          <w:tcPr>
            <w:tcW w:w="1384" w:type="dxa"/>
            <w:vMerge/>
            <w:shd w:val="clear" w:color="auto" w:fill="auto"/>
          </w:tcPr>
          <w:p w14:paraId="61D3B842" w14:textId="77777777" w:rsidR="00F811FC" w:rsidRPr="004F5FB4" w:rsidRDefault="00F811FC" w:rsidP="00D67346">
            <w:pPr>
              <w:pStyle w:val="TableParagraph"/>
              <w:keepNext/>
              <w:keepLines/>
              <w:widowControl/>
              <w:kinsoku w:val="0"/>
              <w:overflowPunct w:val="0"/>
              <w:spacing w:line="260" w:lineRule="exact"/>
              <w:ind w:left="626"/>
              <w:rPr>
                <w:rFonts w:ascii="Times New Roman" w:hAnsi="Times New Roman"/>
                <w:b/>
                <w:color w:val="000000"/>
                <w:lang w:val="en-GB"/>
              </w:rPr>
            </w:pPr>
          </w:p>
        </w:tc>
        <w:tc>
          <w:tcPr>
            <w:tcW w:w="1059" w:type="dxa"/>
            <w:shd w:val="clear" w:color="auto" w:fill="auto"/>
          </w:tcPr>
          <w:p w14:paraId="1250A780" w14:textId="77777777" w:rsidR="00F811FC" w:rsidRPr="004F5FB4" w:rsidRDefault="00F811FC" w:rsidP="000079DD">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c</w:t>
            </w:r>
          </w:p>
          <w:p w14:paraId="3B36A614" w14:textId="77777777" w:rsidR="00F811FC" w:rsidRPr="004F5FB4" w:rsidRDefault="00F811FC" w:rsidP="000079DD">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534661" w:rsidRPr="004F5FB4">
              <w:rPr>
                <w:rFonts w:ascii="Times New Roman" w:hAnsi="Times New Roman"/>
                <w:b/>
                <w:color w:val="000000"/>
              </w:rPr>
              <w:t> </w:t>
            </w:r>
            <w:r w:rsidRPr="004F5FB4">
              <w:rPr>
                <w:rFonts w:ascii="Times New Roman" w:hAnsi="Times New Roman"/>
                <w:b/>
                <w:color w:val="000000"/>
              </w:rPr>
              <w:t>= 60</w:t>
            </w:r>
          </w:p>
        </w:tc>
        <w:tc>
          <w:tcPr>
            <w:tcW w:w="1534" w:type="dxa"/>
            <w:shd w:val="clear" w:color="auto" w:fill="auto"/>
            <w:vAlign w:val="center"/>
          </w:tcPr>
          <w:p w14:paraId="3A8E192B" w14:textId="77777777" w:rsidR="00F811FC" w:rsidRPr="004F5FB4" w:rsidRDefault="00F811FC" w:rsidP="000079DD">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r w:rsidRPr="004F5FB4">
              <w:rPr>
                <w:rFonts w:ascii="Times New Roman" w:hAnsi="Times New Roman"/>
                <w:b/>
                <w:color w:val="000000"/>
              </w:rPr>
              <w:t>/MTX</w:t>
            </w:r>
            <w:r w:rsidRPr="004F5FB4">
              <w:rPr>
                <w:rFonts w:ascii="Times New Roman" w:hAnsi="Times New Roman"/>
                <w:b/>
                <w:color w:val="000000"/>
                <w:vertAlign w:val="superscript"/>
              </w:rPr>
              <w:t>c</w:t>
            </w:r>
          </w:p>
          <w:p w14:paraId="78686088" w14:textId="77777777" w:rsidR="00F811FC" w:rsidRPr="004F5FB4" w:rsidRDefault="00F811FC" w:rsidP="000079DD">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 = 63</w:t>
            </w:r>
          </w:p>
        </w:tc>
        <w:tc>
          <w:tcPr>
            <w:tcW w:w="990" w:type="dxa"/>
            <w:shd w:val="clear" w:color="auto" w:fill="auto"/>
            <w:vAlign w:val="center"/>
          </w:tcPr>
          <w:p w14:paraId="574C4069" w14:textId="77777777" w:rsidR="00F811FC" w:rsidRPr="004F5FB4" w:rsidRDefault="00F811FC" w:rsidP="000079DD">
            <w:pPr>
              <w:pStyle w:val="TableParagraph"/>
              <w:keepNext/>
              <w:keepLines/>
              <w:widowControl/>
              <w:kinsoku w:val="0"/>
              <w:overflowPunct w:val="0"/>
              <w:ind w:hanging="66"/>
              <w:jc w:val="center"/>
              <w:rPr>
                <w:rFonts w:ascii="Times New Roman" w:hAnsi="Times New Roman"/>
                <w:b/>
                <w:color w:val="000000"/>
              </w:rPr>
            </w:pPr>
            <w:r w:rsidRPr="004F5FB4">
              <w:rPr>
                <w:rFonts w:ascii="Times New Roman" w:hAnsi="Times New Roman"/>
                <w:b/>
                <w:color w:val="000000"/>
              </w:rPr>
              <w:t>Placebo</w:t>
            </w:r>
          </w:p>
          <w:p w14:paraId="234FD17D" w14:textId="77777777" w:rsidR="00F811FC" w:rsidRPr="004F5FB4" w:rsidRDefault="00F811FC" w:rsidP="000079DD">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 = 110</w:t>
            </w:r>
          </w:p>
        </w:tc>
        <w:tc>
          <w:tcPr>
            <w:tcW w:w="1710" w:type="dxa"/>
            <w:shd w:val="clear" w:color="auto" w:fill="auto"/>
            <w:vAlign w:val="center"/>
          </w:tcPr>
          <w:p w14:paraId="48247DFA" w14:textId="77777777" w:rsidR="00F811FC" w:rsidRPr="004F5FB4" w:rsidRDefault="00F811FC" w:rsidP="000079DD">
            <w:pPr>
              <w:pStyle w:val="TableParagraph"/>
              <w:keepNext/>
              <w:keepLines/>
              <w:widowControl/>
              <w:kinsoku w:val="0"/>
              <w:overflowPunct w:val="0"/>
              <w:ind w:left="59" w:right="9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p>
          <w:p w14:paraId="3B01CA4B" w14:textId="77777777" w:rsidR="00F811FC" w:rsidRPr="004F5FB4" w:rsidRDefault="00F811FC" w:rsidP="000079DD">
            <w:pPr>
              <w:pStyle w:val="TableParagraph"/>
              <w:keepNext/>
              <w:keepLines/>
              <w:widowControl/>
              <w:kinsoku w:val="0"/>
              <w:overflowPunct w:val="0"/>
              <w:ind w:left="59" w:right="90"/>
              <w:jc w:val="center"/>
              <w:rPr>
                <w:rFonts w:ascii="Times New Roman" w:hAnsi="Times New Roman"/>
                <w:b/>
                <w:color w:val="000000"/>
              </w:rPr>
            </w:pPr>
            <w:r w:rsidRPr="004F5FB4">
              <w:rPr>
                <w:rFonts w:ascii="Times New Roman" w:hAnsi="Times New Roman"/>
                <w:b/>
                <w:color w:val="000000"/>
              </w:rPr>
              <w:t>n = 113</w:t>
            </w:r>
          </w:p>
        </w:tc>
        <w:tc>
          <w:tcPr>
            <w:tcW w:w="1114" w:type="dxa"/>
            <w:shd w:val="clear" w:color="auto" w:fill="auto"/>
            <w:vAlign w:val="center"/>
          </w:tcPr>
          <w:p w14:paraId="4EBA7D5B" w14:textId="77777777" w:rsidR="00F811FC" w:rsidRPr="004F5FB4" w:rsidRDefault="00F811FC" w:rsidP="000079DD">
            <w:pPr>
              <w:pStyle w:val="TableParagraph"/>
              <w:keepNext/>
              <w:keepLines/>
              <w:widowControl/>
              <w:kinsoku w:val="0"/>
              <w:overflowPunct w:val="0"/>
              <w:ind w:hanging="3"/>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c</w:t>
            </w:r>
          </w:p>
          <w:p w14:paraId="6367EB4A" w14:textId="77777777" w:rsidR="00F811FC" w:rsidRPr="004F5FB4" w:rsidRDefault="00F811FC" w:rsidP="000079DD">
            <w:pPr>
              <w:pStyle w:val="TableParagraph"/>
              <w:keepNext/>
              <w:keepLines/>
              <w:widowControl/>
              <w:kinsoku w:val="0"/>
              <w:overflowPunct w:val="0"/>
              <w:ind w:hanging="3"/>
              <w:jc w:val="center"/>
              <w:rPr>
                <w:rFonts w:ascii="Times New Roman" w:hAnsi="Times New Roman"/>
                <w:b/>
                <w:color w:val="000000"/>
              </w:rPr>
            </w:pPr>
            <w:r w:rsidRPr="004F5FB4">
              <w:rPr>
                <w:rFonts w:ascii="Times New Roman" w:hAnsi="Times New Roman"/>
                <w:b/>
                <w:color w:val="000000"/>
              </w:rPr>
              <w:t>n = 200</w:t>
            </w:r>
          </w:p>
        </w:tc>
        <w:tc>
          <w:tcPr>
            <w:tcW w:w="1586" w:type="dxa"/>
            <w:shd w:val="clear" w:color="auto" w:fill="auto"/>
            <w:vAlign w:val="center"/>
          </w:tcPr>
          <w:p w14:paraId="24BA70EB" w14:textId="77777777" w:rsidR="00F811FC" w:rsidRPr="004F5FB4" w:rsidRDefault="00F811FC" w:rsidP="000079DD">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r w:rsidRPr="004F5FB4">
              <w:rPr>
                <w:rFonts w:ascii="Times New Roman" w:hAnsi="Times New Roman"/>
                <w:b/>
                <w:color w:val="000000"/>
              </w:rPr>
              <w:t>/MTX</w:t>
            </w:r>
            <w:r w:rsidRPr="004F5FB4">
              <w:rPr>
                <w:rFonts w:ascii="Times New Roman" w:hAnsi="Times New Roman"/>
                <w:b/>
                <w:color w:val="000000"/>
                <w:vertAlign w:val="superscript"/>
              </w:rPr>
              <w:t>c</w:t>
            </w:r>
          </w:p>
          <w:p w14:paraId="1F8AA497" w14:textId="77777777" w:rsidR="00F811FC" w:rsidRPr="004F5FB4" w:rsidRDefault="00F811FC" w:rsidP="000079DD">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 = 207</w:t>
            </w:r>
          </w:p>
        </w:tc>
      </w:tr>
      <w:tr w:rsidR="00FB15B9" w:rsidRPr="004F5FB4" w14:paraId="1FB40855" w14:textId="77777777" w:rsidTr="00F811FC">
        <w:tc>
          <w:tcPr>
            <w:tcW w:w="1384" w:type="dxa"/>
            <w:shd w:val="clear" w:color="auto" w:fill="auto"/>
          </w:tcPr>
          <w:p w14:paraId="32A31C0A" w14:textId="77777777" w:rsidR="00FB15B9" w:rsidRPr="004F5FB4" w:rsidRDefault="00FB15B9" w:rsidP="00D67346">
            <w:pPr>
              <w:pStyle w:val="TableParagraph"/>
              <w:keepNext/>
              <w:keepLines/>
              <w:widowControl/>
              <w:kinsoku w:val="0"/>
              <w:overflowPunct w:val="0"/>
              <w:spacing w:before="6"/>
              <w:ind w:left="-2"/>
              <w:rPr>
                <w:rFonts w:ascii="Times New Roman" w:hAnsi="Times New Roman"/>
                <w:color w:val="000000"/>
              </w:rPr>
            </w:pPr>
            <w:r w:rsidRPr="004F5FB4">
              <w:rPr>
                <w:rFonts w:ascii="Times New Roman" w:hAnsi="Times New Roman"/>
                <w:color w:val="000000"/>
              </w:rPr>
              <w:t>ACR-20</w:t>
            </w:r>
          </w:p>
        </w:tc>
        <w:tc>
          <w:tcPr>
            <w:tcW w:w="1059" w:type="dxa"/>
            <w:shd w:val="clear" w:color="auto" w:fill="auto"/>
          </w:tcPr>
          <w:p w14:paraId="36778433"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534" w:type="dxa"/>
            <w:shd w:val="clear" w:color="auto" w:fill="auto"/>
          </w:tcPr>
          <w:p w14:paraId="221766D4"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990" w:type="dxa"/>
            <w:shd w:val="clear" w:color="auto" w:fill="auto"/>
          </w:tcPr>
          <w:p w14:paraId="76D0A5BC"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710" w:type="dxa"/>
            <w:shd w:val="clear" w:color="auto" w:fill="auto"/>
          </w:tcPr>
          <w:p w14:paraId="3D730B84"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114" w:type="dxa"/>
            <w:shd w:val="clear" w:color="auto" w:fill="auto"/>
          </w:tcPr>
          <w:p w14:paraId="018DA84A"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c>
          <w:tcPr>
            <w:tcW w:w="1586" w:type="dxa"/>
            <w:shd w:val="clear" w:color="auto" w:fill="auto"/>
          </w:tcPr>
          <w:p w14:paraId="327DD07D" w14:textId="77777777" w:rsidR="00FB15B9" w:rsidRPr="004F5FB4" w:rsidRDefault="00FB15B9" w:rsidP="00D67346">
            <w:pPr>
              <w:pStyle w:val="TableParagraph"/>
              <w:keepNext/>
              <w:keepLines/>
              <w:widowControl/>
              <w:kinsoku w:val="0"/>
              <w:overflowPunct w:val="0"/>
              <w:jc w:val="center"/>
              <w:rPr>
                <w:rFonts w:ascii="Times New Roman" w:hAnsi="Times New Roman"/>
                <w:color w:val="000000"/>
                <w:lang w:val="en-GB"/>
              </w:rPr>
            </w:pPr>
          </w:p>
        </w:tc>
      </w:tr>
      <w:tr w:rsidR="00F811FC" w:rsidRPr="004F5FB4" w14:paraId="35D859F7" w14:textId="77777777" w:rsidTr="00F811FC">
        <w:tc>
          <w:tcPr>
            <w:tcW w:w="1384" w:type="dxa"/>
            <w:shd w:val="clear" w:color="auto" w:fill="auto"/>
          </w:tcPr>
          <w:p w14:paraId="58B05758" w14:textId="77777777" w:rsidR="00F811FC" w:rsidRPr="004F5FB4" w:rsidRDefault="00F811FC" w:rsidP="000079DD">
            <w:pPr>
              <w:pStyle w:val="TableParagraph"/>
              <w:keepNext/>
              <w:keepLines/>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6</w:t>
            </w:r>
            <w:r w:rsidR="00104FD4" w:rsidRPr="00206AEA">
              <w:rPr>
                <w:color w:val="000000"/>
              </w:rPr>
              <w:t> </w:t>
            </w:r>
            <w:r w:rsidRPr="004F5FB4">
              <w:rPr>
                <w:rFonts w:ascii="Times New Roman" w:hAnsi="Times New Roman"/>
                <w:color w:val="000000"/>
              </w:rPr>
              <w:t>Monate</w:t>
            </w:r>
          </w:p>
        </w:tc>
        <w:tc>
          <w:tcPr>
            <w:tcW w:w="1059" w:type="dxa"/>
            <w:shd w:val="clear" w:color="auto" w:fill="auto"/>
          </w:tcPr>
          <w:p w14:paraId="00139E7B"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13,3 %</w:t>
            </w:r>
          </w:p>
        </w:tc>
        <w:tc>
          <w:tcPr>
            <w:tcW w:w="1534" w:type="dxa"/>
            <w:shd w:val="clear" w:color="auto" w:fill="auto"/>
          </w:tcPr>
          <w:p w14:paraId="0BB385D7"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65,1 %</w:t>
            </w:r>
          </w:p>
        </w:tc>
        <w:tc>
          <w:tcPr>
            <w:tcW w:w="990" w:type="dxa"/>
            <w:shd w:val="clear" w:color="auto" w:fill="auto"/>
          </w:tcPr>
          <w:p w14:paraId="01224295"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19,1 %</w:t>
            </w:r>
          </w:p>
        </w:tc>
        <w:tc>
          <w:tcPr>
            <w:tcW w:w="1710" w:type="dxa"/>
            <w:shd w:val="clear" w:color="auto" w:fill="auto"/>
          </w:tcPr>
          <w:p w14:paraId="1A60F51D"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46,0 %</w:t>
            </w:r>
          </w:p>
        </w:tc>
        <w:tc>
          <w:tcPr>
            <w:tcW w:w="1114" w:type="dxa"/>
            <w:shd w:val="clear" w:color="auto" w:fill="auto"/>
          </w:tcPr>
          <w:p w14:paraId="14A8168D"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29,5 %</w:t>
            </w:r>
          </w:p>
        </w:tc>
        <w:tc>
          <w:tcPr>
            <w:tcW w:w="1586" w:type="dxa"/>
            <w:shd w:val="clear" w:color="auto" w:fill="auto"/>
          </w:tcPr>
          <w:p w14:paraId="0F75D0CF"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63,3 %</w:t>
            </w:r>
          </w:p>
        </w:tc>
      </w:tr>
      <w:tr w:rsidR="00F811FC" w:rsidRPr="004F5FB4" w14:paraId="5408CEBA" w14:textId="77777777" w:rsidTr="00F811FC">
        <w:tc>
          <w:tcPr>
            <w:tcW w:w="1384" w:type="dxa"/>
            <w:shd w:val="clear" w:color="auto" w:fill="auto"/>
          </w:tcPr>
          <w:p w14:paraId="480030AD" w14:textId="77777777" w:rsidR="00F811FC" w:rsidRPr="004F5FB4" w:rsidRDefault="00F811FC" w:rsidP="000079DD">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 Monate</w:t>
            </w:r>
          </w:p>
        </w:tc>
        <w:tc>
          <w:tcPr>
            <w:tcW w:w="1059" w:type="dxa"/>
            <w:shd w:val="clear" w:color="auto" w:fill="auto"/>
          </w:tcPr>
          <w:p w14:paraId="4A5847FF"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shd w:val="clear" w:color="auto" w:fill="auto"/>
          </w:tcPr>
          <w:p w14:paraId="37CED1BC"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990" w:type="dxa"/>
            <w:shd w:val="clear" w:color="auto" w:fill="auto"/>
          </w:tcPr>
          <w:p w14:paraId="1450F9CF"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10" w:type="dxa"/>
            <w:shd w:val="clear" w:color="auto" w:fill="auto"/>
          </w:tcPr>
          <w:p w14:paraId="018C2BE1"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114" w:type="dxa"/>
            <w:shd w:val="clear" w:color="auto" w:fill="auto"/>
          </w:tcPr>
          <w:p w14:paraId="797C1A9F"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24,0 %</w:t>
            </w:r>
          </w:p>
        </w:tc>
        <w:tc>
          <w:tcPr>
            <w:tcW w:w="1586" w:type="dxa"/>
            <w:shd w:val="clear" w:color="auto" w:fill="auto"/>
          </w:tcPr>
          <w:p w14:paraId="29163555"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58,9 %</w:t>
            </w:r>
          </w:p>
        </w:tc>
      </w:tr>
      <w:tr w:rsidR="00F811FC" w:rsidRPr="004F5FB4" w14:paraId="6175FA0D" w14:textId="77777777" w:rsidTr="00F811FC">
        <w:tc>
          <w:tcPr>
            <w:tcW w:w="1384" w:type="dxa"/>
            <w:shd w:val="clear" w:color="auto" w:fill="auto"/>
          </w:tcPr>
          <w:p w14:paraId="70EF8F08" w14:textId="77777777" w:rsidR="00F811FC" w:rsidRPr="004F5FB4" w:rsidRDefault="00F811FC" w:rsidP="000079DD">
            <w:pPr>
              <w:pStyle w:val="TableParagraph"/>
              <w:keepNext/>
              <w:keepLines/>
              <w:widowControl/>
              <w:kinsoku w:val="0"/>
              <w:overflowPunct w:val="0"/>
              <w:spacing w:line="252" w:lineRule="exact"/>
              <w:ind w:left="-2"/>
              <w:rPr>
                <w:rFonts w:ascii="Times New Roman" w:hAnsi="Times New Roman"/>
                <w:color w:val="000000"/>
              </w:rPr>
            </w:pPr>
            <w:r w:rsidRPr="004F5FB4">
              <w:rPr>
                <w:rFonts w:ascii="Times New Roman" w:hAnsi="Times New Roman"/>
                <w:color w:val="000000"/>
              </w:rPr>
              <w:t>ACR-50</w:t>
            </w:r>
          </w:p>
        </w:tc>
        <w:tc>
          <w:tcPr>
            <w:tcW w:w="1059" w:type="dxa"/>
            <w:shd w:val="clear" w:color="auto" w:fill="auto"/>
          </w:tcPr>
          <w:p w14:paraId="314F2177" w14:textId="77777777" w:rsidR="00F811FC" w:rsidRPr="004F5FB4" w:rsidRDefault="00F811FC" w:rsidP="00D67346">
            <w:pPr>
              <w:keepNext/>
              <w:keepLines/>
              <w:jc w:val="center"/>
              <w:rPr>
                <w:rFonts w:eastAsia="Calibri"/>
                <w:color w:val="000000"/>
                <w:lang w:val="en-GB"/>
              </w:rPr>
            </w:pPr>
          </w:p>
        </w:tc>
        <w:tc>
          <w:tcPr>
            <w:tcW w:w="1534" w:type="dxa"/>
            <w:shd w:val="clear" w:color="auto" w:fill="auto"/>
          </w:tcPr>
          <w:p w14:paraId="43C399F0" w14:textId="77777777" w:rsidR="00F811FC" w:rsidRPr="004F5FB4" w:rsidRDefault="00F811FC" w:rsidP="00D67346">
            <w:pPr>
              <w:keepNext/>
              <w:keepLines/>
              <w:jc w:val="center"/>
              <w:rPr>
                <w:rFonts w:eastAsia="Calibri"/>
                <w:color w:val="000000"/>
                <w:lang w:val="en-GB"/>
              </w:rPr>
            </w:pPr>
          </w:p>
        </w:tc>
        <w:tc>
          <w:tcPr>
            <w:tcW w:w="990" w:type="dxa"/>
            <w:shd w:val="clear" w:color="auto" w:fill="auto"/>
          </w:tcPr>
          <w:p w14:paraId="41F55F82" w14:textId="77777777" w:rsidR="00F811FC" w:rsidRPr="004F5FB4" w:rsidRDefault="00F811FC" w:rsidP="00D67346">
            <w:pPr>
              <w:keepNext/>
              <w:keepLines/>
              <w:jc w:val="center"/>
              <w:rPr>
                <w:rFonts w:eastAsia="Calibri"/>
                <w:color w:val="000000"/>
                <w:lang w:val="en-GB"/>
              </w:rPr>
            </w:pPr>
          </w:p>
        </w:tc>
        <w:tc>
          <w:tcPr>
            <w:tcW w:w="1710" w:type="dxa"/>
            <w:shd w:val="clear" w:color="auto" w:fill="auto"/>
          </w:tcPr>
          <w:p w14:paraId="7D5DD776" w14:textId="77777777" w:rsidR="00F811FC" w:rsidRPr="004F5FB4" w:rsidRDefault="00F811FC" w:rsidP="00D67346">
            <w:pPr>
              <w:keepNext/>
              <w:keepLines/>
              <w:jc w:val="center"/>
              <w:rPr>
                <w:rFonts w:eastAsia="Calibri"/>
                <w:color w:val="000000"/>
                <w:lang w:val="en-GB"/>
              </w:rPr>
            </w:pPr>
          </w:p>
        </w:tc>
        <w:tc>
          <w:tcPr>
            <w:tcW w:w="1114" w:type="dxa"/>
            <w:shd w:val="clear" w:color="auto" w:fill="auto"/>
          </w:tcPr>
          <w:p w14:paraId="141FD6E3" w14:textId="77777777" w:rsidR="00F811FC" w:rsidRPr="004F5FB4" w:rsidRDefault="00F811FC" w:rsidP="00D67346">
            <w:pPr>
              <w:keepNext/>
              <w:keepLines/>
              <w:jc w:val="center"/>
              <w:rPr>
                <w:rFonts w:eastAsia="Calibri"/>
                <w:color w:val="000000"/>
                <w:lang w:val="en-GB"/>
              </w:rPr>
            </w:pPr>
          </w:p>
        </w:tc>
        <w:tc>
          <w:tcPr>
            <w:tcW w:w="1586" w:type="dxa"/>
            <w:shd w:val="clear" w:color="auto" w:fill="auto"/>
          </w:tcPr>
          <w:p w14:paraId="2483703F" w14:textId="77777777" w:rsidR="00F811FC" w:rsidRPr="004F5FB4" w:rsidRDefault="00F811FC" w:rsidP="00D67346">
            <w:pPr>
              <w:keepNext/>
              <w:keepLines/>
              <w:jc w:val="center"/>
              <w:rPr>
                <w:rFonts w:eastAsia="Calibri"/>
                <w:color w:val="000000"/>
                <w:lang w:val="en-GB"/>
              </w:rPr>
            </w:pPr>
          </w:p>
        </w:tc>
      </w:tr>
      <w:tr w:rsidR="00F811FC" w:rsidRPr="004F5FB4" w14:paraId="1A304F39" w14:textId="77777777" w:rsidTr="00F811FC">
        <w:tc>
          <w:tcPr>
            <w:tcW w:w="1384" w:type="dxa"/>
            <w:shd w:val="clear" w:color="auto" w:fill="auto"/>
          </w:tcPr>
          <w:p w14:paraId="0606A469" w14:textId="77777777" w:rsidR="00F811FC" w:rsidRPr="004F5FB4" w:rsidRDefault="00F811FC" w:rsidP="000079DD">
            <w:pPr>
              <w:pStyle w:val="TableParagraph"/>
              <w:keepNext/>
              <w:keepLines/>
              <w:widowControl/>
              <w:kinsoku w:val="0"/>
              <w:overflowPunct w:val="0"/>
              <w:spacing w:line="251" w:lineRule="exact"/>
              <w:ind w:left="142"/>
              <w:rPr>
                <w:rFonts w:ascii="Times New Roman" w:hAnsi="Times New Roman"/>
                <w:color w:val="000000"/>
              </w:rPr>
            </w:pPr>
            <w:r w:rsidRPr="004F5FB4">
              <w:rPr>
                <w:rFonts w:ascii="Times New Roman" w:hAnsi="Times New Roman"/>
                <w:color w:val="000000"/>
              </w:rPr>
              <w:t>6</w:t>
            </w:r>
            <w:r w:rsidR="00104FD4"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47DE01E6" w14:textId="77777777" w:rsidR="00F811FC" w:rsidRPr="004F5FB4" w:rsidRDefault="00F811FC"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6,7 %</w:t>
            </w:r>
          </w:p>
        </w:tc>
        <w:tc>
          <w:tcPr>
            <w:tcW w:w="1534" w:type="dxa"/>
            <w:shd w:val="clear" w:color="auto" w:fill="auto"/>
          </w:tcPr>
          <w:p w14:paraId="2AFB9F69" w14:textId="77777777" w:rsidR="00F811FC" w:rsidRPr="004F5FB4" w:rsidRDefault="00F811FC"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52,4 %</w:t>
            </w:r>
          </w:p>
        </w:tc>
        <w:tc>
          <w:tcPr>
            <w:tcW w:w="990" w:type="dxa"/>
            <w:shd w:val="clear" w:color="auto" w:fill="auto"/>
          </w:tcPr>
          <w:p w14:paraId="121F443B" w14:textId="77777777" w:rsidR="00F811FC" w:rsidRPr="004F5FB4" w:rsidRDefault="00F811FC"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8,2 %</w:t>
            </w:r>
          </w:p>
        </w:tc>
        <w:tc>
          <w:tcPr>
            <w:tcW w:w="1710" w:type="dxa"/>
            <w:shd w:val="clear" w:color="auto" w:fill="auto"/>
          </w:tcPr>
          <w:p w14:paraId="5489510B" w14:textId="77777777" w:rsidR="00F811FC" w:rsidRPr="004F5FB4" w:rsidRDefault="00F811FC"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22,1 %</w:t>
            </w:r>
          </w:p>
        </w:tc>
        <w:tc>
          <w:tcPr>
            <w:tcW w:w="1114" w:type="dxa"/>
            <w:shd w:val="clear" w:color="auto" w:fill="auto"/>
          </w:tcPr>
          <w:p w14:paraId="32F6E305" w14:textId="77777777" w:rsidR="00F811FC" w:rsidRPr="004F5FB4" w:rsidRDefault="00F811FC"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9,5 %</w:t>
            </w:r>
          </w:p>
        </w:tc>
        <w:tc>
          <w:tcPr>
            <w:tcW w:w="1586" w:type="dxa"/>
            <w:shd w:val="clear" w:color="auto" w:fill="auto"/>
          </w:tcPr>
          <w:p w14:paraId="4470105B" w14:textId="77777777" w:rsidR="00F811FC" w:rsidRPr="004F5FB4" w:rsidRDefault="00F811FC" w:rsidP="00D67346">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39,1 %</w:t>
            </w:r>
          </w:p>
        </w:tc>
      </w:tr>
      <w:tr w:rsidR="00F811FC" w:rsidRPr="004F5FB4" w14:paraId="30831BCF" w14:textId="77777777" w:rsidTr="00F811FC">
        <w:tc>
          <w:tcPr>
            <w:tcW w:w="1384" w:type="dxa"/>
            <w:shd w:val="clear" w:color="auto" w:fill="auto"/>
          </w:tcPr>
          <w:p w14:paraId="4A5C0138" w14:textId="77777777" w:rsidR="00F811FC" w:rsidRPr="004F5FB4" w:rsidRDefault="00F811FC" w:rsidP="000079DD">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 Monate</w:t>
            </w:r>
          </w:p>
        </w:tc>
        <w:tc>
          <w:tcPr>
            <w:tcW w:w="1059" w:type="dxa"/>
            <w:shd w:val="clear" w:color="auto" w:fill="auto"/>
          </w:tcPr>
          <w:p w14:paraId="46A78E12"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shd w:val="clear" w:color="auto" w:fill="auto"/>
          </w:tcPr>
          <w:p w14:paraId="25022261"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990" w:type="dxa"/>
            <w:shd w:val="clear" w:color="auto" w:fill="auto"/>
          </w:tcPr>
          <w:p w14:paraId="5DEDB4E9"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10" w:type="dxa"/>
            <w:shd w:val="clear" w:color="auto" w:fill="auto"/>
          </w:tcPr>
          <w:p w14:paraId="0342280A"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114" w:type="dxa"/>
            <w:shd w:val="clear" w:color="auto" w:fill="auto"/>
          </w:tcPr>
          <w:p w14:paraId="1C06AF7F"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9,5 %</w:t>
            </w:r>
          </w:p>
        </w:tc>
        <w:tc>
          <w:tcPr>
            <w:tcW w:w="1586" w:type="dxa"/>
            <w:shd w:val="clear" w:color="auto" w:fill="auto"/>
          </w:tcPr>
          <w:p w14:paraId="478766E4"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41,5 %</w:t>
            </w:r>
          </w:p>
        </w:tc>
      </w:tr>
      <w:tr w:rsidR="00F811FC" w:rsidRPr="004F5FB4" w14:paraId="56F24D4D" w14:textId="77777777" w:rsidTr="00F811FC">
        <w:tc>
          <w:tcPr>
            <w:tcW w:w="1384" w:type="dxa"/>
            <w:shd w:val="clear" w:color="auto" w:fill="auto"/>
          </w:tcPr>
          <w:p w14:paraId="30CEAC04" w14:textId="77777777" w:rsidR="00F811FC" w:rsidRPr="004F5FB4" w:rsidRDefault="00F811FC" w:rsidP="000079DD">
            <w:pPr>
              <w:pStyle w:val="TableParagraph"/>
              <w:keepNext/>
              <w:keepLines/>
              <w:widowControl/>
              <w:kinsoku w:val="0"/>
              <w:overflowPunct w:val="0"/>
              <w:spacing w:line="252" w:lineRule="exact"/>
              <w:ind w:left="-2"/>
              <w:rPr>
                <w:rFonts w:ascii="Times New Roman" w:hAnsi="Times New Roman"/>
                <w:color w:val="000000"/>
              </w:rPr>
            </w:pPr>
            <w:r w:rsidRPr="004F5FB4">
              <w:rPr>
                <w:rFonts w:ascii="Times New Roman" w:hAnsi="Times New Roman"/>
                <w:color w:val="000000"/>
              </w:rPr>
              <w:t>ACR-70</w:t>
            </w:r>
          </w:p>
        </w:tc>
        <w:tc>
          <w:tcPr>
            <w:tcW w:w="1059" w:type="dxa"/>
            <w:shd w:val="clear" w:color="auto" w:fill="auto"/>
          </w:tcPr>
          <w:p w14:paraId="03A9EACD" w14:textId="77777777" w:rsidR="00F811FC" w:rsidRPr="004F5FB4" w:rsidRDefault="00F811FC" w:rsidP="00D67346">
            <w:pPr>
              <w:keepNext/>
              <w:keepLines/>
              <w:jc w:val="center"/>
              <w:rPr>
                <w:rFonts w:eastAsia="Calibri"/>
                <w:color w:val="000000"/>
                <w:lang w:val="en-GB"/>
              </w:rPr>
            </w:pPr>
          </w:p>
        </w:tc>
        <w:tc>
          <w:tcPr>
            <w:tcW w:w="1534" w:type="dxa"/>
            <w:shd w:val="clear" w:color="auto" w:fill="auto"/>
          </w:tcPr>
          <w:p w14:paraId="28A169AE" w14:textId="77777777" w:rsidR="00F811FC" w:rsidRPr="004F5FB4" w:rsidRDefault="00F811FC" w:rsidP="00D67346">
            <w:pPr>
              <w:keepNext/>
              <w:keepLines/>
              <w:jc w:val="center"/>
              <w:rPr>
                <w:rFonts w:eastAsia="Calibri"/>
                <w:color w:val="000000"/>
                <w:lang w:val="en-GB"/>
              </w:rPr>
            </w:pPr>
          </w:p>
        </w:tc>
        <w:tc>
          <w:tcPr>
            <w:tcW w:w="990" w:type="dxa"/>
            <w:shd w:val="clear" w:color="auto" w:fill="auto"/>
          </w:tcPr>
          <w:p w14:paraId="535FFC52" w14:textId="77777777" w:rsidR="00F811FC" w:rsidRPr="004F5FB4" w:rsidRDefault="00F811FC" w:rsidP="00D67346">
            <w:pPr>
              <w:keepNext/>
              <w:keepLines/>
              <w:jc w:val="center"/>
              <w:rPr>
                <w:rFonts w:eastAsia="Calibri"/>
                <w:color w:val="000000"/>
                <w:lang w:val="en-GB"/>
              </w:rPr>
            </w:pPr>
          </w:p>
        </w:tc>
        <w:tc>
          <w:tcPr>
            <w:tcW w:w="1710" w:type="dxa"/>
            <w:shd w:val="clear" w:color="auto" w:fill="auto"/>
          </w:tcPr>
          <w:p w14:paraId="245FB3E7" w14:textId="77777777" w:rsidR="00F811FC" w:rsidRPr="004F5FB4" w:rsidRDefault="00F811FC" w:rsidP="00D67346">
            <w:pPr>
              <w:keepNext/>
              <w:keepLines/>
              <w:jc w:val="center"/>
              <w:rPr>
                <w:rFonts w:eastAsia="Calibri"/>
                <w:color w:val="000000"/>
                <w:lang w:val="en-GB"/>
              </w:rPr>
            </w:pPr>
          </w:p>
        </w:tc>
        <w:tc>
          <w:tcPr>
            <w:tcW w:w="1114" w:type="dxa"/>
            <w:shd w:val="clear" w:color="auto" w:fill="auto"/>
          </w:tcPr>
          <w:p w14:paraId="06855DCB" w14:textId="77777777" w:rsidR="00F811FC" w:rsidRPr="004F5FB4" w:rsidRDefault="00F811FC" w:rsidP="00D67346">
            <w:pPr>
              <w:keepNext/>
              <w:keepLines/>
              <w:jc w:val="center"/>
              <w:rPr>
                <w:rFonts w:eastAsia="Calibri"/>
                <w:color w:val="000000"/>
                <w:lang w:val="en-GB"/>
              </w:rPr>
            </w:pPr>
          </w:p>
        </w:tc>
        <w:tc>
          <w:tcPr>
            <w:tcW w:w="1586" w:type="dxa"/>
            <w:shd w:val="clear" w:color="auto" w:fill="auto"/>
          </w:tcPr>
          <w:p w14:paraId="456BE30D" w14:textId="77777777" w:rsidR="00F811FC" w:rsidRPr="004F5FB4" w:rsidRDefault="00F811FC" w:rsidP="00D67346">
            <w:pPr>
              <w:keepNext/>
              <w:keepLines/>
              <w:jc w:val="center"/>
              <w:rPr>
                <w:rFonts w:eastAsia="Calibri"/>
                <w:color w:val="000000"/>
                <w:lang w:val="en-GB"/>
              </w:rPr>
            </w:pPr>
          </w:p>
        </w:tc>
      </w:tr>
      <w:tr w:rsidR="00F811FC" w:rsidRPr="004F5FB4" w14:paraId="51A573B4" w14:textId="77777777" w:rsidTr="00F811FC">
        <w:tc>
          <w:tcPr>
            <w:tcW w:w="1384" w:type="dxa"/>
            <w:shd w:val="clear" w:color="auto" w:fill="auto"/>
          </w:tcPr>
          <w:p w14:paraId="288C6C2C" w14:textId="77777777" w:rsidR="00F811FC" w:rsidRPr="004F5FB4" w:rsidRDefault="00F811FC" w:rsidP="000079DD">
            <w:pPr>
              <w:pStyle w:val="TableParagraph"/>
              <w:keepNext/>
              <w:keepLines/>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6</w:t>
            </w:r>
            <w:r w:rsidR="00104FD4"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2E1EAEB9"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3,3 %</w:t>
            </w:r>
          </w:p>
        </w:tc>
        <w:tc>
          <w:tcPr>
            <w:tcW w:w="1534" w:type="dxa"/>
            <w:shd w:val="clear" w:color="auto" w:fill="auto"/>
          </w:tcPr>
          <w:p w14:paraId="6A21C7C5"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23,8 %</w:t>
            </w:r>
          </w:p>
        </w:tc>
        <w:tc>
          <w:tcPr>
            <w:tcW w:w="990" w:type="dxa"/>
            <w:shd w:val="clear" w:color="auto" w:fill="auto"/>
          </w:tcPr>
          <w:p w14:paraId="2CF9C53B"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1,8 %</w:t>
            </w:r>
          </w:p>
        </w:tc>
        <w:tc>
          <w:tcPr>
            <w:tcW w:w="1710" w:type="dxa"/>
            <w:shd w:val="clear" w:color="auto" w:fill="auto"/>
          </w:tcPr>
          <w:p w14:paraId="05103B29"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12,4 %</w:t>
            </w:r>
          </w:p>
        </w:tc>
        <w:tc>
          <w:tcPr>
            <w:tcW w:w="1114" w:type="dxa"/>
            <w:shd w:val="clear" w:color="auto" w:fill="auto"/>
          </w:tcPr>
          <w:p w14:paraId="5ABA3563"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2,5 %</w:t>
            </w:r>
          </w:p>
        </w:tc>
        <w:tc>
          <w:tcPr>
            <w:tcW w:w="1586" w:type="dxa"/>
            <w:shd w:val="clear" w:color="auto" w:fill="auto"/>
          </w:tcPr>
          <w:p w14:paraId="349EF839" w14:textId="77777777" w:rsidR="00F811FC" w:rsidRPr="004F5FB4" w:rsidRDefault="00F811FC" w:rsidP="00D67346">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20,8 %</w:t>
            </w:r>
          </w:p>
        </w:tc>
      </w:tr>
      <w:tr w:rsidR="00F811FC" w:rsidRPr="004F5FB4" w14:paraId="7B4FFB10" w14:textId="77777777" w:rsidTr="00F811FC">
        <w:tc>
          <w:tcPr>
            <w:tcW w:w="1384" w:type="dxa"/>
            <w:tcBorders>
              <w:bottom w:val="single" w:sz="4" w:space="0" w:color="auto"/>
            </w:tcBorders>
            <w:shd w:val="clear" w:color="auto" w:fill="auto"/>
          </w:tcPr>
          <w:p w14:paraId="5354A7CA" w14:textId="77777777" w:rsidR="00F811FC" w:rsidRPr="004F5FB4" w:rsidRDefault="00F811FC" w:rsidP="000079DD">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 Monate</w:t>
            </w:r>
          </w:p>
        </w:tc>
        <w:tc>
          <w:tcPr>
            <w:tcW w:w="1059" w:type="dxa"/>
            <w:tcBorders>
              <w:bottom w:val="single" w:sz="4" w:space="0" w:color="auto"/>
            </w:tcBorders>
            <w:shd w:val="clear" w:color="auto" w:fill="auto"/>
          </w:tcPr>
          <w:p w14:paraId="71B5E3B2"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tcBorders>
              <w:bottom w:val="single" w:sz="4" w:space="0" w:color="auto"/>
            </w:tcBorders>
            <w:shd w:val="clear" w:color="auto" w:fill="auto"/>
          </w:tcPr>
          <w:p w14:paraId="69ED1268"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990" w:type="dxa"/>
            <w:tcBorders>
              <w:bottom w:val="single" w:sz="4" w:space="0" w:color="auto"/>
            </w:tcBorders>
            <w:shd w:val="clear" w:color="auto" w:fill="auto"/>
          </w:tcPr>
          <w:p w14:paraId="46E80B9A"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10" w:type="dxa"/>
            <w:tcBorders>
              <w:bottom w:val="single" w:sz="4" w:space="0" w:color="auto"/>
            </w:tcBorders>
            <w:shd w:val="clear" w:color="auto" w:fill="auto"/>
          </w:tcPr>
          <w:p w14:paraId="4F11FB65"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114" w:type="dxa"/>
            <w:tcBorders>
              <w:bottom w:val="single" w:sz="4" w:space="0" w:color="auto"/>
            </w:tcBorders>
            <w:shd w:val="clear" w:color="auto" w:fill="auto"/>
          </w:tcPr>
          <w:p w14:paraId="7FE63378"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4,5 %</w:t>
            </w:r>
          </w:p>
        </w:tc>
        <w:tc>
          <w:tcPr>
            <w:tcW w:w="1586" w:type="dxa"/>
            <w:tcBorders>
              <w:bottom w:val="single" w:sz="4" w:space="0" w:color="auto"/>
            </w:tcBorders>
            <w:shd w:val="clear" w:color="auto" w:fill="auto"/>
          </w:tcPr>
          <w:p w14:paraId="3D51845F" w14:textId="77777777" w:rsidR="00F811FC" w:rsidRPr="004F5FB4" w:rsidRDefault="00F811FC" w:rsidP="00D67346">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23,2 %</w:t>
            </w:r>
          </w:p>
        </w:tc>
      </w:tr>
      <w:tr w:rsidR="00081A6C" w:rsidRPr="004F5FB4" w14:paraId="0656F1D2" w14:textId="77777777" w:rsidTr="00081A6C">
        <w:tc>
          <w:tcPr>
            <w:tcW w:w="9377" w:type="dxa"/>
            <w:gridSpan w:val="7"/>
            <w:tcBorders>
              <w:left w:val="nil"/>
              <w:bottom w:val="nil"/>
              <w:right w:val="nil"/>
            </w:tcBorders>
            <w:shd w:val="clear" w:color="auto" w:fill="auto"/>
          </w:tcPr>
          <w:p w14:paraId="465F8AC0" w14:textId="77777777" w:rsidR="00081A6C" w:rsidRPr="00206AEA" w:rsidRDefault="00081A6C" w:rsidP="00081A6C">
            <w:pPr>
              <w:tabs>
                <w:tab w:val="left" w:pos="288"/>
              </w:tabs>
              <w:ind w:left="270" w:hanging="270"/>
              <w:rPr>
                <w:color w:val="000000"/>
                <w:sz w:val="20"/>
              </w:rPr>
            </w:pPr>
            <w:r w:rsidRPr="00206AEA">
              <w:rPr>
                <w:color w:val="000000"/>
                <w:sz w:val="20"/>
                <w:vertAlign w:val="superscript"/>
              </w:rPr>
              <w:t xml:space="preserve">a </w:t>
            </w:r>
            <w:r w:rsidRPr="00206AEA">
              <w:rPr>
                <w:color w:val="000000"/>
                <w:sz w:val="20"/>
                <w:vertAlign w:val="superscript"/>
              </w:rPr>
              <w:tab/>
            </w:r>
            <w:r w:rsidRPr="00206AEA">
              <w:rPr>
                <w:color w:val="000000"/>
                <w:sz w:val="20"/>
              </w:rPr>
              <w:t>RA-Studie</w:t>
            </w:r>
            <w:r w:rsidR="00380901" w:rsidRPr="00206AEA">
              <w:rPr>
                <w:color w:val="000000"/>
                <w:sz w:val="20"/>
              </w:rPr>
              <w:t> </w:t>
            </w:r>
            <w:r w:rsidRPr="00206AEA">
              <w:rPr>
                <w:color w:val="000000"/>
                <w:sz w:val="20"/>
              </w:rPr>
              <w:t>I nach 24</w:t>
            </w:r>
            <w:r w:rsidR="00380901" w:rsidRPr="00206AEA">
              <w:rPr>
                <w:color w:val="000000"/>
                <w:sz w:val="20"/>
              </w:rPr>
              <w:t> </w:t>
            </w:r>
            <w:r w:rsidRPr="00206AEA">
              <w:rPr>
                <w:color w:val="000000"/>
                <w:sz w:val="20"/>
              </w:rPr>
              <w:t>Wochen, RA-Studie</w:t>
            </w:r>
            <w:r w:rsidR="00380901" w:rsidRPr="00206AEA">
              <w:rPr>
                <w:color w:val="000000"/>
                <w:sz w:val="20"/>
              </w:rPr>
              <w:t> </w:t>
            </w:r>
            <w:r w:rsidRPr="00206AEA">
              <w:rPr>
                <w:color w:val="000000"/>
                <w:sz w:val="20"/>
              </w:rPr>
              <w:t>II nach 26</w:t>
            </w:r>
            <w:r w:rsidR="00380901" w:rsidRPr="00206AEA">
              <w:rPr>
                <w:color w:val="000000"/>
                <w:sz w:val="20"/>
              </w:rPr>
              <w:t> </w:t>
            </w:r>
            <w:r w:rsidRPr="00206AEA">
              <w:rPr>
                <w:color w:val="000000"/>
                <w:sz w:val="20"/>
              </w:rPr>
              <w:t>Wochen und RA-Studie</w:t>
            </w:r>
            <w:r w:rsidR="00380901" w:rsidRPr="00206AEA">
              <w:rPr>
                <w:color w:val="000000"/>
                <w:sz w:val="20"/>
              </w:rPr>
              <w:t> </w:t>
            </w:r>
            <w:r w:rsidRPr="00206AEA">
              <w:rPr>
                <w:color w:val="000000"/>
                <w:sz w:val="20"/>
              </w:rPr>
              <w:t>III nach 24 und 52</w:t>
            </w:r>
            <w:r w:rsidR="00380901" w:rsidRPr="00206AEA">
              <w:rPr>
                <w:color w:val="000000"/>
                <w:sz w:val="20"/>
              </w:rPr>
              <w:t> </w:t>
            </w:r>
            <w:r w:rsidRPr="00206AEA">
              <w:rPr>
                <w:color w:val="000000"/>
                <w:sz w:val="20"/>
              </w:rPr>
              <w:t>Wochen</w:t>
            </w:r>
          </w:p>
          <w:p w14:paraId="5A5ABDFE" w14:textId="77777777" w:rsidR="00081A6C" w:rsidRPr="00206AEA" w:rsidRDefault="00081A6C" w:rsidP="00081A6C">
            <w:pPr>
              <w:tabs>
                <w:tab w:val="left" w:pos="288"/>
              </w:tabs>
              <w:ind w:left="270" w:hanging="270"/>
              <w:rPr>
                <w:color w:val="000000"/>
                <w:sz w:val="20"/>
              </w:rPr>
            </w:pPr>
            <w:r w:rsidRPr="00206AEA">
              <w:rPr>
                <w:color w:val="000000"/>
                <w:sz w:val="20"/>
                <w:vertAlign w:val="superscript"/>
              </w:rPr>
              <w:t xml:space="preserve">b </w:t>
            </w:r>
            <w:r w:rsidRPr="00206AEA">
              <w:rPr>
                <w:color w:val="000000"/>
                <w:sz w:val="20"/>
                <w:vertAlign w:val="superscript"/>
              </w:rPr>
              <w:tab/>
            </w:r>
            <w:r w:rsidRPr="00206AEA">
              <w:rPr>
                <w:color w:val="000000"/>
                <w:sz w:val="20"/>
              </w:rPr>
              <w:t>40 mg Adalimumab jede zweite Woche</w:t>
            </w:r>
          </w:p>
          <w:p w14:paraId="663795BC" w14:textId="77777777" w:rsidR="00081A6C" w:rsidRPr="00206AEA" w:rsidRDefault="00081A6C" w:rsidP="00081A6C">
            <w:pPr>
              <w:tabs>
                <w:tab w:val="left" w:pos="288"/>
              </w:tabs>
              <w:ind w:left="270" w:hanging="270"/>
              <w:rPr>
                <w:color w:val="000000"/>
                <w:sz w:val="20"/>
              </w:rPr>
            </w:pPr>
            <w:r w:rsidRPr="00206AEA">
              <w:rPr>
                <w:color w:val="000000"/>
                <w:sz w:val="20"/>
                <w:vertAlign w:val="superscript"/>
              </w:rPr>
              <w:t xml:space="preserve">c </w:t>
            </w:r>
            <w:r w:rsidRPr="00206AEA">
              <w:rPr>
                <w:color w:val="000000"/>
                <w:sz w:val="20"/>
                <w:vertAlign w:val="superscript"/>
              </w:rPr>
              <w:tab/>
            </w:r>
            <w:r w:rsidRPr="00206AEA">
              <w:rPr>
                <w:color w:val="000000"/>
                <w:sz w:val="20"/>
              </w:rPr>
              <w:t>MTX = Methotrexat</w:t>
            </w:r>
          </w:p>
          <w:p w14:paraId="7D782CAD" w14:textId="77777777" w:rsidR="00081A6C" w:rsidRPr="00206AEA" w:rsidRDefault="00081A6C" w:rsidP="00081A6C">
            <w:pPr>
              <w:tabs>
                <w:tab w:val="left" w:pos="288"/>
              </w:tabs>
              <w:ind w:left="270" w:hanging="270"/>
              <w:rPr>
                <w:color w:val="000000"/>
                <w:sz w:val="20"/>
              </w:rPr>
            </w:pPr>
            <w:r w:rsidRPr="00206AEA">
              <w:rPr>
                <w:color w:val="000000"/>
                <w:sz w:val="20"/>
              </w:rPr>
              <w:t>**</w:t>
            </w:r>
            <w:r w:rsidRPr="00206AEA">
              <w:rPr>
                <w:color w:val="000000"/>
                <w:sz w:val="20"/>
              </w:rPr>
              <w:tab/>
              <w:t>p &lt; 0,01; Adalimumab gegenüber Placebo</w:t>
            </w:r>
          </w:p>
        </w:tc>
      </w:tr>
    </w:tbl>
    <w:p w14:paraId="5087BA43" w14:textId="77777777" w:rsidR="00C46587" w:rsidRPr="004F5FB4" w:rsidRDefault="00C46587" w:rsidP="00982118">
      <w:pPr>
        <w:rPr>
          <w:color w:val="000000"/>
        </w:rPr>
      </w:pPr>
    </w:p>
    <w:p w14:paraId="0201864B" w14:textId="77777777" w:rsidR="00C46587" w:rsidRPr="004F5FB4" w:rsidRDefault="00C46587" w:rsidP="00982118">
      <w:pPr>
        <w:rPr>
          <w:color w:val="000000"/>
        </w:rPr>
      </w:pPr>
      <w:r w:rsidRPr="004F5FB4">
        <w:rPr>
          <w:color w:val="000000"/>
        </w:rPr>
        <w:t>In den RA-Studien I – IV wurde im Vergleich zu Placebo nach 24 bzw. 26</w:t>
      </w:r>
      <w:r w:rsidR="00380901" w:rsidRPr="004F5FB4">
        <w:rPr>
          <w:color w:val="000000"/>
        </w:rPr>
        <w:t> </w:t>
      </w:r>
      <w:r w:rsidRPr="004F5FB4">
        <w:rPr>
          <w:color w:val="000000"/>
        </w:rPr>
        <w:t xml:space="preserve">Wochen eine Verbesserung aller individuellen ACR-Ansprechkriterien festgestellt (Anzahl der druckschmerzempfindlichen und geschwollenen Gelenke, Einstufung der Krankheitsaktivität und des Schmerzes durch Arzt und Patienten, Ausmaß der körperlichen Funktionseinschränkung </w:t>
      </w:r>
      <w:r w:rsidR="00380901" w:rsidRPr="004F5FB4">
        <w:rPr>
          <w:color w:val="000000"/>
        </w:rPr>
        <w:t>[</w:t>
      </w:r>
      <w:r w:rsidRPr="004F5FB4">
        <w:rPr>
          <w:color w:val="000000"/>
        </w:rPr>
        <w:t>Health Assessment Questionnaire, HAQ</w:t>
      </w:r>
      <w:r w:rsidR="00380901" w:rsidRPr="004F5FB4">
        <w:rPr>
          <w:color w:val="000000"/>
        </w:rPr>
        <w:t>]</w:t>
      </w:r>
      <w:r w:rsidRPr="004F5FB4">
        <w:rPr>
          <w:color w:val="000000"/>
        </w:rPr>
        <w:t xml:space="preserve"> und CRP-Werte </w:t>
      </w:r>
      <w:r w:rsidR="00380901" w:rsidRPr="004F5FB4">
        <w:rPr>
          <w:color w:val="000000"/>
        </w:rPr>
        <w:t>[</w:t>
      </w:r>
      <w:r w:rsidRPr="004F5FB4">
        <w:rPr>
          <w:color w:val="000000"/>
        </w:rPr>
        <w:t>mg/dl</w:t>
      </w:r>
      <w:r w:rsidR="00380901" w:rsidRPr="004F5FB4">
        <w:rPr>
          <w:color w:val="000000"/>
        </w:rPr>
        <w:t>]</w:t>
      </w:r>
      <w:r w:rsidRPr="004F5FB4">
        <w:rPr>
          <w:color w:val="000000"/>
        </w:rPr>
        <w:t>). In der RA-Studie</w:t>
      </w:r>
      <w:r w:rsidR="00380901" w:rsidRPr="004F5FB4">
        <w:rPr>
          <w:color w:val="000000"/>
        </w:rPr>
        <w:t> </w:t>
      </w:r>
      <w:r w:rsidRPr="004F5FB4">
        <w:rPr>
          <w:color w:val="000000"/>
        </w:rPr>
        <w:t>III hielt diese Verbesserung bis zur Woche</w:t>
      </w:r>
      <w:r w:rsidR="00380901" w:rsidRPr="004F5FB4">
        <w:rPr>
          <w:color w:val="000000"/>
        </w:rPr>
        <w:t> </w:t>
      </w:r>
      <w:r w:rsidRPr="004F5FB4">
        <w:rPr>
          <w:color w:val="000000"/>
        </w:rPr>
        <w:t xml:space="preserve">52 an. </w:t>
      </w:r>
    </w:p>
    <w:p w14:paraId="0F899895" w14:textId="77777777" w:rsidR="00C46587" w:rsidRPr="004F5FB4" w:rsidRDefault="00C46587" w:rsidP="00982118">
      <w:pPr>
        <w:rPr>
          <w:color w:val="000000"/>
        </w:rPr>
      </w:pPr>
    </w:p>
    <w:p w14:paraId="2CAF3B7D" w14:textId="77777777" w:rsidR="00C46587" w:rsidRPr="004F5FB4" w:rsidRDefault="00C46587" w:rsidP="00982118">
      <w:pPr>
        <w:rPr>
          <w:color w:val="000000"/>
        </w:rPr>
      </w:pPr>
      <w:r w:rsidRPr="004F5FB4">
        <w:rPr>
          <w:color w:val="000000"/>
        </w:rPr>
        <w:t>In der offenen Erweiterungsphase der RA-Studie</w:t>
      </w:r>
      <w:r w:rsidR="00380901" w:rsidRPr="004F5FB4">
        <w:rPr>
          <w:color w:val="000000"/>
        </w:rPr>
        <w:t> </w:t>
      </w:r>
      <w:r w:rsidRPr="004F5FB4">
        <w:rPr>
          <w:color w:val="000000"/>
        </w:rPr>
        <w:t>III blieb bei den meisten Patienten, die ein ACR-Ansprechen zeigten, dieses über eine Nachbeobachtung von bis zu 10 Jahren erhalten. Von 207 Patienten, die auf Adalimumab 40 mg alle 2 Wochen randomisiert wurden, erhielten 114 Patienten eine Dauertherapie mit 40 mg Adalimumab jede zweite Woche über 5 Jahre. Von diesen hatten 86</w:t>
      </w:r>
      <w:r w:rsidR="00787A91" w:rsidRPr="004F5FB4">
        <w:rPr>
          <w:color w:val="000000"/>
        </w:rPr>
        <w:t> </w:t>
      </w:r>
      <w:r w:rsidRPr="004F5FB4">
        <w:rPr>
          <w:color w:val="000000"/>
        </w:rPr>
        <w:t>Patienten (75,4 %) ein ACR-20-Ansprechen; 72</w:t>
      </w:r>
      <w:r w:rsidR="00380901" w:rsidRPr="004F5FB4">
        <w:rPr>
          <w:color w:val="000000"/>
        </w:rPr>
        <w:t> </w:t>
      </w:r>
      <w:r w:rsidRPr="004F5FB4">
        <w:rPr>
          <w:color w:val="000000"/>
        </w:rPr>
        <w:t>Patienten (63,2 %) ein ACR-50-Ansprechen und 41</w:t>
      </w:r>
      <w:r w:rsidR="00380901" w:rsidRPr="004F5FB4">
        <w:rPr>
          <w:color w:val="000000"/>
        </w:rPr>
        <w:t> </w:t>
      </w:r>
      <w:r w:rsidRPr="004F5FB4">
        <w:rPr>
          <w:color w:val="000000"/>
        </w:rPr>
        <w:t>Patienten (36</w:t>
      </w:r>
      <w:r w:rsidR="00380901" w:rsidRPr="004F5FB4">
        <w:rPr>
          <w:color w:val="000000"/>
        </w:rPr>
        <w:t> </w:t>
      </w:r>
      <w:r w:rsidRPr="004F5FB4">
        <w:rPr>
          <w:color w:val="000000"/>
        </w:rPr>
        <w:t>%) ein ACR-70-Ansprechen. Von 207</w:t>
      </w:r>
      <w:r w:rsidR="00380901" w:rsidRPr="004F5FB4">
        <w:rPr>
          <w:color w:val="000000"/>
        </w:rPr>
        <w:t> </w:t>
      </w:r>
      <w:r w:rsidRPr="004F5FB4">
        <w:rPr>
          <w:color w:val="000000"/>
        </w:rPr>
        <w:t xml:space="preserve">Patienten wurden 81 Patienten 10 Jahre lang mit 40 mg Adalimumab jede zweite Woche weiterbehandelt. Von diesen hatten 64 Patienten (79,0 %) ein ACR-20-Ansprechen; 56 Patienten (69,1 %) ein ACR-50-Ansprechen und 43 Patienten (53,1 %) ein ACR-70-Ansprechen. </w:t>
      </w:r>
    </w:p>
    <w:p w14:paraId="5989ED18" w14:textId="77777777" w:rsidR="00C46587" w:rsidRPr="004F5FB4" w:rsidRDefault="00C46587" w:rsidP="00982118">
      <w:pPr>
        <w:rPr>
          <w:color w:val="000000"/>
        </w:rPr>
      </w:pPr>
    </w:p>
    <w:p w14:paraId="1B59A4E3" w14:textId="77777777" w:rsidR="00C46587" w:rsidRPr="004F5FB4" w:rsidRDefault="00C46587" w:rsidP="00982118">
      <w:pPr>
        <w:rPr>
          <w:color w:val="000000"/>
        </w:rPr>
      </w:pPr>
      <w:r w:rsidRPr="004F5FB4">
        <w:rPr>
          <w:color w:val="000000"/>
        </w:rPr>
        <w:t>In der RA-Studie</w:t>
      </w:r>
      <w:r w:rsidR="00380901" w:rsidRPr="004F5FB4">
        <w:rPr>
          <w:color w:val="000000"/>
        </w:rPr>
        <w:t> </w:t>
      </w:r>
      <w:r w:rsidRPr="004F5FB4">
        <w:rPr>
          <w:color w:val="000000"/>
        </w:rPr>
        <w:t>IV war die ACR-20-Ansprechrate bei Patienten, die mit Adalimumab plus Therapiestandard behandelt wurden, statistisch signifikant besser als bei Patienten, die Placebo plus Therapiestandard erhielten (p</w:t>
      </w:r>
      <w:r w:rsidR="00380901" w:rsidRPr="004F5FB4">
        <w:rPr>
          <w:color w:val="000000"/>
        </w:rPr>
        <w:t> </w:t>
      </w:r>
      <w:r w:rsidRPr="004F5FB4">
        <w:rPr>
          <w:color w:val="000000"/>
        </w:rPr>
        <w:t>&lt;</w:t>
      </w:r>
      <w:r w:rsidR="00380901" w:rsidRPr="004F5FB4">
        <w:rPr>
          <w:color w:val="000000"/>
        </w:rPr>
        <w:t> </w:t>
      </w:r>
      <w:r w:rsidRPr="004F5FB4">
        <w:rPr>
          <w:color w:val="000000"/>
        </w:rPr>
        <w:t xml:space="preserve">0,001). </w:t>
      </w:r>
    </w:p>
    <w:p w14:paraId="591752E8" w14:textId="77777777" w:rsidR="00C46587" w:rsidRPr="004F5FB4" w:rsidRDefault="00C46587" w:rsidP="00982118">
      <w:pPr>
        <w:rPr>
          <w:color w:val="000000"/>
        </w:rPr>
      </w:pPr>
    </w:p>
    <w:p w14:paraId="6ED48231" w14:textId="77777777" w:rsidR="00C46587" w:rsidRPr="004F5FB4" w:rsidRDefault="00C46587" w:rsidP="00982118">
      <w:pPr>
        <w:rPr>
          <w:color w:val="000000"/>
        </w:rPr>
      </w:pPr>
      <w:r w:rsidRPr="004F5FB4">
        <w:rPr>
          <w:color w:val="000000"/>
        </w:rPr>
        <w:t>Im Vergleich zu Placebo erreichten die mit Adalimumab behandelten Patienten in den RA-Studien</w:t>
      </w:r>
      <w:r w:rsidR="00380901" w:rsidRPr="004F5FB4">
        <w:rPr>
          <w:color w:val="000000"/>
        </w:rPr>
        <w:t> </w:t>
      </w:r>
      <w:r w:rsidRPr="004F5FB4">
        <w:rPr>
          <w:color w:val="000000"/>
        </w:rPr>
        <w:t xml:space="preserve">I – IV bereits ein bis zwei Wochen nach Behandlungsbeginn statistisch signifikante ACR-20- und ACR-50-Ansprechraten. </w:t>
      </w:r>
    </w:p>
    <w:p w14:paraId="699391ED" w14:textId="77777777" w:rsidR="00C46587" w:rsidRPr="004F5FB4" w:rsidRDefault="00C46587" w:rsidP="00982118">
      <w:pPr>
        <w:rPr>
          <w:color w:val="000000"/>
        </w:rPr>
      </w:pPr>
    </w:p>
    <w:p w14:paraId="5D522250" w14:textId="77777777" w:rsidR="00C46587" w:rsidRPr="004F5FB4" w:rsidRDefault="00C46587" w:rsidP="00982118">
      <w:pPr>
        <w:rPr>
          <w:color w:val="000000"/>
        </w:rPr>
      </w:pPr>
      <w:r w:rsidRPr="004F5FB4">
        <w:rPr>
          <w:color w:val="000000"/>
        </w:rPr>
        <w:lastRenderedPageBreak/>
        <w:t>In der RA-Studie</w:t>
      </w:r>
      <w:r w:rsidR="00380901" w:rsidRPr="004F5FB4">
        <w:rPr>
          <w:color w:val="000000"/>
        </w:rPr>
        <w:t> </w:t>
      </w:r>
      <w:r w:rsidRPr="004F5FB4">
        <w:rPr>
          <w:color w:val="000000"/>
        </w:rPr>
        <w:t>V führte die Kombinationstherapie mit Adalimumab und Methotrexat bei Methotrexat-naiven Patienten mit früher rheumatoider Arthritis nach 52 Wochen zu einem schnelleren und signifikant größeren ACR-Ansprechen als unter Methotrexat-Monotherapie und Adalimumab -Monotherapie. Das Ansprechen wurde bis Woche</w:t>
      </w:r>
      <w:r w:rsidR="00380901" w:rsidRPr="004F5FB4">
        <w:rPr>
          <w:color w:val="000000"/>
        </w:rPr>
        <w:t> </w:t>
      </w:r>
      <w:r w:rsidRPr="004F5FB4">
        <w:rPr>
          <w:color w:val="000000"/>
        </w:rPr>
        <w:t>104 aufrechterhalten (siehe Tabelle</w:t>
      </w:r>
      <w:r w:rsidR="00380901" w:rsidRPr="004F5FB4">
        <w:rPr>
          <w:color w:val="000000"/>
        </w:rPr>
        <w:t> </w:t>
      </w:r>
      <w:r w:rsidR="00C34252">
        <w:rPr>
          <w:color w:val="000000"/>
        </w:rPr>
        <w:t>9</w:t>
      </w:r>
      <w:r w:rsidRPr="004F5FB4">
        <w:rPr>
          <w:color w:val="000000"/>
        </w:rPr>
        <w:t xml:space="preserve">). </w:t>
      </w:r>
    </w:p>
    <w:p w14:paraId="32FB4283" w14:textId="77777777" w:rsidR="00C46587" w:rsidRPr="004F5FB4" w:rsidRDefault="00C46587" w:rsidP="00982118">
      <w:pPr>
        <w:rPr>
          <w:color w:val="000000"/>
        </w:rPr>
      </w:pPr>
    </w:p>
    <w:p w14:paraId="6C336132" w14:textId="77777777" w:rsidR="00534661" w:rsidRPr="00CA7719" w:rsidRDefault="00F811FC" w:rsidP="00CA7719">
      <w:pPr>
        <w:pStyle w:val="BodyText"/>
        <w:widowControl/>
        <w:kinsoku w:val="0"/>
        <w:overflowPunct w:val="0"/>
        <w:ind w:left="0"/>
        <w:rPr>
          <w:b/>
          <w:color w:val="000000"/>
        </w:rPr>
      </w:pPr>
      <w:r w:rsidRPr="00CA7719">
        <w:rPr>
          <w:b/>
          <w:color w:val="000000"/>
        </w:rPr>
        <w:t>Tabelle</w:t>
      </w:r>
      <w:r w:rsidR="00C34252">
        <w:rPr>
          <w:b/>
          <w:color w:val="000000"/>
        </w:rPr>
        <w:t> 9</w:t>
      </w:r>
    </w:p>
    <w:p w14:paraId="0A24B18E" w14:textId="77777777" w:rsidR="00F811FC" w:rsidRPr="00CA7719" w:rsidRDefault="00F811FC" w:rsidP="00CA7719">
      <w:pPr>
        <w:pStyle w:val="BodyText"/>
        <w:widowControl/>
        <w:kinsoku w:val="0"/>
        <w:overflowPunct w:val="0"/>
        <w:ind w:left="0"/>
        <w:rPr>
          <w:b/>
          <w:color w:val="000000"/>
        </w:rPr>
      </w:pPr>
      <w:r w:rsidRPr="00CA7719">
        <w:rPr>
          <w:b/>
          <w:color w:val="000000"/>
        </w:rPr>
        <w:t>ACR-Ansprechraten in der RA-Studie V (prozentualer Anteil der Patienten)</w:t>
      </w:r>
    </w:p>
    <w:p w14:paraId="3CBC47C3" w14:textId="77777777" w:rsidR="00C46587" w:rsidRPr="004F5FB4" w:rsidRDefault="00C46587" w:rsidP="00982118">
      <w:pPr>
        <w:keepNext/>
        <w:rPr>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164"/>
        <w:gridCol w:w="1536"/>
        <w:gridCol w:w="2070"/>
        <w:gridCol w:w="1020"/>
        <w:gridCol w:w="1110"/>
        <w:gridCol w:w="1110"/>
      </w:tblGrid>
      <w:tr w:rsidR="00F811FC" w:rsidRPr="004F5FB4" w14:paraId="03332866" w14:textId="77777777" w:rsidTr="00F811FC">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1E19E001" w14:textId="77777777" w:rsidR="00F811FC" w:rsidRPr="004F5FB4" w:rsidRDefault="00F811FC" w:rsidP="00982118">
            <w:pPr>
              <w:keepNext/>
              <w:jc w:val="center"/>
              <w:rPr>
                <w:b/>
                <w:color w:val="000000"/>
              </w:rPr>
            </w:pPr>
            <w:r w:rsidRPr="004F5FB4">
              <w:rPr>
                <w:b/>
                <w:color w:val="000000"/>
              </w:rPr>
              <w:t>Ansprechen</w:t>
            </w:r>
          </w:p>
        </w:tc>
        <w:tc>
          <w:tcPr>
            <w:tcW w:w="1164" w:type="dxa"/>
            <w:tcBorders>
              <w:top w:val="single" w:sz="4" w:space="0" w:color="auto"/>
              <w:left w:val="single" w:sz="4" w:space="0" w:color="auto"/>
              <w:bottom w:val="single" w:sz="4" w:space="0" w:color="auto"/>
              <w:right w:val="single" w:sz="4" w:space="0" w:color="auto"/>
            </w:tcBorders>
            <w:hideMark/>
          </w:tcPr>
          <w:p w14:paraId="61B349DF" w14:textId="77777777" w:rsidR="00F811FC" w:rsidRPr="004F5FB4" w:rsidRDefault="00F811FC" w:rsidP="000079DD">
            <w:pPr>
              <w:keepNext/>
              <w:jc w:val="center"/>
              <w:rPr>
                <w:b/>
                <w:color w:val="000000"/>
              </w:rPr>
            </w:pPr>
            <w:r w:rsidRPr="004F5FB4">
              <w:rPr>
                <w:b/>
                <w:color w:val="000000"/>
              </w:rPr>
              <w:t>Methotrexat (MTX)</w:t>
            </w:r>
          </w:p>
          <w:p w14:paraId="3625E31A" w14:textId="77777777" w:rsidR="00F811FC" w:rsidRPr="004F5FB4" w:rsidRDefault="00F811FC" w:rsidP="000079DD">
            <w:pPr>
              <w:keepNext/>
              <w:jc w:val="center"/>
              <w:rPr>
                <w:b/>
                <w:color w:val="000000"/>
              </w:rPr>
            </w:pPr>
            <w:r w:rsidRPr="004F5FB4">
              <w:rPr>
                <w:b/>
                <w:color w:val="000000"/>
              </w:rPr>
              <w:t>n</w:t>
            </w:r>
            <w:r w:rsidR="00534661" w:rsidRPr="004F5FB4">
              <w:rPr>
                <w:b/>
                <w:color w:val="000000"/>
              </w:rPr>
              <w:t> </w:t>
            </w:r>
            <w:r w:rsidRPr="004F5FB4">
              <w:rPr>
                <w:b/>
                <w:color w:val="000000"/>
              </w:rPr>
              <w:t>= 257</w:t>
            </w:r>
          </w:p>
        </w:tc>
        <w:tc>
          <w:tcPr>
            <w:tcW w:w="1536" w:type="dxa"/>
            <w:tcBorders>
              <w:top w:val="single" w:sz="4" w:space="0" w:color="auto"/>
              <w:left w:val="single" w:sz="4" w:space="0" w:color="auto"/>
              <w:bottom w:val="single" w:sz="4" w:space="0" w:color="auto"/>
              <w:right w:val="single" w:sz="4" w:space="0" w:color="auto"/>
            </w:tcBorders>
            <w:hideMark/>
          </w:tcPr>
          <w:p w14:paraId="66863648" w14:textId="77777777" w:rsidR="00F811FC" w:rsidRPr="004F5FB4" w:rsidRDefault="00F811FC" w:rsidP="000079DD">
            <w:pPr>
              <w:keepNext/>
              <w:jc w:val="center"/>
              <w:rPr>
                <w:b/>
                <w:color w:val="000000"/>
              </w:rPr>
            </w:pPr>
            <w:r w:rsidRPr="004F5FB4">
              <w:rPr>
                <w:b/>
                <w:color w:val="000000"/>
              </w:rPr>
              <w:t>Adalimumab</w:t>
            </w:r>
          </w:p>
          <w:p w14:paraId="45DD6031" w14:textId="77777777" w:rsidR="00F811FC" w:rsidRPr="004F5FB4" w:rsidRDefault="00F811FC" w:rsidP="000079DD">
            <w:pPr>
              <w:keepNext/>
              <w:jc w:val="center"/>
              <w:rPr>
                <w:b/>
                <w:color w:val="000000"/>
              </w:rPr>
            </w:pPr>
            <w:r w:rsidRPr="004F5FB4">
              <w:rPr>
                <w:b/>
                <w:color w:val="000000"/>
              </w:rPr>
              <w:t>n = 274</w:t>
            </w:r>
          </w:p>
        </w:tc>
        <w:tc>
          <w:tcPr>
            <w:tcW w:w="2070" w:type="dxa"/>
            <w:tcBorders>
              <w:top w:val="single" w:sz="4" w:space="0" w:color="auto"/>
              <w:left w:val="single" w:sz="4" w:space="0" w:color="auto"/>
              <w:bottom w:val="single" w:sz="4" w:space="0" w:color="auto"/>
              <w:right w:val="single" w:sz="4" w:space="0" w:color="auto"/>
            </w:tcBorders>
            <w:hideMark/>
          </w:tcPr>
          <w:p w14:paraId="58C01130" w14:textId="77777777" w:rsidR="00F811FC" w:rsidRPr="004F5FB4" w:rsidRDefault="00F811FC" w:rsidP="000079DD">
            <w:pPr>
              <w:keepNext/>
              <w:jc w:val="center"/>
              <w:rPr>
                <w:b/>
                <w:color w:val="000000"/>
              </w:rPr>
            </w:pPr>
            <w:r w:rsidRPr="004F5FB4">
              <w:rPr>
                <w:b/>
                <w:color w:val="000000"/>
              </w:rPr>
              <w:t>Adalimumab/MTX</w:t>
            </w:r>
          </w:p>
          <w:p w14:paraId="5B605306" w14:textId="77777777" w:rsidR="00F811FC" w:rsidRPr="004F5FB4" w:rsidRDefault="00F811FC" w:rsidP="000079DD">
            <w:pPr>
              <w:keepNext/>
              <w:jc w:val="center"/>
              <w:rPr>
                <w:b/>
                <w:color w:val="000000"/>
              </w:rPr>
            </w:pPr>
            <w:r w:rsidRPr="004F5FB4">
              <w:rPr>
                <w:b/>
                <w:color w:val="000000"/>
              </w:rPr>
              <w:t>n = 268</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95DFF4C" w14:textId="77777777" w:rsidR="00F811FC" w:rsidRPr="004F5FB4" w:rsidRDefault="00F811FC" w:rsidP="000079DD">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4617D296" w14:textId="77777777" w:rsidR="00F811FC" w:rsidRPr="004F5FB4" w:rsidRDefault="00F811FC" w:rsidP="000079DD">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AF6A561" w14:textId="77777777" w:rsidR="00F811FC" w:rsidRPr="004F5FB4" w:rsidRDefault="00F811FC" w:rsidP="000079DD">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c</w:t>
            </w:r>
          </w:p>
        </w:tc>
      </w:tr>
      <w:tr w:rsidR="00B8172B" w:rsidRPr="004F5FB4" w14:paraId="3E4A6D25"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5CA18055" w14:textId="77777777" w:rsidR="00C46587" w:rsidRPr="004F5FB4" w:rsidRDefault="00C46587" w:rsidP="00982118">
            <w:pPr>
              <w:keepNext/>
              <w:rPr>
                <w:color w:val="000000"/>
              </w:rPr>
            </w:pPr>
            <w:r w:rsidRPr="004F5FB4">
              <w:rPr>
                <w:color w:val="000000"/>
              </w:rPr>
              <w:t>ACR-20</w:t>
            </w:r>
          </w:p>
        </w:tc>
        <w:tc>
          <w:tcPr>
            <w:tcW w:w="1164" w:type="dxa"/>
            <w:tcBorders>
              <w:top w:val="single" w:sz="4" w:space="0" w:color="auto"/>
              <w:left w:val="single" w:sz="4" w:space="0" w:color="auto"/>
              <w:bottom w:val="single" w:sz="4" w:space="0" w:color="auto"/>
              <w:right w:val="single" w:sz="4" w:space="0" w:color="auto"/>
            </w:tcBorders>
          </w:tcPr>
          <w:p w14:paraId="3AC52E53" w14:textId="77777777" w:rsidR="00C46587" w:rsidRPr="004F5FB4" w:rsidRDefault="00C46587" w:rsidP="00982118">
            <w:pPr>
              <w:keepNext/>
              <w:jc w:val="center"/>
              <w:rPr>
                <w:color w:val="000000"/>
                <w:lang w:val="en-GB"/>
              </w:rPr>
            </w:pPr>
          </w:p>
        </w:tc>
        <w:tc>
          <w:tcPr>
            <w:tcW w:w="1536" w:type="dxa"/>
            <w:tcBorders>
              <w:top w:val="single" w:sz="4" w:space="0" w:color="auto"/>
              <w:left w:val="single" w:sz="4" w:space="0" w:color="auto"/>
              <w:bottom w:val="single" w:sz="4" w:space="0" w:color="auto"/>
              <w:right w:val="single" w:sz="4" w:space="0" w:color="auto"/>
            </w:tcBorders>
          </w:tcPr>
          <w:p w14:paraId="398EF0C8" w14:textId="77777777" w:rsidR="00C46587" w:rsidRPr="004F5FB4" w:rsidRDefault="00C46587" w:rsidP="00982118">
            <w:pPr>
              <w:keepNext/>
              <w:jc w:val="center"/>
              <w:rPr>
                <w:color w:val="000000"/>
                <w:lang w:val="en-GB"/>
              </w:rPr>
            </w:pPr>
          </w:p>
        </w:tc>
        <w:tc>
          <w:tcPr>
            <w:tcW w:w="2070" w:type="dxa"/>
            <w:tcBorders>
              <w:top w:val="single" w:sz="4" w:space="0" w:color="auto"/>
              <w:left w:val="single" w:sz="4" w:space="0" w:color="auto"/>
              <w:bottom w:val="single" w:sz="4" w:space="0" w:color="auto"/>
              <w:right w:val="single" w:sz="4" w:space="0" w:color="auto"/>
            </w:tcBorders>
          </w:tcPr>
          <w:p w14:paraId="3BB7FF33" w14:textId="77777777" w:rsidR="00C46587" w:rsidRPr="004F5FB4" w:rsidRDefault="00C46587" w:rsidP="00982118">
            <w:pPr>
              <w:keepNext/>
              <w:jc w:val="center"/>
              <w:rPr>
                <w:color w:val="000000"/>
                <w:lang w:val="en-GB"/>
              </w:rPr>
            </w:pPr>
          </w:p>
        </w:tc>
        <w:tc>
          <w:tcPr>
            <w:tcW w:w="1020" w:type="dxa"/>
            <w:tcBorders>
              <w:top w:val="single" w:sz="4" w:space="0" w:color="auto"/>
              <w:left w:val="single" w:sz="4" w:space="0" w:color="auto"/>
              <w:bottom w:val="single" w:sz="4" w:space="0" w:color="auto"/>
              <w:right w:val="single" w:sz="4" w:space="0" w:color="auto"/>
            </w:tcBorders>
          </w:tcPr>
          <w:p w14:paraId="1CC61980" w14:textId="77777777" w:rsidR="00C46587" w:rsidRPr="004F5FB4" w:rsidRDefault="00C46587" w:rsidP="00982118">
            <w:pPr>
              <w:keepNext/>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76CD1265" w14:textId="77777777" w:rsidR="00C46587" w:rsidRPr="004F5FB4" w:rsidRDefault="00C46587" w:rsidP="00982118">
            <w:pPr>
              <w:keepNext/>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3447B729" w14:textId="77777777" w:rsidR="00C46587" w:rsidRPr="004F5FB4" w:rsidRDefault="00C46587" w:rsidP="00982118">
            <w:pPr>
              <w:keepNext/>
              <w:jc w:val="center"/>
              <w:rPr>
                <w:color w:val="000000"/>
                <w:lang w:val="en-GB"/>
              </w:rPr>
            </w:pPr>
          </w:p>
        </w:tc>
      </w:tr>
      <w:tr w:rsidR="00B8172B" w:rsidRPr="004F5FB4" w14:paraId="0AFD25A1"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484A08B2" w14:textId="77777777" w:rsidR="00C46587" w:rsidRPr="004F5FB4" w:rsidRDefault="00C46587" w:rsidP="00982118">
            <w:pPr>
              <w:keepNext/>
              <w:ind w:left="270"/>
              <w:rPr>
                <w:color w:val="000000"/>
              </w:rPr>
            </w:pPr>
            <w:r w:rsidRPr="004F5FB4">
              <w:rPr>
                <w:color w:val="000000"/>
              </w:rPr>
              <w:t>Woche</w:t>
            </w:r>
            <w:r w:rsidR="00380901" w:rsidRPr="004F5FB4">
              <w:rPr>
                <w:color w:val="000000"/>
              </w:rPr>
              <w:t> </w:t>
            </w:r>
            <w:r w:rsidRPr="004F5FB4">
              <w:rPr>
                <w:color w:val="000000"/>
              </w:rPr>
              <w:t>52</w:t>
            </w:r>
          </w:p>
        </w:tc>
        <w:tc>
          <w:tcPr>
            <w:tcW w:w="1164" w:type="dxa"/>
            <w:tcBorders>
              <w:top w:val="single" w:sz="4" w:space="0" w:color="auto"/>
              <w:left w:val="single" w:sz="4" w:space="0" w:color="auto"/>
              <w:bottom w:val="single" w:sz="4" w:space="0" w:color="auto"/>
              <w:right w:val="single" w:sz="4" w:space="0" w:color="auto"/>
            </w:tcBorders>
            <w:hideMark/>
          </w:tcPr>
          <w:p w14:paraId="5B3C6FDA" w14:textId="77777777" w:rsidR="00C46587" w:rsidRPr="004F5FB4" w:rsidRDefault="00C46587" w:rsidP="00982118">
            <w:pPr>
              <w:keepNext/>
              <w:jc w:val="center"/>
              <w:rPr>
                <w:color w:val="000000"/>
              </w:rPr>
            </w:pPr>
            <w:r w:rsidRPr="004F5FB4">
              <w:rPr>
                <w:color w:val="000000"/>
              </w:rPr>
              <w:t>62,6 %</w:t>
            </w:r>
          </w:p>
        </w:tc>
        <w:tc>
          <w:tcPr>
            <w:tcW w:w="1536" w:type="dxa"/>
            <w:tcBorders>
              <w:top w:val="single" w:sz="4" w:space="0" w:color="auto"/>
              <w:left w:val="single" w:sz="4" w:space="0" w:color="auto"/>
              <w:bottom w:val="single" w:sz="4" w:space="0" w:color="auto"/>
              <w:right w:val="single" w:sz="4" w:space="0" w:color="auto"/>
            </w:tcBorders>
            <w:hideMark/>
          </w:tcPr>
          <w:p w14:paraId="389BDA35" w14:textId="77777777" w:rsidR="00C46587" w:rsidRPr="004F5FB4" w:rsidRDefault="00C46587" w:rsidP="00982118">
            <w:pPr>
              <w:keepNext/>
              <w:jc w:val="center"/>
              <w:rPr>
                <w:color w:val="000000"/>
              </w:rPr>
            </w:pPr>
            <w:r w:rsidRPr="004F5FB4">
              <w:rPr>
                <w:color w:val="000000"/>
              </w:rPr>
              <w:t>54,4 %</w:t>
            </w:r>
          </w:p>
        </w:tc>
        <w:tc>
          <w:tcPr>
            <w:tcW w:w="2070" w:type="dxa"/>
            <w:tcBorders>
              <w:top w:val="single" w:sz="4" w:space="0" w:color="auto"/>
              <w:left w:val="single" w:sz="4" w:space="0" w:color="auto"/>
              <w:bottom w:val="single" w:sz="4" w:space="0" w:color="auto"/>
              <w:right w:val="single" w:sz="4" w:space="0" w:color="auto"/>
            </w:tcBorders>
            <w:hideMark/>
          </w:tcPr>
          <w:p w14:paraId="4E0EFF31" w14:textId="77777777" w:rsidR="00C46587" w:rsidRPr="004F5FB4" w:rsidRDefault="00C46587" w:rsidP="00982118">
            <w:pPr>
              <w:keepNext/>
              <w:jc w:val="center"/>
              <w:rPr>
                <w:color w:val="000000"/>
              </w:rPr>
            </w:pPr>
            <w:r w:rsidRPr="004F5FB4">
              <w:rPr>
                <w:color w:val="000000"/>
              </w:rPr>
              <w:t>72,8 %</w:t>
            </w:r>
          </w:p>
        </w:tc>
        <w:tc>
          <w:tcPr>
            <w:tcW w:w="1020" w:type="dxa"/>
            <w:tcBorders>
              <w:top w:val="single" w:sz="4" w:space="0" w:color="auto"/>
              <w:left w:val="single" w:sz="4" w:space="0" w:color="auto"/>
              <w:bottom w:val="single" w:sz="4" w:space="0" w:color="auto"/>
              <w:right w:val="single" w:sz="4" w:space="0" w:color="auto"/>
            </w:tcBorders>
            <w:hideMark/>
          </w:tcPr>
          <w:p w14:paraId="3060CFC5" w14:textId="77777777" w:rsidR="00C46587" w:rsidRPr="004F5FB4" w:rsidRDefault="00C46587" w:rsidP="00982118">
            <w:pPr>
              <w:keepNext/>
              <w:jc w:val="center"/>
              <w:rPr>
                <w:color w:val="000000"/>
              </w:rPr>
            </w:pPr>
            <w:r w:rsidRPr="004F5FB4">
              <w:rPr>
                <w:color w:val="000000"/>
              </w:rPr>
              <w:t>0,013</w:t>
            </w:r>
          </w:p>
        </w:tc>
        <w:tc>
          <w:tcPr>
            <w:tcW w:w="1110" w:type="dxa"/>
            <w:tcBorders>
              <w:top w:val="single" w:sz="4" w:space="0" w:color="auto"/>
              <w:left w:val="single" w:sz="4" w:space="0" w:color="auto"/>
              <w:bottom w:val="single" w:sz="4" w:space="0" w:color="auto"/>
              <w:right w:val="single" w:sz="4" w:space="0" w:color="auto"/>
            </w:tcBorders>
            <w:hideMark/>
          </w:tcPr>
          <w:p w14:paraId="0D0F91A9" w14:textId="77777777" w:rsidR="00C46587" w:rsidRPr="004F5FB4" w:rsidRDefault="00C46587" w:rsidP="00982118">
            <w:pPr>
              <w:keepNext/>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2953B2C0" w14:textId="77777777" w:rsidR="00C46587" w:rsidRPr="004F5FB4" w:rsidRDefault="00C46587" w:rsidP="00982118">
            <w:pPr>
              <w:keepNext/>
              <w:jc w:val="center"/>
              <w:rPr>
                <w:color w:val="000000"/>
              </w:rPr>
            </w:pPr>
            <w:r w:rsidRPr="004F5FB4">
              <w:rPr>
                <w:color w:val="000000"/>
              </w:rPr>
              <w:t>0,043</w:t>
            </w:r>
          </w:p>
        </w:tc>
      </w:tr>
      <w:tr w:rsidR="00B8172B" w:rsidRPr="004F5FB4" w14:paraId="4109E5A2"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2C99359B" w14:textId="77777777" w:rsidR="00C46587" w:rsidRPr="004F5FB4" w:rsidRDefault="00C46587" w:rsidP="00982118">
            <w:pPr>
              <w:ind w:left="270"/>
              <w:rPr>
                <w:color w:val="000000"/>
              </w:rPr>
            </w:pPr>
            <w:r w:rsidRPr="004F5FB4">
              <w:rPr>
                <w:color w:val="000000"/>
              </w:rPr>
              <w:t>Woche</w:t>
            </w:r>
            <w:r w:rsidR="00380901" w:rsidRPr="004F5FB4">
              <w:rPr>
                <w:color w:val="000000"/>
              </w:rPr>
              <w:t> </w:t>
            </w:r>
            <w:r w:rsidRPr="004F5FB4">
              <w:rPr>
                <w:color w:val="000000"/>
              </w:rPr>
              <w:t>104</w:t>
            </w:r>
          </w:p>
        </w:tc>
        <w:tc>
          <w:tcPr>
            <w:tcW w:w="1164" w:type="dxa"/>
            <w:tcBorders>
              <w:top w:val="single" w:sz="4" w:space="0" w:color="auto"/>
              <w:left w:val="single" w:sz="4" w:space="0" w:color="auto"/>
              <w:bottom w:val="single" w:sz="4" w:space="0" w:color="auto"/>
              <w:right w:val="single" w:sz="4" w:space="0" w:color="auto"/>
            </w:tcBorders>
            <w:hideMark/>
          </w:tcPr>
          <w:p w14:paraId="0CAA43EB" w14:textId="77777777" w:rsidR="00C46587" w:rsidRPr="004F5FB4" w:rsidRDefault="00C46587" w:rsidP="00982118">
            <w:pPr>
              <w:jc w:val="center"/>
              <w:rPr>
                <w:color w:val="000000"/>
              </w:rPr>
            </w:pPr>
            <w:r w:rsidRPr="004F5FB4">
              <w:rPr>
                <w:color w:val="000000"/>
              </w:rPr>
              <w:t>56,0 %</w:t>
            </w:r>
          </w:p>
        </w:tc>
        <w:tc>
          <w:tcPr>
            <w:tcW w:w="1536" w:type="dxa"/>
            <w:tcBorders>
              <w:top w:val="single" w:sz="4" w:space="0" w:color="auto"/>
              <w:left w:val="single" w:sz="4" w:space="0" w:color="auto"/>
              <w:bottom w:val="single" w:sz="4" w:space="0" w:color="auto"/>
              <w:right w:val="single" w:sz="4" w:space="0" w:color="auto"/>
            </w:tcBorders>
            <w:hideMark/>
          </w:tcPr>
          <w:p w14:paraId="7AFC4238" w14:textId="77777777" w:rsidR="00C46587" w:rsidRPr="004F5FB4" w:rsidRDefault="00C46587" w:rsidP="00982118">
            <w:pPr>
              <w:jc w:val="center"/>
              <w:rPr>
                <w:color w:val="000000"/>
              </w:rPr>
            </w:pPr>
            <w:r w:rsidRPr="004F5FB4">
              <w:rPr>
                <w:color w:val="000000"/>
              </w:rPr>
              <w:t>49,3 %</w:t>
            </w:r>
          </w:p>
        </w:tc>
        <w:tc>
          <w:tcPr>
            <w:tcW w:w="2070" w:type="dxa"/>
            <w:tcBorders>
              <w:top w:val="single" w:sz="4" w:space="0" w:color="auto"/>
              <w:left w:val="single" w:sz="4" w:space="0" w:color="auto"/>
              <w:bottom w:val="single" w:sz="4" w:space="0" w:color="auto"/>
              <w:right w:val="single" w:sz="4" w:space="0" w:color="auto"/>
            </w:tcBorders>
            <w:hideMark/>
          </w:tcPr>
          <w:p w14:paraId="3A8552DC" w14:textId="77777777" w:rsidR="00C46587" w:rsidRPr="004F5FB4" w:rsidRDefault="00C46587" w:rsidP="00982118">
            <w:pPr>
              <w:jc w:val="center"/>
              <w:rPr>
                <w:color w:val="000000"/>
              </w:rPr>
            </w:pPr>
            <w:r w:rsidRPr="004F5FB4">
              <w:rPr>
                <w:color w:val="000000"/>
              </w:rPr>
              <w:t>69,4 %</w:t>
            </w:r>
          </w:p>
        </w:tc>
        <w:tc>
          <w:tcPr>
            <w:tcW w:w="1020" w:type="dxa"/>
            <w:tcBorders>
              <w:top w:val="single" w:sz="4" w:space="0" w:color="auto"/>
              <w:left w:val="single" w:sz="4" w:space="0" w:color="auto"/>
              <w:bottom w:val="single" w:sz="4" w:space="0" w:color="auto"/>
              <w:right w:val="single" w:sz="4" w:space="0" w:color="auto"/>
            </w:tcBorders>
            <w:hideMark/>
          </w:tcPr>
          <w:p w14:paraId="27C886C8" w14:textId="77777777" w:rsidR="00C46587" w:rsidRPr="004F5FB4" w:rsidRDefault="00C46587" w:rsidP="00982118">
            <w:pPr>
              <w:jc w:val="center"/>
              <w:rPr>
                <w:color w:val="000000"/>
              </w:rPr>
            </w:pPr>
            <w:r w:rsidRPr="004F5FB4">
              <w:rPr>
                <w:color w:val="000000"/>
              </w:rPr>
              <w:t>0,002</w:t>
            </w:r>
          </w:p>
        </w:tc>
        <w:tc>
          <w:tcPr>
            <w:tcW w:w="1110" w:type="dxa"/>
            <w:tcBorders>
              <w:top w:val="single" w:sz="4" w:space="0" w:color="auto"/>
              <w:left w:val="single" w:sz="4" w:space="0" w:color="auto"/>
              <w:bottom w:val="single" w:sz="4" w:space="0" w:color="auto"/>
              <w:right w:val="single" w:sz="4" w:space="0" w:color="auto"/>
            </w:tcBorders>
            <w:hideMark/>
          </w:tcPr>
          <w:p w14:paraId="52E77DB9"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15CEFE99" w14:textId="77777777" w:rsidR="00C46587" w:rsidRPr="004F5FB4" w:rsidRDefault="00C46587" w:rsidP="00982118">
            <w:pPr>
              <w:jc w:val="center"/>
              <w:rPr>
                <w:color w:val="000000"/>
              </w:rPr>
            </w:pPr>
            <w:r w:rsidRPr="004F5FB4">
              <w:rPr>
                <w:color w:val="000000"/>
              </w:rPr>
              <w:t>0,140</w:t>
            </w:r>
          </w:p>
        </w:tc>
      </w:tr>
      <w:tr w:rsidR="00B8172B" w:rsidRPr="004F5FB4" w14:paraId="068BAEC7"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33BB5E94" w14:textId="77777777" w:rsidR="00C46587" w:rsidRPr="004F5FB4" w:rsidRDefault="00C46587" w:rsidP="00982118">
            <w:pPr>
              <w:rPr>
                <w:color w:val="000000"/>
              </w:rPr>
            </w:pPr>
            <w:r w:rsidRPr="004F5FB4">
              <w:rPr>
                <w:color w:val="000000"/>
              </w:rPr>
              <w:t>ACR-50</w:t>
            </w:r>
          </w:p>
        </w:tc>
        <w:tc>
          <w:tcPr>
            <w:tcW w:w="1164" w:type="dxa"/>
            <w:tcBorders>
              <w:top w:val="single" w:sz="4" w:space="0" w:color="auto"/>
              <w:left w:val="single" w:sz="4" w:space="0" w:color="auto"/>
              <w:bottom w:val="single" w:sz="4" w:space="0" w:color="auto"/>
              <w:right w:val="single" w:sz="4" w:space="0" w:color="auto"/>
            </w:tcBorders>
          </w:tcPr>
          <w:p w14:paraId="36282EBB" w14:textId="77777777" w:rsidR="00C46587" w:rsidRPr="004F5FB4" w:rsidRDefault="00C46587" w:rsidP="00982118">
            <w:pPr>
              <w:jc w:val="center"/>
              <w:rPr>
                <w:color w:val="000000"/>
                <w:lang w:val="en-GB"/>
              </w:rPr>
            </w:pPr>
          </w:p>
        </w:tc>
        <w:tc>
          <w:tcPr>
            <w:tcW w:w="1536" w:type="dxa"/>
            <w:tcBorders>
              <w:top w:val="single" w:sz="4" w:space="0" w:color="auto"/>
              <w:left w:val="single" w:sz="4" w:space="0" w:color="auto"/>
              <w:bottom w:val="single" w:sz="4" w:space="0" w:color="auto"/>
              <w:right w:val="single" w:sz="4" w:space="0" w:color="auto"/>
            </w:tcBorders>
          </w:tcPr>
          <w:p w14:paraId="3E95830A" w14:textId="77777777" w:rsidR="00C46587" w:rsidRPr="004F5FB4" w:rsidRDefault="00C46587" w:rsidP="00982118">
            <w:pPr>
              <w:jc w:val="center"/>
              <w:rPr>
                <w:color w:val="000000"/>
                <w:lang w:val="en-GB"/>
              </w:rPr>
            </w:pPr>
          </w:p>
        </w:tc>
        <w:tc>
          <w:tcPr>
            <w:tcW w:w="2070" w:type="dxa"/>
            <w:tcBorders>
              <w:top w:val="single" w:sz="4" w:space="0" w:color="auto"/>
              <w:left w:val="single" w:sz="4" w:space="0" w:color="auto"/>
              <w:bottom w:val="single" w:sz="4" w:space="0" w:color="auto"/>
              <w:right w:val="single" w:sz="4" w:space="0" w:color="auto"/>
            </w:tcBorders>
          </w:tcPr>
          <w:p w14:paraId="08D0FEF0" w14:textId="77777777" w:rsidR="00C46587" w:rsidRPr="004F5FB4" w:rsidRDefault="00C46587" w:rsidP="00982118">
            <w:pPr>
              <w:jc w:val="center"/>
              <w:rPr>
                <w:color w:val="000000"/>
                <w:lang w:val="en-GB"/>
              </w:rPr>
            </w:pPr>
          </w:p>
        </w:tc>
        <w:tc>
          <w:tcPr>
            <w:tcW w:w="1020" w:type="dxa"/>
            <w:tcBorders>
              <w:top w:val="single" w:sz="4" w:space="0" w:color="auto"/>
              <w:left w:val="single" w:sz="4" w:space="0" w:color="auto"/>
              <w:bottom w:val="single" w:sz="4" w:space="0" w:color="auto"/>
              <w:right w:val="single" w:sz="4" w:space="0" w:color="auto"/>
            </w:tcBorders>
          </w:tcPr>
          <w:p w14:paraId="54D0EAAB" w14:textId="77777777" w:rsidR="00C46587" w:rsidRPr="004F5FB4" w:rsidRDefault="00C46587" w:rsidP="00982118">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6DC785C6" w14:textId="77777777" w:rsidR="00C46587" w:rsidRPr="004F5FB4" w:rsidRDefault="00C46587" w:rsidP="00982118">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1A63ED1A" w14:textId="77777777" w:rsidR="00C46587" w:rsidRPr="004F5FB4" w:rsidRDefault="00C46587" w:rsidP="00982118">
            <w:pPr>
              <w:jc w:val="center"/>
              <w:rPr>
                <w:color w:val="000000"/>
                <w:lang w:val="en-GB"/>
              </w:rPr>
            </w:pPr>
          </w:p>
        </w:tc>
      </w:tr>
      <w:tr w:rsidR="00B8172B" w:rsidRPr="004F5FB4" w14:paraId="59D5F635"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37BCC1D7" w14:textId="77777777" w:rsidR="00C46587" w:rsidRPr="004F5FB4" w:rsidRDefault="00C46587" w:rsidP="00982118">
            <w:pPr>
              <w:ind w:left="270"/>
              <w:rPr>
                <w:color w:val="000000"/>
              </w:rPr>
            </w:pPr>
            <w:r w:rsidRPr="004F5FB4">
              <w:rPr>
                <w:color w:val="000000"/>
              </w:rPr>
              <w:t>Woche</w:t>
            </w:r>
            <w:r w:rsidR="00380901" w:rsidRPr="004F5FB4">
              <w:rPr>
                <w:color w:val="000000"/>
              </w:rPr>
              <w:t> </w:t>
            </w:r>
            <w:r w:rsidRPr="004F5FB4">
              <w:rPr>
                <w:color w:val="000000"/>
              </w:rPr>
              <w:t>52</w:t>
            </w:r>
          </w:p>
        </w:tc>
        <w:tc>
          <w:tcPr>
            <w:tcW w:w="1164" w:type="dxa"/>
            <w:tcBorders>
              <w:top w:val="single" w:sz="4" w:space="0" w:color="auto"/>
              <w:left w:val="single" w:sz="4" w:space="0" w:color="auto"/>
              <w:bottom w:val="single" w:sz="4" w:space="0" w:color="auto"/>
              <w:right w:val="single" w:sz="4" w:space="0" w:color="auto"/>
            </w:tcBorders>
            <w:hideMark/>
          </w:tcPr>
          <w:p w14:paraId="5F651BC3" w14:textId="77777777" w:rsidR="00C46587" w:rsidRPr="004F5FB4" w:rsidRDefault="00C46587" w:rsidP="00982118">
            <w:pPr>
              <w:jc w:val="center"/>
              <w:rPr>
                <w:color w:val="000000"/>
              </w:rPr>
            </w:pPr>
            <w:r w:rsidRPr="004F5FB4">
              <w:rPr>
                <w:color w:val="000000"/>
              </w:rPr>
              <w:t>45,9 %</w:t>
            </w:r>
          </w:p>
        </w:tc>
        <w:tc>
          <w:tcPr>
            <w:tcW w:w="1536" w:type="dxa"/>
            <w:tcBorders>
              <w:top w:val="single" w:sz="4" w:space="0" w:color="auto"/>
              <w:left w:val="single" w:sz="4" w:space="0" w:color="auto"/>
              <w:bottom w:val="single" w:sz="4" w:space="0" w:color="auto"/>
              <w:right w:val="single" w:sz="4" w:space="0" w:color="auto"/>
            </w:tcBorders>
            <w:hideMark/>
          </w:tcPr>
          <w:p w14:paraId="44E6ECB1" w14:textId="77777777" w:rsidR="00C46587" w:rsidRPr="004F5FB4" w:rsidRDefault="00C46587" w:rsidP="00982118">
            <w:pPr>
              <w:jc w:val="center"/>
              <w:rPr>
                <w:color w:val="000000"/>
              </w:rPr>
            </w:pPr>
            <w:r w:rsidRPr="004F5FB4">
              <w:rPr>
                <w:color w:val="000000"/>
              </w:rPr>
              <w:t>41,2 %</w:t>
            </w:r>
          </w:p>
        </w:tc>
        <w:tc>
          <w:tcPr>
            <w:tcW w:w="2070" w:type="dxa"/>
            <w:tcBorders>
              <w:top w:val="single" w:sz="4" w:space="0" w:color="auto"/>
              <w:left w:val="single" w:sz="4" w:space="0" w:color="auto"/>
              <w:bottom w:val="single" w:sz="4" w:space="0" w:color="auto"/>
              <w:right w:val="single" w:sz="4" w:space="0" w:color="auto"/>
            </w:tcBorders>
            <w:hideMark/>
          </w:tcPr>
          <w:p w14:paraId="6A132EDF" w14:textId="77777777" w:rsidR="00C46587" w:rsidRPr="004F5FB4" w:rsidRDefault="00C46587" w:rsidP="00982118">
            <w:pPr>
              <w:jc w:val="center"/>
              <w:rPr>
                <w:color w:val="000000"/>
              </w:rPr>
            </w:pPr>
            <w:r w:rsidRPr="004F5FB4">
              <w:rPr>
                <w:color w:val="000000"/>
              </w:rPr>
              <w:t>61,6 %</w:t>
            </w:r>
          </w:p>
        </w:tc>
        <w:tc>
          <w:tcPr>
            <w:tcW w:w="1020" w:type="dxa"/>
            <w:tcBorders>
              <w:top w:val="single" w:sz="4" w:space="0" w:color="auto"/>
              <w:left w:val="single" w:sz="4" w:space="0" w:color="auto"/>
              <w:bottom w:val="single" w:sz="4" w:space="0" w:color="auto"/>
              <w:right w:val="single" w:sz="4" w:space="0" w:color="auto"/>
            </w:tcBorders>
            <w:hideMark/>
          </w:tcPr>
          <w:p w14:paraId="7CFA026A"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1E3BA1CF"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70BB3B11" w14:textId="77777777" w:rsidR="00C46587" w:rsidRPr="004F5FB4" w:rsidRDefault="00C46587" w:rsidP="00982118">
            <w:pPr>
              <w:jc w:val="center"/>
              <w:rPr>
                <w:color w:val="000000"/>
              </w:rPr>
            </w:pPr>
            <w:r w:rsidRPr="004F5FB4">
              <w:rPr>
                <w:color w:val="000000"/>
              </w:rPr>
              <w:t>0,317</w:t>
            </w:r>
          </w:p>
        </w:tc>
      </w:tr>
      <w:tr w:rsidR="00B8172B" w:rsidRPr="004F5FB4" w14:paraId="01114BC9"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005332FD" w14:textId="77777777" w:rsidR="00C46587" w:rsidRPr="004F5FB4" w:rsidRDefault="00C46587" w:rsidP="00982118">
            <w:pPr>
              <w:ind w:left="270"/>
              <w:rPr>
                <w:color w:val="000000"/>
              </w:rPr>
            </w:pPr>
            <w:r w:rsidRPr="004F5FB4">
              <w:rPr>
                <w:color w:val="000000"/>
              </w:rPr>
              <w:t>Woche</w:t>
            </w:r>
            <w:r w:rsidR="00380901" w:rsidRPr="004F5FB4">
              <w:rPr>
                <w:color w:val="000000"/>
              </w:rPr>
              <w:t> </w:t>
            </w:r>
            <w:r w:rsidRPr="004F5FB4">
              <w:rPr>
                <w:color w:val="000000"/>
              </w:rPr>
              <w:t>104</w:t>
            </w:r>
          </w:p>
        </w:tc>
        <w:tc>
          <w:tcPr>
            <w:tcW w:w="1164" w:type="dxa"/>
            <w:tcBorders>
              <w:top w:val="single" w:sz="4" w:space="0" w:color="auto"/>
              <w:left w:val="single" w:sz="4" w:space="0" w:color="auto"/>
              <w:bottom w:val="single" w:sz="4" w:space="0" w:color="auto"/>
              <w:right w:val="single" w:sz="4" w:space="0" w:color="auto"/>
            </w:tcBorders>
            <w:hideMark/>
          </w:tcPr>
          <w:p w14:paraId="12D7BE53" w14:textId="77777777" w:rsidR="00C46587" w:rsidRPr="004F5FB4" w:rsidRDefault="00C46587" w:rsidP="00982118">
            <w:pPr>
              <w:jc w:val="center"/>
              <w:rPr>
                <w:color w:val="000000"/>
              </w:rPr>
            </w:pPr>
            <w:r w:rsidRPr="004F5FB4">
              <w:rPr>
                <w:color w:val="000000"/>
              </w:rPr>
              <w:t>42,8 %</w:t>
            </w:r>
          </w:p>
        </w:tc>
        <w:tc>
          <w:tcPr>
            <w:tcW w:w="1536" w:type="dxa"/>
            <w:tcBorders>
              <w:top w:val="single" w:sz="4" w:space="0" w:color="auto"/>
              <w:left w:val="single" w:sz="4" w:space="0" w:color="auto"/>
              <w:bottom w:val="single" w:sz="4" w:space="0" w:color="auto"/>
              <w:right w:val="single" w:sz="4" w:space="0" w:color="auto"/>
            </w:tcBorders>
            <w:hideMark/>
          </w:tcPr>
          <w:p w14:paraId="79AD2249" w14:textId="77777777" w:rsidR="00C46587" w:rsidRPr="004F5FB4" w:rsidRDefault="00C46587" w:rsidP="00982118">
            <w:pPr>
              <w:jc w:val="center"/>
              <w:rPr>
                <w:color w:val="000000"/>
              </w:rPr>
            </w:pPr>
            <w:r w:rsidRPr="004F5FB4">
              <w:rPr>
                <w:color w:val="000000"/>
              </w:rPr>
              <w:t>36,9 %</w:t>
            </w:r>
          </w:p>
        </w:tc>
        <w:tc>
          <w:tcPr>
            <w:tcW w:w="2070" w:type="dxa"/>
            <w:tcBorders>
              <w:top w:val="single" w:sz="4" w:space="0" w:color="auto"/>
              <w:left w:val="single" w:sz="4" w:space="0" w:color="auto"/>
              <w:bottom w:val="single" w:sz="4" w:space="0" w:color="auto"/>
              <w:right w:val="single" w:sz="4" w:space="0" w:color="auto"/>
            </w:tcBorders>
            <w:hideMark/>
          </w:tcPr>
          <w:p w14:paraId="02093235" w14:textId="77777777" w:rsidR="00C46587" w:rsidRPr="004F5FB4" w:rsidRDefault="00C46587" w:rsidP="00982118">
            <w:pPr>
              <w:jc w:val="center"/>
              <w:rPr>
                <w:color w:val="000000"/>
              </w:rPr>
            </w:pPr>
            <w:r w:rsidRPr="004F5FB4">
              <w:rPr>
                <w:color w:val="000000"/>
              </w:rPr>
              <w:t>59,0 %</w:t>
            </w:r>
          </w:p>
        </w:tc>
        <w:tc>
          <w:tcPr>
            <w:tcW w:w="1020" w:type="dxa"/>
            <w:tcBorders>
              <w:top w:val="single" w:sz="4" w:space="0" w:color="auto"/>
              <w:left w:val="single" w:sz="4" w:space="0" w:color="auto"/>
              <w:bottom w:val="single" w:sz="4" w:space="0" w:color="auto"/>
              <w:right w:val="single" w:sz="4" w:space="0" w:color="auto"/>
            </w:tcBorders>
            <w:hideMark/>
          </w:tcPr>
          <w:p w14:paraId="35D7BF4C"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30D28840"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17C1CE3A" w14:textId="77777777" w:rsidR="00C46587" w:rsidRPr="004F5FB4" w:rsidRDefault="00C46587" w:rsidP="00982118">
            <w:pPr>
              <w:jc w:val="center"/>
              <w:rPr>
                <w:color w:val="000000"/>
              </w:rPr>
            </w:pPr>
            <w:r w:rsidRPr="004F5FB4">
              <w:rPr>
                <w:color w:val="000000"/>
              </w:rPr>
              <w:t>0,162</w:t>
            </w:r>
          </w:p>
        </w:tc>
      </w:tr>
      <w:tr w:rsidR="00B8172B" w:rsidRPr="004F5FB4" w14:paraId="3B69DE6D"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0F9500CA" w14:textId="77777777" w:rsidR="00C46587" w:rsidRPr="004F5FB4" w:rsidRDefault="00C46587" w:rsidP="00982118">
            <w:pPr>
              <w:rPr>
                <w:color w:val="000000"/>
              </w:rPr>
            </w:pPr>
            <w:r w:rsidRPr="004F5FB4">
              <w:rPr>
                <w:color w:val="000000"/>
              </w:rPr>
              <w:t>ACR-70</w:t>
            </w:r>
          </w:p>
        </w:tc>
        <w:tc>
          <w:tcPr>
            <w:tcW w:w="1164" w:type="dxa"/>
            <w:tcBorders>
              <w:top w:val="single" w:sz="4" w:space="0" w:color="auto"/>
              <w:left w:val="single" w:sz="4" w:space="0" w:color="auto"/>
              <w:bottom w:val="single" w:sz="4" w:space="0" w:color="auto"/>
              <w:right w:val="single" w:sz="4" w:space="0" w:color="auto"/>
            </w:tcBorders>
          </w:tcPr>
          <w:p w14:paraId="624C03A6" w14:textId="77777777" w:rsidR="00C46587" w:rsidRPr="004F5FB4" w:rsidRDefault="00C46587" w:rsidP="00982118">
            <w:pPr>
              <w:jc w:val="center"/>
              <w:rPr>
                <w:color w:val="000000"/>
                <w:lang w:val="en-GB"/>
              </w:rPr>
            </w:pPr>
          </w:p>
        </w:tc>
        <w:tc>
          <w:tcPr>
            <w:tcW w:w="1536" w:type="dxa"/>
            <w:tcBorders>
              <w:top w:val="single" w:sz="4" w:space="0" w:color="auto"/>
              <w:left w:val="single" w:sz="4" w:space="0" w:color="auto"/>
              <w:bottom w:val="single" w:sz="4" w:space="0" w:color="auto"/>
              <w:right w:val="single" w:sz="4" w:space="0" w:color="auto"/>
            </w:tcBorders>
          </w:tcPr>
          <w:p w14:paraId="1934DA7A" w14:textId="77777777" w:rsidR="00C46587" w:rsidRPr="004F5FB4" w:rsidRDefault="00C46587" w:rsidP="00982118">
            <w:pPr>
              <w:jc w:val="center"/>
              <w:rPr>
                <w:color w:val="000000"/>
                <w:lang w:val="en-GB"/>
              </w:rPr>
            </w:pPr>
          </w:p>
        </w:tc>
        <w:tc>
          <w:tcPr>
            <w:tcW w:w="2070" w:type="dxa"/>
            <w:tcBorders>
              <w:top w:val="single" w:sz="4" w:space="0" w:color="auto"/>
              <w:left w:val="single" w:sz="4" w:space="0" w:color="auto"/>
              <w:bottom w:val="single" w:sz="4" w:space="0" w:color="auto"/>
              <w:right w:val="single" w:sz="4" w:space="0" w:color="auto"/>
            </w:tcBorders>
          </w:tcPr>
          <w:p w14:paraId="1BAE29FA" w14:textId="77777777" w:rsidR="00C46587" w:rsidRPr="004F5FB4" w:rsidRDefault="00C46587" w:rsidP="00982118">
            <w:pPr>
              <w:jc w:val="center"/>
              <w:rPr>
                <w:color w:val="000000"/>
                <w:lang w:val="en-GB"/>
              </w:rPr>
            </w:pPr>
          </w:p>
        </w:tc>
        <w:tc>
          <w:tcPr>
            <w:tcW w:w="1020" w:type="dxa"/>
            <w:tcBorders>
              <w:top w:val="single" w:sz="4" w:space="0" w:color="auto"/>
              <w:left w:val="single" w:sz="4" w:space="0" w:color="auto"/>
              <w:bottom w:val="single" w:sz="4" w:space="0" w:color="auto"/>
              <w:right w:val="single" w:sz="4" w:space="0" w:color="auto"/>
            </w:tcBorders>
          </w:tcPr>
          <w:p w14:paraId="038D2361" w14:textId="77777777" w:rsidR="00C46587" w:rsidRPr="004F5FB4" w:rsidRDefault="00C46587" w:rsidP="00982118">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5893059F" w14:textId="77777777" w:rsidR="00C46587" w:rsidRPr="004F5FB4" w:rsidRDefault="00C46587" w:rsidP="00982118">
            <w:pPr>
              <w:jc w:val="center"/>
              <w:rPr>
                <w:color w:val="000000"/>
                <w:lang w:val="en-GB"/>
              </w:rPr>
            </w:pPr>
          </w:p>
        </w:tc>
        <w:tc>
          <w:tcPr>
            <w:tcW w:w="1110" w:type="dxa"/>
            <w:tcBorders>
              <w:top w:val="single" w:sz="4" w:space="0" w:color="auto"/>
              <w:left w:val="single" w:sz="4" w:space="0" w:color="auto"/>
              <w:bottom w:val="single" w:sz="4" w:space="0" w:color="auto"/>
              <w:right w:val="single" w:sz="4" w:space="0" w:color="auto"/>
            </w:tcBorders>
          </w:tcPr>
          <w:p w14:paraId="1B4B863F" w14:textId="77777777" w:rsidR="00C46587" w:rsidRPr="004F5FB4" w:rsidRDefault="00C46587" w:rsidP="00982118">
            <w:pPr>
              <w:jc w:val="center"/>
              <w:rPr>
                <w:color w:val="000000"/>
                <w:lang w:val="en-GB"/>
              </w:rPr>
            </w:pPr>
          </w:p>
        </w:tc>
      </w:tr>
      <w:tr w:rsidR="00B8172B" w:rsidRPr="004F5FB4" w14:paraId="4CD80E5D"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6786D6A2" w14:textId="77777777" w:rsidR="00C46587" w:rsidRPr="004F5FB4" w:rsidRDefault="00C46587" w:rsidP="00982118">
            <w:pPr>
              <w:ind w:left="270"/>
              <w:rPr>
                <w:color w:val="000000"/>
              </w:rPr>
            </w:pPr>
            <w:r w:rsidRPr="004F5FB4">
              <w:rPr>
                <w:color w:val="000000"/>
              </w:rPr>
              <w:t>Woche</w:t>
            </w:r>
            <w:r w:rsidR="00380901" w:rsidRPr="004F5FB4">
              <w:rPr>
                <w:color w:val="000000"/>
              </w:rPr>
              <w:t> </w:t>
            </w:r>
            <w:r w:rsidRPr="004F5FB4">
              <w:rPr>
                <w:color w:val="000000"/>
              </w:rPr>
              <w:t>52</w:t>
            </w:r>
          </w:p>
        </w:tc>
        <w:tc>
          <w:tcPr>
            <w:tcW w:w="1164" w:type="dxa"/>
            <w:tcBorders>
              <w:top w:val="single" w:sz="4" w:space="0" w:color="auto"/>
              <w:left w:val="single" w:sz="4" w:space="0" w:color="auto"/>
              <w:bottom w:val="single" w:sz="4" w:space="0" w:color="auto"/>
              <w:right w:val="single" w:sz="4" w:space="0" w:color="auto"/>
            </w:tcBorders>
            <w:hideMark/>
          </w:tcPr>
          <w:p w14:paraId="3AE4F94A" w14:textId="77777777" w:rsidR="00C46587" w:rsidRPr="004F5FB4" w:rsidRDefault="00C46587" w:rsidP="00982118">
            <w:pPr>
              <w:jc w:val="center"/>
              <w:rPr>
                <w:color w:val="000000"/>
              </w:rPr>
            </w:pPr>
            <w:r w:rsidRPr="004F5FB4">
              <w:rPr>
                <w:color w:val="000000"/>
              </w:rPr>
              <w:t>27,2 %</w:t>
            </w:r>
          </w:p>
        </w:tc>
        <w:tc>
          <w:tcPr>
            <w:tcW w:w="1536" w:type="dxa"/>
            <w:tcBorders>
              <w:top w:val="single" w:sz="4" w:space="0" w:color="auto"/>
              <w:left w:val="single" w:sz="4" w:space="0" w:color="auto"/>
              <w:bottom w:val="single" w:sz="4" w:space="0" w:color="auto"/>
              <w:right w:val="single" w:sz="4" w:space="0" w:color="auto"/>
            </w:tcBorders>
            <w:hideMark/>
          </w:tcPr>
          <w:p w14:paraId="7D3C700F" w14:textId="77777777" w:rsidR="00C46587" w:rsidRPr="004F5FB4" w:rsidRDefault="00C46587" w:rsidP="00982118">
            <w:pPr>
              <w:jc w:val="center"/>
              <w:rPr>
                <w:color w:val="000000"/>
              </w:rPr>
            </w:pPr>
            <w:r w:rsidRPr="004F5FB4">
              <w:rPr>
                <w:color w:val="000000"/>
              </w:rPr>
              <w:t>25,9 %</w:t>
            </w:r>
          </w:p>
        </w:tc>
        <w:tc>
          <w:tcPr>
            <w:tcW w:w="2070" w:type="dxa"/>
            <w:tcBorders>
              <w:top w:val="single" w:sz="4" w:space="0" w:color="auto"/>
              <w:left w:val="single" w:sz="4" w:space="0" w:color="auto"/>
              <w:bottom w:val="single" w:sz="4" w:space="0" w:color="auto"/>
              <w:right w:val="single" w:sz="4" w:space="0" w:color="auto"/>
            </w:tcBorders>
            <w:hideMark/>
          </w:tcPr>
          <w:p w14:paraId="12A3EA09" w14:textId="77777777" w:rsidR="00C46587" w:rsidRPr="004F5FB4" w:rsidRDefault="00C46587" w:rsidP="00982118">
            <w:pPr>
              <w:jc w:val="center"/>
              <w:rPr>
                <w:color w:val="000000"/>
              </w:rPr>
            </w:pPr>
            <w:r w:rsidRPr="004F5FB4">
              <w:rPr>
                <w:color w:val="000000"/>
              </w:rPr>
              <w:t>45,5 %</w:t>
            </w:r>
          </w:p>
        </w:tc>
        <w:tc>
          <w:tcPr>
            <w:tcW w:w="1020" w:type="dxa"/>
            <w:tcBorders>
              <w:top w:val="single" w:sz="4" w:space="0" w:color="auto"/>
              <w:left w:val="single" w:sz="4" w:space="0" w:color="auto"/>
              <w:bottom w:val="single" w:sz="4" w:space="0" w:color="auto"/>
              <w:right w:val="single" w:sz="4" w:space="0" w:color="auto"/>
            </w:tcBorders>
            <w:hideMark/>
          </w:tcPr>
          <w:p w14:paraId="3556150A"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4271FC32"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29E4E2A8" w14:textId="77777777" w:rsidR="00C46587" w:rsidRPr="004F5FB4" w:rsidRDefault="00C46587" w:rsidP="00982118">
            <w:pPr>
              <w:jc w:val="center"/>
              <w:rPr>
                <w:color w:val="000000"/>
              </w:rPr>
            </w:pPr>
            <w:r w:rsidRPr="004F5FB4">
              <w:rPr>
                <w:color w:val="000000"/>
              </w:rPr>
              <w:t>0,656</w:t>
            </w:r>
          </w:p>
        </w:tc>
      </w:tr>
      <w:tr w:rsidR="00B8172B" w:rsidRPr="004F5FB4" w14:paraId="0A98E09C" w14:textId="77777777" w:rsidTr="00F811FC">
        <w:tc>
          <w:tcPr>
            <w:tcW w:w="1638" w:type="dxa"/>
            <w:tcBorders>
              <w:top w:val="single" w:sz="4" w:space="0" w:color="auto"/>
              <w:left w:val="single" w:sz="4" w:space="0" w:color="auto"/>
              <w:bottom w:val="single" w:sz="4" w:space="0" w:color="auto"/>
              <w:right w:val="single" w:sz="4" w:space="0" w:color="auto"/>
            </w:tcBorders>
            <w:hideMark/>
          </w:tcPr>
          <w:p w14:paraId="17ABDCA1" w14:textId="77777777" w:rsidR="00C46587" w:rsidRPr="004F5FB4" w:rsidRDefault="00C46587" w:rsidP="00982118">
            <w:pPr>
              <w:ind w:left="270"/>
              <w:rPr>
                <w:color w:val="000000"/>
              </w:rPr>
            </w:pPr>
            <w:r w:rsidRPr="004F5FB4">
              <w:rPr>
                <w:color w:val="000000"/>
              </w:rPr>
              <w:t>Woche</w:t>
            </w:r>
            <w:r w:rsidR="00380901" w:rsidRPr="004F5FB4">
              <w:rPr>
                <w:color w:val="000000"/>
              </w:rPr>
              <w:t> </w:t>
            </w:r>
            <w:r w:rsidRPr="004F5FB4">
              <w:rPr>
                <w:color w:val="000000"/>
              </w:rPr>
              <w:t>104</w:t>
            </w:r>
          </w:p>
        </w:tc>
        <w:tc>
          <w:tcPr>
            <w:tcW w:w="1164" w:type="dxa"/>
            <w:tcBorders>
              <w:top w:val="single" w:sz="4" w:space="0" w:color="auto"/>
              <w:left w:val="single" w:sz="4" w:space="0" w:color="auto"/>
              <w:bottom w:val="single" w:sz="4" w:space="0" w:color="auto"/>
              <w:right w:val="single" w:sz="4" w:space="0" w:color="auto"/>
            </w:tcBorders>
            <w:hideMark/>
          </w:tcPr>
          <w:p w14:paraId="373BD3F9" w14:textId="77777777" w:rsidR="00C46587" w:rsidRPr="004F5FB4" w:rsidRDefault="00C46587" w:rsidP="00982118">
            <w:pPr>
              <w:jc w:val="center"/>
              <w:rPr>
                <w:color w:val="000000"/>
              </w:rPr>
            </w:pPr>
            <w:r w:rsidRPr="004F5FB4">
              <w:rPr>
                <w:color w:val="000000"/>
              </w:rPr>
              <w:t>28,4 %</w:t>
            </w:r>
          </w:p>
        </w:tc>
        <w:tc>
          <w:tcPr>
            <w:tcW w:w="1536" w:type="dxa"/>
            <w:tcBorders>
              <w:top w:val="single" w:sz="4" w:space="0" w:color="auto"/>
              <w:left w:val="single" w:sz="4" w:space="0" w:color="auto"/>
              <w:bottom w:val="single" w:sz="4" w:space="0" w:color="auto"/>
              <w:right w:val="single" w:sz="4" w:space="0" w:color="auto"/>
            </w:tcBorders>
            <w:hideMark/>
          </w:tcPr>
          <w:p w14:paraId="0D3FB5E0" w14:textId="77777777" w:rsidR="00C46587" w:rsidRPr="004F5FB4" w:rsidRDefault="00C46587" w:rsidP="00982118">
            <w:pPr>
              <w:jc w:val="center"/>
              <w:rPr>
                <w:color w:val="000000"/>
              </w:rPr>
            </w:pPr>
            <w:r w:rsidRPr="004F5FB4">
              <w:rPr>
                <w:color w:val="000000"/>
              </w:rPr>
              <w:t>28,1 %</w:t>
            </w:r>
          </w:p>
        </w:tc>
        <w:tc>
          <w:tcPr>
            <w:tcW w:w="2070" w:type="dxa"/>
            <w:tcBorders>
              <w:top w:val="single" w:sz="4" w:space="0" w:color="auto"/>
              <w:left w:val="single" w:sz="4" w:space="0" w:color="auto"/>
              <w:bottom w:val="single" w:sz="4" w:space="0" w:color="auto"/>
              <w:right w:val="single" w:sz="4" w:space="0" w:color="auto"/>
            </w:tcBorders>
            <w:hideMark/>
          </w:tcPr>
          <w:p w14:paraId="6031119D" w14:textId="77777777" w:rsidR="00C46587" w:rsidRPr="004F5FB4" w:rsidRDefault="00C46587" w:rsidP="00982118">
            <w:pPr>
              <w:jc w:val="center"/>
              <w:rPr>
                <w:color w:val="000000"/>
              </w:rPr>
            </w:pPr>
            <w:r w:rsidRPr="004F5FB4">
              <w:rPr>
                <w:color w:val="000000"/>
              </w:rPr>
              <w:t>46,6 %</w:t>
            </w:r>
          </w:p>
        </w:tc>
        <w:tc>
          <w:tcPr>
            <w:tcW w:w="1020" w:type="dxa"/>
            <w:tcBorders>
              <w:top w:val="single" w:sz="4" w:space="0" w:color="auto"/>
              <w:left w:val="single" w:sz="4" w:space="0" w:color="auto"/>
              <w:bottom w:val="single" w:sz="4" w:space="0" w:color="auto"/>
              <w:right w:val="single" w:sz="4" w:space="0" w:color="auto"/>
            </w:tcBorders>
            <w:hideMark/>
          </w:tcPr>
          <w:p w14:paraId="557D9990"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4E7907DF" w14:textId="77777777" w:rsidR="00C46587" w:rsidRPr="004F5FB4" w:rsidRDefault="00C46587" w:rsidP="00982118">
            <w:pPr>
              <w:jc w:val="center"/>
              <w:rPr>
                <w:color w:val="000000"/>
              </w:rPr>
            </w:pPr>
            <w:r w:rsidRPr="004F5FB4">
              <w:rPr>
                <w:color w:val="000000"/>
              </w:rPr>
              <w:t>&lt;</w:t>
            </w:r>
            <w:r w:rsidR="00380901" w:rsidRPr="004F5FB4">
              <w:rPr>
                <w:color w:val="000000"/>
              </w:rPr>
              <w:t> </w:t>
            </w:r>
            <w:r w:rsidRPr="004F5FB4">
              <w:rPr>
                <w:color w:val="000000"/>
              </w:rPr>
              <w:t>0,001</w:t>
            </w:r>
          </w:p>
        </w:tc>
        <w:tc>
          <w:tcPr>
            <w:tcW w:w="1110" w:type="dxa"/>
            <w:tcBorders>
              <w:top w:val="single" w:sz="4" w:space="0" w:color="auto"/>
              <w:left w:val="single" w:sz="4" w:space="0" w:color="auto"/>
              <w:bottom w:val="single" w:sz="4" w:space="0" w:color="auto"/>
              <w:right w:val="single" w:sz="4" w:space="0" w:color="auto"/>
            </w:tcBorders>
            <w:hideMark/>
          </w:tcPr>
          <w:p w14:paraId="142FD8B2" w14:textId="77777777" w:rsidR="00C46587" w:rsidRPr="004F5FB4" w:rsidRDefault="00C46587" w:rsidP="00982118">
            <w:pPr>
              <w:jc w:val="center"/>
              <w:rPr>
                <w:color w:val="000000"/>
              </w:rPr>
            </w:pPr>
            <w:r w:rsidRPr="004F5FB4">
              <w:rPr>
                <w:color w:val="000000"/>
              </w:rPr>
              <w:t>0,864</w:t>
            </w:r>
          </w:p>
        </w:tc>
      </w:tr>
      <w:tr w:rsidR="00081A6C" w:rsidRPr="004F5FB4" w14:paraId="299250C9" w14:textId="77777777" w:rsidTr="00081A6C">
        <w:tc>
          <w:tcPr>
            <w:tcW w:w="9648" w:type="dxa"/>
            <w:gridSpan w:val="7"/>
            <w:tcBorders>
              <w:top w:val="single" w:sz="4" w:space="0" w:color="auto"/>
              <w:left w:val="nil"/>
              <w:bottom w:val="nil"/>
              <w:right w:val="nil"/>
            </w:tcBorders>
          </w:tcPr>
          <w:p w14:paraId="25ED8023" w14:textId="77777777" w:rsidR="00081A6C" w:rsidRPr="00206AEA" w:rsidRDefault="00081A6C" w:rsidP="00081A6C">
            <w:pPr>
              <w:tabs>
                <w:tab w:val="left" w:pos="288"/>
              </w:tabs>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Der p</w:t>
            </w:r>
            <w:r w:rsidRPr="00206AEA">
              <w:rPr>
                <w:color w:val="000000"/>
                <w:sz w:val="20"/>
              </w:rPr>
              <w:noBreakHyphen/>
              <w:t>Wert resultiert aus dem paarweisen Vergleich der Methotrexat-Monotherapie und der Adalimumab/Methotrexat-Kombinationstherapie unter Anwendung des Mann</w:t>
            </w:r>
            <w:r w:rsidRPr="00206AEA">
              <w:rPr>
                <w:color w:val="000000"/>
                <w:sz w:val="20"/>
              </w:rPr>
              <w:noBreakHyphen/>
              <w:t xml:space="preserve">Whitney-U-Tests. </w:t>
            </w:r>
          </w:p>
          <w:p w14:paraId="235992C9" w14:textId="77777777" w:rsidR="00081A6C" w:rsidRPr="00206AEA" w:rsidRDefault="00081A6C" w:rsidP="00081A6C">
            <w:pPr>
              <w:tabs>
                <w:tab w:val="left" w:pos="288"/>
              </w:tabs>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Der p</w:t>
            </w:r>
            <w:r w:rsidRPr="00206AEA">
              <w:rPr>
                <w:color w:val="000000"/>
                <w:sz w:val="20"/>
              </w:rPr>
              <w:noBreakHyphen/>
              <w:t>Wert resultiert aus dem paarweisen Vergleich der Adalimumab-Monotherapie und der Adalimumab/Methotrexat-Kombinationstherapie unter Anwendung des Mann</w:t>
            </w:r>
            <w:r w:rsidRPr="00206AEA">
              <w:rPr>
                <w:color w:val="000000"/>
                <w:sz w:val="20"/>
              </w:rPr>
              <w:noBreakHyphen/>
              <w:t>Whitney-U-Tests.</w:t>
            </w:r>
          </w:p>
          <w:p w14:paraId="3E60FB37" w14:textId="77777777" w:rsidR="00081A6C" w:rsidRPr="00206AEA" w:rsidRDefault="00081A6C" w:rsidP="00081A6C">
            <w:pPr>
              <w:tabs>
                <w:tab w:val="left" w:pos="288"/>
              </w:tabs>
              <w:ind w:left="270" w:hanging="270"/>
              <w:rPr>
                <w:color w:val="000000"/>
                <w:sz w:val="20"/>
              </w:rPr>
            </w:pPr>
            <w:r w:rsidRPr="00206AEA">
              <w:rPr>
                <w:color w:val="000000"/>
                <w:sz w:val="20"/>
                <w:vertAlign w:val="superscript"/>
              </w:rPr>
              <w:t>c</w:t>
            </w:r>
            <w:r w:rsidRPr="00206AEA">
              <w:rPr>
                <w:color w:val="000000"/>
                <w:sz w:val="20"/>
              </w:rPr>
              <w:t xml:space="preserve"> </w:t>
            </w:r>
            <w:r w:rsidR="00C75B4A" w:rsidRPr="00206AEA">
              <w:rPr>
                <w:color w:val="000000"/>
                <w:sz w:val="20"/>
              </w:rPr>
              <w:tab/>
            </w:r>
            <w:r w:rsidRPr="00206AEA">
              <w:rPr>
                <w:color w:val="000000"/>
                <w:sz w:val="20"/>
              </w:rPr>
              <w:t>Der p</w:t>
            </w:r>
            <w:r w:rsidRPr="00206AEA">
              <w:rPr>
                <w:color w:val="000000"/>
                <w:sz w:val="20"/>
              </w:rPr>
              <w:noBreakHyphen/>
              <w:t>Wert resultiert aus dem paarweisen Vergleich der Adalimumab-Monotherapie und der Methotrexat-Monotherapie unter Anwendung des Mann</w:t>
            </w:r>
            <w:r w:rsidRPr="00206AEA">
              <w:rPr>
                <w:color w:val="000000"/>
                <w:sz w:val="20"/>
              </w:rPr>
              <w:noBreakHyphen/>
              <w:t>Whitney-U-Tests.</w:t>
            </w:r>
          </w:p>
        </w:tc>
      </w:tr>
    </w:tbl>
    <w:p w14:paraId="6D3206C2" w14:textId="77777777" w:rsidR="00C46587" w:rsidRPr="004F5FB4" w:rsidRDefault="00C46587" w:rsidP="00982118">
      <w:pPr>
        <w:rPr>
          <w:color w:val="000000"/>
        </w:rPr>
      </w:pPr>
    </w:p>
    <w:p w14:paraId="333A3537" w14:textId="77777777" w:rsidR="00C46587" w:rsidRPr="004F5FB4" w:rsidRDefault="00C46587" w:rsidP="00982118">
      <w:pPr>
        <w:rPr>
          <w:color w:val="000000"/>
        </w:rPr>
      </w:pPr>
      <w:r w:rsidRPr="004F5FB4">
        <w:rPr>
          <w:color w:val="000000"/>
        </w:rPr>
        <w:t xml:space="preserve">In der offenen </w:t>
      </w:r>
      <w:r w:rsidR="00634701" w:rsidRPr="004F5FB4">
        <w:rPr>
          <w:color w:val="000000"/>
        </w:rPr>
        <w:t>Fortsetz</w:t>
      </w:r>
      <w:r w:rsidRPr="004F5FB4">
        <w:rPr>
          <w:color w:val="000000"/>
        </w:rPr>
        <w:t>ungsphase der RA-Studie</w:t>
      </w:r>
      <w:r w:rsidR="00380901" w:rsidRPr="004F5FB4">
        <w:rPr>
          <w:color w:val="000000"/>
        </w:rPr>
        <w:t> </w:t>
      </w:r>
      <w:r w:rsidRPr="004F5FB4">
        <w:rPr>
          <w:color w:val="000000"/>
        </w:rPr>
        <w:t>V wurden die ACR-Ansprechraten über einen Nachbeobachtungszeitraum von bis zu 10</w:t>
      </w:r>
      <w:r w:rsidR="00380901" w:rsidRPr="004F5FB4">
        <w:rPr>
          <w:color w:val="000000"/>
        </w:rPr>
        <w:t> </w:t>
      </w:r>
      <w:r w:rsidRPr="004F5FB4">
        <w:rPr>
          <w:color w:val="000000"/>
        </w:rPr>
        <w:t>Jahren aufrechterhalten. Von 542 Patienten, die in die Adalimumab-40-mg-Gruppe alle zwei Wochen randomisiert worden waren, wendeten 170 Patienten dieses Behandlungsschema über einen Zeitraum von 10 Jahren an. Davon erreichten 154</w:t>
      </w:r>
      <w:r w:rsidR="00380901" w:rsidRPr="004F5FB4">
        <w:rPr>
          <w:color w:val="000000"/>
        </w:rPr>
        <w:t> </w:t>
      </w:r>
      <w:r w:rsidRPr="004F5FB4">
        <w:rPr>
          <w:color w:val="000000"/>
        </w:rPr>
        <w:t>Patienten (90,6 %) ein ACR-20-Ansprechen; 127</w:t>
      </w:r>
      <w:r w:rsidR="00380901" w:rsidRPr="004F5FB4">
        <w:rPr>
          <w:color w:val="000000"/>
        </w:rPr>
        <w:t> </w:t>
      </w:r>
      <w:r w:rsidRPr="004F5FB4">
        <w:rPr>
          <w:color w:val="000000"/>
        </w:rPr>
        <w:t>Patienten (74,7 %) ein ACR-50-Ansprechen und 102</w:t>
      </w:r>
      <w:r w:rsidR="00380901" w:rsidRPr="004F5FB4">
        <w:rPr>
          <w:color w:val="000000"/>
        </w:rPr>
        <w:t> </w:t>
      </w:r>
      <w:r w:rsidRPr="004F5FB4">
        <w:rPr>
          <w:color w:val="000000"/>
        </w:rPr>
        <w:t xml:space="preserve">Patienten (60,0 %) ein ACR-70-Ansprechen. </w:t>
      </w:r>
    </w:p>
    <w:p w14:paraId="5B1858D1" w14:textId="77777777" w:rsidR="00C46587" w:rsidRPr="004F5FB4" w:rsidRDefault="00C46587" w:rsidP="00982118">
      <w:pPr>
        <w:rPr>
          <w:color w:val="000000"/>
        </w:rPr>
      </w:pPr>
    </w:p>
    <w:p w14:paraId="501441F6" w14:textId="77777777" w:rsidR="00C46587" w:rsidRPr="004F5FB4" w:rsidRDefault="00C46587" w:rsidP="00982118">
      <w:pPr>
        <w:rPr>
          <w:color w:val="000000"/>
        </w:rPr>
      </w:pPr>
      <w:r w:rsidRPr="004F5FB4">
        <w:rPr>
          <w:color w:val="000000"/>
        </w:rPr>
        <w:t>In Woche</w:t>
      </w:r>
      <w:r w:rsidR="00380901" w:rsidRPr="004F5FB4">
        <w:rPr>
          <w:color w:val="000000"/>
        </w:rPr>
        <w:t> </w:t>
      </w:r>
      <w:r w:rsidRPr="004F5FB4">
        <w:rPr>
          <w:color w:val="000000"/>
        </w:rPr>
        <w:t>52 erreichten 42,9</w:t>
      </w:r>
      <w:r w:rsidR="00380901" w:rsidRPr="004F5FB4">
        <w:rPr>
          <w:color w:val="000000"/>
        </w:rPr>
        <w:t> </w:t>
      </w:r>
      <w:r w:rsidRPr="004F5FB4">
        <w:rPr>
          <w:color w:val="000000"/>
        </w:rPr>
        <w:t xml:space="preserve">% der Patienten, die eine Kombinationstherapie aus Adalimumab und Methotrexat erhielten, eine klinische Remission (DAS28 </w:t>
      </w:r>
      <w:r w:rsidR="00380901" w:rsidRPr="004F5FB4">
        <w:rPr>
          <w:color w:val="000000"/>
        </w:rPr>
        <w:t>[</w:t>
      </w:r>
      <w:r w:rsidRPr="004F5FB4">
        <w:rPr>
          <w:color w:val="000000"/>
        </w:rPr>
        <w:t>CRP</w:t>
      </w:r>
      <w:r w:rsidR="00380901" w:rsidRPr="004F5FB4">
        <w:rPr>
          <w:color w:val="000000"/>
        </w:rPr>
        <w:t>]</w:t>
      </w:r>
      <w:r w:rsidRPr="004F5FB4">
        <w:rPr>
          <w:color w:val="000000"/>
        </w:rPr>
        <w:t xml:space="preserve"> &lt;</w:t>
      </w:r>
      <w:r w:rsidR="00380901" w:rsidRPr="004F5FB4">
        <w:rPr>
          <w:color w:val="000000"/>
        </w:rPr>
        <w:t> </w:t>
      </w:r>
      <w:r w:rsidRPr="004F5FB4">
        <w:rPr>
          <w:color w:val="000000"/>
        </w:rPr>
        <w:t>2,6). Im Vergleich dazu erreichten 20,6</w:t>
      </w:r>
      <w:r w:rsidR="00380901" w:rsidRPr="004F5FB4">
        <w:rPr>
          <w:color w:val="000000"/>
        </w:rPr>
        <w:t> </w:t>
      </w:r>
      <w:r w:rsidRPr="004F5FB4">
        <w:rPr>
          <w:color w:val="000000"/>
        </w:rPr>
        <w:t>% der Patienten unter Methotrexat- und 23,4</w:t>
      </w:r>
      <w:r w:rsidR="00380901" w:rsidRPr="004F5FB4">
        <w:rPr>
          <w:color w:val="000000"/>
        </w:rPr>
        <w:t> </w:t>
      </w:r>
      <w:r w:rsidRPr="004F5FB4">
        <w:rPr>
          <w:color w:val="000000"/>
        </w:rPr>
        <w:t>% der Patienten unter Adalimumab-Monotherapie eine klinische Remission.</w:t>
      </w:r>
      <w:r w:rsidR="009A1B0C" w:rsidRPr="004F5FB4">
        <w:rPr>
          <w:color w:val="000000"/>
        </w:rPr>
        <w:t xml:space="preserve"> </w:t>
      </w:r>
      <w:r w:rsidRPr="004F5FB4">
        <w:rPr>
          <w:color w:val="000000"/>
        </w:rPr>
        <w:t>Die Kombinationstherapie aus Adalimumab und Methotrexat war in klinischer und statistischer Hinsicht beim Erreichen einer geringen Krankheitsaktivität bei Patienten mit kürzlich diagnostizierter mittelschwerer bis schwerer rheumatoider Arthritis gegenüber einer Monotherapie mit entweder Methotrexat (p</w:t>
      </w:r>
      <w:r w:rsidR="00104FD4" w:rsidRPr="004F5FB4">
        <w:rPr>
          <w:color w:val="000000"/>
        </w:rPr>
        <w:t> </w:t>
      </w:r>
      <w:r w:rsidRPr="004F5FB4">
        <w:rPr>
          <w:color w:val="000000"/>
        </w:rPr>
        <w:t>&lt;</w:t>
      </w:r>
      <w:r w:rsidR="00104FD4" w:rsidRPr="004F5FB4">
        <w:rPr>
          <w:color w:val="000000"/>
        </w:rPr>
        <w:t> </w:t>
      </w:r>
      <w:r w:rsidRPr="004F5FB4">
        <w:rPr>
          <w:color w:val="000000"/>
        </w:rPr>
        <w:t>0,001) oder Adalimumab (p</w:t>
      </w:r>
      <w:r w:rsidR="00104FD4" w:rsidRPr="004F5FB4">
        <w:rPr>
          <w:color w:val="000000"/>
        </w:rPr>
        <w:t> </w:t>
      </w:r>
      <w:r w:rsidRPr="004F5FB4">
        <w:rPr>
          <w:color w:val="000000"/>
        </w:rPr>
        <w:t>&lt;</w:t>
      </w:r>
      <w:r w:rsidR="00104FD4" w:rsidRPr="004F5FB4">
        <w:rPr>
          <w:color w:val="000000"/>
        </w:rPr>
        <w:t> </w:t>
      </w:r>
      <w:r w:rsidRPr="004F5FB4">
        <w:rPr>
          <w:color w:val="000000"/>
        </w:rPr>
        <w:t>0,001) überlegen. Die Ansprechraten in den beiden Behandlungsarmen unter Monotherapie waren vergleichbar (p</w:t>
      </w:r>
      <w:r w:rsidR="00104FD4" w:rsidRPr="004F5FB4">
        <w:rPr>
          <w:color w:val="000000"/>
        </w:rPr>
        <w:t> </w:t>
      </w:r>
      <w:r w:rsidRPr="004F5FB4">
        <w:rPr>
          <w:color w:val="000000"/>
        </w:rPr>
        <w:t>=</w:t>
      </w:r>
      <w:r w:rsidR="00104FD4" w:rsidRPr="004F5FB4">
        <w:rPr>
          <w:color w:val="000000"/>
        </w:rPr>
        <w:t> </w:t>
      </w:r>
      <w:r w:rsidRPr="004F5FB4">
        <w:rPr>
          <w:color w:val="000000"/>
        </w:rPr>
        <w:t>0,447). Von den 342 Patienten, die ursprünglich in die Gruppe unter Adalimumab</w:t>
      </w:r>
      <w:r w:rsidRPr="004F5FB4">
        <w:rPr>
          <w:color w:val="000000"/>
        </w:rPr>
        <w:noBreakHyphen/>
        <w:t xml:space="preserve">Monotherapie oder unter Kombinationstherapie aus Adalimumab und Methotrexat randomisiert worden waren und die in die offene </w:t>
      </w:r>
      <w:r w:rsidR="0074562C" w:rsidRPr="004F5FB4">
        <w:rPr>
          <w:color w:val="000000"/>
        </w:rPr>
        <w:t>Fortsetz</w:t>
      </w:r>
      <w:r w:rsidRPr="004F5FB4">
        <w:rPr>
          <w:color w:val="000000"/>
        </w:rPr>
        <w:t>ungs</w:t>
      </w:r>
      <w:r w:rsidR="0074562C" w:rsidRPr="004F5FB4">
        <w:rPr>
          <w:color w:val="000000"/>
        </w:rPr>
        <w:t>phase</w:t>
      </w:r>
      <w:r w:rsidRPr="004F5FB4">
        <w:rPr>
          <w:color w:val="000000"/>
        </w:rPr>
        <w:t xml:space="preserve"> eingeschlossen wurden, setzten 171 die Adalimumab-Behandlung über einen Zeitraum von 10 Jahren fort. Von diesen </w:t>
      </w:r>
      <w:r w:rsidR="0074562C" w:rsidRPr="004F5FB4">
        <w:rPr>
          <w:color w:val="000000"/>
        </w:rPr>
        <w:t xml:space="preserve">171 </w:t>
      </w:r>
      <w:r w:rsidRPr="004F5FB4">
        <w:rPr>
          <w:color w:val="000000"/>
        </w:rPr>
        <w:t>Patienten waren 109 (63,7</w:t>
      </w:r>
      <w:r w:rsidR="00380901" w:rsidRPr="004F5FB4">
        <w:rPr>
          <w:color w:val="000000"/>
        </w:rPr>
        <w:t> </w:t>
      </w:r>
      <w:r w:rsidRPr="004F5FB4">
        <w:rPr>
          <w:color w:val="000000"/>
        </w:rPr>
        <w:t>%) nach 10-jähriger Therapie in Remission.</w:t>
      </w:r>
    </w:p>
    <w:p w14:paraId="343353C2" w14:textId="77777777" w:rsidR="00C46587" w:rsidRPr="004F5FB4" w:rsidRDefault="00C46587" w:rsidP="00982118">
      <w:pPr>
        <w:rPr>
          <w:color w:val="000000"/>
        </w:rPr>
      </w:pPr>
    </w:p>
    <w:p w14:paraId="302107B4" w14:textId="77777777" w:rsidR="00C46587" w:rsidRPr="004F5FB4" w:rsidRDefault="00C46587" w:rsidP="00982118">
      <w:pPr>
        <w:keepNext/>
        <w:rPr>
          <w:i/>
          <w:color w:val="000000"/>
          <w:u w:val="single"/>
        </w:rPr>
      </w:pPr>
      <w:r w:rsidRPr="004F5FB4">
        <w:rPr>
          <w:i/>
          <w:color w:val="000000"/>
          <w:u w:val="single"/>
        </w:rPr>
        <w:t>Radiologisches Ansprechen</w:t>
      </w:r>
    </w:p>
    <w:p w14:paraId="7E315024" w14:textId="77777777" w:rsidR="00C46587" w:rsidRPr="004F5FB4" w:rsidRDefault="00C46587" w:rsidP="00982118">
      <w:pPr>
        <w:keepNext/>
        <w:rPr>
          <w:color w:val="000000"/>
        </w:rPr>
      </w:pPr>
    </w:p>
    <w:p w14:paraId="44DC676B" w14:textId="77777777" w:rsidR="00C46587" w:rsidRPr="004F5FB4" w:rsidRDefault="00C46587" w:rsidP="00982118">
      <w:pPr>
        <w:rPr>
          <w:color w:val="000000"/>
        </w:rPr>
      </w:pPr>
      <w:r w:rsidRPr="004F5FB4">
        <w:rPr>
          <w:color w:val="000000"/>
        </w:rPr>
        <w:t>Die in der RA-Studie</w:t>
      </w:r>
      <w:r w:rsidR="00380901" w:rsidRPr="004F5FB4">
        <w:rPr>
          <w:color w:val="000000"/>
        </w:rPr>
        <w:t> </w:t>
      </w:r>
      <w:r w:rsidRPr="004F5FB4">
        <w:rPr>
          <w:color w:val="000000"/>
        </w:rPr>
        <w:t>III mit Adalimumab behandelten Patienten waren im Durchschnitt ca. 11</w:t>
      </w:r>
      <w:r w:rsidR="00380901" w:rsidRPr="004F5FB4">
        <w:rPr>
          <w:color w:val="000000"/>
        </w:rPr>
        <w:t> </w:t>
      </w:r>
      <w:r w:rsidRPr="004F5FB4">
        <w:rPr>
          <w:color w:val="000000"/>
        </w:rPr>
        <w:t>Jahre an rheumatoider Arthritis erkrankt. Die strukturelle Gelenkschädigung wurde radiologisch erfasst und als Veränderung des modifizierten Gesamt-Sharp-Scores (TSS) und seiner Komponenten, de</w:t>
      </w:r>
      <w:r w:rsidR="0074562C" w:rsidRPr="004F5FB4">
        <w:rPr>
          <w:color w:val="000000"/>
        </w:rPr>
        <w:t>m Ausmaß der</w:t>
      </w:r>
      <w:r w:rsidRPr="004F5FB4">
        <w:rPr>
          <w:color w:val="000000"/>
        </w:rPr>
        <w:t xml:space="preserve"> Erosion</w:t>
      </w:r>
      <w:r w:rsidR="0074562C" w:rsidRPr="004F5FB4">
        <w:rPr>
          <w:color w:val="000000"/>
        </w:rPr>
        <w:t>en</w:t>
      </w:r>
      <w:r w:rsidRPr="004F5FB4">
        <w:rPr>
          <w:color w:val="000000"/>
        </w:rPr>
        <w:t xml:space="preserve"> und der Gelenkspaltverengung (Joint Space Narrowing, JSN) ausgedrückt. Die mit Adalimumab und Methotrexat behandelten Patienten zeigten nach 6 und 12</w:t>
      </w:r>
      <w:r w:rsidR="00380901" w:rsidRPr="004F5FB4">
        <w:rPr>
          <w:color w:val="000000"/>
        </w:rPr>
        <w:t> </w:t>
      </w:r>
      <w:r w:rsidRPr="004F5FB4">
        <w:rPr>
          <w:color w:val="000000"/>
        </w:rPr>
        <w:t>Monaten radiologisch eine signifikant geringere Progression als Patienten, die nur Methotrexat erhielten (siehe Tabelle</w:t>
      </w:r>
      <w:r w:rsidR="00380901" w:rsidRPr="004F5FB4">
        <w:rPr>
          <w:color w:val="000000"/>
        </w:rPr>
        <w:t> </w:t>
      </w:r>
      <w:r w:rsidR="00C34252">
        <w:rPr>
          <w:color w:val="000000"/>
        </w:rPr>
        <w:t>10</w:t>
      </w:r>
      <w:r w:rsidRPr="004F5FB4">
        <w:rPr>
          <w:color w:val="000000"/>
        </w:rPr>
        <w:t xml:space="preserve">). </w:t>
      </w:r>
    </w:p>
    <w:p w14:paraId="567854E7" w14:textId="77777777" w:rsidR="00C46587" w:rsidRPr="004F5FB4" w:rsidRDefault="00C46587" w:rsidP="00982118">
      <w:pPr>
        <w:rPr>
          <w:color w:val="000000"/>
        </w:rPr>
      </w:pPr>
    </w:p>
    <w:p w14:paraId="615E045F" w14:textId="77777777" w:rsidR="00C46587" w:rsidRPr="004F5FB4" w:rsidRDefault="00C46587" w:rsidP="00982118">
      <w:pPr>
        <w:rPr>
          <w:color w:val="000000"/>
        </w:rPr>
      </w:pPr>
      <w:r w:rsidRPr="004F5FB4">
        <w:rPr>
          <w:color w:val="000000"/>
        </w:rPr>
        <w:t xml:space="preserve">In der offenen </w:t>
      </w:r>
      <w:r w:rsidR="0074562C" w:rsidRPr="004F5FB4">
        <w:rPr>
          <w:color w:val="000000"/>
        </w:rPr>
        <w:t>Fortsetz</w:t>
      </w:r>
      <w:r w:rsidRPr="004F5FB4">
        <w:rPr>
          <w:color w:val="000000"/>
        </w:rPr>
        <w:t>ungsphase der RA-Studie</w:t>
      </w:r>
      <w:r w:rsidR="00380901" w:rsidRPr="004F5FB4">
        <w:rPr>
          <w:color w:val="000000"/>
        </w:rPr>
        <w:t> </w:t>
      </w:r>
      <w:r w:rsidRPr="004F5FB4">
        <w:rPr>
          <w:color w:val="000000"/>
        </w:rPr>
        <w:t>III ist die Hemmung des Fortschreitens der strukturellen Schädigung in einer Untergruppe von Patienten 8 und 10</w:t>
      </w:r>
      <w:r w:rsidR="00380901" w:rsidRPr="004F5FB4">
        <w:rPr>
          <w:color w:val="000000"/>
        </w:rPr>
        <w:t> </w:t>
      </w:r>
      <w:r w:rsidRPr="004F5FB4">
        <w:rPr>
          <w:color w:val="000000"/>
        </w:rPr>
        <w:t>Jahre lang aufrechterhalten worden. Nach 8</w:t>
      </w:r>
      <w:r w:rsidR="00380901" w:rsidRPr="004F5FB4">
        <w:rPr>
          <w:color w:val="000000"/>
        </w:rPr>
        <w:t> </w:t>
      </w:r>
      <w:r w:rsidRPr="004F5FB4">
        <w:rPr>
          <w:color w:val="000000"/>
        </w:rPr>
        <w:t>Jahren wurden 81 von 207</w:t>
      </w:r>
      <w:r w:rsidR="00380901" w:rsidRPr="004F5FB4">
        <w:rPr>
          <w:color w:val="000000"/>
        </w:rPr>
        <w:t> </w:t>
      </w:r>
      <w:r w:rsidRPr="004F5FB4">
        <w:rPr>
          <w:color w:val="000000"/>
        </w:rPr>
        <w:t>Patienten, die ursprünglich jede zweite Woche mit 40 mg Adalimumab behandelt wurden, radiologisch beurteilt. Von diesen Patienten zeigten 48 kein Fortschreiten der strukturellen Schädigung, definiert als mTSS-Änderung im Vergleich zu Studienbeginn von 0,5 oder weniger. Nach 10</w:t>
      </w:r>
      <w:r w:rsidR="00380901" w:rsidRPr="004F5FB4">
        <w:rPr>
          <w:color w:val="000000"/>
        </w:rPr>
        <w:t> </w:t>
      </w:r>
      <w:r w:rsidRPr="004F5FB4">
        <w:rPr>
          <w:color w:val="000000"/>
        </w:rPr>
        <w:t>Jahren wurden 79 von 207</w:t>
      </w:r>
      <w:r w:rsidR="00380901" w:rsidRPr="004F5FB4">
        <w:rPr>
          <w:color w:val="000000"/>
        </w:rPr>
        <w:t> </w:t>
      </w:r>
      <w:r w:rsidRPr="004F5FB4">
        <w:rPr>
          <w:color w:val="000000"/>
        </w:rPr>
        <w:t xml:space="preserve">Patienten, die ursprünglich jede zweite Woche mit 40 mg Adalimumab behandelt wurden, radiologisch beurteilt. Von diesen Patienten zeigten 40 kein Fortschreiten der strukturellen Schädigung, definiert als mTSS-Änderung im Vergleich zu Studienbeginn von 0,5 oder weniger. </w:t>
      </w:r>
    </w:p>
    <w:p w14:paraId="6EDAA446" w14:textId="77777777" w:rsidR="00C46587" w:rsidRPr="004F5FB4" w:rsidRDefault="00C46587" w:rsidP="00982118">
      <w:pPr>
        <w:rPr>
          <w:color w:val="000000"/>
        </w:rPr>
      </w:pPr>
    </w:p>
    <w:p w14:paraId="54DD039F" w14:textId="77777777" w:rsidR="00534661" w:rsidRPr="00CA7719" w:rsidRDefault="00F811FC" w:rsidP="00CA7719">
      <w:pPr>
        <w:pStyle w:val="BodyText"/>
        <w:widowControl/>
        <w:kinsoku w:val="0"/>
        <w:overflowPunct w:val="0"/>
        <w:ind w:left="0"/>
        <w:rPr>
          <w:b/>
          <w:color w:val="000000"/>
        </w:rPr>
      </w:pPr>
      <w:r w:rsidRPr="00CA7719">
        <w:rPr>
          <w:b/>
          <w:color w:val="000000"/>
        </w:rPr>
        <w:t>Tabelle</w:t>
      </w:r>
      <w:r w:rsidR="00C34252">
        <w:rPr>
          <w:b/>
          <w:color w:val="000000"/>
        </w:rPr>
        <w:t> 10</w:t>
      </w:r>
    </w:p>
    <w:p w14:paraId="3DE0BDB5" w14:textId="77777777" w:rsidR="00F811FC" w:rsidRPr="00CA7719" w:rsidRDefault="00F811FC" w:rsidP="00CA7719">
      <w:pPr>
        <w:pStyle w:val="BodyText"/>
        <w:widowControl/>
        <w:kinsoku w:val="0"/>
        <w:overflowPunct w:val="0"/>
        <w:ind w:left="0"/>
        <w:rPr>
          <w:b/>
          <w:color w:val="000000"/>
        </w:rPr>
      </w:pPr>
      <w:r w:rsidRPr="00CA7719">
        <w:rPr>
          <w:b/>
          <w:color w:val="000000"/>
        </w:rPr>
        <w:t>Mittlere radiologische Veränderungen über 12 Monate in der RA-Studie III</w:t>
      </w:r>
    </w:p>
    <w:p w14:paraId="71DAA583" w14:textId="77777777" w:rsidR="00E9681E" w:rsidRPr="004F5FB4" w:rsidRDefault="00E9681E" w:rsidP="00E9681E">
      <w:pPr>
        <w:pStyle w:val="BodyText"/>
        <w:keepNext/>
        <w:widowControl/>
        <w:kinsoku w:val="0"/>
        <w:overflowPunct w:val="0"/>
        <w:ind w:left="0"/>
        <w:rPr>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4F5FB4" w14:paraId="5156EDB0" w14:textId="77777777" w:rsidTr="00855029">
        <w:trPr>
          <w:cantSplit/>
        </w:trPr>
        <w:tc>
          <w:tcPr>
            <w:tcW w:w="1948" w:type="dxa"/>
            <w:shd w:val="clear" w:color="auto" w:fill="auto"/>
          </w:tcPr>
          <w:p w14:paraId="6C0C8DD8" w14:textId="77777777" w:rsidR="00E9681E" w:rsidRPr="004F5FB4" w:rsidRDefault="00E9681E" w:rsidP="00E9681E">
            <w:pPr>
              <w:rPr>
                <w:b/>
                <w:color w:val="000000"/>
              </w:rPr>
            </w:pPr>
          </w:p>
        </w:tc>
        <w:tc>
          <w:tcPr>
            <w:tcW w:w="1220" w:type="dxa"/>
            <w:shd w:val="clear" w:color="auto" w:fill="auto"/>
          </w:tcPr>
          <w:p w14:paraId="38AA9007" w14:textId="77777777" w:rsidR="00E9681E" w:rsidRPr="004F5FB4"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a</w:t>
            </w:r>
          </w:p>
        </w:tc>
        <w:tc>
          <w:tcPr>
            <w:tcW w:w="2227" w:type="dxa"/>
            <w:shd w:val="clear" w:color="auto" w:fill="auto"/>
          </w:tcPr>
          <w:p w14:paraId="0264406D" w14:textId="77777777" w:rsidR="00E9681E" w:rsidRPr="004F5FB4" w:rsidRDefault="00E9681E" w:rsidP="005A68B9">
            <w:pPr>
              <w:pStyle w:val="TableParagraph"/>
              <w:widowControl/>
              <w:kinsoku w:val="0"/>
              <w:overflowPunct w:val="0"/>
              <w:spacing w:before="8"/>
              <w:ind w:left="337" w:right="277" w:hanging="60"/>
              <w:jc w:val="center"/>
              <w:rPr>
                <w:rFonts w:ascii="Times New Roman" w:hAnsi="Times New Roman"/>
                <w:b/>
                <w:color w:val="000000"/>
              </w:rPr>
            </w:pPr>
            <w:r w:rsidRPr="004F5FB4">
              <w:rPr>
                <w:rFonts w:ascii="Times New Roman" w:hAnsi="Times New Roman"/>
                <w:b/>
                <w:color w:val="000000"/>
              </w:rPr>
              <w:t>Adalimumab/MTX 40 mg alle zwei Wochen</w:t>
            </w:r>
          </w:p>
        </w:tc>
        <w:tc>
          <w:tcPr>
            <w:tcW w:w="2415" w:type="dxa"/>
            <w:shd w:val="clear" w:color="auto" w:fill="auto"/>
          </w:tcPr>
          <w:p w14:paraId="5B084DF1" w14:textId="77777777" w:rsidR="00E9681E" w:rsidRPr="005B2296"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lang w:val="en-US"/>
              </w:rPr>
            </w:pPr>
            <w:r w:rsidRPr="005B2296">
              <w:rPr>
                <w:rFonts w:ascii="Times New Roman" w:hAnsi="Times New Roman"/>
                <w:b/>
                <w:color w:val="000000"/>
                <w:lang w:val="en-US"/>
              </w:rPr>
              <w:t xml:space="preserve">Placebo/MTX-Adalimumab/MTX (95 % </w:t>
            </w:r>
            <w:proofErr w:type="spellStart"/>
            <w:r w:rsidRPr="005B2296">
              <w:rPr>
                <w:rFonts w:ascii="Times New Roman" w:hAnsi="Times New Roman"/>
                <w:b/>
                <w:color w:val="000000"/>
                <w:lang w:val="en-US"/>
              </w:rPr>
              <w:t>Konfidenzintervall</w:t>
            </w:r>
            <w:r w:rsidRPr="005B2296">
              <w:rPr>
                <w:rFonts w:ascii="Times New Roman" w:hAnsi="Times New Roman"/>
                <w:b/>
                <w:color w:val="000000"/>
                <w:vertAlign w:val="superscript"/>
                <w:lang w:val="en-US"/>
              </w:rPr>
              <w:t>b</w:t>
            </w:r>
            <w:proofErr w:type="spellEnd"/>
            <w:r w:rsidRPr="005B2296">
              <w:rPr>
                <w:rFonts w:ascii="Times New Roman" w:hAnsi="Times New Roman"/>
                <w:b/>
                <w:color w:val="000000"/>
                <w:lang w:val="en-US"/>
              </w:rPr>
              <w:t>)</w:t>
            </w:r>
          </w:p>
        </w:tc>
        <w:tc>
          <w:tcPr>
            <w:tcW w:w="1493" w:type="dxa"/>
            <w:shd w:val="clear" w:color="auto" w:fill="auto"/>
          </w:tcPr>
          <w:p w14:paraId="68A3072B" w14:textId="77777777" w:rsidR="00E9681E" w:rsidRPr="004F5FB4" w:rsidRDefault="00E9681E" w:rsidP="005A68B9">
            <w:pPr>
              <w:pStyle w:val="TableParagraph"/>
              <w:widowControl/>
              <w:kinsoku w:val="0"/>
              <w:overflowPunct w:val="0"/>
              <w:spacing w:before="8"/>
              <w:ind w:left="438" w:hanging="438"/>
              <w:jc w:val="center"/>
              <w:rPr>
                <w:rFonts w:ascii="Times New Roman" w:hAnsi="Times New Roman"/>
                <w:b/>
                <w:color w:val="000000"/>
              </w:rPr>
            </w:pPr>
            <w:r w:rsidRPr="004F5FB4">
              <w:rPr>
                <w:rFonts w:ascii="Times New Roman" w:hAnsi="Times New Roman"/>
                <w:b/>
                <w:color w:val="000000"/>
              </w:rPr>
              <w:t>p-Wert</w:t>
            </w:r>
          </w:p>
        </w:tc>
      </w:tr>
      <w:tr w:rsidR="00F811FC" w:rsidRPr="004F5FB4" w14:paraId="29FC89A7" w14:textId="77777777" w:rsidTr="00855029">
        <w:trPr>
          <w:cantSplit/>
        </w:trPr>
        <w:tc>
          <w:tcPr>
            <w:tcW w:w="1948" w:type="dxa"/>
            <w:shd w:val="clear" w:color="auto" w:fill="auto"/>
          </w:tcPr>
          <w:p w14:paraId="0EE95674" w14:textId="77777777" w:rsidR="00F811FC" w:rsidRPr="004F5FB4" w:rsidRDefault="00F811FC" w:rsidP="005A68B9">
            <w:pPr>
              <w:pStyle w:val="TableParagraph"/>
              <w:widowControl/>
              <w:kinsoku w:val="0"/>
              <w:overflowPunct w:val="0"/>
              <w:spacing w:before="7"/>
              <w:rPr>
                <w:rFonts w:ascii="Times New Roman" w:hAnsi="Times New Roman"/>
                <w:color w:val="000000"/>
              </w:rPr>
            </w:pPr>
            <w:r w:rsidRPr="004F5FB4">
              <w:rPr>
                <w:rFonts w:ascii="Times New Roman" w:hAnsi="Times New Roman"/>
                <w:color w:val="000000"/>
              </w:rPr>
              <w:t>Gesamt-Sharp-Score</w:t>
            </w:r>
          </w:p>
        </w:tc>
        <w:tc>
          <w:tcPr>
            <w:tcW w:w="1220" w:type="dxa"/>
            <w:shd w:val="clear" w:color="auto" w:fill="auto"/>
          </w:tcPr>
          <w:p w14:paraId="28A647A1" w14:textId="77777777" w:rsidR="00F811FC" w:rsidRPr="004F5FB4" w:rsidRDefault="00F811FC"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2,7</w:t>
            </w:r>
          </w:p>
        </w:tc>
        <w:tc>
          <w:tcPr>
            <w:tcW w:w="2227" w:type="dxa"/>
            <w:shd w:val="clear" w:color="auto" w:fill="auto"/>
          </w:tcPr>
          <w:p w14:paraId="0E16BAC4" w14:textId="77777777" w:rsidR="00F811FC" w:rsidRPr="004F5FB4" w:rsidRDefault="00F811FC"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0,1</w:t>
            </w:r>
          </w:p>
        </w:tc>
        <w:tc>
          <w:tcPr>
            <w:tcW w:w="2415" w:type="dxa"/>
            <w:shd w:val="clear" w:color="auto" w:fill="auto"/>
          </w:tcPr>
          <w:p w14:paraId="1907AB6D" w14:textId="77777777" w:rsidR="00F811FC" w:rsidRPr="004F5FB4" w:rsidRDefault="00F811FC" w:rsidP="005A68B9">
            <w:pPr>
              <w:pStyle w:val="TableParagraph"/>
              <w:widowControl/>
              <w:kinsoku w:val="0"/>
              <w:overflowPunct w:val="0"/>
              <w:spacing w:before="7"/>
              <w:ind w:left="424"/>
              <w:rPr>
                <w:rFonts w:ascii="Times New Roman" w:hAnsi="Times New Roman"/>
                <w:color w:val="000000"/>
              </w:rPr>
            </w:pPr>
            <w:r w:rsidRPr="004F5FB4">
              <w:rPr>
                <w:rFonts w:ascii="Times New Roman" w:hAnsi="Times New Roman"/>
                <w:color w:val="000000"/>
              </w:rPr>
              <w:t>2,6 (1,4; 3,8)</w:t>
            </w:r>
          </w:p>
        </w:tc>
        <w:tc>
          <w:tcPr>
            <w:tcW w:w="1493" w:type="dxa"/>
            <w:shd w:val="clear" w:color="auto" w:fill="auto"/>
          </w:tcPr>
          <w:p w14:paraId="56482D3E" w14:textId="77777777" w:rsidR="00F811FC" w:rsidRPr="004F5FB4" w:rsidRDefault="00F811FC" w:rsidP="000079DD">
            <w:pPr>
              <w:pStyle w:val="TableParagraph"/>
              <w:widowControl/>
              <w:kinsoku w:val="0"/>
              <w:overflowPunct w:val="0"/>
              <w:spacing w:line="260" w:lineRule="exact"/>
              <w:ind w:left="399"/>
              <w:rPr>
                <w:rFonts w:ascii="Times New Roman" w:hAnsi="Times New Roman"/>
                <w:color w:val="000000"/>
              </w:rPr>
            </w:pPr>
            <w:r w:rsidRPr="004F5FB4">
              <w:rPr>
                <w:rFonts w:ascii="Times New Roman" w:hAnsi="Times New Roman"/>
                <w:color w:val="000000"/>
              </w:rPr>
              <w:t>&lt; 0,001</w:t>
            </w:r>
            <w:r w:rsidRPr="004F5FB4">
              <w:rPr>
                <w:rFonts w:ascii="Times New Roman" w:hAnsi="Times New Roman"/>
                <w:color w:val="000000"/>
                <w:vertAlign w:val="superscript"/>
              </w:rPr>
              <w:t>c</w:t>
            </w:r>
          </w:p>
        </w:tc>
      </w:tr>
      <w:tr w:rsidR="00F811FC" w:rsidRPr="004F5FB4" w14:paraId="01F2EFAA" w14:textId="77777777" w:rsidTr="00855029">
        <w:trPr>
          <w:cantSplit/>
        </w:trPr>
        <w:tc>
          <w:tcPr>
            <w:tcW w:w="1948" w:type="dxa"/>
            <w:shd w:val="clear" w:color="auto" w:fill="auto"/>
          </w:tcPr>
          <w:p w14:paraId="5839953F" w14:textId="77777777" w:rsidR="00F811FC" w:rsidRPr="004F5FB4" w:rsidRDefault="00F811FC" w:rsidP="005A68B9">
            <w:pPr>
              <w:pStyle w:val="TableParagraph"/>
              <w:widowControl/>
              <w:kinsoku w:val="0"/>
              <w:overflowPunct w:val="0"/>
              <w:spacing w:before="7"/>
              <w:rPr>
                <w:rFonts w:ascii="Times New Roman" w:hAnsi="Times New Roman"/>
                <w:color w:val="000000"/>
              </w:rPr>
            </w:pPr>
            <w:r w:rsidRPr="004F5FB4">
              <w:rPr>
                <w:rFonts w:ascii="Times New Roman" w:hAnsi="Times New Roman"/>
                <w:color w:val="000000"/>
              </w:rPr>
              <w:t>Erosions-Score</w:t>
            </w:r>
          </w:p>
        </w:tc>
        <w:tc>
          <w:tcPr>
            <w:tcW w:w="1220" w:type="dxa"/>
            <w:shd w:val="clear" w:color="auto" w:fill="auto"/>
          </w:tcPr>
          <w:p w14:paraId="341F79F7" w14:textId="77777777" w:rsidR="00F811FC" w:rsidRPr="004F5FB4" w:rsidRDefault="00F811FC"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1,6</w:t>
            </w:r>
          </w:p>
        </w:tc>
        <w:tc>
          <w:tcPr>
            <w:tcW w:w="2227" w:type="dxa"/>
            <w:shd w:val="clear" w:color="auto" w:fill="auto"/>
          </w:tcPr>
          <w:p w14:paraId="3696B7AC" w14:textId="77777777" w:rsidR="00F811FC" w:rsidRPr="004F5FB4" w:rsidRDefault="00F811FC"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0,0</w:t>
            </w:r>
          </w:p>
        </w:tc>
        <w:tc>
          <w:tcPr>
            <w:tcW w:w="2415" w:type="dxa"/>
            <w:shd w:val="clear" w:color="auto" w:fill="auto"/>
          </w:tcPr>
          <w:p w14:paraId="4F110B23" w14:textId="77777777" w:rsidR="00F811FC" w:rsidRPr="004F5FB4" w:rsidRDefault="00F811FC" w:rsidP="005A68B9">
            <w:pPr>
              <w:pStyle w:val="TableParagraph"/>
              <w:widowControl/>
              <w:kinsoku w:val="0"/>
              <w:overflowPunct w:val="0"/>
              <w:spacing w:before="7"/>
              <w:ind w:left="426"/>
              <w:rPr>
                <w:rFonts w:ascii="Times New Roman" w:hAnsi="Times New Roman"/>
                <w:color w:val="000000"/>
              </w:rPr>
            </w:pPr>
            <w:r w:rsidRPr="004F5FB4">
              <w:rPr>
                <w:rFonts w:ascii="Times New Roman" w:hAnsi="Times New Roman"/>
                <w:color w:val="000000"/>
              </w:rPr>
              <w:t>1,6 (0,9; 2,2)</w:t>
            </w:r>
          </w:p>
        </w:tc>
        <w:tc>
          <w:tcPr>
            <w:tcW w:w="1493" w:type="dxa"/>
            <w:shd w:val="clear" w:color="auto" w:fill="auto"/>
          </w:tcPr>
          <w:p w14:paraId="5BE52CC2" w14:textId="77777777" w:rsidR="00F811FC" w:rsidRPr="004F5FB4" w:rsidRDefault="00F811FC" w:rsidP="000079DD">
            <w:pPr>
              <w:pStyle w:val="TableParagraph"/>
              <w:widowControl/>
              <w:kinsoku w:val="0"/>
              <w:overflowPunct w:val="0"/>
              <w:spacing w:before="7"/>
              <w:ind w:left="430"/>
              <w:rPr>
                <w:rFonts w:ascii="Times New Roman" w:hAnsi="Times New Roman"/>
                <w:color w:val="000000"/>
              </w:rPr>
            </w:pPr>
            <w:r w:rsidRPr="004F5FB4">
              <w:rPr>
                <w:rFonts w:ascii="Times New Roman" w:hAnsi="Times New Roman"/>
                <w:color w:val="000000"/>
              </w:rPr>
              <w:t>&lt; 0,001</w:t>
            </w:r>
          </w:p>
        </w:tc>
      </w:tr>
      <w:tr w:rsidR="00F811FC" w:rsidRPr="004F5FB4" w14:paraId="09D8458C" w14:textId="77777777" w:rsidTr="00081A6C">
        <w:trPr>
          <w:cantSplit/>
        </w:trPr>
        <w:tc>
          <w:tcPr>
            <w:tcW w:w="1948" w:type="dxa"/>
            <w:tcBorders>
              <w:bottom w:val="single" w:sz="4" w:space="0" w:color="auto"/>
            </w:tcBorders>
            <w:shd w:val="clear" w:color="auto" w:fill="auto"/>
          </w:tcPr>
          <w:p w14:paraId="5FE0F06C" w14:textId="77777777" w:rsidR="00F811FC" w:rsidRPr="004F5FB4" w:rsidRDefault="00F811FC" w:rsidP="005A68B9">
            <w:pPr>
              <w:pStyle w:val="TableParagraph"/>
              <w:widowControl/>
              <w:kinsoku w:val="0"/>
              <w:overflowPunct w:val="0"/>
              <w:spacing w:line="260" w:lineRule="exact"/>
              <w:rPr>
                <w:rFonts w:ascii="Times New Roman" w:hAnsi="Times New Roman"/>
                <w:color w:val="000000"/>
              </w:rPr>
            </w:pPr>
            <w:r w:rsidRPr="004F5FB4">
              <w:rPr>
                <w:rFonts w:ascii="Times New Roman" w:hAnsi="Times New Roman"/>
                <w:color w:val="000000"/>
              </w:rPr>
              <w:t>JSN</w:t>
            </w:r>
            <w:r w:rsidRPr="004F5FB4">
              <w:rPr>
                <w:rFonts w:ascii="Times New Roman" w:hAnsi="Times New Roman"/>
                <w:color w:val="000000"/>
                <w:vertAlign w:val="superscript"/>
              </w:rPr>
              <w:t>d</w:t>
            </w:r>
            <w:r w:rsidRPr="004F5FB4">
              <w:rPr>
                <w:rFonts w:ascii="Times New Roman" w:hAnsi="Times New Roman"/>
                <w:color w:val="000000"/>
              </w:rPr>
              <w:t xml:space="preserve"> Score</w:t>
            </w:r>
          </w:p>
        </w:tc>
        <w:tc>
          <w:tcPr>
            <w:tcW w:w="1220" w:type="dxa"/>
            <w:tcBorders>
              <w:bottom w:val="single" w:sz="4" w:space="0" w:color="auto"/>
            </w:tcBorders>
            <w:shd w:val="clear" w:color="auto" w:fill="auto"/>
          </w:tcPr>
          <w:p w14:paraId="53744AC2" w14:textId="77777777" w:rsidR="00F811FC" w:rsidRPr="004F5FB4" w:rsidRDefault="00F811FC"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1,0</w:t>
            </w:r>
          </w:p>
        </w:tc>
        <w:tc>
          <w:tcPr>
            <w:tcW w:w="2227" w:type="dxa"/>
            <w:tcBorders>
              <w:bottom w:val="single" w:sz="4" w:space="0" w:color="auto"/>
            </w:tcBorders>
            <w:shd w:val="clear" w:color="auto" w:fill="auto"/>
          </w:tcPr>
          <w:p w14:paraId="2F64D80F" w14:textId="77777777" w:rsidR="00F811FC" w:rsidRPr="004F5FB4" w:rsidRDefault="00F811FC"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0,1</w:t>
            </w:r>
          </w:p>
        </w:tc>
        <w:tc>
          <w:tcPr>
            <w:tcW w:w="2415" w:type="dxa"/>
            <w:tcBorders>
              <w:bottom w:val="single" w:sz="4" w:space="0" w:color="auto"/>
            </w:tcBorders>
            <w:shd w:val="clear" w:color="auto" w:fill="auto"/>
          </w:tcPr>
          <w:p w14:paraId="4AC17A49" w14:textId="77777777" w:rsidR="00F811FC" w:rsidRPr="004F5FB4" w:rsidRDefault="00F811FC" w:rsidP="005A68B9">
            <w:pPr>
              <w:pStyle w:val="TableParagraph"/>
              <w:widowControl/>
              <w:kinsoku w:val="0"/>
              <w:overflowPunct w:val="0"/>
              <w:spacing w:before="7"/>
              <w:ind w:left="426"/>
              <w:rPr>
                <w:rFonts w:ascii="Times New Roman" w:hAnsi="Times New Roman"/>
                <w:color w:val="000000"/>
              </w:rPr>
            </w:pPr>
            <w:r w:rsidRPr="004F5FB4">
              <w:rPr>
                <w:rFonts w:ascii="Times New Roman" w:hAnsi="Times New Roman"/>
                <w:color w:val="000000"/>
              </w:rPr>
              <w:t>0,9 (0,3; 1,4)</w:t>
            </w:r>
          </w:p>
        </w:tc>
        <w:tc>
          <w:tcPr>
            <w:tcW w:w="1493" w:type="dxa"/>
            <w:tcBorders>
              <w:bottom w:val="single" w:sz="4" w:space="0" w:color="auto"/>
            </w:tcBorders>
            <w:shd w:val="clear" w:color="auto" w:fill="auto"/>
          </w:tcPr>
          <w:p w14:paraId="7B7D1D41" w14:textId="77777777" w:rsidR="00F811FC" w:rsidRPr="004F5FB4" w:rsidRDefault="00F811FC" w:rsidP="000079DD">
            <w:pPr>
              <w:pStyle w:val="TableParagraph"/>
              <w:widowControl/>
              <w:kinsoku w:val="0"/>
              <w:overflowPunct w:val="0"/>
              <w:spacing w:before="7"/>
              <w:ind w:left="576"/>
              <w:rPr>
                <w:rFonts w:ascii="Times New Roman" w:hAnsi="Times New Roman"/>
                <w:color w:val="000000"/>
              </w:rPr>
            </w:pPr>
            <w:r w:rsidRPr="004F5FB4">
              <w:rPr>
                <w:rFonts w:ascii="Times New Roman" w:hAnsi="Times New Roman"/>
                <w:color w:val="000000"/>
              </w:rPr>
              <w:t>0,002</w:t>
            </w:r>
          </w:p>
        </w:tc>
      </w:tr>
      <w:tr w:rsidR="00081A6C" w:rsidRPr="004F5FB4" w14:paraId="401C3DD2" w14:textId="77777777" w:rsidTr="00081A6C">
        <w:trPr>
          <w:cantSplit/>
        </w:trPr>
        <w:tc>
          <w:tcPr>
            <w:tcW w:w="9303" w:type="dxa"/>
            <w:gridSpan w:val="5"/>
            <w:tcBorders>
              <w:left w:val="nil"/>
              <w:bottom w:val="nil"/>
              <w:right w:val="nil"/>
            </w:tcBorders>
            <w:shd w:val="clear" w:color="auto" w:fill="auto"/>
          </w:tcPr>
          <w:p w14:paraId="48F0B3F2" w14:textId="77777777" w:rsidR="00081A6C" w:rsidRPr="00206AEA" w:rsidRDefault="00081A6C" w:rsidP="00081A6C">
            <w:pPr>
              <w:pStyle w:val="BodyText"/>
              <w:widowControl/>
              <w:kinsoku w:val="0"/>
              <w:overflowPunct w:val="0"/>
              <w:ind w:left="270" w:hanging="270"/>
              <w:rPr>
                <w:color w:val="000000"/>
                <w:sz w:val="20"/>
              </w:rPr>
            </w:pPr>
            <w:r w:rsidRPr="00206AEA">
              <w:rPr>
                <w:bCs/>
                <w:color w:val="000000"/>
                <w:sz w:val="20"/>
                <w:szCs w:val="14"/>
                <w:vertAlign w:val="superscript"/>
              </w:rPr>
              <w:t>a</w:t>
            </w:r>
            <w:r w:rsidRPr="00206AEA">
              <w:rPr>
                <w:bCs/>
                <w:color w:val="000000"/>
                <w:sz w:val="20"/>
                <w:szCs w:val="14"/>
              </w:rPr>
              <w:t xml:space="preserve"> </w:t>
            </w:r>
            <w:r w:rsidRPr="00206AEA">
              <w:rPr>
                <w:bCs/>
                <w:color w:val="000000"/>
                <w:sz w:val="20"/>
                <w:szCs w:val="14"/>
              </w:rPr>
              <w:tab/>
            </w:r>
            <w:r w:rsidRPr="00206AEA">
              <w:rPr>
                <w:color w:val="000000"/>
                <w:sz w:val="20"/>
              </w:rPr>
              <w:t>Methotrexat</w:t>
            </w:r>
          </w:p>
          <w:p w14:paraId="55342B92" w14:textId="77777777" w:rsidR="00081A6C" w:rsidRPr="00206AEA" w:rsidRDefault="00081A6C" w:rsidP="00081A6C">
            <w:pPr>
              <w:pStyle w:val="BodyText"/>
              <w:widowControl/>
              <w:kinsoku w:val="0"/>
              <w:overflowPunct w:val="0"/>
              <w:ind w:left="270" w:hanging="270"/>
              <w:rPr>
                <w:color w:val="000000"/>
                <w:sz w:val="20"/>
              </w:rPr>
            </w:pPr>
            <w:r w:rsidRPr="00206AEA">
              <w:rPr>
                <w:color w:val="000000"/>
                <w:sz w:val="20"/>
                <w:szCs w:val="14"/>
                <w:vertAlign w:val="superscript"/>
              </w:rPr>
              <w:t>b</w:t>
            </w:r>
            <w:r w:rsidRPr="00206AEA">
              <w:rPr>
                <w:color w:val="000000"/>
                <w:sz w:val="20"/>
                <w:szCs w:val="14"/>
              </w:rPr>
              <w:t xml:space="preserve"> </w:t>
            </w:r>
            <w:r w:rsidRPr="00206AEA">
              <w:rPr>
                <w:color w:val="000000"/>
                <w:sz w:val="20"/>
                <w:szCs w:val="14"/>
              </w:rPr>
              <w:tab/>
            </w:r>
            <w:r w:rsidRPr="00206AEA">
              <w:rPr>
                <w:color w:val="000000"/>
                <w:sz w:val="20"/>
              </w:rPr>
              <w:t>95 % Konfidenzintervalle für die Unterschiede der Veränderungen der Scores zwischen Methotrexat und Adalimumab</w:t>
            </w:r>
          </w:p>
          <w:p w14:paraId="4D786604" w14:textId="77777777" w:rsidR="00081A6C" w:rsidRPr="00206AEA" w:rsidRDefault="00081A6C" w:rsidP="00081A6C">
            <w:pPr>
              <w:pStyle w:val="BodyText"/>
              <w:widowControl/>
              <w:kinsoku w:val="0"/>
              <w:overflowPunct w:val="0"/>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basierend auf Rangsummentest</w:t>
            </w:r>
          </w:p>
          <w:p w14:paraId="1EEE8976" w14:textId="77777777" w:rsidR="00081A6C" w:rsidRPr="00206AEA" w:rsidRDefault="00081A6C" w:rsidP="00081A6C">
            <w:pPr>
              <w:pStyle w:val="BodyText"/>
              <w:widowControl/>
              <w:kinsoku w:val="0"/>
              <w:overflowPunct w:val="0"/>
              <w:ind w:left="270" w:hanging="270"/>
              <w:rPr>
                <w:color w:val="000000"/>
                <w:sz w:val="20"/>
              </w:rPr>
            </w:pPr>
            <w:r w:rsidRPr="00206AEA">
              <w:rPr>
                <w:color w:val="000000"/>
                <w:sz w:val="20"/>
                <w:szCs w:val="14"/>
                <w:vertAlign w:val="superscript"/>
              </w:rPr>
              <w:t>d</w:t>
            </w:r>
            <w:r w:rsidRPr="00206AEA">
              <w:rPr>
                <w:color w:val="000000"/>
                <w:sz w:val="20"/>
                <w:szCs w:val="14"/>
              </w:rPr>
              <w:t xml:space="preserve"> </w:t>
            </w:r>
            <w:r w:rsidRPr="00206AEA">
              <w:rPr>
                <w:color w:val="000000"/>
                <w:sz w:val="20"/>
                <w:szCs w:val="14"/>
              </w:rPr>
              <w:tab/>
            </w:r>
            <w:r w:rsidRPr="00206AEA">
              <w:rPr>
                <w:color w:val="000000"/>
                <w:sz w:val="20"/>
              </w:rPr>
              <w:t>JSN (Joint Space Narrowing): Gelenkspaltverengung</w:t>
            </w:r>
          </w:p>
        </w:tc>
      </w:tr>
    </w:tbl>
    <w:p w14:paraId="167C85D8" w14:textId="77777777" w:rsidR="00C46587" w:rsidRPr="004F5FB4" w:rsidRDefault="00C46587" w:rsidP="00982118">
      <w:pPr>
        <w:rPr>
          <w:color w:val="000000"/>
        </w:rPr>
      </w:pPr>
    </w:p>
    <w:p w14:paraId="4227802B" w14:textId="77777777" w:rsidR="00C46587" w:rsidRPr="004F5FB4" w:rsidRDefault="00C46587" w:rsidP="00982118">
      <w:pPr>
        <w:rPr>
          <w:color w:val="000000"/>
        </w:rPr>
      </w:pPr>
      <w:r w:rsidRPr="004F5FB4">
        <w:rPr>
          <w:color w:val="000000"/>
        </w:rPr>
        <w:t>In der RA-Studie</w:t>
      </w:r>
      <w:r w:rsidR="00F60B12" w:rsidRPr="004F5FB4">
        <w:rPr>
          <w:color w:val="000000"/>
        </w:rPr>
        <w:t> </w:t>
      </w:r>
      <w:r w:rsidRPr="004F5FB4">
        <w:rPr>
          <w:color w:val="000000"/>
        </w:rPr>
        <w:t>V wurde die strukturelle Gelenkschädigung radiologisch untersucht und als Veränderung des modifizierten Gesamt-Sharp-Scores ausgedrückt (siehe Tabelle</w:t>
      </w:r>
      <w:r w:rsidR="00F60B12" w:rsidRPr="004F5FB4">
        <w:rPr>
          <w:color w:val="000000"/>
        </w:rPr>
        <w:t> </w:t>
      </w:r>
      <w:r w:rsidR="00C34252">
        <w:rPr>
          <w:color w:val="000000"/>
        </w:rPr>
        <w:t>11</w:t>
      </w:r>
      <w:r w:rsidRPr="004F5FB4">
        <w:rPr>
          <w:color w:val="000000"/>
        </w:rPr>
        <w:t xml:space="preserve">). </w:t>
      </w:r>
    </w:p>
    <w:p w14:paraId="006CBD27" w14:textId="77777777" w:rsidR="00C46587" w:rsidRPr="004F5FB4" w:rsidRDefault="00C46587" w:rsidP="00982118">
      <w:pPr>
        <w:rPr>
          <w:color w:val="000000"/>
        </w:rPr>
      </w:pPr>
    </w:p>
    <w:p w14:paraId="66A1383D" w14:textId="77777777" w:rsidR="00534661" w:rsidRPr="00CA7719" w:rsidRDefault="00F811FC" w:rsidP="00D4051F">
      <w:pPr>
        <w:pStyle w:val="BodyText"/>
        <w:keepNext/>
        <w:keepLines/>
        <w:widowControl/>
        <w:kinsoku w:val="0"/>
        <w:overflowPunct w:val="0"/>
        <w:ind w:left="0"/>
        <w:rPr>
          <w:b/>
          <w:color w:val="000000"/>
        </w:rPr>
      </w:pPr>
      <w:r w:rsidRPr="00CA7719">
        <w:rPr>
          <w:b/>
          <w:color w:val="000000"/>
        </w:rPr>
        <w:t>Tabelle</w:t>
      </w:r>
      <w:r w:rsidR="00C34252">
        <w:rPr>
          <w:b/>
          <w:color w:val="000000"/>
        </w:rPr>
        <w:t> 11</w:t>
      </w:r>
    </w:p>
    <w:p w14:paraId="51F76968" w14:textId="77777777" w:rsidR="00F811FC" w:rsidRPr="00CA7719" w:rsidRDefault="00F811FC" w:rsidP="00D4051F">
      <w:pPr>
        <w:pStyle w:val="BodyText"/>
        <w:keepNext/>
        <w:keepLines/>
        <w:widowControl/>
        <w:kinsoku w:val="0"/>
        <w:overflowPunct w:val="0"/>
        <w:ind w:left="0"/>
        <w:rPr>
          <w:b/>
          <w:color w:val="000000"/>
        </w:rPr>
      </w:pPr>
      <w:r w:rsidRPr="00CA7719">
        <w:rPr>
          <w:b/>
          <w:color w:val="000000"/>
        </w:rPr>
        <w:t>Mittlere radiologische Veränderungen nach 52 Wochen in der RA-Studie V</w:t>
      </w:r>
    </w:p>
    <w:p w14:paraId="1B9399A5" w14:textId="77777777" w:rsidR="00271CDD" w:rsidRPr="004F5FB4" w:rsidRDefault="00271CDD" w:rsidP="00271CDD">
      <w:pPr>
        <w:pStyle w:val="BodyText"/>
        <w:keepNext/>
        <w:widowControl/>
        <w:kinsoku w:val="0"/>
        <w:overflowPunct w:val="0"/>
        <w:ind w:left="0"/>
        <w:rPr>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F811FC" w:rsidRPr="004F5FB4" w14:paraId="2617DD7B" w14:textId="77777777" w:rsidTr="001376C9">
        <w:trPr>
          <w:trHeight w:hRule="exact" w:val="1541"/>
          <w:tblHeader/>
        </w:trPr>
        <w:tc>
          <w:tcPr>
            <w:tcW w:w="1404" w:type="dxa"/>
            <w:shd w:val="clear" w:color="auto" w:fill="auto"/>
          </w:tcPr>
          <w:p w14:paraId="087A00C6" w14:textId="77777777" w:rsidR="00F811FC" w:rsidRPr="004F5FB4" w:rsidRDefault="00F811FC" w:rsidP="005A68B9">
            <w:pPr>
              <w:keepNext/>
              <w:keepLines/>
              <w:rPr>
                <w:b/>
                <w:color w:val="000000"/>
              </w:rPr>
            </w:pPr>
          </w:p>
        </w:tc>
        <w:tc>
          <w:tcPr>
            <w:tcW w:w="1520" w:type="dxa"/>
            <w:shd w:val="clear" w:color="auto" w:fill="auto"/>
            <w:vAlign w:val="center"/>
          </w:tcPr>
          <w:p w14:paraId="4B7C5763" w14:textId="77777777" w:rsidR="00F811FC" w:rsidRPr="004F5FB4" w:rsidRDefault="00F811FC" w:rsidP="000079DD">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Methotrexat (MTX)</w:t>
            </w:r>
          </w:p>
          <w:p w14:paraId="7C31584A" w14:textId="77777777" w:rsidR="00F811FC" w:rsidRPr="004F5FB4" w:rsidRDefault="00F811FC" w:rsidP="000079DD">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n = 257</w:t>
            </w:r>
          </w:p>
          <w:p w14:paraId="0C14FB3C" w14:textId="77777777" w:rsidR="00F811FC" w:rsidRPr="004F5FB4" w:rsidRDefault="00F811FC" w:rsidP="000079DD">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(95 % Konfidenzintervall)</w:t>
            </w:r>
          </w:p>
        </w:tc>
        <w:tc>
          <w:tcPr>
            <w:tcW w:w="1504" w:type="dxa"/>
            <w:shd w:val="clear" w:color="auto" w:fill="auto"/>
            <w:vAlign w:val="center"/>
          </w:tcPr>
          <w:p w14:paraId="1BF6D316" w14:textId="77777777" w:rsidR="00F811FC" w:rsidRPr="004F5FB4" w:rsidRDefault="00F811FC" w:rsidP="000079DD">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Adalimumab</w:t>
            </w:r>
          </w:p>
          <w:p w14:paraId="670CC5DC" w14:textId="77777777" w:rsidR="00F811FC" w:rsidRPr="004F5FB4" w:rsidRDefault="00F811FC" w:rsidP="000079DD">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n = 274</w:t>
            </w:r>
          </w:p>
          <w:p w14:paraId="700F8513" w14:textId="77777777" w:rsidR="00F811FC" w:rsidRPr="004F5FB4" w:rsidRDefault="00F811FC" w:rsidP="000079DD">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(95 % Konfidenzintervall)</w:t>
            </w:r>
          </w:p>
        </w:tc>
        <w:tc>
          <w:tcPr>
            <w:tcW w:w="1710" w:type="dxa"/>
            <w:shd w:val="clear" w:color="auto" w:fill="auto"/>
            <w:vAlign w:val="center"/>
          </w:tcPr>
          <w:p w14:paraId="1E712948" w14:textId="77777777" w:rsidR="00F811FC" w:rsidRPr="004F5FB4" w:rsidRDefault="00F811FC" w:rsidP="000079DD">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Adalimumab/MTX</w:t>
            </w:r>
          </w:p>
          <w:p w14:paraId="764980E6" w14:textId="77777777" w:rsidR="00F811FC" w:rsidRPr="004F5FB4" w:rsidRDefault="00F811FC" w:rsidP="000079DD">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n = 268</w:t>
            </w:r>
          </w:p>
          <w:p w14:paraId="7CE2FE46" w14:textId="77777777" w:rsidR="00F811FC" w:rsidRPr="004F5FB4" w:rsidRDefault="00F811FC" w:rsidP="000079DD">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(95 % Konfidenzintervall)</w:t>
            </w:r>
          </w:p>
        </w:tc>
        <w:tc>
          <w:tcPr>
            <w:tcW w:w="1085" w:type="dxa"/>
            <w:shd w:val="clear" w:color="auto" w:fill="auto"/>
            <w:vAlign w:val="center"/>
          </w:tcPr>
          <w:p w14:paraId="2B41B40C" w14:textId="77777777" w:rsidR="00F811FC" w:rsidRPr="004F5FB4" w:rsidRDefault="00F811FC" w:rsidP="000079DD">
            <w:pPr>
              <w:pStyle w:val="TableParagraph"/>
              <w:keepNext/>
              <w:keepLines/>
              <w:widowControl/>
              <w:kinsoku w:val="0"/>
              <w:overflowPunct w:val="0"/>
              <w:spacing w:before="188"/>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a</w:t>
            </w:r>
          </w:p>
        </w:tc>
        <w:tc>
          <w:tcPr>
            <w:tcW w:w="1040" w:type="dxa"/>
            <w:shd w:val="clear" w:color="auto" w:fill="auto"/>
            <w:vAlign w:val="center"/>
          </w:tcPr>
          <w:p w14:paraId="12A50A80" w14:textId="77777777" w:rsidR="00F811FC" w:rsidRPr="004F5FB4" w:rsidRDefault="00F811FC" w:rsidP="000079DD">
            <w:pPr>
              <w:pStyle w:val="TableParagraph"/>
              <w:keepNext/>
              <w:keepLines/>
              <w:widowControl/>
              <w:kinsoku w:val="0"/>
              <w:overflowPunct w:val="0"/>
              <w:spacing w:before="188"/>
              <w:ind w:left="2"/>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b</w:t>
            </w:r>
          </w:p>
        </w:tc>
        <w:tc>
          <w:tcPr>
            <w:tcW w:w="1040" w:type="dxa"/>
            <w:shd w:val="clear" w:color="auto" w:fill="auto"/>
            <w:vAlign w:val="center"/>
          </w:tcPr>
          <w:p w14:paraId="609097AE" w14:textId="77777777" w:rsidR="00F811FC" w:rsidRPr="004F5FB4" w:rsidRDefault="00F811FC" w:rsidP="000079DD">
            <w:pPr>
              <w:pStyle w:val="TableParagraph"/>
              <w:keepNext/>
              <w:keepLines/>
              <w:widowControl/>
              <w:kinsoku w:val="0"/>
              <w:overflowPunct w:val="0"/>
              <w:spacing w:before="188"/>
              <w:ind w:left="31"/>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c</w:t>
            </w:r>
          </w:p>
        </w:tc>
      </w:tr>
      <w:tr w:rsidR="00F811FC" w:rsidRPr="004F5FB4" w14:paraId="0802B7F0" w14:textId="77777777" w:rsidTr="00855029">
        <w:trPr>
          <w:trHeight w:hRule="exact" w:val="516"/>
        </w:trPr>
        <w:tc>
          <w:tcPr>
            <w:tcW w:w="1404" w:type="dxa"/>
            <w:shd w:val="clear" w:color="auto" w:fill="auto"/>
          </w:tcPr>
          <w:p w14:paraId="7C988767" w14:textId="77777777" w:rsidR="00F811FC" w:rsidRPr="004F5FB4" w:rsidRDefault="00F811FC" w:rsidP="005A68B9">
            <w:pPr>
              <w:pStyle w:val="TableParagraph"/>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Gesamt-Sharp-Score</w:t>
            </w:r>
          </w:p>
        </w:tc>
        <w:tc>
          <w:tcPr>
            <w:tcW w:w="1520" w:type="dxa"/>
            <w:shd w:val="clear" w:color="auto" w:fill="auto"/>
            <w:vAlign w:val="center"/>
          </w:tcPr>
          <w:p w14:paraId="028F84D1" w14:textId="77777777" w:rsidR="00F811FC" w:rsidRPr="004F5FB4" w:rsidRDefault="00F811FC" w:rsidP="005A68B9">
            <w:pPr>
              <w:pStyle w:val="TableParagraph"/>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5,7 (4,2 - 7,3)</w:t>
            </w:r>
          </w:p>
        </w:tc>
        <w:tc>
          <w:tcPr>
            <w:tcW w:w="1504" w:type="dxa"/>
            <w:shd w:val="clear" w:color="auto" w:fill="auto"/>
            <w:vAlign w:val="center"/>
          </w:tcPr>
          <w:p w14:paraId="56E6E5EB" w14:textId="77777777" w:rsidR="00F811FC" w:rsidRPr="004F5FB4" w:rsidRDefault="00F811FC" w:rsidP="005A68B9">
            <w:pPr>
              <w:pStyle w:val="TableParagraph"/>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3,0 (1,7 - 4,3)</w:t>
            </w:r>
          </w:p>
        </w:tc>
        <w:tc>
          <w:tcPr>
            <w:tcW w:w="1710" w:type="dxa"/>
            <w:shd w:val="clear" w:color="auto" w:fill="auto"/>
            <w:vAlign w:val="center"/>
          </w:tcPr>
          <w:p w14:paraId="730F57B7" w14:textId="77777777" w:rsidR="00F811FC" w:rsidRPr="004F5FB4" w:rsidRDefault="00F811FC" w:rsidP="005A68B9">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1,3 (0,5 - 2,1)</w:t>
            </w:r>
          </w:p>
        </w:tc>
        <w:tc>
          <w:tcPr>
            <w:tcW w:w="1085" w:type="dxa"/>
            <w:shd w:val="clear" w:color="auto" w:fill="auto"/>
            <w:vAlign w:val="center"/>
          </w:tcPr>
          <w:p w14:paraId="2EA4F52D" w14:textId="77777777" w:rsidR="00F811FC" w:rsidRPr="004F5FB4" w:rsidRDefault="00F811FC" w:rsidP="000079DD">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&lt; 0,001</w:t>
            </w:r>
          </w:p>
        </w:tc>
        <w:tc>
          <w:tcPr>
            <w:tcW w:w="1040" w:type="dxa"/>
            <w:shd w:val="clear" w:color="auto" w:fill="auto"/>
            <w:vAlign w:val="center"/>
          </w:tcPr>
          <w:p w14:paraId="095E9631" w14:textId="77777777" w:rsidR="00F811FC" w:rsidRPr="004F5FB4" w:rsidRDefault="00F811FC" w:rsidP="000079DD">
            <w:pPr>
              <w:pStyle w:val="TableParagraph"/>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0,0020</w:t>
            </w:r>
          </w:p>
        </w:tc>
        <w:tc>
          <w:tcPr>
            <w:tcW w:w="1040" w:type="dxa"/>
            <w:shd w:val="clear" w:color="auto" w:fill="auto"/>
            <w:vAlign w:val="center"/>
          </w:tcPr>
          <w:p w14:paraId="0CB49D49" w14:textId="77777777" w:rsidR="00F811FC" w:rsidRPr="004F5FB4" w:rsidRDefault="00F811FC" w:rsidP="000079DD">
            <w:pPr>
              <w:pStyle w:val="TableParagraph"/>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&lt; 0,001</w:t>
            </w:r>
          </w:p>
        </w:tc>
      </w:tr>
      <w:tr w:rsidR="00F811FC" w:rsidRPr="004F5FB4" w14:paraId="0BF01878" w14:textId="77777777" w:rsidTr="003533D2">
        <w:trPr>
          <w:trHeight w:hRule="exact" w:val="507"/>
        </w:trPr>
        <w:tc>
          <w:tcPr>
            <w:tcW w:w="1404" w:type="dxa"/>
            <w:shd w:val="clear" w:color="auto" w:fill="auto"/>
          </w:tcPr>
          <w:p w14:paraId="6B57316D" w14:textId="77777777" w:rsidR="00F811FC" w:rsidRPr="004F5FB4" w:rsidRDefault="00F811FC" w:rsidP="005A68B9">
            <w:pPr>
              <w:pStyle w:val="TableParagraph"/>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Erosions-Score</w:t>
            </w:r>
          </w:p>
        </w:tc>
        <w:tc>
          <w:tcPr>
            <w:tcW w:w="1520" w:type="dxa"/>
            <w:shd w:val="clear" w:color="auto" w:fill="auto"/>
            <w:vAlign w:val="center"/>
          </w:tcPr>
          <w:p w14:paraId="0B100821" w14:textId="77777777" w:rsidR="00F811FC" w:rsidRPr="004F5FB4" w:rsidRDefault="00F811FC" w:rsidP="005A68B9">
            <w:pPr>
              <w:pStyle w:val="TableParagraph"/>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3,7 (2,7 - 4,7)</w:t>
            </w:r>
          </w:p>
        </w:tc>
        <w:tc>
          <w:tcPr>
            <w:tcW w:w="1504" w:type="dxa"/>
            <w:shd w:val="clear" w:color="auto" w:fill="auto"/>
            <w:vAlign w:val="center"/>
          </w:tcPr>
          <w:p w14:paraId="01149243" w14:textId="77777777" w:rsidR="00F811FC" w:rsidRPr="004F5FB4" w:rsidRDefault="00F811FC" w:rsidP="005A68B9">
            <w:pPr>
              <w:pStyle w:val="TableParagraph"/>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1,7 (1,0 - 2,4)</w:t>
            </w:r>
          </w:p>
        </w:tc>
        <w:tc>
          <w:tcPr>
            <w:tcW w:w="1710" w:type="dxa"/>
            <w:shd w:val="clear" w:color="auto" w:fill="auto"/>
            <w:vAlign w:val="center"/>
          </w:tcPr>
          <w:p w14:paraId="0D3BD7A1" w14:textId="77777777" w:rsidR="00F811FC" w:rsidRPr="004F5FB4" w:rsidRDefault="00F811FC" w:rsidP="005A68B9">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0,8 (0,4 - 1,2)</w:t>
            </w:r>
          </w:p>
        </w:tc>
        <w:tc>
          <w:tcPr>
            <w:tcW w:w="1085" w:type="dxa"/>
            <w:shd w:val="clear" w:color="auto" w:fill="auto"/>
            <w:vAlign w:val="center"/>
          </w:tcPr>
          <w:p w14:paraId="4BCBF350" w14:textId="77777777" w:rsidR="00F811FC" w:rsidRPr="004F5FB4" w:rsidRDefault="00F811FC" w:rsidP="000079DD">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&lt; 0,001</w:t>
            </w:r>
          </w:p>
        </w:tc>
        <w:tc>
          <w:tcPr>
            <w:tcW w:w="1040" w:type="dxa"/>
            <w:shd w:val="clear" w:color="auto" w:fill="auto"/>
            <w:vAlign w:val="center"/>
          </w:tcPr>
          <w:p w14:paraId="6A420F67" w14:textId="77777777" w:rsidR="00F811FC" w:rsidRPr="004F5FB4" w:rsidRDefault="00F811FC" w:rsidP="000079DD">
            <w:pPr>
              <w:pStyle w:val="TableParagraph"/>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0,0082</w:t>
            </w:r>
          </w:p>
        </w:tc>
        <w:tc>
          <w:tcPr>
            <w:tcW w:w="1040" w:type="dxa"/>
            <w:shd w:val="clear" w:color="auto" w:fill="auto"/>
            <w:vAlign w:val="center"/>
          </w:tcPr>
          <w:p w14:paraId="0355C195" w14:textId="77777777" w:rsidR="00F811FC" w:rsidRPr="004F5FB4" w:rsidRDefault="00F811FC" w:rsidP="000079DD">
            <w:pPr>
              <w:pStyle w:val="TableParagraph"/>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&lt; 0,001</w:t>
            </w:r>
          </w:p>
        </w:tc>
      </w:tr>
      <w:tr w:rsidR="00F811FC" w:rsidRPr="004F5FB4" w14:paraId="230E26A9" w14:textId="77777777" w:rsidTr="00081A6C">
        <w:trPr>
          <w:trHeight w:hRule="exact" w:val="263"/>
        </w:trPr>
        <w:tc>
          <w:tcPr>
            <w:tcW w:w="1404" w:type="dxa"/>
            <w:tcBorders>
              <w:bottom w:val="single" w:sz="4" w:space="0" w:color="auto"/>
            </w:tcBorders>
            <w:shd w:val="clear" w:color="auto" w:fill="auto"/>
          </w:tcPr>
          <w:p w14:paraId="14E774EF" w14:textId="77777777" w:rsidR="00F811FC" w:rsidRPr="004F5FB4" w:rsidRDefault="00F811FC" w:rsidP="005A68B9">
            <w:pPr>
              <w:pStyle w:val="TableParagraph"/>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JSN Score</w:t>
            </w:r>
          </w:p>
        </w:tc>
        <w:tc>
          <w:tcPr>
            <w:tcW w:w="1520" w:type="dxa"/>
            <w:tcBorders>
              <w:bottom w:val="single" w:sz="4" w:space="0" w:color="auto"/>
            </w:tcBorders>
            <w:shd w:val="clear" w:color="auto" w:fill="auto"/>
            <w:vAlign w:val="center"/>
          </w:tcPr>
          <w:p w14:paraId="0E7DB74A" w14:textId="77777777" w:rsidR="00F811FC" w:rsidRPr="004F5FB4" w:rsidRDefault="00F811FC" w:rsidP="005A68B9">
            <w:pPr>
              <w:pStyle w:val="TableParagraph"/>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2,0 (1,2 - 2,8)</w:t>
            </w:r>
          </w:p>
        </w:tc>
        <w:tc>
          <w:tcPr>
            <w:tcW w:w="1504" w:type="dxa"/>
            <w:tcBorders>
              <w:bottom w:val="single" w:sz="4" w:space="0" w:color="auto"/>
            </w:tcBorders>
            <w:shd w:val="clear" w:color="auto" w:fill="auto"/>
            <w:vAlign w:val="center"/>
          </w:tcPr>
          <w:p w14:paraId="07ED49C8" w14:textId="77777777" w:rsidR="00F811FC" w:rsidRPr="004F5FB4" w:rsidRDefault="00F811FC" w:rsidP="005A68B9">
            <w:pPr>
              <w:pStyle w:val="TableParagraph"/>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1,3 (0,5 - 2,1)</w:t>
            </w:r>
          </w:p>
        </w:tc>
        <w:tc>
          <w:tcPr>
            <w:tcW w:w="1710" w:type="dxa"/>
            <w:tcBorders>
              <w:bottom w:val="single" w:sz="4" w:space="0" w:color="auto"/>
            </w:tcBorders>
            <w:shd w:val="clear" w:color="auto" w:fill="auto"/>
            <w:vAlign w:val="center"/>
          </w:tcPr>
          <w:p w14:paraId="35344477" w14:textId="77777777" w:rsidR="00F811FC" w:rsidRPr="004F5FB4" w:rsidRDefault="00F811FC" w:rsidP="005A68B9">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0,5 (0 - 1,0)</w:t>
            </w:r>
          </w:p>
        </w:tc>
        <w:tc>
          <w:tcPr>
            <w:tcW w:w="1085" w:type="dxa"/>
            <w:tcBorders>
              <w:bottom w:val="single" w:sz="4" w:space="0" w:color="auto"/>
            </w:tcBorders>
            <w:shd w:val="clear" w:color="auto" w:fill="auto"/>
            <w:vAlign w:val="center"/>
          </w:tcPr>
          <w:p w14:paraId="313355A9" w14:textId="77777777" w:rsidR="00F811FC" w:rsidRPr="004F5FB4" w:rsidRDefault="00F811FC" w:rsidP="000079DD">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&lt; 0,001</w:t>
            </w:r>
          </w:p>
        </w:tc>
        <w:tc>
          <w:tcPr>
            <w:tcW w:w="1040" w:type="dxa"/>
            <w:tcBorders>
              <w:bottom w:val="single" w:sz="4" w:space="0" w:color="auto"/>
            </w:tcBorders>
            <w:shd w:val="clear" w:color="auto" w:fill="auto"/>
            <w:vAlign w:val="center"/>
          </w:tcPr>
          <w:p w14:paraId="1969F25D" w14:textId="77777777" w:rsidR="00F811FC" w:rsidRPr="004F5FB4" w:rsidRDefault="00F811FC" w:rsidP="000079DD">
            <w:pPr>
              <w:pStyle w:val="TableParagraph"/>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0,0037</w:t>
            </w:r>
          </w:p>
        </w:tc>
        <w:tc>
          <w:tcPr>
            <w:tcW w:w="1040" w:type="dxa"/>
            <w:tcBorders>
              <w:bottom w:val="single" w:sz="4" w:space="0" w:color="auto"/>
            </w:tcBorders>
            <w:shd w:val="clear" w:color="auto" w:fill="auto"/>
            <w:vAlign w:val="center"/>
          </w:tcPr>
          <w:p w14:paraId="10839595" w14:textId="77777777" w:rsidR="00F811FC" w:rsidRPr="004F5FB4" w:rsidRDefault="00F811FC" w:rsidP="000079DD">
            <w:pPr>
              <w:pStyle w:val="TableParagraph"/>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0,151</w:t>
            </w:r>
          </w:p>
        </w:tc>
      </w:tr>
      <w:tr w:rsidR="00081A6C" w:rsidRPr="004F5FB4" w14:paraId="2DC6D298" w14:textId="77777777" w:rsidTr="00081A6C">
        <w:tc>
          <w:tcPr>
            <w:tcW w:w="9303" w:type="dxa"/>
            <w:gridSpan w:val="7"/>
            <w:tcBorders>
              <w:left w:val="nil"/>
              <w:bottom w:val="nil"/>
              <w:right w:val="nil"/>
            </w:tcBorders>
            <w:shd w:val="clear" w:color="auto" w:fill="auto"/>
          </w:tcPr>
          <w:p w14:paraId="70EDD757" w14:textId="77777777" w:rsidR="00081A6C" w:rsidRPr="00206AEA" w:rsidRDefault="00081A6C" w:rsidP="009D38C5">
            <w:pPr>
              <w:pStyle w:val="BodyText"/>
              <w:widowControl/>
              <w:kinsoku w:val="0"/>
              <w:overflowPunct w:val="0"/>
              <w:ind w:left="274" w:hanging="274"/>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Der p-Wert resultiert aus dem paarweisen Vergleich der Methotrexat-Monotherapie und der Adalimumab/Methotrexat-Kombinationstherapie unter Anwendung des Mann-Whitney-U-Tests.</w:t>
            </w:r>
          </w:p>
          <w:p w14:paraId="6F6B1C6A" w14:textId="77777777" w:rsidR="00081A6C" w:rsidRPr="00206AEA" w:rsidRDefault="00081A6C" w:rsidP="009D38C5">
            <w:pPr>
              <w:pStyle w:val="BodyText"/>
              <w:widowControl/>
              <w:kinsoku w:val="0"/>
              <w:overflowPunct w:val="0"/>
              <w:ind w:left="274" w:hanging="274"/>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Der p-Wert resultiert aus dem paarweisen Vergleich der Adalimumab-Monotherapie und der Adalimumab/Methotrexat-Kombinationstherapie unter Anwendung des Mann-Whitney-U-Tests.</w:t>
            </w:r>
          </w:p>
          <w:p w14:paraId="7B2DF96D" w14:textId="77777777" w:rsidR="00081A6C" w:rsidRPr="00206AEA" w:rsidRDefault="00081A6C" w:rsidP="009D38C5">
            <w:pPr>
              <w:pStyle w:val="BodyText"/>
              <w:widowControl/>
              <w:kinsoku w:val="0"/>
              <w:overflowPunct w:val="0"/>
              <w:ind w:left="274" w:hanging="274"/>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 Der p-Wert resultiert aus dem paarweisen Vergleich der Adalimumab-Monotherapie und der Methotrexat-Monotherapie unter Anwendung des Mann-Whitney-U-Tests.</w:t>
            </w:r>
          </w:p>
        </w:tc>
      </w:tr>
    </w:tbl>
    <w:p w14:paraId="3F89DEC5" w14:textId="77777777" w:rsidR="00081A6C" w:rsidRPr="004F5FB4" w:rsidRDefault="00081A6C" w:rsidP="00982118">
      <w:pPr>
        <w:rPr>
          <w:color w:val="000000"/>
        </w:rPr>
      </w:pPr>
    </w:p>
    <w:p w14:paraId="27340555" w14:textId="77777777" w:rsidR="00C46587" w:rsidRPr="004F5FB4" w:rsidRDefault="00C46587" w:rsidP="00982118">
      <w:pPr>
        <w:rPr>
          <w:color w:val="000000"/>
        </w:rPr>
      </w:pPr>
      <w:r w:rsidRPr="004F5FB4">
        <w:rPr>
          <w:color w:val="000000"/>
        </w:rPr>
        <w:t xml:space="preserve">Der prozentuale Anteil der Patienten ohne </w:t>
      </w:r>
      <w:r w:rsidR="0074562C" w:rsidRPr="004F5FB4">
        <w:rPr>
          <w:color w:val="000000"/>
        </w:rPr>
        <w:t xml:space="preserve">radiologische </w:t>
      </w:r>
      <w:r w:rsidRPr="004F5FB4">
        <w:rPr>
          <w:color w:val="000000"/>
        </w:rPr>
        <w:t>Progression (Veränderung des modifizierten Gesamt-Sharp-Scores gegenüber dem Ausgangswert ≤</w:t>
      </w:r>
      <w:r w:rsidR="00F60B12" w:rsidRPr="004F5FB4">
        <w:rPr>
          <w:color w:val="000000"/>
        </w:rPr>
        <w:t> </w:t>
      </w:r>
      <w:r w:rsidRPr="004F5FB4">
        <w:rPr>
          <w:color w:val="000000"/>
        </w:rPr>
        <w:t>0,5) war nach 52 bzw. 104</w:t>
      </w:r>
      <w:r w:rsidR="00F60B12" w:rsidRPr="004F5FB4">
        <w:rPr>
          <w:color w:val="000000"/>
        </w:rPr>
        <w:t> </w:t>
      </w:r>
      <w:r w:rsidRPr="004F5FB4">
        <w:rPr>
          <w:color w:val="000000"/>
        </w:rPr>
        <w:t>Behandlungswochen unter der Kombinationstherapie mit Adalimumab und Methotrexat (63,8 % bzw. 61,2 %) signifikant höher als unter der Methotrexat-Monotherapie (37,4 % bzw. 33,5 %; p</w:t>
      </w:r>
      <w:r w:rsidR="007C1799" w:rsidRPr="004F5FB4">
        <w:rPr>
          <w:color w:val="000000"/>
        </w:rPr>
        <w:t> </w:t>
      </w:r>
      <w:r w:rsidRPr="004F5FB4">
        <w:rPr>
          <w:color w:val="000000"/>
        </w:rPr>
        <w:t>&lt;</w:t>
      </w:r>
      <w:r w:rsidR="007C1799" w:rsidRPr="004F5FB4">
        <w:rPr>
          <w:color w:val="000000"/>
        </w:rPr>
        <w:t> </w:t>
      </w:r>
      <w:r w:rsidRPr="004F5FB4">
        <w:rPr>
          <w:color w:val="000000"/>
        </w:rPr>
        <w:t>0,001) und der Adalimumab-Monotherapie (50,7 %; p</w:t>
      </w:r>
      <w:r w:rsidR="007C1799" w:rsidRPr="004F5FB4">
        <w:rPr>
          <w:color w:val="000000"/>
        </w:rPr>
        <w:t> </w:t>
      </w:r>
      <w:r w:rsidRPr="004F5FB4">
        <w:rPr>
          <w:color w:val="000000"/>
        </w:rPr>
        <w:t>&lt;</w:t>
      </w:r>
      <w:r w:rsidR="007C1799" w:rsidRPr="004F5FB4">
        <w:rPr>
          <w:color w:val="000000"/>
        </w:rPr>
        <w:t> </w:t>
      </w:r>
      <w:r w:rsidRPr="004F5FB4">
        <w:rPr>
          <w:color w:val="000000"/>
        </w:rPr>
        <w:t>0,002 bzw. 44,5 %; p</w:t>
      </w:r>
      <w:r w:rsidR="007C1799" w:rsidRPr="004F5FB4">
        <w:rPr>
          <w:color w:val="000000"/>
        </w:rPr>
        <w:t> </w:t>
      </w:r>
      <w:r w:rsidRPr="004F5FB4">
        <w:rPr>
          <w:color w:val="000000"/>
        </w:rPr>
        <w:t>&lt;</w:t>
      </w:r>
      <w:r w:rsidR="007C1799" w:rsidRPr="004F5FB4">
        <w:rPr>
          <w:color w:val="000000"/>
        </w:rPr>
        <w:t> </w:t>
      </w:r>
      <w:r w:rsidRPr="004F5FB4">
        <w:rPr>
          <w:color w:val="000000"/>
        </w:rPr>
        <w:t xml:space="preserve">0,001). </w:t>
      </w:r>
    </w:p>
    <w:p w14:paraId="11BD5896" w14:textId="77777777" w:rsidR="00C46587" w:rsidRPr="004F5FB4" w:rsidRDefault="00C46587" w:rsidP="00982118">
      <w:pPr>
        <w:rPr>
          <w:color w:val="000000"/>
        </w:rPr>
      </w:pPr>
    </w:p>
    <w:p w14:paraId="27FC29A4" w14:textId="77777777" w:rsidR="00C46587" w:rsidRPr="004F5FB4" w:rsidRDefault="00C46587" w:rsidP="00982118">
      <w:pPr>
        <w:rPr>
          <w:color w:val="000000"/>
        </w:rPr>
      </w:pPr>
      <w:r w:rsidRPr="004F5FB4">
        <w:rPr>
          <w:color w:val="000000"/>
        </w:rPr>
        <w:t xml:space="preserve">In der offenen </w:t>
      </w:r>
      <w:r w:rsidR="003C233C" w:rsidRPr="004F5FB4">
        <w:rPr>
          <w:color w:val="000000"/>
        </w:rPr>
        <w:t>Fortsetz</w:t>
      </w:r>
      <w:r w:rsidRPr="004F5FB4">
        <w:rPr>
          <w:color w:val="000000"/>
        </w:rPr>
        <w:t>ungsphase der RA-Studie</w:t>
      </w:r>
      <w:r w:rsidR="00F60B12" w:rsidRPr="004F5FB4">
        <w:rPr>
          <w:color w:val="000000"/>
        </w:rPr>
        <w:t> </w:t>
      </w:r>
      <w:r w:rsidRPr="004F5FB4">
        <w:rPr>
          <w:color w:val="000000"/>
        </w:rPr>
        <w:t>V betrug die mittlere Veränderung gegenüber Baseline nach 10</w:t>
      </w:r>
      <w:r w:rsidR="00F60B12" w:rsidRPr="004F5FB4">
        <w:rPr>
          <w:color w:val="000000"/>
        </w:rPr>
        <w:t> </w:t>
      </w:r>
      <w:r w:rsidRPr="004F5FB4">
        <w:rPr>
          <w:color w:val="000000"/>
        </w:rPr>
        <w:t xml:space="preserve">Jahren beim modifizierten Gesamt-Sharp-Score 10,8 bei Patienten, die ursprünglich in die Gruppe unter Methotrexat-Monotherapie randomisiert worden waren, 9,2 bei Patienten unter Adalimumab -Monotherapie und 3,9 bei Patienten unter Kombinationstherapie aus Adalimumab und Methotrexat. Die entsprechenden Anteile der Patienten ohne röntgenologisch nachweisbare Progression waren 31,3 %, 23,7 % und 36,7 %. </w:t>
      </w:r>
    </w:p>
    <w:p w14:paraId="0FD6466F" w14:textId="77777777" w:rsidR="00C46587" w:rsidRPr="004F5FB4" w:rsidRDefault="00C46587" w:rsidP="00982118">
      <w:pPr>
        <w:rPr>
          <w:color w:val="000000"/>
        </w:rPr>
      </w:pPr>
    </w:p>
    <w:p w14:paraId="2A58B93D" w14:textId="77777777" w:rsidR="00C46587" w:rsidRPr="004F5FB4" w:rsidRDefault="00C46587" w:rsidP="00982118">
      <w:pPr>
        <w:keepNext/>
        <w:rPr>
          <w:i/>
          <w:color w:val="000000"/>
          <w:u w:val="single"/>
        </w:rPr>
      </w:pPr>
      <w:r w:rsidRPr="004F5FB4">
        <w:rPr>
          <w:i/>
          <w:color w:val="000000"/>
          <w:u w:val="single"/>
        </w:rPr>
        <w:t xml:space="preserve">Lebensqualität und körperliche Funktionsfähigkeit </w:t>
      </w:r>
    </w:p>
    <w:p w14:paraId="28C71362" w14:textId="77777777" w:rsidR="00C46587" w:rsidRPr="004F5FB4" w:rsidRDefault="00C46587" w:rsidP="00982118">
      <w:pPr>
        <w:keepNext/>
        <w:rPr>
          <w:color w:val="000000"/>
        </w:rPr>
      </w:pPr>
    </w:p>
    <w:p w14:paraId="783F4F3F" w14:textId="77777777" w:rsidR="00C46587" w:rsidRPr="004F5FB4" w:rsidRDefault="00C46587" w:rsidP="00982118">
      <w:pPr>
        <w:rPr>
          <w:color w:val="000000"/>
        </w:rPr>
      </w:pPr>
      <w:r w:rsidRPr="004F5FB4">
        <w:rPr>
          <w:color w:val="000000"/>
        </w:rPr>
        <w:t>In den vier ursprünglichen, gut kontrollierten Studien wurden die gesundheitsbezogene Lebensqualität und die körperliche Funktionsfähigkeit anhand des Index zur körperlichen Funktionseinschränkung (Health Assessment Questionnaire, HAQ) bewertet. In der RA-Studie</w:t>
      </w:r>
      <w:r w:rsidR="00952751" w:rsidRPr="004F5FB4">
        <w:rPr>
          <w:color w:val="000000"/>
        </w:rPr>
        <w:t> </w:t>
      </w:r>
      <w:r w:rsidRPr="004F5FB4">
        <w:rPr>
          <w:color w:val="000000"/>
        </w:rPr>
        <w:t>III bildete die</w:t>
      </w:r>
      <w:r w:rsidR="003C233C" w:rsidRPr="004F5FB4">
        <w:rPr>
          <w:color w:val="000000"/>
        </w:rPr>
        <w:t xml:space="preserve"> gesundheitsbezogene Lebensqualität</w:t>
      </w:r>
      <w:r w:rsidRPr="004F5FB4">
        <w:rPr>
          <w:color w:val="000000"/>
        </w:rPr>
        <w:t xml:space="preserve"> nach 52</w:t>
      </w:r>
      <w:r w:rsidR="00952751" w:rsidRPr="004F5FB4">
        <w:rPr>
          <w:color w:val="000000"/>
        </w:rPr>
        <w:t> </w:t>
      </w:r>
      <w:r w:rsidRPr="004F5FB4">
        <w:rPr>
          <w:color w:val="000000"/>
        </w:rPr>
        <w:t>Wochen einen vor Studienbeginn festgelegten, primären Endpunkt. Vom Studienbeginn bis Monat</w:t>
      </w:r>
      <w:r w:rsidR="00952751" w:rsidRPr="004F5FB4">
        <w:rPr>
          <w:color w:val="000000"/>
        </w:rPr>
        <w:t> </w:t>
      </w:r>
      <w:r w:rsidRPr="004F5FB4">
        <w:rPr>
          <w:color w:val="000000"/>
        </w:rPr>
        <w:t>6 zeigte sich in allen vier Studien und bei allen Dosen/</w:t>
      </w:r>
      <w:r w:rsidR="00952751" w:rsidRPr="004F5FB4">
        <w:rPr>
          <w:color w:val="000000"/>
        </w:rPr>
        <w:t xml:space="preserve"> </w:t>
      </w:r>
      <w:r w:rsidRPr="004F5FB4">
        <w:rPr>
          <w:color w:val="000000"/>
        </w:rPr>
        <w:t>Behandlungsschemen von Adalimumab eine im Vergleich zu Placebo statistisch signifikant größere Verbesserung der körperlichen Funktionseinschränkung (HAQ). In der RA-Studie</w:t>
      </w:r>
      <w:r w:rsidR="00952751" w:rsidRPr="004F5FB4">
        <w:rPr>
          <w:color w:val="000000"/>
        </w:rPr>
        <w:t> </w:t>
      </w:r>
      <w:r w:rsidRPr="004F5FB4">
        <w:rPr>
          <w:color w:val="000000"/>
        </w:rPr>
        <w:t>III wurde nach 52</w:t>
      </w:r>
      <w:r w:rsidR="00952751" w:rsidRPr="004F5FB4">
        <w:rPr>
          <w:color w:val="000000"/>
        </w:rPr>
        <w:t> </w:t>
      </w:r>
      <w:r w:rsidRPr="004F5FB4">
        <w:rPr>
          <w:color w:val="000000"/>
        </w:rPr>
        <w:t>Wochen dasselbe beobachtet. Die in den vier Studien für alle Dosen/</w:t>
      </w:r>
      <w:r w:rsidR="00952751" w:rsidRPr="004F5FB4">
        <w:rPr>
          <w:color w:val="000000"/>
        </w:rPr>
        <w:t xml:space="preserve"> </w:t>
      </w:r>
      <w:r w:rsidRPr="004F5FB4">
        <w:rPr>
          <w:color w:val="000000"/>
        </w:rPr>
        <w:t>Behandlungsschemen gefundenen Ergebnisse des Gesundheitsfragebogens Short Form Health Survey (SF 36) unterstützen diese Befunde. Statistisch signifikante Werte wurden unter Behandlung mit 40 mg Adalimumab jede zweite Woche für die körperliche Funktionsfähigkeit (Physical Component Summary, PCS) sowie für den Bereich Schmerz und Vitalität (Pain and Vitality Scores) gefunden. Eine statistisch signifikante Verringerung der Abgeschlagenheit, gemessen anhand des Functional-Assessment-of-Chronic-Illness-Therapy</w:t>
      </w:r>
      <w:r w:rsidR="00534661" w:rsidRPr="004F5FB4">
        <w:rPr>
          <w:color w:val="000000"/>
        </w:rPr>
        <w:t> </w:t>
      </w:r>
      <w:r w:rsidRPr="004F5FB4">
        <w:rPr>
          <w:color w:val="000000"/>
        </w:rPr>
        <w:t>(FACIT)-Scores, wurde in allen drei Studien beobachtet, in denen dieser Punkt bewertet wurde (RA-Studien</w:t>
      </w:r>
      <w:r w:rsidR="00952751" w:rsidRPr="004F5FB4">
        <w:rPr>
          <w:color w:val="000000"/>
        </w:rPr>
        <w:t> </w:t>
      </w:r>
      <w:r w:rsidRPr="004F5FB4">
        <w:rPr>
          <w:color w:val="000000"/>
        </w:rPr>
        <w:t xml:space="preserve">I, III, IV). </w:t>
      </w:r>
    </w:p>
    <w:p w14:paraId="2FD00A04" w14:textId="77777777" w:rsidR="00C46587" w:rsidRPr="004F5FB4" w:rsidRDefault="00C46587" w:rsidP="00982118">
      <w:pPr>
        <w:rPr>
          <w:color w:val="000000"/>
        </w:rPr>
      </w:pPr>
    </w:p>
    <w:p w14:paraId="5B1D051B" w14:textId="77777777" w:rsidR="00C46587" w:rsidRPr="004F5FB4" w:rsidRDefault="00C46587" w:rsidP="00982118">
      <w:pPr>
        <w:rPr>
          <w:color w:val="000000"/>
        </w:rPr>
      </w:pPr>
      <w:r w:rsidRPr="004F5FB4">
        <w:rPr>
          <w:color w:val="000000"/>
        </w:rPr>
        <w:t>In der RA-Studie</w:t>
      </w:r>
      <w:r w:rsidR="00952751" w:rsidRPr="004F5FB4">
        <w:rPr>
          <w:color w:val="000000"/>
        </w:rPr>
        <w:t> </w:t>
      </w:r>
      <w:r w:rsidRPr="004F5FB4">
        <w:rPr>
          <w:color w:val="000000"/>
        </w:rPr>
        <w:t xml:space="preserve">III wurde bei den meisten Patienten, bei denen sich die körperliche Funktionsfähigkeit verbesserte und die die Therapie fortsetzten, im Rahmen der offenen </w:t>
      </w:r>
      <w:r w:rsidR="003C233C" w:rsidRPr="004F5FB4">
        <w:rPr>
          <w:color w:val="000000"/>
        </w:rPr>
        <w:t>Fortsetzungsphase</w:t>
      </w:r>
      <w:r w:rsidRPr="004F5FB4">
        <w:rPr>
          <w:color w:val="000000"/>
        </w:rPr>
        <w:t xml:space="preserve"> die Verbesserung über den Behandlungszeitraum von 520 Wochen (120 Monate) aufrechterhalten. Die Verbesserung der Lebensqualität wurde bis zu 156</w:t>
      </w:r>
      <w:r w:rsidR="00952751" w:rsidRPr="004F5FB4">
        <w:rPr>
          <w:color w:val="000000"/>
        </w:rPr>
        <w:t> </w:t>
      </w:r>
      <w:r w:rsidRPr="004F5FB4">
        <w:rPr>
          <w:color w:val="000000"/>
        </w:rPr>
        <w:t>Wochen (36</w:t>
      </w:r>
      <w:r w:rsidR="00952751" w:rsidRPr="004F5FB4">
        <w:rPr>
          <w:color w:val="000000"/>
        </w:rPr>
        <w:t> </w:t>
      </w:r>
      <w:r w:rsidRPr="004F5FB4">
        <w:rPr>
          <w:color w:val="000000"/>
        </w:rPr>
        <w:t xml:space="preserve">Monate) bestimmt und die Verbesserung hielt über diesen Zeitraum an. </w:t>
      </w:r>
    </w:p>
    <w:p w14:paraId="0359CBDB" w14:textId="77777777" w:rsidR="00C46587" w:rsidRPr="004F5FB4" w:rsidRDefault="00C46587" w:rsidP="00982118">
      <w:pPr>
        <w:rPr>
          <w:color w:val="000000"/>
        </w:rPr>
      </w:pPr>
    </w:p>
    <w:p w14:paraId="26EE4B61" w14:textId="77777777" w:rsidR="00C46587" w:rsidRPr="004F5FB4" w:rsidRDefault="00C46587" w:rsidP="00982118">
      <w:pPr>
        <w:rPr>
          <w:color w:val="000000"/>
        </w:rPr>
      </w:pPr>
      <w:r w:rsidRPr="004F5FB4">
        <w:rPr>
          <w:color w:val="000000"/>
        </w:rPr>
        <w:t>In der RA-Studie</w:t>
      </w:r>
      <w:r w:rsidR="00952751" w:rsidRPr="004F5FB4">
        <w:rPr>
          <w:color w:val="000000"/>
        </w:rPr>
        <w:t> </w:t>
      </w:r>
      <w:r w:rsidRPr="004F5FB4">
        <w:rPr>
          <w:color w:val="000000"/>
        </w:rPr>
        <w:t>V zeigten die Patienten unter der Kombinationstherapie mit Adalimumab und Methotrexat nach 52</w:t>
      </w:r>
      <w:r w:rsidR="00952751" w:rsidRPr="004F5FB4">
        <w:rPr>
          <w:color w:val="000000"/>
        </w:rPr>
        <w:t> </w:t>
      </w:r>
      <w:r w:rsidRPr="004F5FB4">
        <w:rPr>
          <w:color w:val="000000"/>
        </w:rPr>
        <w:t>Wochen eine im Vergleich zur Methotrexat- und Adalimumab-Monotherapie stärkere Verbesserung (p</w:t>
      </w:r>
      <w:r w:rsidR="00F811FC" w:rsidRPr="004F5FB4">
        <w:rPr>
          <w:color w:val="000000"/>
        </w:rPr>
        <w:t> </w:t>
      </w:r>
      <w:r w:rsidRPr="004F5FB4">
        <w:rPr>
          <w:color w:val="000000"/>
        </w:rPr>
        <w:t>&lt;</w:t>
      </w:r>
      <w:r w:rsidR="00F811FC" w:rsidRPr="004F5FB4">
        <w:rPr>
          <w:color w:val="000000"/>
        </w:rPr>
        <w:t> </w:t>
      </w:r>
      <w:r w:rsidRPr="004F5FB4">
        <w:rPr>
          <w:color w:val="000000"/>
        </w:rPr>
        <w:t>0,001) des Index zur körperlichen Funktionseinschränkung (HAQ) und der physischen Komponente des SF</w:t>
      </w:r>
      <w:r w:rsidR="00952751" w:rsidRPr="004F5FB4">
        <w:rPr>
          <w:color w:val="000000"/>
        </w:rPr>
        <w:t> </w:t>
      </w:r>
      <w:r w:rsidRPr="004F5FB4">
        <w:rPr>
          <w:color w:val="000000"/>
        </w:rPr>
        <w:t>36, die über 104</w:t>
      </w:r>
      <w:r w:rsidR="00952751" w:rsidRPr="004F5FB4">
        <w:rPr>
          <w:color w:val="000000"/>
        </w:rPr>
        <w:t> </w:t>
      </w:r>
      <w:r w:rsidRPr="004F5FB4">
        <w:rPr>
          <w:color w:val="000000"/>
        </w:rPr>
        <w:t>Wochen anhielt. Bei den 250</w:t>
      </w:r>
      <w:r w:rsidR="00952751" w:rsidRPr="004F5FB4">
        <w:rPr>
          <w:color w:val="000000"/>
        </w:rPr>
        <w:t> </w:t>
      </w:r>
      <w:r w:rsidRPr="004F5FB4">
        <w:rPr>
          <w:color w:val="000000"/>
        </w:rPr>
        <w:t xml:space="preserve">Patienten, die die offene </w:t>
      </w:r>
      <w:r w:rsidR="003C233C" w:rsidRPr="004F5FB4">
        <w:rPr>
          <w:color w:val="000000"/>
        </w:rPr>
        <w:t>Fortsetz</w:t>
      </w:r>
      <w:r w:rsidRPr="004F5FB4">
        <w:rPr>
          <w:color w:val="000000"/>
        </w:rPr>
        <w:t xml:space="preserve">ungsstudie abschlossen, konnten die Verbesserungen hinsichtlich der körperlichen Funktionsfähigkeit über den 10-jährigen Behandlungszeitraum aufrechterhalten werden. </w:t>
      </w:r>
    </w:p>
    <w:p w14:paraId="1ECE9245" w14:textId="77777777" w:rsidR="00C46587" w:rsidRPr="004F5FB4" w:rsidRDefault="00C46587" w:rsidP="00982118">
      <w:pPr>
        <w:rPr>
          <w:color w:val="000000"/>
        </w:rPr>
      </w:pPr>
    </w:p>
    <w:p w14:paraId="75CE2639" w14:textId="77777777" w:rsidR="00C46587" w:rsidRPr="004F5FB4" w:rsidRDefault="00C46587" w:rsidP="00982118">
      <w:pPr>
        <w:keepNext/>
        <w:rPr>
          <w:i/>
          <w:color w:val="000000"/>
        </w:rPr>
      </w:pPr>
      <w:r w:rsidRPr="004F5FB4">
        <w:rPr>
          <w:i/>
          <w:color w:val="000000"/>
        </w:rPr>
        <w:t xml:space="preserve">Plaque-Psoriasis bei Erwachsenen </w:t>
      </w:r>
    </w:p>
    <w:p w14:paraId="009D4BA7" w14:textId="77777777" w:rsidR="00C46587" w:rsidRPr="004F5FB4" w:rsidRDefault="00C46587" w:rsidP="00982118">
      <w:pPr>
        <w:keepNext/>
        <w:rPr>
          <w:color w:val="000000"/>
        </w:rPr>
      </w:pPr>
    </w:p>
    <w:p w14:paraId="2D6BEB5C" w14:textId="77777777" w:rsidR="00C46587" w:rsidRPr="004F5FB4" w:rsidRDefault="00C46587" w:rsidP="00982118">
      <w:pPr>
        <w:rPr>
          <w:color w:val="000000"/>
        </w:rPr>
      </w:pPr>
      <w:r w:rsidRPr="004F5FB4">
        <w:rPr>
          <w:color w:val="000000"/>
        </w:rPr>
        <w:t>Die Sicherheit und Wirksamkeit von Adalimumab wurden bei erwachsenen Patienten mit chronischer Plaque-Psoriasis (≥</w:t>
      </w:r>
      <w:r w:rsidR="00952751" w:rsidRPr="004F5FB4">
        <w:rPr>
          <w:color w:val="000000"/>
        </w:rPr>
        <w:t> </w:t>
      </w:r>
      <w:r w:rsidRPr="004F5FB4">
        <w:rPr>
          <w:color w:val="000000"/>
        </w:rPr>
        <w:t>10</w:t>
      </w:r>
      <w:r w:rsidR="00952751" w:rsidRPr="004F5FB4">
        <w:rPr>
          <w:color w:val="000000"/>
        </w:rPr>
        <w:t> </w:t>
      </w:r>
      <w:r w:rsidRPr="004F5FB4">
        <w:rPr>
          <w:color w:val="000000"/>
        </w:rPr>
        <w:t>% KOF-Beteiligung und PASI ≥</w:t>
      </w:r>
      <w:r w:rsidR="00952751" w:rsidRPr="004F5FB4">
        <w:rPr>
          <w:color w:val="000000"/>
        </w:rPr>
        <w:t> </w:t>
      </w:r>
      <w:r w:rsidRPr="004F5FB4">
        <w:rPr>
          <w:color w:val="000000"/>
        </w:rPr>
        <w:t>12 oder ≥</w:t>
      </w:r>
      <w:r w:rsidR="00952751" w:rsidRPr="004F5FB4">
        <w:rPr>
          <w:color w:val="000000"/>
        </w:rPr>
        <w:t> </w:t>
      </w:r>
      <w:r w:rsidRPr="004F5FB4">
        <w:rPr>
          <w:color w:val="000000"/>
        </w:rPr>
        <w:t>10) untersucht, die Kandidaten für eine systemische Therapie oder Phototherapie in randomisierten Doppelblindstudien waren. Von den in die Psoriasis</w:t>
      </w:r>
      <w:r w:rsidR="00CF0485" w:rsidRPr="004F5FB4">
        <w:rPr>
          <w:color w:val="000000"/>
        </w:rPr>
        <w:t>-S</w:t>
      </w:r>
      <w:r w:rsidRPr="004F5FB4">
        <w:rPr>
          <w:color w:val="000000"/>
        </w:rPr>
        <w:t>tudien</w:t>
      </w:r>
      <w:r w:rsidR="00CF0485" w:rsidRPr="004F5FB4">
        <w:rPr>
          <w:color w:val="000000"/>
        </w:rPr>
        <w:t> </w:t>
      </w:r>
      <w:r w:rsidRPr="004F5FB4">
        <w:rPr>
          <w:color w:val="000000"/>
        </w:rPr>
        <w:t>I und II aufgenommenen Patienten hatten 73 % zuvor schon eine systemische Therapie oder Phototherapie erhalten. Die Sicherheit und Wirksamkeit von Adalimumab wurden in einer randomisierten Doppelblindstudie (Psoriasis</w:t>
      </w:r>
      <w:r w:rsidR="00CF0485" w:rsidRPr="004F5FB4">
        <w:rPr>
          <w:color w:val="000000"/>
        </w:rPr>
        <w:t>-S</w:t>
      </w:r>
      <w:r w:rsidRPr="004F5FB4">
        <w:rPr>
          <w:color w:val="000000"/>
        </w:rPr>
        <w:t>tudie</w:t>
      </w:r>
      <w:r w:rsidR="00CF0485" w:rsidRPr="004F5FB4">
        <w:rPr>
          <w:color w:val="000000"/>
        </w:rPr>
        <w:t> </w:t>
      </w:r>
      <w:r w:rsidRPr="004F5FB4">
        <w:rPr>
          <w:color w:val="000000"/>
        </w:rPr>
        <w:t xml:space="preserve">III) auch an erwachsenen Patienten mit mittelschwerer bis schwerer chronischer Plaque-Psoriasis mit gleichzeitiger Hand- </w:t>
      </w:r>
      <w:r w:rsidR="00F35054" w:rsidRPr="004F5FB4">
        <w:rPr>
          <w:color w:val="000000"/>
        </w:rPr>
        <w:t>und/</w:t>
      </w:r>
      <w:r w:rsidR="00534661" w:rsidRPr="004F5FB4">
        <w:rPr>
          <w:color w:val="000000"/>
        </w:rPr>
        <w:t> </w:t>
      </w:r>
      <w:r w:rsidR="00F35054" w:rsidRPr="004F5FB4">
        <w:rPr>
          <w:color w:val="000000"/>
        </w:rPr>
        <w:t>oder</w:t>
      </w:r>
      <w:r w:rsidRPr="004F5FB4">
        <w:rPr>
          <w:color w:val="000000"/>
        </w:rPr>
        <w:t xml:space="preserve"> Fußpsoriasis untersucht, die Kandidaten für eine systemische Therapie waren. </w:t>
      </w:r>
    </w:p>
    <w:p w14:paraId="2030E9EA" w14:textId="77777777" w:rsidR="00C46587" w:rsidRPr="004F5FB4" w:rsidRDefault="00C46587" w:rsidP="00982118">
      <w:pPr>
        <w:rPr>
          <w:color w:val="000000"/>
        </w:rPr>
      </w:pPr>
    </w:p>
    <w:p w14:paraId="0F8A6B8C" w14:textId="77777777" w:rsidR="00C46587" w:rsidRPr="004F5FB4" w:rsidRDefault="00C46587" w:rsidP="00982118">
      <w:pPr>
        <w:rPr>
          <w:color w:val="000000"/>
        </w:rPr>
      </w:pPr>
      <w:r w:rsidRPr="004F5FB4">
        <w:rPr>
          <w:color w:val="000000"/>
        </w:rPr>
        <w:t>In der Psoriasis</w:t>
      </w:r>
      <w:r w:rsidR="00CF0485" w:rsidRPr="004F5FB4">
        <w:rPr>
          <w:color w:val="000000"/>
        </w:rPr>
        <w:t>-S</w:t>
      </w:r>
      <w:r w:rsidRPr="004F5FB4">
        <w:rPr>
          <w:color w:val="000000"/>
        </w:rPr>
        <w:t>tudie</w:t>
      </w:r>
      <w:r w:rsidR="00CF0485" w:rsidRPr="004F5FB4">
        <w:rPr>
          <w:color w:val="000000"/>
        </w:rPr>
        <w:t> </w:t>
      </w:r>
      <w:r w:rsidRPr="004F5FB4">
        <w:rPr>
          <w:color w:val="000000"/>
        </w:rPr>
        <w:t>I (REVEAL) wurden 1.212</w:t>
      </w:r>
      <w:r w:rsidR="00CF0485" w:rsidRPr="004F5FB4">
        <w:rPr>
          <w:color w:val="000000"/>
        </w:rPr>
        <w:t> </w:t>
      </w:r>
      <w:r w:rsidRPr="004F5FB4">
        <w:rPr>
          <w:color w:val="000000"/>
        </w:rPr>
        <w:t>Patienten innerhalb von drei Behandlungsperioden untersucht. In Periode</w:t>
      </w:r>
      <w:r w:rsidR="00CF0485" w:rsidRPr="004F5FB4">
        <w:rPr>
          <w:color w:val="000000"/>
        </w:rPr>
        <w:t> </w:t>
      </w:r>
      <w:r w:rsidRPr="004F5FB4">
        <w:rPr>
          <w:color w:val="000000"/>
        </w:rPr>
        <w:t>A erhielten die Patienten Placebo oder eine Induktionsdosis von 80 mg Adalimumab, danach 40 mg jede zweite Woche, beginnend eine Woche nach der Induktionsdosis. Nach 16 Behandlungswochen traten Patienten mit mindestens PASI-75-Ansprechen (Verbesserung des PASI-Wertes um mindestens 75</w:t>
      </w:r>
      <w:r w:rsidR="00CF0485" w:rsidRPr="004F5FB4">
        <w:rPr>
          <w:color w:val="000000"/>
        </w:rPr>
        <w:t> </w:t>
      </w:r>
      <w:r w:rsidRPr="004F5FB4">
        <w:rPr>
          <w:color w:val="000000"/>
        </w:rPr>
        <w:t>% im Vergleich zum Ausgangswert) in Periode</w:t>
      </w:r>
      <w:r w:rsidR="00CF0485" w:rsidRPr="004F5FB4">
        <w:rPr>
          <w:color w:val="000000"/>
        </w:rPr>
        <w:t> </w:t>
      </w:r>
      <w:r w:rsidRPr="004F5FB4">
        <w:rPr>
          <w:color w:val="000000"/>
        </w:rPr>
        <w:t>B ein und erhielten 40 mg Adalimumab unverblindet jede zweite Woche. Patienten, die bis Woche</w:t>
      </w:r>
      <w:r w:rsidR="00CF0485" w:rsidRPr="004F5FB4">
        <w:rPr>
          <w:color w:val="000000"/>
        </w:rPr>
        <w:t> </w:t>
      </w:r>
      <w:r w:rsidRPr="004F5FB4">
        <w:rPr>
          <w:color w:val="000000"/>
        </w:rPr>
        <w:t>33 mindestens ein PASI-75-Ansprechen aufrechterhielten und ursprünglich in Periode</w:t>
      </w:r>
      <w:r w:rsidR="00CF0485" w:rsidRPr="004F5FB4">
        <w:rPr>
          <w:color w:val="000000"/>
        </w:rPr>
        <w:t> </w:t>
      </w:r>
      <w:r w:rsidRPr="004F5FB4">
        <w:rPr>
          <w:color w:val="000000"/>
        </w:rPr>
        <w:t xml:space="preserve">A randomisiert der </w:t>
      </w:r>
      <w:r w:rsidRPr="004F5FB4">
        <w:rPr>
          <w:color w:val="000000"/>
        </w:rPr>
        <w:lastRenderedPageBreak/>
        <w:t>aktiven Therapie zugeteilt worden waren, wurden in Periode C erneut randomisiert und erhielten 40 mg Adalimumab jede zweite Woche oder Placebo für weitere 19</w:t>
      </w:r>
      <w:r w:rsidR="00CF0485" w:rsidRPr="004F5FB4">
        <w:rPr>
          <w:color w:val="000000"/>
        </w:rPr>
        <w:t> </w:t>
      </w:r>
      <w:r w:rsidRPr="004F5FB4">
        <w:rPr>
          <w:color w:val="000000"/>
        </w:rPr>
        <w:t>Wochen. Für alle Behandlungsgruppen zusammen betrug der durchschnittliche Ausgangswert des PASI-Scores 18,9, und der Ausgangswert im PGA lag im Bereich zwischen „mittelschwer” (53</w:t>
      </w:r>
      <w:r w:rsidR="00CF0485" w:rsidRPr="004F5FB4">
        <w:rPr>
          <w:color w:val="000000"/>
        </w:rPr>
        <w:t> </w:t>
      </w:r>
      <w:r w:rsidRPr="004F5FB4">
        <w:rPr>
          <w:color w:val="000000"/>
        </w:rPr>
        <w:t>% der Studienteilnehmer), „schwer” (41</w:t>
      </w:r>
      <w:r w:rsidR="00CF0485" w:rsidRPr="004F5FB4">
        <w:rPr>
          <w:color w:val="000000"/>
        </w:rPr>
        <w:t> </w:t>
      </w:r>
      <w:r w:rsidRPr="004F5FB4">
        <w:rPr>
          <w:color w:val="000000"/>
        </w:rPr>
        <w:t>%) und „sehr schwer” (6</w:t>
      </w:r>
      <w:r w:rsidR="00CF0485" w:rsidRPr="004F5FB4">
        <w:rPr>
          <w:color w:val="000000"/>
        </w:rPr>
        <w:t> </w:t>
      </w:r>
      <w:r w:rsidRPr="004F5FB4">
        <w:rPr>
          <w:color w:val="000000"/>
        </w:rPr>
        <w:t xml:space="preserve">%). </w:t>
      </w:r>
    </w:p>
    <w:p w14:paraId="4C4C9829" w14:textId="77777777" w:rsidR="00C46587" w:rsidRPr="004F5FB4" w:rsidRDefault="00C46587" w:rsidP="00982118">
      <w:pPr>
        <w:rPr>
          <w:color w:val="000000"/>
        </w:rPr>
      </w:pPr>
    </w:p>
    <w:p w14:paraId="31764B3A" w14:textId="77777777" w:rsidR="00C46587" w:rsidRPr="004F5FB4" w:rsidRDefault="00C46587" w:rsidP="00982118">
      <w:pPr>
        <w:rPr>
          <w:color w:val="000000"/>
        </w:rPr>
      </w:pPr>
      <w:r w:rsidRPr="004F5FB4">
        <w:rPr>
          <w:color w:val="000000"/>
        </w:rPr>
        <w:t>In der Psoriasis</w:t>
      </w:r>
      <w:r w:rsidR="00CF0485" w:rsidRPr="004F5FB4">
        <w:rPr>
          <w:color w:val="000000"/>
        </w:rPr>
        <w:t>-S</w:t>
      </w:r>
      <w:r w:rsidRPr="004F5FB4">
        <w:rPr>
          <w:color w:val="000000"/>
        </w:rPr>
        <w:t>tudie</w:t>
      </w:r>
      <w:r w:rsidR="00CF0485" w:rsidRPr="004F5FB4">
        <w:rPr>
          <w:color w:val="000000"/>
        </w:rPr>
        <w:t> </w:t>
      </w:r>
      <w:r w:rsidRPr="004F5FB4">
        <w:rPr>
          <w:color w:val="000000"/>
        </w:rPr>
        <w:t>II (CHAMPION) wurden die Wirksamkeit und Sicherheit von Adalimumab im Vergleich zu Methotrexat und Placebo bei 271</w:t>
      </w:r>
      <w:r w:rsidR="00CF0485" w:rsidRPr="004F5FB4">
        <w:rPr>
          <w:color w:val="000000"/>
        </w:rPr>
        <w:t> </w:t>
      </w:r>
      <w:r w:rsidRPr="004F5FB4">
        <w:rPr>
          <w:color w:val="000000"/>
        </w:rPr>
        <w:t>Patienten untersucht. Die Patienten erhielten über einen Zeitraum von 16</w:t>
      </w:r>
      <w:r w:rsidR="00CF0485" w:rsidRPr="004F5FB4">
        <w:rPr>
          <w:color w:val="000000"/>
        </w:rPr>
        <w:t> </w:t>
      </w:r>
      <w:r w:rsidRPr="004F5FB4">
        <w:rPr>
          <w:color w:val="000000"/>
        </w:rPr>
        <w:t xml:space="preserve">Wochen entweder Placebo oder Methotrexat in einer </w:t>
      </w:r>
      <w:r w:rsidR="00934F1C" w:rsidRPr="004F5FB4">
        <w:rPr>
          <w:color w:val="000000"/>
        </w:rPr>
        <w:t>Anfang</w:t>
      </w:r>
      <w:r w:rsidRPr="004F5FB4">
        <w:rPr>
          <w:color w:val="000000"/>
        </w:rPr>
        <w:t>sdosis von 7,5 mg mit nachfolgender Dosiseskalation auf eine Maximaldosis von bis zu 25 mg bis Woche</w:t>
      </w:r>
      <w:r w:rsidR="00CF0485" w:rsidRPr="004F5FB4">
        <w:rPr>
          <w:color w:val="000000"/>
        </w:rPr>
        <w:t> </w:t>
      </w:r>
      <w:r w:rsidRPr="004F5FB4">
        <w:rPr>
          <w:color w:val="000000"/>
        </w:rPr>
        <w:t xml:space="preserve">12, oder eine Adalimumab-Induktionsdosis von 80 mg, </w:t>
      </w:r>
      <w:r w:rsidR="00934F1C" w:rsidRPr="004F5FB4">
        <w:rPr>
          <w:color w:val="000000"/>
        </w:rPr>
        <w:t>danach</w:t>
      </w:r>
      <w:r w:rsidRPr="004F5FB4">
        <w:rPr>
          <w:color w:val="000000"/>
        </w:rPr>
        <w:t xml:space="preserve"> von 40 mg jede zweite Woche (beginnend eine Woche nach der Induktionsdosis). Es liegen keine Daten eines Vergleichs von Adalimumab und Methotrexat über einen Behandlungszeitraum von mehr als 16</w:t>
      </w:r>
      <w:r w:rsidR="00CF0485" w:rsidRPr="004F5FB4">
        <w:rPr>
          <w:color w:val="000000"/>
        </w:rPr>
        <w:t> </w:t>
      </w:r>
      <w:r w:rsidRPr="004F5FB4">
        <w:rPr>
          <w:color w:val="000000"/>
        </w:rPr>
        <w:t>Wochen vor. Patienten, die Methotrexat erhielten und nach 8 und/</w:t>
      </w:r>
      <w:r w:rsidR="00CF0485" w:rsidRPr="004F5FB4">
        <w:rPr>
          <w:color w:val="000000"/>
        </w:rPr>
        <w:t xml:space="preserve"> </w:t>
      </w:r>
      <w:r w:rsidRPr="004F5FB4">
        <w:rPr>
          <w:color w:val="000000"/>
        </w:rPr>
        <w:t>oder 12</w:t>
      </w:r>
      <w:r w:rsidR="00CF0485" w:rsidRPr="004F5FB4">
        <w:rPr>
          <w:color w:val="000000"/>
        </w:rPr>
        <w:t> </w:t>
      </w:r>
      <w:r w:rsidRPr="004F5FB4">
        <w:rPr>
          <w:color w:val="000000"/>
        </w:rPr>
        <w:t>Wochen mindestens ein PASI-50-Ansprechen erreicht hatten, erhielten keine weitere Dosiseskalation. Für alle Behandlungsgruppen zusammen betrug der durchschnittliche Ausgangswert des PASI 19,7, und der Ausgangswert des PGA lag im Bereich zwischen „leicht” (&lt;</w:t>
      </w:r>
      <w:r w:rsidR="00CF0485" w:rsidRPr="004F5FB4">
        <w:rPr>
          <w:color w:val="000000"/>
        </w:rPr>
        <w:t> </w:t>
      </w:r>
      <w:r w:rsidRPr="004F5FB4">
        <w:rPr>
          <w:color w:val="000000"/>
        </w:rPr>
        <w:t>1</w:t>
      </w:r>
      <w:r w:rsidR="00CF0485" w:rsidRPr="004F5FB4">
        <w:rPr>
          <w:color w:val="000000"/>
        </w:rPr>
        <w:t> </w:t>
      </w:r>
      <w:r w:rsidRPr="004F5FB4">
        <w:rPr>
          <w:color w:val="000000"/>
        </w:rPr>
        <w:t>%), „mittelschwer” (48</w:t>
      </w:r>
      <w:r w:rsidR="00CF0485" w:rsidRPr="004F5FB4">
        <w:rPr>
          <w:color w:val="000000"/>
        </w:rPr>
        <w:t> </w:t>
      </w:r>
      <w:r w:rsidRPr="004F5FB4">
        <w:rPr>
          <w:color w:val="000000"/>
        </w:rPr>
        <w:t>%), „schwer” (46</w:t>
      </w:r>
      <w:r w:rsidR="00CF0485" w:rsidRPr="004F5FB4">
        <w:rPr>
          <w:color w:val="000000"/>
        </w:rPr>
        <w:t> </w:t>
      </w:r>
      <w:r w:rsidRPr="004F5FB4">
        <w:rPr>
          <w:color w:val="000000"/>
        </w:rPr>
        <w:t>%) und „sehr schwer” (6</w:t>
      </w:r>
      <w:r w:rsidR="00CF0485" w:rsidRPr="004F5FB4">
        <w:rPr>
          <w:color w:val="000000"/>
        </w:rPr>
        <w:t> </w:t>
      </w:r>
      <w:r w:rsidRPr="004F5FB4">
        <w:rPr>
          <w:color w:val="000000"/>
        </w:rPr>
        <w:t xml:space="preserve">%). </w:t>
      </w:r>
    </w:p>
    <w:p w14:paraId="2230C8A3" w14:textId="77777777" w:rsidR="00C46587" w:rsidRPr="004F5FB4" w:rsidRDefault="00C46587" w:rsidP="00982118">
      <w:pPr>
        <w:rPr>
          <w:color w:val="000000"/>
        </w:rPr>
      </w:pPr>
    </w:p>
    <w:p w14:paraId="448DE384" w14:textId="77777777" w:rsidR="00C46587" w:rsidRPr="004F5FB4" w:rsidRDefault="00C46587" w:rsidP="00982118">
      <w:pPr>
        <w:rPr>
          <w:color w:val="000000"/>
        </w:rPr>
      </w:pPr>
      <w:r w:rsidRPr="004F5FB4">
        <w:rPr>
          <w:color w:val="000000"/>
        </w:rPr>
        <w:t>Patienten, die an allen Phase-II- und Phase-III-Psoriasis</w:t>
      </w:r>
      <w:r w:rsidR="00CF0485" w:rsidRPr="004F5FB4">
        <w:rPr>
          <w:color w:val="000000"/>
        </w:rPr>
        <w:t>-S</w:t>
      </w:r>
      <w:r w:rsidRPr="004F5FB4">
        <w:rPr>
          <w:color w:val="000000"/>
        </w:rPr>
        <w:t>tudien teilnahmen, konnten in eine offene Erweiterungsstudie aufgenommen werden, in der Adalimumab mindestens weitere 108</w:t>
      </w:r>
      <w:r w:rsidR="00CF0485" w:rsidRPr="004F5FB4">
        <w:rPr>
          <w:color w:val="000000"/>
        </w:rPr>
        <w:t> </w:t>
      </w:r>
      <w:r w:rsidRPr="004F5FB4">
        <w:rPr>
          <w:color w:val="000000"/>
        </w:rPr>
        <w:t xml:space="preserve">Wochen verabreicht wurde. </w:t>
      </w:r>
    </w:p>
    <w:p w14:paraId="125E11AD" w14:textId="77777777" w:rsidR="00C46587" w:rsidRPr="004F5FB4" w:rsidRDefault="00C46587" w:rsidP="00982118">
      <w:pPr>
        <w:rPr>
          <w:color w:val="000000"/>
        </w:rPr>
      </w:pPr>
    </w:p>
    <w:p w14:paraId="3DD8E1B4" w14:textId="77777777" w:rsidR="00C46587" w:rsidRPr="004F5FB4" w:rsidRDefault="00C46587" w:rsidP="00982118">
      <w:pPr>
        <w:rPr>
          <w:color w:val="000000"/>
        </w:rPr>
      </w:pPr>
      <w:r w:rsidRPr="004F5FB4">
        <w:rPr>
          <w:color w:val="000000"/>
        </w:rPr>
        <w:t>Ein primärer Endpunkt der Psoriasis</w:t>
      </w:r>
      <w:r w:rsidR="00CF0485" w:rsidRPr="004F5FB4">
        <w:rPr>
          <w:color w:val="000000"/>
        </w:rPr>
        <w:t>-S</w:t>
      </w:r>
      <w:r w:rsidRPr="004F5FB4">
        <w:rPr>
          <w:color w:val="000000"/>
        </w:rPr>
        <w:t>tudien</w:t>
      </w:r>
      <w:r w:rsidR="00CF0485" w:rsidRPr="004F5FB4">
        <w:rPr>
          <w:color w:val="000000"/>
        </w:rPr>
        <w:t> </w:t>
      </w:r>
      <w:r w:rsidRPr="004F5FB4">
        <w:rPr>
          <w:color w:val="000000"/>
        </w:rPr>
        <w:t>I und II war der Anteil der Patienten, die nach 16</w:t>
      </w:r>
      <w:r w:rsidR="00CF0485" w:rsidRPr="004F5FB4">
        <w:rPr>
          <w:color w:val="000000"/>
        </w:rPr>
        <w:t> </w:t>
      </w:r>
      <w:r w:rsidRPr="004F5FB4">
        <w:rPr>
          <w:color w:val="000000"/>
        </w:rPr>
        <w:t>Wochen im Vergleich zum Ausgangswert ein PASI-75-Ansprechen erzielten (siehe Tabellen</w:t>
      </w:r>
      <w:r w:rsidR="00CF0485" w:rsidRPr="004F5FB4">
        <w:rPr>
          <w:color w:val="000000"/>
        </w:rPr>
        <w:t> </w:t>
      </w:r>
      <w:r w:rsidR="00DA4438">
        <w:rPr>
          <w:color w:val="000000"/>
        </w:rPr>
        <w:t>12</w:t>
      </w:r>
      <w:r w:rsidRPr="004F5FB4">
        <w:rPr>
          <w:color w:val="000000"/>
        </w:rPr>
        <w:t xml:space="preserve"> und </w:t>
      </w:r>
      <w:r w:rsidR="00DA4438">
        <w:rPr>
          <w:color w:val="000000"/>
        </w:rPr>
        <w:t>13</w:t>
      </w:r>
      <w:r w:rsidRPr="004F5FB4">
        <w:rPr>
          <w:color w:val="000000"/>
        </w:rPr>
        <w:t xml:space="preserve">). </w:t>
      </w:r>
    </w:p>
    <w:p w14:paraId="445797A6" w14:textId="77777777" w:rsidR="00C46587" w:rsidRPr="004F5FB4" w:rsidRDefault="00C46587" w:rsidP="00982118">
      <w:pPr>
        <w:rPr>
          <w:color w:val="000000"/>
        </w:rPr>
      </w:pPr>
    </w:p>
    <w:p w14:paraId="6F618C4D" w14:textId="77777777" w:rsidR="00534661" w:rsidRPr="00CA7719" w:rsidRDefault="00F811FC" w:rsidP="00CA7719">
      <w:pPr>
        <w:pStyle w:val="BodyText"/>
        <w:widowControl/>
        <w:kinsoku w:val="0"/>
        <w:overflowPunct w:val="0"/>
        <w:ind w:left="0"/>
        <w:rPr>
          <w:b/>
          <w:color w:val="000000"/>
        </w:rPr>
      </w:pPr>
      <w:r w:rsidRPr="00CA7719">
        <w:rPr>
          <w:b/>
          <w:color w:val="000000"/>
        </w:rPr>
        <w:t>Tabelle</w:t>
      </w:r>
      <w:r w:rsidR="00DA4438">
        <w:rPr>
          <w:b/>
          <w:color w:val="000000"/>
        </w:rPr>
        <w:t> 12</w:t>
      </w:r>
    </w:p>
    <w:p w14:paraId="0C504D61" w14:textId="77777777" w:rsidR="00F811FC" w:rsidRPr="00CA7719" w:rsidRDefault="00F811FC" w:rsidP="00CA7719">
      <w:pPr>
        <w:pStyle w:val="BodyText"/>
        <w:widowControl/>
        <w:kinsoku w:val="0"/>
        <w:overflowPunct w:val="0"/>
        <w:ind w:left="0"/>
        <w:rPr>
          <w:b/>
          <w:color w:val="000000"/>
        </w:rPr>
      </w:pPr>
      <w:r w:rsidRPr="00CA7719">
        <w:rPr>
          <w:b/>
          <w:color w:val="000000"/>
        </w:rPr>
        <w:t>Psoriasis-Studie I (REVEAL) Wirksamkeitsergebnisse nach 16 Wochen</w:t>
      </w:r>
    </w:p>
    <w:p w14:paraId="7FB528D3" w14:textId="77777777" w:rsidR="00DD002D" w:rsidRPr="004F5FB4" w:rsidRDefault="00DD002D" w:rsidP="00DD002D">
      <w:pPr>
        <w:pStyle w:val="BodyText"/>
        <w:keepNext/>
        <w:widowControl/>
        <w:kinsoku w:val="0"/>
        <w:overflowPunct w:val="0"/>
        <w:ind w:left="0"/>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F811FC" w:rsidRPr="004F5FB4" w14:paraId="7B80921D" w14:textId="77777777" w:rsidTr="001376C9">
        <w:tc>
          <w:tcPr>
            <w:tcW w:w="3193" w:type="dxa"/>
            <w:shd w:val="clear" w:color="auto" w:fill="auto"/>
          </w:tcPr>
          <w:p w14:paraId="63EC1565" w14:textId="77777777" w:rsidR="00F811FC" w:rsidRPr="004F5FB4" w:rsidRDefault="00F811FC" w:rsidP="00AA5839">
            <w:pPr>
              <w:rPr>
                <w:rFonts w:eastAsia="Calibri"/>
                <w:color w:val="000000"/>
              </w:rPr>
            </w:pPr>
          </w:p>
        </w:tc>
        <w:tc>
          <w:tcPr>
            <w:tcW w:w="3055" w:type="dxa"/>
            <w:shd w:val="clear" w:color="auto" w:fill="auto"/>
          </w:tcPr>
          <w:p w14:paraId="72FDAF83" w14:textId="77777777" w:rsidR="00F811FC" w:rsidRPr="004F5FB4" w:rsidRDefault="00F811FC" w:rsidP="000079DD">
            <w:pPr>
              <w:pStyle w:val="TableParagraph"/>
              <w:widowControl/>
              <w:kinsoku w:val="0"/>
              <w:overflowPunct w:val="0"/>
              <w:ind w:hanging="60"/>
              <w:jc w:val="center"/>
              <w:rPr>
                <w:rFonts w:ascii="Times New Roman" w:hAnsi="Times New Roman"/>
                <w:b/>
                <w:bCs/>
                <w:color w:val="000000"/>
              </w:rPr>
            </w:pPr>
            <w:r w:rsidRPr="004F5FB4">
              <w:rPr>
                <w:rFonts w:ascii="Times New Roman" w:hAnsi="Times New Roman"/>
                <w:b/>
                <w:bCs/>
                <w:color w:val="000000"/>
              </w:rPr>
              <w:t>Placebo</w:t>
            </w:r>
          </w:p>
          <w:p w14:paraId="09431D0B" w14:textId="77777777" w:rsidR="00F811FC" w:rsidRPr="004F5FB4" w:rsidRDefault="00F811FC" w:rsidP="000079DD">
            <w:pPr>
              <w:pStyle w:val="TableParagraph"/>
              <w:widowControl/>
              <w:kinsoku w:val="0"/>
              <w:overflowPunct w:val="0"/>
              <w:ind w:hanging="60"/>
              <w:jc w:val="center"/>
              <w:rPr>
                <w:rFonts w:ascii="Times New Roman" w:hAnsi="Times New Roman"/>
                <w:b/>
                <w:bCs/>
                <w:color w:val="000000"/>
              </w:rPr>
            </w:pPr>
            <w:r w:rsidRPr="004F5FB4">
              <w:rPr>
                <w:rFonts w:ascii="Times New Roman" w:hAnsi="Times New Roman"/>
                <w:b/>
                <w:bCs/>
                <w:color w:val="000000"/>
              </w:rPr>
              <w:t>n = 398</w:t>
            </w:r>
          </w:p>
          <w:p w14:paraId="6EBDEA90" w14:textId="77777777" w:rsidR="00F811FC" w:rsidRPr="004F5FB4" w:rsidRDefault="00F811FC" w:rsidP="000079DD">
            <w:pPr>
              <w:pStyle w:val="TableParagraph"/>
              <w:widowControl/>
              <w:kinsoku w:val="0"/>
              <w:overflowPunct w:val="0"/>
              <w:ind w:hanging="60"/>
              <w:jc w:val="center"/>
              <w:rPr>
                <w:rFonts w:ascii="Times New Roman" w:hAnsi="Times New Roman"/>
                <w:color w:val="000000"/>
              </w:rPr>
            </w:pPr>
            <w:r w:rsidRPr="004F5FB4">
              <w:rPr>
                <w:rFonts w:ascii="Times New Roman" w:hAnsi="Times New Roman"/>
                <w:b/>
                <w:bCs/>
                <w:color w:val="000000"/>
              </w:rPr>
              <w:t>n (%)</w:t>
            </w:r>
          </w:p>
        </w:tc>
        <w:tc>
          <w:tcPr>
            <w:tcW w:w="3055" w:type="dxa"/>
            <w:shd w:val="clear" w:color="auto" w:fill="auto"/>
          </w:tcPr>
          <w:p w14:paraId="06DC7FAA" w14:textId="77777777" w:rsidR="00F811FC" w:rsidRPr="004F5FB4" w:rsidRDefault="00F811FC" w:rsidP="000079DD">
            <w:pPr>
              <w:pStyle w:val="TableParagraph"/>
              <w:widowControl/>
              <w:kinsoku w:val="0"/>
              <w:overflowPunct w:val="0"/>
              <w:jc w:val="center"/>
              <w:rPr>
                <w:rFonts w:ascii="Times New Roman" w:hAnsi="Times New Roman"/>
                <w:b/>
                <w:bCs/>
                <w:color w:val="000000"/>
              </w:rPr>
            </w:pPr>
            <w:r w:rsidRPr="004F5FB4">
              <w:rPr>
                <w:rFonts w:ascii="Times New Roman" w:hAnsi="Times New Roman"/>
                <w:b/>
                <w:color w:val="000000"/>
              </w:rPr>
              <w:t>Adalimumab</w:t>
            </w:r>
            <w:r w:rsidRPr="004F5FB4">
              <w:rPr>
                <w:rFonts w:ascii="Times New Roman" w:hAnsi="Times New Roman"/>
                <w:b/>
                <w:bCs/>
                <w:color w:val="000000"/>
              </w:rPr>
              <w:t xml:space="preserve"> 40</w:t>
            </w:r>
            <w:r w:rsidRPr="004F5FB4">
              <w:rPr>
                <w:rFonts w:ascii="Times New Roman" w:hAnsi="Times New Roman"/>
                <w:b/>
                <w:color w:val="000000"/>
              </w:rPr>
              <w:t> </w:t>
            </w:r>
            <w:r w:rsidRPr="004F5FB4">
              <w:rPr>
                <w:rFonts w:ascii="Times New Roman" w:hAnsi="Times New Roman"/>
                <w:b/>
                <w:bCs/>
                <w:color w:val="000000"/>
              </w:rPr>
              <w:t>mg jede zweite Woche</w:t>
            </w:r>
          </w:p>
          <w:p w14:paraId="541A5F38" w14:textId="77777777" w:rsidR="00F811FC" w:rsidRPr="004F5FB4" w:rsidRDefault="00F811FC" w:rsidP="000079DD">
            <w:pPr>
              <w:pStyle w:val="TableParagraph"/>
              <w:widowControl/>
              <w:kinsoku w:val="0"/>
              <w:overflowPunct w:val="0"/>
              <w:jc w:val="center"/>
              <w:rPr>
                <w:rFonts w:ascii="Times New Roman" w:hAnsi="Times New Roman"/>
                <w:color w:val="000000"/>
              </w:rPr>
            </w:pPr>
            <w:r w:rsidRPr="004F5FB4">
              <w:rPr>
                <w:rFonts w:ascii="Times New Roman" w:hAnsi="Times New Roman"/>
                <w:b/>
                <w:bCs/>
                <w:color w:val="000000"/>
              </w:rPr>
              <w:t>n = 814</w:t>
            </w:r>
          </w:p>
          <w:p w14:paraId="12C3C59B" w14:textId="77777777" w:rsidR="00F811FC" w:rsidRPr="004F5FB4" w:rsidRDefault="00F811FC" w:rsidP="000079DD">
            <w:pPr>
              <w:pStyle w:val="TableParagraph"/>
              <w:widowControl/>
              <w:kinsoku w:val="0"/>
              <w:overflowPunct w:val="0"/>
              <w:jc w:val="center"/>
              <w:rPr>
                <w:rFonts w:ascii="Times New Roman" w:hAnsi="Times New Roman"/>
                <w:color w:val="000000"/>
              </w:rPr>
            </w:pPr>
            <w:r w:rsidRPr="004F5FB4">
              <w:rPr>
                <w:rFonts w:ascii="Times New Roman" w:hAnsi="Times New Roman"/>
                <w:b/>
                <w:bCs/>
                <w:color w:val="000000"/>
              </w:rPr>
              <w:t>n (%)</w:t>
            </w:r>
          </w:p>
        </w:tc>
      </w:tr>
      <w:tr w:rsidR="00DD002D" w:rsidRPr="004F5FB4" w14:paraId="6AF7BCFE" w14:textId="77777777" w:rsidTr="001376C9">
        <w:tc>
          <w:tcPr>
            <w:tcW w:w="3193" w:type="dxa"/>
            <w:shd w:val="clear" w:color="auto" w:fill="auto"/>
          </w:tcPr>
          <w:p w14:paraId="0E725554" w14:textId="77777777" w:rsidR="00DD002D" w:rsidRPr="004F5FB4" w:rsidRDefault="00DD002D"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 PASI</w:t>
            </w:r>
            <w:r w:rsidR="00534661" w:rsidRPr="004F5FB4">
              <w:rPr>
                <w:rFonts w:ascii="Times New Roman" w:hAnsi="Times New Roman"/>
                <w:bCs/>
                <w:color w:val="000000"/>
              </w:rPr>
              <w:t>-</w:t>
            </w:r>
            <w:r w:rsidRPr="004F5FB4">
              <w:rPr>
                <w:rFonts w:ascii="Times New Roman" w:hAnsi="Times New Roman"/>
                <w:bCs/>
                <w:color w:val="000000"/>
              </w:rPr>
              <w:t>75</w:t>
            </w:r>
            <w:r w:rsidRPr="004F5FB4">
              <w:rPr>
                <w:rFonts w:ascii="Times New Roman" w:hAnsi="Times New Roman"/>
                <w:bCs/>
                <w:color w:val="000000"/>
                <w:vertAlign w:val="superscript"/>
              </w:rPr>
              <w:t>a</w:t>
            </w:r>
          </w:p>
        </w:tc>
        <w:tc>
          <w:tcPr>
            <w:tcW w:w="3055" w:type="dxa"/>
            <w:shd w:val="clear" w:color="auto" w:fill="auto"/>
          </w:tcPr>
          <w:p w14:paraId="5340357B"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26 (6,5)</w:t>
            </w:r>
          </w:p>
        </w:tc>
        <w:tc>
          <w:tcPr>
            <w:tcW w:w="3055" w:type="dxa"/>
            <w:shd w:val="clear" w:color="auto" w:fill="auto"/>
          </w:tcPr>
          <w:p w14:paraId="615091D7"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578 (70,9)</w:t>
            </w:r>
            <w:r w:rsidRPr="004F5FB4">
              <w:rPr>
                <w:rFonts w:ascii="Times New Roman" w:hAnsi="Times New Roman"/>
                <w:color w:val="000000"/>
                <w:vertAlign w:val="superscript"/>
              </w:rPr>
              <w:t>b</w:t>
            </w:r>
          </w:p>
        </w:tc>
      </w:tr>
      <w:tr w:rsidR="00DD002D" w:rsidRPr="004F5FB4" w14:paraId="7D54B0AC" w14:textId="77777777" w:rsidTr="001376C9">
        <w:tc>
          <w:tcPr>
            <w:tcW w:w="3193" w:type="dxa"/>
            <w:shd w:val="clear" w:color="auto" w:fill="auto"/>
          </w:tcPr>
          <w:p w14:paraId="3D1A5EF3" w14:textId="77777777" w:rsidR="00DD002D" w:rsidRPr="004F5FB4" w:rsidRDefault="00DD002D"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PASI-100</w:t>
            </w:r>
          </w:p>
        </w:tc>
        <w:tc>
          <w:tcPr>
            <w:tcW w:w="3055" w:type="dxa"/>
            <w:shd w:val="clear" w:color="auto" w:fill="auto"/>
          </w:tcPr>
          <w:p w14:paraId="37B961BA"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3 (0,8)</w:t>
            </w:r>
          </w:p>
        </w:tc>
        <w:tc>
          <w:tcPr>
            <w:tcW w:w="3055" w:type="dxa"/>
            <w:shd w:val="clear" w:color="auto" w:fill="auto"/>
          </w:tcPr>
          <w:p w14:paraId="5DE6E10E"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163 (20,0)</w:t>
            </w:r>
            <w:r w:rsidRPr="004F5FB4">
              <w:rPr>
                <w:rFonts w:ascii="Times New Roman" w:hAnsi="Times New Roman"/>
                <w:color w:val="000000"/>
                <w:vertAlign w:val="superscript"/>
              </w:rPr>
              <w:t>b</w:t>
            </w:r>
          </w:p>
        </w:tc>
      </w:tr>
      <w:tr w:rsidR="00DD002D" w:rsidRPr="004F5FB4" w14:paraId="73A8B406" w14:textId="77777777" w:rsidTr="001376C9">
        <w:tc>
          <w:tcPr>
            <w:tcW w:w="3193" w:type="dxa"/>
            <w:tcBorders>
              <w:bottom w:val="single" w:sz="4" w:space="0" w:color="auto"/>
            </w:tcBorders>
            <w:shd w:val="clear" w:color="auto" w:fill="auto"/>
          </w:tcPr>
          <w:p w14:paraId="350AA77A" w14:textId="77777777" w:rsidR="00DD002D" w:rsidRPr="004F5FB4" w:rsidRDefault="00DD002D"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PGA: erscheinungsfrei/</w:t>
            </w:r>
            <w:r w:rsidR="00CF0485" w:rsidRPr="004F5FB4">
              <w:rPr>
                <w:rFonts w:ascii="Times New Roman" w:hAnsi="Times New Roman"/>
                <w:bCs/>
                <w:color w:val="000000"/>
              </w:rPr>
              <w:t xml:space="preserve"> </w:t>
            </w:r>
            <w:r w:rsidRPr="004F5FB4">
              <w:rPr>
                <w:rFonts w:ascii="Times New Roman" w:hAnsi="Times New Roman"/>
                <w:bCs/>
                <w:color w:val="000000"/>
              </w:rPr>
              <w:t>minimal</w:t>
            </w:r>
          </w:p>
        </w:tc>
        <w:tc>
          <w:tcPr>
            <w:tcW w:w="3055" w:type="dxa"/>
            <w:tcBorders>
              <w:bottom w:val="single" w:sz="4" w:space="0" w:color="auto"/>
            </w:tcBorders>
            <w:shd w:val="clear" w:color="auto" w:fill="auto"/>
          </w:tcPr>
          <w:p w14:paraId="74C7C9DC"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17 (4,3)</w:t>
            </w:r>
          </w:p>
        </w:tc>
        <w:tc>
          <w:tcPr>
            <w:tcW w:w="3055" w:type="dxa"/>
            <w:tcBorders>
              <w:bottom w:val="single" w:sz="4" w:space="0" w:color="auto"/>
            </w:tcBorders>
            <w:shd w:val="clear" w:color="auto" w:fill="auto"/>
          </w:tcPr>
          <w:p w14:paraId="2F97F542"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506 (62,2)</w:t>
            </w:r>
            <w:r w:rsidRPr="004F5FB4">
              <w:rPr>
                <w:rFonts w:ascii="Times New Roman" w:hAnsi="Times New Roman"/>
                <w:color w:val="000000"/>
                <w:vertAlign w:val="superscript"/>
              </w:rPr>
              <w:t>b</w:t>
            </w:r>
          </w:p>
        </w:tc>
      </w:tr>
      <w:tr w:rsidR="00081A6C" w:rsidRPr="00C75D0C" w14:paraId="24E7E03A" w14:textId="77777777" w:rsidTr="001376C9">
        <w:tc>
          <w:tcPr>
            <w:tcW w:w="9303" w:type="dxa"/>
            <w:gridSpan w:val="3"/>
            <w:tcBorders>
              <w:left w:val="nil"/>
              <w:bottom w:val="nil"/>
              <w:right w:val="nil"/>
            </w:tcBorders>
            <w:shd w:val="clear" w:color="auto" w:fill="auto"/>
          </w:tcPr>
          <w:p w14:paraId="2A0F3C39" w14:textId="77777777" w:rsidR="00081A6C" w:rsidRPr="00206AEA" w:rsidRDefault="00081A6C" w:rsidP="00081A6C">
            <w:pPr>
              <w:pStyle w:val="TableParagraph"/>
              <w:widowControl/>
              <w:kinsoku w:val="0"/>
              <w:overflowPunct w:val="0"/>
              <w:ind w:left="270" w:hanging="270"/>
              <w:rPr>
                <w:rFonts w:ascii="Times New Roman" w:hAnsi="Times New Roman"/>
                <w:color w:val="000000"/>
                <w:sz w:val="20"/>
              </w:rPr>
            </w:pPr>
            <w:r w:rsidRPr="00206AEA">
              <w:rPr>
                <w:rFonts w:ascii="Times New Roman" w:hAnsi="Times New Roman"/>
                <w:color w:val="000000"/>
                <w:sz w:val="20"/>
                <w:vertAlign w:val="superscript"/>
              </w:rPr>
              <w:t>a</w:t>
            </w:r>
            <w:r w:rsidRPr="00206AEA">
              <w:rPr>
                <w:rFonts w:ascii="Times New Roman" w:hAnsi="Times New Roman"/>
                <w:color w:val="000000"/>
                <w:sz w:val="20"/>
              </w:rPr>
              <w:t xml:space="preserve"> </w:t>
            </w:r>
            <w:r w:rsidRPr="00206AEA">
              <w:rPr>
                <w:rFonts w:ascii="Times New Roman" w:hAnsi="Times New Roman"/>
                <w:color w:val="000000"/>
                <w:sz w:val="20"/>
              </w:rPr>
              <w:tab/>
              <w:t>Prozentsatz Patienten mit PASI-75-Ansprechen wurde als prüfzentrumadjustierte Rate berechnet</w:t>
            </w:r>
          </w:p>
          <w:p w14:paraId="25861BDE" w14:textId="77777777" w:rsidR="00081A6C" w:rsidRPr="00EC03BF" w:rsidRDefault="00081A6C" w:rsidP="00081A6C">
            <w:pPr>
              <w:pStyle w:val="TableParagraph"/>
              <w:widowControl/>
              <w:kinsoku w:val="0"/>
              <w:overflowPunct w:val="0"/>
              <w:ind w:left="270" w:hanging="270"/>
              <w:rPr>
                <w:rFonts w:ascii="Times New Roman" w:hAnsi="Times New Roman"/>
                <w:color w:val="000000"/>
                <w:sz w:val="20"/>
              </w:rPr>
            </w:pPr>
            <w:r w:rsidRPr="00EC03BF">
              <w:rPr>
                <w:rFonts w:ascii="Times New Roman" w:hAnsi="Times New Roman"/>
                <w:color w:val="000000"/>
                <w:sz w:val="20"/>
                <w:vertAlign w:val="superscript"/>
              </w:rPr>
              <w:t xml:space="preserve">b </w:t>
            </w:r>
            <w:r w:rsidRPr="00EC03BF">
              <w:rPr>
                <w:rFonts w:ascii="Times New Roman" w:hAnsi="Times New Roman"/>
                <w:color w:val="000000"/>
                <w:sz w:val="20"/>
                <w:vertAlign w:val="superscript"/>
              </w:rPr>
              <w:tab/>
            </w:r>
            <w:r w:rsidRPr="00EC03BF">
              <w:rPr>
                <w:rFonts w:ascii="Times New Roman" w:hAnsi="Times New Roman"/>
                <w:color w:val="000000"/>
                <w:sz w:val="20"/>
              </w:rPr>
              <w:t xml:space="preserve">p &lt; 0,001; Adalimumab </w:t>
            </w:r>
            <w:r w:rsidRPr="00EC03BF">
              <w:rPr>
                <w:rFonts w:ascii="Times New Roman" w:hAnsi="Times New Roman"/>
                <w:i/>
                <w:color w:val="000000"/>
                <w:sz w:val="20"/>
              </w:rPr>
              <w:t>vs.</w:t>
            </w:r>
            <w:r w:rsidRPr="00EC03BF">
              <w:rPr>
                <w:rFonts w:ascii="Times New Roman" w:hAnsi="Times New Roman"/>
                <w:color w:val="000000"/>
                <w:sz w:val="20"/>
              </w:rPr>
              <w:t xml:space="preserve"> Placebo</w:t>
            </w:r>
          </w:p>
        </w:tc>
      </w:tr>
    </w:tbl>
    <w:p w14:paraId="6E91DCF8" w14:textId="77777777" w:rsidR="00DD002D" w:rsidRPr="00EC03BF" w:rsidRDefault="00DD002D" w:rsidP="00DD002D">
      <w:pPr>
        <w:pStyle w:val="BodyText"/>
        <w:widowControl/>
        <w:kinsoku w:val="0"/>
        <w:overflowPunct w:val="0"/>
        <w:ind w:left="0"/>
        <w:rPr>
          <w:b/>
          <w:color w:val="000000"/>
        </w:rPr>
      </w:pPr>
    </w:p>
    <w:p w14:paraId="6CD7165E" w14:textId="77777777" w:rsidR="00534661" w:rsidRPr="00CA7719" w:rsidRDefault="00F811FC" w:rsidP="00D4051F">
      <w:pPr>
        <w:pStyle w:val="BodyText"/>
        <w:keepNext/>
        <w:keepLines/>
        <w:widowControl/>
        <w:kinsoku w:val="0"/>
        <w:overflowPunct w:val="0"/>
        <w:ind w:left="0"/>
        <w:rPr>
          <w:b/>
          <w:color w:val="000000"/>
        </w:rPr>
      </w:pPr>
      <w:r w:rsidRPr="00CA7719">
        <w:rPr>
          <w:b/>
          <w:color w:val="000000"/>
        </w:rPr>
        <w:t>Tabelle</w:t>
      </w:r>
      <w:r w:rsidR="00DA4438">
        <w:rPr>
          <w:b/>
          <w:color w:val="000000"/>
        </w:rPr>
        <w:t> 13</w:t>
      </w:r>
    </w:p>
    <w:p w14:paraId="12821328" w14:textId="77777777" w:rsidR="00F811FC" w:rsidRPr="00CA7719" w:rsidRDefault="00F811FC" w:rsidP="00D4051F">
      <w:pPr>
        <w:pStyle w:val="BodyText"/>
        <w:keepNext/>
        <w:keepLines/>
        <w:widowControl/>
        <w:kinsoku w:val="0"/>
        <w:overflowPunct w:val="0"/>
        <w:ind w:left="0"/>
        <w:rPr>
          <w:b/>
          <w:color w:val="000000"/>
        </w:rPr>
      </w:pPr>
      <w:r w:rsidRPr="00CA7719">
        <w:rPr>
          <w:b/>
          <w:color w:val="000000"/>
        </w:rPr>
        <w:t>Psoriasis-Studie II (CHAMPION) Wirksamkeitsergebnisse nach 16 Wochen</w:t>
      </w:r>
    </w:p>
    <w:p w14:paraId="23259483" w14:textId="77777777" w:rsidR="00DD002D" w:rsidRPr="00CA7719" w:rsidRDefault="00DD002D" w:rsidP="00D4051F">
      <w:pPr>
        <w:pStyle w:val="BodyText"/>
        <w:keepNext/>
        <w:keepLines/>
        <w:widowControl/>
        <w:kinsoku w:val="0"/>
        <w:overflowPunct w:val="0"/>
        <w:ind w:left="0"/>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F811FC" w:rsidRPr="004F5FB4" w14:paraId="15C97C24" w14:textId="77777777" w:rsidTr="00081A6C">
        <w:trPr>
          <w:tblHeader/>
        </w:trPr>
        <w:tc>
          <w:tcPr>
            <w:tcW w:w="2128" w:type="dxa"/>
            <w:shd w:val="clear" w:color="auto" w:fill="auto"/>
          </w:tcPr>
          <w:p w14:paraId="73BF3B28" w14:textId="77777777" w:rsidR="00F811FC" w:rsidRPr="004F5FB4" w:rsidRDefault="00F811FC" w:rsidP="00AA5839">
            <w:pPr>
              <w:keepNext/>
              <w:keepLines/>
              <w:rPr>
                <w:rFonts w:eastAsia="Calibri"/>
                <w:color w:val="000000"/>
              </w:rPr>
            </w:pPr>
          </w:p>
        </w:tc>
        <w:tc>
          <w:tcPr>
            <w:tcW w:w="2391" w:type="dxa"/>
            <w:shd w:val="clear" w:color="auto" w:fill="auto"/>
          </w:tcPr>
          <w:p w14:paraId="0A4D5802" w14:textId="77777777" w:rsidR="00F811FC" w:rsidRPr="004F5FB4" w:rsidRDefault="00F811FC" w:rsidP="000079DD">
            <w:pPr>
              <w:pStyle w:val="TableParagraph"/>
              <w:keepNext/>
              <w:keepLines/>
              <w:widowControl/>
              <w:kinsoku w:val="0"/>
              <w:overflowPunct w:val="0"/>
              <w:ind w:hanging="95"/>
              <w:jc w:val="center"/>
              <w:rPr>
                <w:rFonts w:ascii="Times New Roman" w:hAnsi="Times New Roman"/>
                <w:b/>
                <w:bCs/>
                <w:color w:val="000000"/>
              </w:rPr>
            </w:pPr>
            <w:r w:rsidRPr="004F5FB4">
              <w:rPr>
                <w:rFonts w:ascii="Times New Roman" w:hAnsi="Times New Roman"/>
                <w:b/>
                <w:bCs/>
                <w:color w:val="000000"/>
              </w:rPr>
              <w:t xml:space="preserve">Placebo </w:t>
            </w:r>
          </w:p>
          <w:p w14:paraId="5435FC8C" w14:textId="77777777" w:rsidR="00F811FC" w:rsidRPr="004F5FB4" w:rsidRDefault="00F811FC" w:rsidP="000079DD">
            <w:pPr>
              <w:pStyle w:val="TableParagraph"/>
              <w:keepNext/>
              <w:keepLines/>
              <w:widowControl/>
              <w:kinsoku w:val="0"/>
              <w:overflowPunct w:val="0"/>
              <w:ind w:hanging="95"/>
              <w:jc w:val="center"/>
              <w:rPr>
                <w:rFonts w:ascii="Times New Roman" w:hAnsi="Times New Roman"/>
                <w:b/>
                <w:bCs/>
                <w:color w:val="000000"/>
              </w:rPr>
            </w:pPr>
            <w:r w:rsidRPr="004F5FB4">
              <w:rPr>
                <w:rFonts w:ascii="Times New Roman" w:hAnsi="Times New Roman"/>
                <w:b/>
                <w:bCs/>
                <w:color w:val="000000"/>
              </w:rPr>
              <w:t xml:space="preserve">n = 53 </w:t>
            </w:r>
          </w:p>
          <w:p w14:paraId="36266D10" w14:textId="77777777" w:rsidR="00F811FC" w:rsidRPr="004F5FB4" w:rsidRDefault="00F811FC" w:rsidP="000079DD">
            <w:pPr>
              <w:pStyle w:val="TableParagraph"/>
              <w:keepNext/>
              <w:keepLines/>
              <w:widowControl/>
              <w:kinsoku w:val="0"/>
              <w:overflowPunct w:val="0"/>
              <w:ind w:hanging="95"/>
              <w:jc w:val="center"/>
              <w:rPr>
                <w:rFonts w:ascii="Times New Roman" w:hAnsi="Times New Roman"/>
                <w:color w:val="000000"/>
              </w:rPr>
            </w:pPr>
            <w:r w:rsidRPr="004F5FB4">
              <w:rPr>
                <w:rFonts w:ascii="Times New Roman" w:hAnsi="Times New Roman"/>
                <w:b/>
                <w:bCs/>
                <w:color w:val="000000"/>
              </w:rPr>
              <w:t>n (%)</w:t>
            </w:r>
          </w:p>
        </w:tc>
        <w:tc>
          <w:tcPr>
            <w:tcW w:w="2392" w:type="dxa"/>
            <w:shd w:val="clear" w:color="auto" w:fill="auto"/>
          </w:tcPr>
          <w:p w14:paraId="7B32CF5B" w14:textId="77777777" w:rsidR="00F811FC" w:rsidRPr="004F5FB4" w:rsidRDefault="00F811FC" w:rsidP="000079DD">
            <w:pPr>
              <w:pStyle w:val="TableParagraph"/>
              <w:keepNext/>
              <w:keepLines/>
              <w:widowControl/>
              <w:kinsoku w:val="0"/>
              <w:overflowPunct w:val="0"/>
              <w:ind w:firstLine="50"/>
              <w:jc w:val="center"/>
              <w:rPr>
                <w:rFonts w:ascii="Times New Roman" w:hAnsi="Times New Roman"/>
                <w:b/>
                <w:bCs/>
                <w:color w:val="000000"/>
              </w:rPr>
            </w:pPr>
            <w:r w:rsidRPr="004F5FB4">
              <w:rPr>
                <w:rFonts w:ascii="Times New Roman" w:hAnsi="Times New Roman"/>
                <w:b/>
                <w:bCs/>
                <w:color w:val="000000"/>
              </w:rPr>
              <w:t xml:space="preserve">Methotrexat (MTX) </w:t>
            </w:r>
          </w:p>
          <w:p w14:paraId="6749E060" w14:textId="77777777" w:rsidR="00F811FC" w:rsidRPr="004F5FB4" w:rsidRDefault="00F811FC" w:rsidP="000079DD">
            <w:pPr>
              <w:pStyle w:val="TableParagraph"/>
              <w:keepNext/>
              <w:keepLines/>
              <w:widowControl/>
              <w:kinsoku w:val="0"/>
              <w:overflowPunct w:val="0"/>
              <w:ind w:firstLine="50"/>
              <w:jc w:val="center"/>
              <w:rPr>
                <w:rFonts w:ascii="Times New Roman" w:hAnsi="Times New Roman"/>
                <w:b/>
                <w:bCs/>
                <w:color w:val="000000"/>
              </w:rPr>
            </w:pPr>
            <w:r w:rsidRPr="004F5FB4">
              <w:rPr>
                <w:rFonts w:ascii="Times New Roman" w:hAnsi="Times New Roman"/>
                <w:b/>
                <w:bCs/>
                <w:color w:val="000000"/>
              </w:rPr>
              <w:t xml:space="preserve">n = 110 </w:t>
            </w:r>
          </w:p>
          <w:p w14:paraId="1831A8B5" w14:textId="77777777" w:rsidR="00F811FC" w:rsidRPr="004F5FB4" w:rsidRDefault="00F811FC" w:rsidP="000079DD">
            <w:pPr>
              <w:pStyle w:val="TableParagraph"/>
              <w:keepNext/>
              <w:keepLines/>
              <w:widowControl/>
              <w:kinsoku w:val="0"/>
              <w:overflowPunct w:val="0"/>
              <w:ind w:firstLine="50"/>
              <w:jc w:val="center"/>
              <w:rPr>
                <w:rFonts w:ascii="Times New Roman" w:hAnsi="Times New Roman"/>
                <w:color w:val="000000"/>
              </w:rPr>
            </w:pPr>
            <w:r w:rsidRPr="004F5FB4">
              <w:rPr>
                <w:rFonts w:ascii="Times New Roman" w:hAnsi="Times New Roman"/>
                <w:b/>
                <w:bCs/>
                <w:color w:val="000000"/>
              </w:rPr>
              <w:t>n (%)</w:t>
            </w:r>
          </w:p>
        </w:tc>
        <w:tc>
          <w:tcPr>
            <w:tcW w:w="2392" w:type="dxa"/>
            <w:shd w:val="clear" w:color="auto" w:fill="auto"/>
          </w:tcPr>
          <w:p w14:paraId="4421D576" w14:textId="77777777" w:rsidR="00F811FC" w:rsidRPr="004F5FB4" w:rsidRDefault="00F811FC" w:rsidP="000079DD">
            <w:pPr>
              <w:pStyle w:val="TableParagraph"/>
              <w:keepNext/>
              <w:keepLines/>
              <w:widowControl/>
              <w:kinsoku w:val="0"/>
              <w:overflowPunct w:val="0"/>
              <w:jc w:val="center"/>
              <w:rPr>
                <w:rFonts w:ascii="Times New Roman" w:hAnsi="Times New Roman"/>
                <w:b/>
                <w:bCs/>
                <w:color w:val="000000"/>
              </w:rPr>
            </w:pPr>
            <w:r w:rsidRPr="004F5FB4">
              <w:rPr>
                <w:rFonts w:ascii="Times New Roman" w:hAnsi="Times New Roman"/>
                <w:b/>
                <w:color w:val="000000"/>
              </w:rPr>
              <w:t>Adalimumab</w:t>
            </w:r>
            <w:r w:rsidRPr="004F5FB4">
              <w:rPr>
                <w:rFonts w:ascii="Times New Roman" w:hAnsi="Times New Roman"/>
                <w:b/>
                <w:bCs/>
                <w:color w:val="000000"/>
              </w:rPr>
              <w:t xml:space="preserve"> 40</w:t>
            </w:r>
            <w:r w:rsidRPr="004F5FB4">
              <w:rPr>
                <w:rFonts w:ascii="Times New Roman" w:hAnsi="Times New Roman"/>
                <w:b/>
                <w:color w:val="000000"/>
              </w:rPr>
              <w:t> </w:t>
            </w:r>
            <w:r w:rsidRPr="004F5FB4">
              <w:rPr>
                <w:rFonts w:ascii="Times New Roman" w:hAnsi="Times New Roman"/>
                <w:b/>
                <w:bCs/>
                <w:color w:val="000000"/>
              </w:rPr>
              <w:t>mg jede zweite Woche</w:t>
            </w:r>
          </w:p>
          <w:p w14:paraId="6106E210" w14:textId="77777777" w:rsidR="00F811FC" w:rsidRPr="004F5FB4" w:rsidRDefault="00F811FC" w:rsidP="000079DD">
            <w:pPr>
              <w:pStyle w:val="TableParagraph"/>
              <w:keepNext/>
              <w:keepLines/>
              <w:widowControl/>
              <w:kinsoku w:val="0"/>
              <w:overflowPunct w:val="0"/>
              <w:jc w:val="center"/>
              <w:rPr>
                <w:rFonts w:ascii="Times New Roman" w:hAnsi="Times New Roman"/>
                <w:color w:val="000000"/>
              </w:rPr>
            </w:pPr>
            <w:r w:rsidRPr="004F5FB4">
              <w:rPr>
                <w:rFonts w:ascii="Times New Roman" w:hAnsi="Times New Roman"/>
                <w:b/>
                <w:bCs/>
                <w:color w:val="000000"/>
              </w:rPr>
              <w:t>n = 108</w:t>
            </w:r>
          </w:p>
          <w:p w14:paraId="601B639E" w14:textId="77777777" w:rsidR="00F811FC" w:rsidRPr="004F5FB4" w:rsidRDefault="00F811FC" w:rsidP="000079DD">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b/>
                <w:bCs/>
                <w:color w:val="000000"/>
              </w:rPr>
              <w:t>n (%)</w:t>
            </w:r>
          </w:p>
        </w:tc>
      </w:tr>
      <w:tr w:rsidR="00DD002D" w:rsidRPr="004F5FB4" w14:paraId="4F27B7FD" w14:textId="77777777" w:rsidTr="00081A6C">
        <w:tc>
          <w:tcPr>
            <w:tcW w:w="2128" w:type="dxa"/>
            <w:shd w:val="clear" w:color="auto" w:fill="auto"/>
          </w:tcPr>
          <w:p w14:paraId="6DAC3F73" w14:textId="77777777" w:rsidR="00DD002D" w:rsidRPr="004F5FB4" w:rsidRDefault="00DD002D" w:rsidP="00AA5839">
            <w:pPr>
              <w:pStyle w:val="TableParagraph"/>
              <w:keepNext/>
              <w:keepLines/>
              <w:widowControl/>
              <w:kinsoku w:val="0"/>
              <w:overflowPunct w:val="0"/>
              <w:spacing w:line="268" w:lineRule="exact"/>
              <w:rPr>
                <w:rFonts w:ascii="Times New Roman" w:hAnsi="Times New Roman"/>
                <w:color w:val="000000"/>
              </w:rPr>
            </w:pPr>
            <w:r w:rsidRPr="004F5FB4">
              <w:rPr>
                <w:rFonts w:ascii="Times New Roman" w:hAnsi="Times New Roman"/>
                <w:bCs/>
                <w:color w:val="000000"/>
              </w:rPr>
              <w:t>≥ PASI-75</w:t>
            </w:r>
          </w:p>
        </w:tc>
        <w:tc>
          <w:tcPr>
            <w:tcW w:w="2391" w:type="dxa"/>
            <w:shd w:val="clear" w:color="auto" w:fill="auto"/>
          </w:tcPr>
          <w:p w14:paraId="040B1ED5"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10 (18,9)</w:t>
            </w:r>
          </w:p>
        </w:tc>
        <w:tc>
          <w:tcPr>
            <w:tcW w:w="2392" w:type="dxa"/>
            <w:shd w:val="clear" w:color="auto" w:fill="auto"/>
          </w:tcPr>
          <w:p w14:paraId="39AA9531"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39 (35,5)</w:t>
            </w:r>
          </w:p>
        </w:tc>
        <w:tc>
          <w:tcPr>
            <w:tcW w:w="2392" w:type="dxa"/>
            <w:shd w:val="clear" w:color="auto" w:fill="auto"/>
          </w:tcPr>
          <w:p w14:paraId="602A3B09"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86 (79,6)</w:t>
            </w:r>
            <w:r w:rsidRPr="004F5FB4">
              <w:rPr>
                <w:rFonts w:ascii="Times New Roman" w:hAnsi="Times New Roman"/>
                <w:color w:val="000000"/>
                <w:vertAlign w:val="superscript"/>
              </w:rPr>
              <w:t>a,b</w:t>
            </w:r>
          </w:p>
        </w:tc>
      </w:tr>
      <w:tr w:rsidR="00DD002D" w:rsidRPr="004F5FB4" w14:paraId="1FC5E99C" w14:textId="77777777" w:rsidTr="00081A6C">
        <w:tc>
          <w:tcPr>
            <w:tcW w:w="2128" w:type="dxa"/>
            <w:shd w:val="clear" w:color="auto" w:fill="auto"/>
          </w:tcPr>
          <w:p w14:paraId="41CA3815" w14:textId="77777777" w:rsidR="00DD002D" w:rsidRPr="004F5FB4" w:rsidRDefault="00DD002D" w:rsidP="00AA5839">
            <w:pPr>
              <w:pStyle w:val="TableParagraph"/>
              <w:keepNext/>
              <w:keepLines/>
              <w:widowControl/>
              <w:kinsoku w:val="0"/>
              <w:overflowPunct w:val="0"/>
              <w:spacing w:line="252" w:lineRule="exact"/>
              <w:rPr>
                <w:rFonts w:ascii="Times New Roman" w:hAnsi="Times New Roman"/>
                <w:color w:val="000000"/>
              </w:rPr>
            </w:pPr>
            <w:r w:rsidRPr="004F5FB4">
              <w:rPr>
                <w:rFonts w:ascii="Times New Roman" w:hAnsi="Times New Roman"/>
                <w:bCs/>
                <w:color w:val="000000"/>
              </w:rPr>
              <w:t>PASI-100</w:t>
            </w:r>
          </w:p>
        </w:tc>
        <w:tc>
          <w:tcPr>
            <w:tcW w:w="2391" w:type="dxa"/>
            <w:shd w:val="clear" w:color="auto" w:fill="auto"/>
          </w:tcPr>
          <w:p w14:paraId="05D648F0"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1 (1,9)</w:t>
            </w:r>
          </w:p>
        </w:tc>
        <w:tc>
          <w:tcPr>
            <w:tcW w:w="2392" w:type="dxa"/>
            <w:shd w:val="clear" w:color="auto" w:fill="auto"/>
          </w:tcPr>
          <w:p w14:paraId="08B8C15C"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8 (7,3)</w:t>
            </w:r>
          </w:p>
        </w:tc>
        <w:tc>
          <w:tcPr>
            <w:tcW w:w="2392" w:type="dxa"/>
            <w:shd w:val="clear" w:color="auto" w:fill="auto"/>
          </w:tcPr>
          <w:p w14:paraId="32DE934E"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18 (16,7)</w:t>
            </w:r>
            <w:r w:rsidRPr="004F5FB4">
              <w:rPr>
                <w:rFonts w:ascii="Times New Roman" w:hAnsi="Times New Roman"/>
                <w:color w:val="000000"/>
                <w:vertAlign w:val="superscript"/>
              </w:rPr>
              <w:t>c,d</w:t>
            </w:r>
          </w:p>
        </w:tc>
      </w:tr>
      <w:tr w:rsidR="00DD002D" w:rsidRPr="004F5FB4" w14:paraId="334D560B" w14:textId="77777777" w:rsidTr="00081A6C">
        <w:tc>
          <w:tcPr>
            <w:tcW w:w="2128" w:type="dxa"/>
            <w:tcBorders>
              <w:bottom w:val="single" w:sz="4" w:space="0" w:color="auto"/>
            </w:tcBorders>
            <w:shd w:val="clear" w:color="auto" w:fill="auto"/>
          </w:tcPr>
          <w:p w14:paraId="069FCA16" w14:textId="77777777" w:rsidR="00DD002D" w:rsidRPr="004F5FB4" w:rsidRDefault="00DD002D" w:rsidP="00AA5839">
            <w:pPr>
              <w:pStyle w:val="TableParagraph"/>
              <w:keepNext/>
              <w:keepLines/>
              <w:widowControl/>
              <w:kinsoku w:val="0"/>
              <w:overflowPunct w:val="0"/>
              <w:spacing w:line="251" w:lineRule="exact"/>
              <w:rPr>
                <w:rFonts w:ascii="Times New Roman" w:hAnsi="Times New Roman"/>
                <w:color w:val="000000"/>
              </w:rPr>
            </w:pPr>
            <w:r w:rsidRPr="004F5FB4">
              <w:rPr>
                <w:rFonts w:ascii="Times New Roman" w:hAnsi="Times New Roman"/>
                <w:bCs/>
                <w:color w:val="000000"/>
              </w:rPr>
              <w:t>PGA:</w:t>
            </w:r>
          </w:p>
          <w:p w14:paraId="3B185B40" w14:textId="77777777" w:rsidR="00DD002D" w:rsidRPr="004F5FB4" w:rsidRDefault="00DD002D" w:rsidP="00AA5839">
            <w:pPr>
              <w:pStyle w:val="TableParagraph"/>
              <w:keepNext/>
              <w:keepLines/>
              <w:widowControl/>
              <w:kinsoku w:val="0"/>
              <w:overflowPunct w:val="0"/>
              <w:rPr>
                <w:rFonts w:ascii="Times New Roman" w:hAnsi="Times New Roman"/>
                <w:color w:val="000000"/>
              </w:rPr>
            </w:pPr>
            <w:r w:rsidRPr="004F5FB4">
              <w:rPr>
                <w:rFonts w:ascii="Times New Roman" w:hAnsi="Times New Roman"/>
                <w:bCs/>
                <w:color w:val="000000"/>
              </w:rPr>
              <w:t>erscheinungsfrei/</w:t>
            </w:r>
            <w:r w:rsidR="00CF0485" w:rsidRPr="004F5FB4">
              <w:rPr>
                <w:rFonts w:ascii="Times New Roman" w:hAnsi="Times New Roman"/>
                <w:bCs/>
                <w:color w:val="000000"/>
              </w:rPr>
              <w:t xml:space="preserve"> </w:t>
            </w:r>
            <w:r w:rsidRPr="004F5FB4">
              <w:rPr>
                <w:rFonts w:ascii="Times New Roman" w:hAnsi="Times New Roman"/>
                <w:bCs/>
                <w:color w:val="000000"/>
              </w:rPr>
              <w:t>minimal</w:t>
            </w:r>
          </w:p>
        </w:tc>
        <w:tc>
          <w:tcPr>
            <w:tcW w:w="2391" w:type="dxa"/>
            <w:tcBorders>
              <w:bottom w:val="single" w:sz="4" w:space="0" w:color="auto"/>
            </w:tcBorders>
            <w:shd w:val="clear" w:color="auto" w:fill="auto"/>
          </w:tcPr>
          <w:p w14:paraId="30717500"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6 (11,3)</w:t>
            </w:r>
          </w:p>
        </w:tc>
        <w:tc>
          <w:tcPr>
            <w:tcW w:w="2392" w:type="dxa"/>
            <w:tcBorders>
              <w:bottom w:val="single" w:sz="4" w:space="0" w:color="auto"/>
            </w:tcBorders>
            <w:shd w:val="clear" w:color="auto" w:fill="auto"/>
          </w:tcPr>
          <w:p w14:paraId="0BA2572C"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33 (30,0)</w:t>
            </w:r>
          </w:p>
        </w:tc>
        <w:tc>
          <w:tcPr>
            <w:tcW w:w="2392" w:type="dxa"/>
            <w:tcBorders>
              <w:bottom w:val="single" w:sz="4" w:space="0" w:color="auto"/>
            </w:tcBorders>
            <w:shd w:val="clear" w:color="auto" w:fill="auto"/>
          </w:tcPr>
          <w:p w14:paraId="6DF6E21D"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79 (73,1)</w:t>
            </w:r>
            <w:r w:rsidRPr="004F5FB4">
              <w:rPr>
                <w:rFonts w:ascii="Times New Roman" w:hAnsi="Times New Roman"/>
                <w:color w:val="000000"/>
                <w:vertAlign w:val="superscript"/>
              </w:rPr>
              <w:t>a,b</w:t>
            </w:r>
          </w:p>
        </w:tc>
      </w:tr>
      <w:tr w:rsidR="00081A6C" w:rsidRPr="005B2296" w14:paraId="64C9E0CF" w14:textId="77777777" w:rsidTr="00081A6C">
        <w:tc>
          <w:tcPr>
            <w:tcW w:w="9303" w:type="dxa"/>
            <w:gridSpan w:val="4"/>
            <w:tcBorders>
              <w:left w:val="nil"/>
              <w:bottom w:val="nil"/>
              <w:right w:val="nil"/>
            </w:tcBorders>
            <w:shd w:val="clear" w:color="auto" w:fill="auto"/>
          </w:tcPr>
          <w:p w14:paraId="38EA9FDD" w14:textId="77777777" w:rsidR="00081A6C" w:rsidRPr="00CB30D8" w:rsidRDefault="00081A6C" w:rsidP="00081A6C">
            <w:pPr>
              <w:pStyle w:val="BodyText"/>
              <w:keepNext/>
              <w:keepLines/>
              <w:widowControl/>
              <w:kinsoku w:val="0"/>
              <w:overflowPunct w:val="0"/>
              <w:ind w:left="270" w:hanging="270"/>
              <w:rPr>
                <w:color w:val="000000"/>
                <w:sz w:val="20"/>
              </w:rPr>
            </w:pPr>
            <w:r w:rsidRPr="00CB30D8">
              <w:rPr>
                <w:color w:val="000000"/>
                <w:sz w:val="20"/>
                <w:vertAlign w:val="superscript"/>
              </w:rPr>
              <w:t>a</w:t>
            </w:r>
            <w:r w:rsidRPr="00CB30D8">
              <w:rPr>
                <w:color w:val="000000"/>
                <w:sz w:val="20"/>
              </w:rPr>
              <w:t xml:space="preserve"> </w:t>
            </w:r>
            <w:r w:rsidRPr="00CB30D8">
              <w:rPr>
                <w:color w:val="000000"/>
                <w:sz w:val="20"/>
              </w:rPr>
              <w:tab/>
              <w:t xml:space="preserve">p &lt; 0,001 Adalimumab </w:t>
            </w:r>
            <w:r w:rsidRPr="00CB30D8">
              <w:rPr>
                <w:i/>
                <w:color w:val="000000"/>
                <w:sz w:val="20"/>
              </w:rPr>
              <w:t>vs.</w:t>
            </w:r>
            <w:r w:rsidRPr="00CB30D8">
              <w:rPr>
                <w:color w:val="000000"/>
                <w:sz w:val="20"/>
              </w:rPr>
              <w:t xml:space="preserve"> Placebo</w:t>
            </w:r>
          </w:p>
          <w:p w14:paraId="1C03C026" w14:textId="77777777" w:rsidR="00081A6C" w:rsidRPr="00CB30D8" w:rsidRDefault="00081A6C" w:rsidP="00081A6C">
            <w:pPr>
              <w:pStyle w:val="BodyText"/>
              <w:keepNext/>
              <w:keepLines/>
              <w:widowControl/>
              <w:kinsoku w:val="0"/>
              <w:overflowPunct w:val="0"/>
              <w:ind w:left="270" w:hanging="270"/>
              <w:rPr>
                <w:color w:val="000000"/>
                <w:sz w:val="20"/>
              </w:rPr>
            </w:pPr>
            <w:r w:rsidRPr="00CB30D8">
              <w:rPr>
                <w:color w:val="000000"/>
                <w:sz w:val="20"/>
                <w:vertAlign w:val="superscript"/>
              </w:rPr>
              <w:t>b</w:t>
            </w:r>
            <w:r w:rsidRPr="00CB30D8">
              <w:rPr>
                <w:color w:val="000000"/>
                <w:sz w:val="20"/>
              </w:rPr>
              <w:t xml:space="preserve"> </w:t>
            </w:r>
            <w:r w:rsidRPr="00CB30D8">
              <w:rPr>
                <w:color w:val="000000"/>
                <w:sz w:val="20"/>
              </w:rPr>
              <w:tab/>
              <w:t xml:space="preserve">p &lt; 0,001 Adalimumab </w:t>
            </w:r>
            <w:r w:rsidRPr="00CB30D8">
              <w:rPr>
                <w:i/>
                <w:color w:val="000000"/>
                <w:sz w:val="20"/>
              </w:rPr>
              <w:t>vs.</w:t>
            </w:r>
            <w:r w:rsidRPr="00CB30D8">
              <w:rPr>
                <w:color w:val="000000"/>
                <w:sz w:val="20"/>
              </w:rPr>
              <w:t xml:space="preserve"> Methotrexat</w:t>
            </w:r>
          </w:p>
          <w:p w14:paraId="56EF23A2" w14:textId="77777777" w:rsidR="00081A6C" w:rsidRPr="00EC03BF" w:rsidRDefault="00081A6C" w:rsidP="00081A6C">
            <w:pPr>
              <w:pStyle w:val="BodyText"/>
              <w:keepNext/>
              <w:keepLines/>
              <w:widowControl/>
              <w:kinsoku w:val="0"/>
              <w:overflowPunct w:val="0"/>
              <w:ind w:left="270" w:hanging="270"/>
              <w:rPr>
                <w:color w:val="000000"/>
                <w:sz w:val="20"/>
              </w:rPr>
            </w:pPr>
            <w:r w:rsidRPr="00EC03BF">
              <w:rPr>
                <w:color w:val="000000"/>
                <w:sz w:val="20"/>
                <w:vertAlign w:val="superscript"/>
              </w:rPr>
              <w:t>c</w:t>
            </w:r>
            <w:r w:rsidRPr="00EC03BF">
              <w:rPr>
                <w:color w:val="000000"/>
                <w:sz w:val="20"/>
              </w:rPr>
              <w:t xml:space="preserve"> </w:t>
            </w:r>
            <w:r w:rsidRPr="00EC03BF">
              <w:rPr>
                <w:color w:val="000000"/>
                <w:sz w:val="20"/>
              </w:rPr>
              <w:tab/>
              <w:t xml:space="preserve">p &lt; 0,01 Adalimumab </w:t>
            </w:r>
            <w:r w:rsidRPr="00EC03BF">
              <w:rPr>
                <w:i/>
                <w:color w:val="000000"/>
                <w:sz w:val="20"/>
              </w:rPr>
              <w:t>vs.</w:t>
            </w:r>
            <w:r w:rsidRPr="00EC03BF">
              <w:rPr>
                <w:color w:val="000000"/>
                <w:sz w:val="20"/>
              </w:rPr>
              <w:t xml:space="preserve"> Placebo</w:t>
            </w:r>
          </w:p>
          <w:p w14:paraId="2F36CFAD" w14:textId="77777777" w:rsidR="00081A6C" w:rsidRPr="00EC03BF" w:rsidRDefault="00081A6C" w:rsidP="00081A6C">
            <w:pPr>
              <w:pStyle w:val="BodyText"/>
              <w:widowControl/>
              <w:kinsoku w:val="0"/>
              <w:overflowPunct w:val="0"/>
              <w:ind w:left="270" w:hanging="270"/>
              <w:rPr>
                <w:color w:val="000000"/>
                <w:sz w:val="20"/>
              </w:rPr>
            </w:pPr>
            <w:r w:rsidRPr="00EC03BF">
              <w:rPr>
                <w:color w:val="000000"/>
                <w:sz w:val="20"/>
                <w:vertAlign w:val="superscript"/>
              </w:rPr>
              <w:t>d</w:t>
            </w:r>
            <w:r w:rsidRPr="00EC03BF">
              <w:rPr>
                <w:color w:val="000000"/>
                <w:sz w:val="20"/>
              </w:rPr>
              <w:t xml:space="preserve"> </w:t>
            </w:r>
            <w:r w:rsidRPr="00EC03BF">
              <w:rPr>
                <w:color w:val="000000"/>
                <w:sz w:val="20"/>
              </w:rPr>
              <w:tab/>
              <w:t xml:space="preserve">p &lt; 0,05 Adalimumab </w:t>
            </w:r>
            <w:r w:rsidRPr="00EC03BF">
              <w:rPr>
                <w:i/>
                <w:color w:val="000000"/>
                <w:sz w:val="20"/>
              </w:rPr>
              <w:t>vs.</w:t>
            </w:r>
            <w:r w:rsidRPr="00EC03BF">
              <w:rPr>
                <w:color w:val="000000"/>
                <w:sz w:val="20"/>
              </w:rPr>
              <w:t xml:space="preserve"> Methotrexat</w:t>
            </w:r>
          </w:p>
        </w:tc>
      </w:tr>
    </w:tbl>
    <w:p w14:paraId="2FC2518C" w14:textId="77777777" w:rsidR="00DD002D" w:rsidRPr="00EC03BF" w:rsidRDefault="00DD002D" w:rsidP="00982118">
      <w:pPr>
        <w:rPr>
          <w:color w:val="000000"/>
        </w:rPr>
      </w:pPr>
    </w:p>
    <w:p w14:paraId="4CBF345C" w14:textId="77777777" w:rsidR="00C46587" w:rsidRPr="004F5FB4" w:rsidRDefault="00C46587" w:rsidP="00982118">
      <w:pPr>
        <w:rPr>
          <w:color w:val="000000"/>
        </w:rPr>
      </w:pPr>
      <w:r w:rsidRPr="004F5FB4">
        <w:rPr>
          <w:color w:val="000000"/>
        </w:rPr>
        <w:lastRenderedPageBreak/>
        <w:t>In der Psoriasis</w:t>
      </w:r>
      <w:r w:rsidR="00CF0485" w:rsidRPr="004F5FB4">
        <w:rPr>
          <w:color w:val="000000"/>
        </w:rPr>
        <w:t>-S</w:t>
      </w:r>
      <w:r w:rsidRPr="004F5FB4">
        <w:rPr>
          <w:color w:val="000000"/>
        </w:rPr>
        <w:t>tudie</w:t>
      </w:r>
      <w:r w:rsidR="00CF0485" w:rsidRPr="004F5FB4">
        <w:rPr>
          <w:color w:val="000000"/>
        </w:rPr>
        <w:t> </w:t>
      </w:r>
      <w:r w:rsidRPr="004F5FB4">
        <w:rPr>
          <w:color w:val="000000"/>
        </w:rPr>
        <w:t>I erfuhren 28 % der Patienten, die ein PASI-75-Ansprechen gezeigt hatten und in Woche</w:t>
      </w:r>
      <w:r w:rsidR="00CF0485" w:rsidRPr="004F5FB4">
        <w:rPr>
          <w:color w:val="000000"/>
        </w:rPr>
        <w:t> </w:t>
      </w:r>
      <w:r w:rsidRPr="004F5FB4">
        <w:rPr>
          <w:color w:val="000000"/>
        </w:rPr>
        <w:t>33 bei der erneuten Randomisierung der Placebogruppe zugeteilt worden waren, einen „Verlust des adäquaten Ansprechens</w:t>
      </w:r>
      <w:r w:rsidR="00EB309E" w:rsidRPr="004F5FB4">
        <w:rPr>
          <w:color w:val="000000"/>
        </w:rPr>
        <w:t>“</w:t>
      </w:r>
      <w:r w:rsidRPr="004F5FB4">
        <w:rPr>
          <w:color w:val="000000"/>
        </w:rPr>
        <w:t xml:space="preserve"> (PASI-Wert nach Woche</w:t>
      </w:r>
      <w:r w:rsidR="00CF0485" w:rsidRPr="004F5FB4">
        <w:rPr>
          <w:color w:val="000000"/>
        </w:rPr>
        <w:t> </w:t>
      </w:r>
      <w:r w:rsidRPr="004F5FB4">
        <w:rPr>
          <w:color w:val="000000"/>
        </w:rPr>
        <w:t>33 bzw. in oder vor Woche</w:t>
      </w:r>
      <w:r w:rsidR="00CF0485" w:rsidRPr="004F5FB4">
        <w:rPr>
          <w:color w:val="000000"/>
        </w:rPr>
        <w:t> </w:t>
      </w:r>
      <w:r w:rsidRPr="004F5FB4">
        <w:rPr>
          <w:color w:val="000000"/>
        </w:rPr>
        <w:t>52, der im Vergleich zum Studienbeginn zu einem geringeren Ansprechen als PASI-50 führte bei einer gleichzeitigen Zunahme des PASI-Wertes um mindestens 6</w:t>
      </w:r>
      <w:r w:rsidR="00CF0485" w:rsidRPr="004F5FB4">
        <w:rPr>
          <w:color w:val="000000"/>
        </w:rPr>
        <w:t> </w:t>
      </w:r>
      <w:r w:rsidRPr="004F5FB4">
        <w:rPr>
          <w:color w:val="000000"/>
        </w:rPr>
        <w:t>Punkte im Vergleich zu Woche</w:t>
      </w:r>
      <w:r w:rsidR="00CF0485" w:rsidRPr="004F5FB4">
        <w:rPr>
          <w:color w:val="000000"/>
        </w:rPr>
        <w:t> </w:t>
      </w:r>
      <w:r w:rsidRPr="004F5FB4">
        <w:rPr>
          <w:color w:val="000000"/>
        </w:rPr>
        <w:t>33). Im Vergleich dazu erfuhren 5 % der Patienten, die weiterhin Adalimumab erhielten (p</w:t>
      </w:r>
      <w:r w:rsidR="00CF0485" w:rsidRPr="004F5FB4">
        <w:rPr>
          <w:color w:val="000000"/>
        </w:rPr>
        <w:t> </w:t>
      </w:r>
      <w:r w:rsidRPr="004F5FB4">
        <w:rPr>
          <w:color w:val="000000"/>
        </w:rPr>
        <w:t>&lt;</w:t>
      </w:r>
      <w:r w:rsidR="00CF0485" w:rsidRPr="004F5FB4">
        <w:rPr>
          <w:color w:val="000000"/>
        </w:rPr>
        <w:t> </w:t>
      </w:r>
      <w:r w:rsidRPr="004F5FB4">
        <w:rPr>
          <w:color w:val="000000"/>
        </w:rPr>
        <w:t>0,001), einen „Verlust des adäquaten Ansprechens</w:t>
      </w:r>
      <w:r w:rsidR="00EB309E" w:rsidRPr="004F5FB4">
        <w:rPr>
          <w:color w:val="000000"/>
        </w:rPr>
        <w:t>“</w:t>
      </w:r>
      <w:r w:rsidRPr="004F5FB4">
        <w:rPr>
          <w:color w:val="000000"/>
        </w:rPr>
        <w:t xml:space="preserve">. Von den Patienten, welche nach der erneuten Randomisierung auf Placebo einen Verlust des adäquaten Ansprechens zeigten und anschließend in die offene </w:t>
      </w:r>
      <w:r w:rsidR="00B27BC8" w:rsidRPr="004F5FB4">
        <w:rPr>
          <w:color w:val="000000"/>
        </w:rPr>
        <w:t>Fortsetz</w:t>
      </w:r>
      <w:r w:rsidRPr="004F5FB4">
        <w:rPr>
          <w:color w:val="000000"/>
        </w:rPr>
        <w:t>ungsstudie eingeschlossen wurden, erzielten 38</w:t>
      </w:r>
      <w:r w:rsidR="00CF0485" w:rsidRPr="004F5FB4">
        <w:rPr>
          <w:color w:val="000000"/>
        </w:rPr>
        <w:t> </w:t>
      </w:r>
      <w:r w:rsidRPr="004F5FB4">
        <w:rPr>
          <w:color w:val="000000"/>
        </w:rPr>
        <w:t>% (25/66) bzw. 55</w:t>
      </w:r>
      <w:r w:rsidR="00CF0485" w:rsidRPr="004F5FB4">
        <w:rPr>
          <w:color w:val="000000"/>
        </w:rPr>
        <w:t> </w:t>
      </w:r>
      <w:r w:rsidRPr="004F5FB4">
        <w:rPr>
          <w:color w:val="000000"/>
        </w:rPr>
        <w:t>% (36/66) nach 12 bzw. 24</w:t>
      </w:r>
      <w:r w:rsidR="00787A91" w:rsidRPr="004F5FB4">
        <w:rPr>
          <w:color w:val="000000"/>
        </w:rPr>
        <w:t> </w:t>
      </w:r>
      <w:r w:rsidRPr="004F5FB4">
        <w:rPr>
          <w:color w:val="000000"/>
        </w:rPr>
        <w:t>Wochen aktiver Therapie wieder ein PASI-75-Ansprechen.</w:t>
      </w:r>
    </w:p>
    <w:p w14:paraId="5E4898B8" w14:textId="77777777" w:rsidR="00C46587" w:rsidRPr="004F5FB4" w:rsidRDefault="00C46587" w:rsidP="00982118">
      <w:pPr>
        <w:rPr>
          <w:color w:val="000000"/>
        </w:rPr>
      </w:pPr>
    </w:p>
    <w:p w14:paraId="2217A8E2" w14:textId="77777777" w:rsidR="00C46587" w:rsidRPr="004F5FB4" w:rsidRDefault="00C46587" w:rsidP="00982118">
      <w:pPr>
        <w:rPr>
          <w:color w:val="000000"/>
        </w:rPr>
      </w:pPr>
      <w:r w:rsidRPr="004F5FB4">
        <w:rPr>
          <w:color w:val="000000"/>
        </w:rPr>
        <w:t>Insgesamt 233 Patienten, die ein PASI-75-Ansprechen in Woche</w:t>
      </w:r>
      <w:r w:rsidR="00CF0485" w:rsidRPr="004F5FB4">
        <w:rPr>
          <w:color w:val="000000"/>
        </w:rPr>
        <w:t> </w:t>
      </w:r>
      <w:r w:rsidRPr="004F5FB4">
        <w:rPr>
          <w:color w:val="000000"/>
        </w:rPr>
        <w:t>16 und Woche</w:t>
      </w:r>
      <w:r w:rsidR="00CF0485" w:rsidRPr="004F5FB4">
        <w:rPr>
          <w:color w:val="000000"/>
        </w:rPr>
        <w:t> </w:t>
      </w:r>
      <w:r w:rsidRPr="004F5FB4">
        <w:rPr>
          <w:color w:val="000000"/>
        </w:rPr>
        <w:t>33 gezeigt hatten, erhielten in der Psoriasis</w:t>
      </w:r>
      <w:r w:rsidR="00CF0485" w:rsidRPr="004F5FB4">
        <w:rPr>
          <w:color w:val="000000"/>
        </w:rPr>
        <w:t>-S</w:t>
      </w:r>
      <w:r w:rsidRPr="004F5FB4">
        <w:rPr>
          <w:color w:val="000000"/>
        </w:rPr>
        <w:t>tudie</w:t>
      </w:r>
      <w:r w:rsidR="00CF0485" w:rsidRPr="004F5FB4">
        <w:rPr>
          <w:color w:val="000000"/>
        </w:rPr>
        <w:t> </w:t>
      </w:r>
      <w:r w:rsidRPr="004F5FB4">
        <w:rPr>
          <w:color w:val="000000"/>
        </w:rPr>
        <w:t>I für 52</w:t>
      </w:r>
      <w:r w:rsidR="00CF0485" w:rsidRPr="004F5FB4">
        <w:rPr>
          <w:color w:val="000000"/>
        </w:rPr>
        <w:t> </w:t>
      </w:r>
      <w:r w:rsidRPr="004F5FB4">
        <w:rPr>
          <w:color w:val="000000"/>
        </w:rPr>
        <w:t xml:space="preserve">Wochen eine Adalimumab-Dauertherapie und wurden mit Adalimumab in der offenen </w:t>
      </w:r>
      <w:r w:rsidR="00B27BC8" w:rsidRPr="004F5FB4">
        <w:rPr>
          <w:color w:val="000000"/>
        </w:rPr>
        <w:t>Fortsetz</w:t>
      </w:r>
      <w:r w:rsidRPr="004F5FB4">
        <w:rPr>
          <w:color w:val="000000"/>
        </w:rPr>
        <w:t>ungsstudie weiterbehandelt. Das PASI-75-Ansprechen bzw. das PGA-Ansprechen, definiert als PGA „erscheinungsfrei“ oder „minimal“, war bei diesen Patienten nach weiteren 108</w:t>
      </w:r>
      <w:r w:rsidR="00F811FC" w:rsidRPr="004F5FB4">
        <w:rPr>
          <w:color w:val="000000"/>
        </w:rPr>
        <w:t> </w:t>
      </w:r>
      <w:r w:rsidRPr="004F5FB4">
        <w:rPr>
          <w:color w:val="000000"/>
        </w:rPr>
        <w:t>offenen Behandlungswochen (insgesamt 160</w:t>
      </w:r>
      <w:r w:rsidR="00CF0485" w:rsidRPr="004F5FB4">
        <w:rPr>
          <w:color w:val="000000"/>
        </w:rPr>
        <w:t> </w:t>
      </w:r>
      <w:r w:rsidRPr="004F5FB4">
        <w:rPr>
          <w:color w:val="000000"/>
        </w:rPr>
        <w:t>Wochen) 74,7</w:t>
      </w:r>
      <w:r w:rsidR="00CF0485" w:rsidRPr="004F5FB4">
        <w:rPr>
          <w:color w:val="000000"/>
        </w:rPr>
        <w:t> </w:t>
      </w:r>
      <w:r w:rsidRPr="004F5FB4">
        <w:rPr>
          <w:color w:val="000000"/>
        </w:rPr>
        <w:t>% bzw. 59,0</w:t>
      </w:r>
      <w:r w:rsidR="00CF0485" w:rsidRPr="004F5FB4">
        <w:rPr>
          <w:color w:val="000000"/>
        </w:rPr>
        <w:t> </w:t>
      </w:r>
      <w:r w:rsidRPr="004F5FB4">
        <w:rPr>
          <w:color w:val="000000"/>
        </w:rPr>
        <w:t>%. In einer Non-Responder-Imputation(NRI)-Analyse, in der alle Patienten als Non-Responder 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w:t>
      </w:r>
      <w:r w:rsidR="00CF0485" w:rsidRPr="004F5FB4">
        <w:rPr>
          <w:color w:val="000000"/>
        </w:rPr>
        <w:t> </w:t>
      </w:r>
      <w:r w:rsidRPr="004F5FB4">
        <w:rPr>
          <w:color w:val="000000"/>
        </w:rPr>
        <w:t xml:space="preserve">Wochen der offenen </w:t>
      </w:r>
      <w:r w:rsidR="00B27BC8" w:rsidRPr="004F5FB4">
        <w:rPr>
          <w:color w:val="000000"/>
        </w:rPr>
        <w:t>Fortsetzungsb</w:t>
      </w:r>
      <w:r w:rsidRPr="004F5FB4">
        <w:rPr>
          <w:color w:val="000000"/>
        </w:rPr>
        <w:t>ehandlung (insgesamt 160</w:t>
      </w:r>
      <w:r w:rsidR="00CF0485" w:rsidRPr="004F5FB4">
        <w:rPr>
          <w:color w:val="000000"/>
        </w:rPr>
        <w:t> </w:t>
      </w:r>
      <w:r w:rsidRPr="004F5FB4">
        <w:rPr>
          <w:color w:val="000000"/>
        </w:rPr>
        <w:t>Wochen) 69,6</w:t>
      </w:r>
      <w:r w:rsidR="00CF0485" w:rsidRPr="004F5FB4">
        <w:rPr>
          <w:color w:val="000000"/>
        </w:rPr>
        <w:t> </w:t>
      </w:r>
      <w:r w:rsidRPr="004F5FB4">
        <w:rPr>
          <w:color w:val="000000"/>
        </w:rPr>
        <w:t>% bzw. 55,7</w:t>
      </w:r>
      <w:r w:rsidR="00CF0485" w:rsidRPr="004F5FB4">
        <w:rPr>
          <w:color w:val="000000"/>
        </w:rPr>
        <w:t> </w:t>
      </w:r>
      <w:r w:rsidRPr="004F5FB4">
        <w:rPr>
          <w:color w:val="000000"/>
        </w:rPr>
        <w:t>%.</w:t>
      </w:r>
    </w:p>
    <w:p w14:paraId="00B69802" w14:textId="77777777" w:rsidR="00C46587" w:rsidRPr="004F5FB4" w:rsidRDefault="00C46587" w:rsidP="00982118">
      <w:pPr>
        <w:rPr>
          <w:color w:val="000000"/>
        </w:rPr>
      </w:pPr>
    </w:p>
    <w:p w14:paraId="77F23726" w14:textId="77777777" w:rsidR="00C46587" w:rsidRPr="004F5FB4" w:rsidRDefault="00C46587" w:rsidP="00982118">
      <w:pPr>
        <w:rPr>
          <w:color w:val="000000"/>
        </w:rPr>
      </w:pPr>
      <w:r w:rsidRPr="004F5FB4">
        <w:rPr>
          <w:color w:val="000000"/>
        </w:rPr>
        <w:t>Insgesamt 347</w:t>
      </w:r>
      <w:r w:rsidR="00CF0485" w:rsidRPr="004F5FB4">
        <w:rPr>
          <w:color w:val="000000"/>
        </w:rPr>
        <w:t> </w:t>
      </w:r>
      <w:r w:rsidRPr="004F5FB4">
        <w:rPr>
          <w:color w:val="000000"/>
        </w:rPr>
        <w:t xml:space="preserve">Patienten, die dauerhaft ansprachen, nahmen an einer Analyse einer Behandlungsunterbrechung und -wiederaufnahme in einer offenen </w:t>
      </w:r>
      <w:r w:rsidR="00B27BC8" w:rsidRPr="004F5FB4">
        <w:rPr>
          <w:color w:val="000000"/>
        </w:rPr>
        <w:t>Fortsetz</w:t>
      </w:r>
      <w:r w:rsidRPr="004F5FB4">
        <w:rPr>
          <w:color w:val="000000"/>
        </w:rPr>
        <w:t xml:space="preserve">ungsstudie teil. Während der Phase der Behandlungsunterbrechung kehrten die Psoriasissymptome im Verlauf der Zeit mit einer durchschnittlichen </w:t>
      </w:r>
      <w:r w:rsidR="00B27BC8" w:rsidRPr="004F5FB4">
        <w:rPr>
          <w:color w:val="000000"/>
        </w:rPr>
        <w:t>Rückfallz</w:t>
      </w:r>
      <w:r w:rsidRPr="004F5FB4">
        <w:rPr>
          <w:color w:val="000000"/>
        </w:rPr>
        <w:t>eit von etwa 5</w:t>
      </w:r>
      <w:r w:rsidR="00CF0485" w:rsidRPr="004F5FB4">
        <w:rPr>
          <w:color w:val="000000"/>
        </w:rPr>
        <w:t> </w:t>
      </w:r>
      <w:r w:rsidRPr="004F5FB4">
        <w:rPr>
          <w:color w:val="000000"/>
        </w:rPr>
        <w:t>Monaten zurück (Verminderung des PGA auf „mittelschwer“ oder schlechter). Keiner dieser Patienten erfuhr einen Rebound-Effekt während der Unterbrechungsphase. Insgesamt 76,5</w:t>
      </w:r>
      <w:r w:rsidR="00CF0485" w:rsidRPr="004F5FB4">
        <w:rPr>
          <w:color w:val="000000"/>
        </w:rPr>
        <w:t> </w:t>
      </w:r>
      <w:r w:rsidRPr="004F5FB4">
        <w:rPr>
          <w:color w:val="000000"/>
        </w:rPr>
        <w:t>% (218/285) der Patienten, die in die Phase eintraten, in der die Behandlung wiederaufgenommen wurde, hatten 16</w:t>
      </w:r>
      <w:r w:rsidR="00CF0485" w:rsidRPr="004F5FB4">
        <w:rPr>
          <w:color w:val="000000"/>
        </w:rPr>
        <w:t> </w:t>
      </w:r>
      <w:r w:rsidRPr="004F5FB4">
        <w:rPr>
          <w:color w:val="000000"/>
        </w:rPr>
        <w:t>Wochen nach Wiederaufnahme der Behandlung ein PGA-Ansprechen, definiert als PGA „erscheinungsfrei“ oder „minimal“, unabhängig davon, ob sie während des Absetzens einen Rückfall hatten (69,1</w:t>
      </w:r>
      <w:r w:rsidR="00CF0485" w:rsidRPr="004F5FB4">
        <w:rPr>
          <w:color w:val="000000"/>
        </w:rPr>
        <w:t> </w:t>
      </w:r>
      <w:r w:rsidRPr="004F5FB4">
        <w:rPr>
          <w:color w:val="000000"/>
        </w:rPr>
        <w:t>% [123/178] bzw. 88,8</w:t>
      </w:r>
      <w:r w:rsidR="00CF0485" w:rsidRPr="004F5FB4">
        <w:rPr>
          <w:color w:val="000000"/>
        </w:rPr>
        <w:t> </w:t>
      </w:r>
      <w:r w:rsidRPr="004F5FB4">
        <w:rPr>
          <w:color w:val="000000"/>
        </w:rPr>
        <w:t>% [95/107] für Patienten, die während der Phase der Behandlungsunterbrechung einen Rückfall erlitten bzw. keinen Rückfall hatten). Es wurde ein ähnliches Sicherheitsprofil in der Phase, in der die Behandlung wiederaufgenommen wurde, beobachtet wie vor der Behandlungsunterbrechung.</w:t>
      </w:r>
    </w:p>
    <w:p w14:paraId="223AB660" w14:textId="77777777" w:rsidR="00C46587" w:rsidRPr="004F5FB4" w:rsidRDefault="00C46587" w:rsidP="00982118">
      <w:pPr>
        <w:rPr>
          <w:color w:val="000000"/>
        </w:rPr>
      </w:pPr>
    </w:p>
    <w:p w14:paraId="417352C6" w14:textId="77777777" w:rsidR="00C46587" w:rsidRPr="004F5FB4" w:rsidRDefault="00C46587" w:rsidP="00982118">
      <w:pPr>
        <w:rPr>
          <w:color w:val="000000"/>
        </w:rPr>
      </w:pPr>
      <w:r w:rsidRPr="004F5FB4">
        <w:rPr>
          <w:color w:val="000000"/>
        </w:rPr>
        <w:t>Signifikante Verbesserungen des DLQI (Dermatology Life Quality Index) gegenüber dem Ausgangswert im Vergleich zu Placebo (Studien</w:t>
      </w:r>
      <w:r w:rsidR="00CF0485" w:rsidRPr="004F5FB4">
        <w:rPr>
          <w:color w:val="000000"/>
        </w:rPr>
        <w:t> </w:t>
      </w:r>
      <w:r w:rsidRPr="004F5FB4">
        <w:rPr>
          <w:color w:val="000000"/>
        </w:rPr>
        <w:t>I und II) und Methotrexat (Studie</w:t>
      </w:r>
      <w:r w:rsidR="00CF0485" w:rsidRPr="004F5FB4">
        <w:rPr>
          <w:color w:val="000000"/>
        </w:rPr>
        <w:t> </w:t>
      </w:r>
      <w:r w:rsidRPr="004F5FB4">
        <w:rPr>
          <w:color w:val="000000"/>
        </w:rPr>
        <w:t>II) wurden zu Woche</w:t>
      </w:r>
      <w:r w:rsidR="00CF0485" w:rsidRPr="004F5FB4">
        <w:rPr>
          <w:color w:val="000000"/>
        </w:rPr>
        <w:t> </w:t>
      </w:r>
      <w:r w:rsidRPr="004F5FB4">
        <w:rPr>
          <w:color w:val="000000"/>
        </w:rPr>
        <w:t>16 festgestellt. In Studie</w:t>
      </w:r>
      <w:r w:rsidR="00CF0485" w:rsidRPr="004F5FB4">
        <w:rPr>
          <w:color w:val="000000"/>
        </w:rPr>
        <w:t> </w:t>
      </w:r>
      <w:r w:rsidRPr="004F5FB4">
        <w:rPr>
          <w:color w:val="000000"/>
        </w:rPr>
        <w:t>I verbesserten sich die Summenwerte der körperlichen und mentalen SF</w:t>
      </w:r>
      <w:r w:rsidRPr="004F5FB4">
        <w:rPr>
          <w:color w:val="000000"/>
        </w:rPr>
        <w:noBreakHyphen/>
        <w:t>36-Komponenten im Vergleich zu Placebo ebenfalls signifikant.</w:t>
      </w:r>
    </w:p>
    <w:p w14:paraId="003B3DDD" w14:textId="77777777" w:rsidR="00C46587" w:rsidRPr="004F5FB4" w:rsidRDefault="00C46587" w:rsidP="00982118">
      <w:pPr>
        <w:rPr>
          <w:color w:val="000000"/>
        </w:rPr>
      </w:pPr>
    </w:p>
    <w:p w14:paraId="7BC10925" w14:textId="77777777" w:rsidR="00C46587" w:rsidRPr="004F5FB4" w:rsidRDefault="00C46587" w:rsidP="00982118">
      <w:pPr>
        <w:rPr>
          <w:color w:val="000000"/>
        </w:rPr>
      </w:pPr>
      <w:r w:rsidRPr="004F5FB4">
        <w:rPr>
          <w:color w:val="000000"/>
        </w:rPr>
        <w:t xml:space="preserve">In einer offenen </w:t>
      </w:r>
      <w:r w:rsidR="00B27BC8" w:rsidRPr="004F5FB4">
        <w:rPr>
          <w:color w:val="000000"/>
        </w:rPr>
        <w:t>Fortsetz</w:t>
      </w:r>
      <w:r w:rsidRPr="004F5FB4">
        <w:rPr>
          <w:color w:val="000000"/>
        </w:rPr>
        <w:t>ungsstudie mit Patienten, bei denen wegen eines PASI-Ansprechens von unter 50</w:t>
      </w:r>
      <w:r w:rsidR="00CF0485" w:rsidRPr="004F5FB4">
        <w:rPr>
          <w:color w:val="000000"/>
        </w:rPr>
        <w:t> </w:t>
      </w:r>
      <w:r w:rsidRPr="004F5FB4">
        <w:rPr>
          <w:color w:val="000000"/>
        </w:rPr>
        <w:t>% die Dosis von 40 mg jede zweite Woche auf 40 mg wöchentlich gesteigert wurde, erzielten 26,4</w:t>
      </w:r>
      <w:r w:rsidR="00CF0485" w:rsidRPr="004F5FB4">
        <w:rPr>
          <w:color w:val="000000"/>
        </w:rPr>
        <w:t> </w:t>
      </w:r>
      <w:r w:rsidRPr="004F5FB4">
        <w:rPr>
          <w:color w:val="000000"/>
        </w:rPr>
        <w:t>% (92/349) bzw. 37,8</w:t>
      </w:r>
      <w:r w:rsidR="00CF0485" w:rsidRPr="004F5FB4">
        <w:rPr>
          <w:color w:val="000000"/>
        </w:rPr>
        <w:t> </w:t>
      </w:r>
      <w:r w:rsidRPr="004F5FB4">
        <w:rPr>
          <w:color w:val="000000"/>
        </w:rPr>
        <w:t>% (132/349) der Patienten ein PASI-75-Ansprechen in Woche</w:t>
      </w:r>
      <w:r w:rsidR="00CF0485" w:rsidRPr="004F5FB4">
        <w:rPr>
          <w:color w:val="000000"/>
        </w:rPr>
        <w:t> </w:t>
      </w:r>
      <w:r w:rsidRPr="004F5FB4">
        <w:rPr>
          <w:color w:val="000000"/>
        </w:rPr>
        <w:t>12 bzw. 24.</w:t>
      </w:r>
    </w:p>
    <w:p w14:paraId="3788C3AF" w14:textId="77777777" w:rsidR="00C46587" w:rsidRPr="004F5FB4" w:rsidRDefault="00C46587" w:rsidP="00982118">
      <w:pPr>
        <w:rPr>
          <w:color w:val="000000"/>
        </w:rPr>
      </w:pPr>
    </w:p>
    <w:p w14:paraId="14C7E060" w14:textId="77777777" w:rsidR="00C46587" w:rsidRPr="004F5FB4" w:rsidRDefault="00F811FC" w:rsidP="00982118">
      <w:pPr>
        <w:rPr>
          <w:color w:val="000000"/>
        </w:rPr>
      </w:pPr>
      <w:r w:rsidRPr="004F5FB4">
        <w:rPr>
          <w:color w:val="000000"/>
        </w:rPr>
        <w:t xml:space="preserve">Die Psoriasis-Studie III (REACH) verglich die Wirksamkeit und Sicherheit von Adalimumab </w:t>
      </w:r>
      <w:r w:rsidRPr="004F5FB4">
        <w:rPr>
          <w:i/>
          <w:iCs/>
          <w:color w:val="000000"/>
        </w:rPr>
        <w:t>versus</w:t>
      </w:r>
      <w:r w:rsidRPr="004F5FB4">
        <w:rPr>
          <w:color w:val="000000"/>
        </w:rPr>
        <w:t xml:space="preserve"> Placebo an 72 Patienten mit mittelschwerer bis schwerer chronischer Plaque-Psoriasis und Hand- und/ oder Fußpsoriasis. Die Patienten erhielten 16 Wochen lang nach einer Anfangsdosis von 80 mg Adalimumab jede zweite Woche 40 mg Adalimumab (beginnend eine Woche nach der Anfangsdosis) oder Placebo. Zu Woche 16 erreichte ein statistisch signifikant größerer Anteil an Patienten, die Adalimumab erhielten, den PGA „erscheinungsfrei“ oder „fast erscheinungsfrei“ für die Hände und/ oder Füße im Vergleich zu Patienten, die Placebo erhielten (30,6 % </w:t>
      </w:r>
      <w:r w:rsidRPr="004F5FB4">
        <w:rPr>
          <w:i/>
          <w:iCs/>
          <w:color w:val="000000"/>
        </w:rPr>
        <w:t>versus</w:t>
      </w:r>
      <w:r w:rsidRPr="004F5FB4">
        <w:rPr>
          <w:color w:val="000000"/>
        </w:rPr>
        <w:t xml:space="preserve"> 4,3 % [p = 0,014]).</w:t>
      </w:r>
    </w:p>
    <w:p w14:paraId="52F78782" w14:textId="77777777" w:rsidR="00F811FC" w:rsidRPr="004F5FB4" w:rsidRDefault="00F811FC" w:rsidP="00982118">
      <w:pPr>
        <w:rPr>
          <w:color w:val="000000"/>
        </w:rPr>
      </w:pPr>
    </w:p>
    <w:p w14:paraId="7D166EC0" w14:textId="77777777" w:rsidR="00C46587" w:rsidRPr="004F5FB4" w:rsidRDefault="00C46587" w:rsidP="00982118">
      <w:pPr>
        <w:rPr>
          <w:color w:val="000000"/>
        </w:rPr>
      </w:pPr>
      <w:r w:rsidRPr="004F5FB4">
        <w:rPr>
          <w:color w:val="000000"/>
        </w:rPr>
        <w:t>Die Psoriasis</w:t>
      </w:r>
      <w:r w:rsidR="00CF0485" w:rsidRPr="004F5FB4">
        <w:rPr>
          <w:color w:val="000000"/>
        </w:rPr>
        <w:t>-S</w:t>
      </w:r>
      <w:r w:rsidRPr="004F5FB4">
        <w:rPr>
          <w:color w:val="000000"/>
        </w:rPr>
        <w:t>tudie</w:t>
      </w:r>
      <w:r w:rsidR="00F51CF0" w:rsidRPr="004F5FB4">
        <w:rPr>
          <w:color w:val="000000"/>
        </w:rPr>
        <w:t> </w:t>
      </w:r>
      <w:r w:rsidRPr="004F5FB4">
        <w:rPr>
          <w:color w:val="000000"/>
        </w:rPr>
        <w:t xml:space="preserve">IV verglich die Wirksamkeit und Sicherheit von Adalimumab </w:t>
      </w:r>
      <w:r w:rsidRPr="004F5FB4">
        <w:rPr>
          <w:i/>
          <w:iCs/>
          <w:color w:val="000000"/>
        </w:rPr>
        <w:t>versus</w:t>
      </w:r>
      <w:r w:rsidRPr="004F5FB4">
        <w:rPr>
          <w:color w:val="000000"/>
        </w:rPr>
        <w:t xml:space="preserve"> Placebo an 217</w:t>
      </w:r>
      <w:r w:rsidR="00CF0485" w:rsidRPr="004F5FB4">
        <w:rPr>
          <w:color w:val="000000"/>
        </w:rPr>
        <w:t> </w:t>
      </w:r>
      <w:r w:rsidRPr="004F5FB4">
        <w:rPr>
          <w:color w:val="000000"/>
        </w:rPr>
        <w:t>Erwachsenen mit mittelschwerer bis schwerer Nagelpsoriasis. Nach einer Anfangsdosis von 80 mg Adalimumab erhielten die Patienten 26</w:t>
      </w:r>
      <w:r w:rsidR="00CF0485" w:rsidRPr="004F5FB4">
        <w:rPr>
          <w:color w:val="000000"/>
        </w:rPr>
        <w:t> </w:t>
      </w:r>
      <w:r w:rsidRPr="004F5FB4">
        <w:rPr>
          <w:color w:val="000000"/>
        </w:rPr>
        <w:t>Wochen lang jede zweite Woche 40 mg Adalimumab (beginnend eine Woche nach der Anfangsdosis) oder Placebo. Im Anschluss erhielten sie über 26</w:t>
      </w:r>
      <w:r w:rsidR="00787A91" w:rsidRPr="004F5FB4">
        <w:rPr>
          <w:color w:val="000000"/>
        </w:rPr>
        <w:t> </w:t>
      </w:r>
      <w:r w:rsidRPr="004F5FB4">
        <w:rPr>
          <w:color w:val="000000"/>
        </w:rPr>
        <w:t xml:space="preserve">weitere Wochen eine offene Adalimumab-Behandlung. Die Nagelpsoriasis wurde anhand des </w:t>
      </w:r>
      <w:r w:rsidRPr="004F5FB4">
        <w:rPr>
          <w:color w:val="000000"/>
        </w:rPr>
        <w:lastRenderedPageBreak/>
        <w:t>Modified Nail Psoriasis Severity Index (mNAPSI), des Physician’s Global Assessment of Fingernail Psoriasis (PGA-F) und des Nail Psoriasis Severity Index (NAPSI) beurteilt (siehe Tabelle</w:t>
      </w:r>
      <w:r w:rsidR="00CF0485" w:rsidRPr="004F5FB4">
        <w:rPr>
          <w:color w:val="000000"/>
        </w:rPr>
        <w:t> </w:t>
      </w:r>
      <w:r w:rsidR="00DA4438">
        <w:rPr>
          <w:color w:val="000000"/>
        </w:rPr>
        <w:t>14</w:t>
      </w:r>
      <w:r w:rsidRPr="004F5FB4">
        <w:rPr>
          <w:color w:val="000000"/>
        </w:rPr>
        <w:t>). Adalimumab zeigte einen therapeutischen Nutzen bei Nagelpsoriasis-Patienten mit unterschiedlichem Ausmaß der Hautbeteiligung (KOF ≥</w:t>
      </w:r>
      <w:r w:rsidR="00CF0485" w:rsidRPr="004F5FB4">
        <w:rPr>
          <w:color w:val="000000"/>
        </w:rPr>
        <w:t> </w:t>
      </w:r>
      <w:r w:rsidRPr="004F5FB4">
        <w:rPr>
          <w:color w:val="000000"/>
        </w:rPr>
        <w:t>10</w:t>
      </w:r>
      <w:r w:rsidR="00CF0485" w:rsidRPr="004F5FB4">
        <w:rPr>
          <w:color w:val="000000"/>
        </w:rPr>
        <w:t> </w:t>
      </w:r>
      <w:r w:rsidRPr="004F5FB4">
        <w:rPr>
          <w:color w:val="000000"/>
        </w:rPr>
        <w:t xml:space="preserve">% </w:t>
      </w:r>
      <w:r w:rsidR="00B27BC8" w:rsidRPr="004F5FB4">
        <w:rPr>
          <w:color w:val="000000"/>
        </w:rPr>
        <w:t>[</w:t>
      </w:r>
      <w:r w:rsidRPr="004F5FB4">
        <w:rPr>
          <w:color w:val="000000"/>
        </w:rPr>
        <w:t>60</w:t>
      </w:r>
      <w:r w:rsidR="00CF0485" w:rsidRPr="004F5FB4">
        <w:rPr>
          <w:color w:val="000000"/>
        </w:rPr>
        <w:t> </w:t>
      </w:r>
      <w:r w:rsidRPr="004F5FB4">
        <w:rPr>
          <w:color w:val="000000"/>
        </w:rPr>
        <w:t>% der Patienten</w:t>
      </w:r>
      <w:r w:rsidR="00B27BC8" w:rsidRPr="004F5FB4">
        <w:rPr>
          <w:color w:val="000000"/>
        </w:rPr>
        <w:t>]</w:t>
      </w:r>
      <w:r w:rsidRPr="004F5FB4">
        <w:rPr>
          <w:color w:val="000000"/>
        </w:rPr>
        <w:t xml:space="preserve"> sowie KOF &lt;</w:t>
      </w:r>
      <w:r w:rsidR="00F51CF0" w:rsidRPr="004F5FB4">
        <w:rPr>
          <w:color w:val="000000"/>
        </w:rPr>
        <w:t> </w:t>
      </w:r>
      <w:r w:rsidRPr="004F5FB4">
        <w:rPr>
          <w:color w:val="000000"/>
        </w:rPr>
        <w:t>10</w:t>
      </w:r>
      <w:r w:rsidR="00F51CF0" w:rsidRPr="004F5FB4">
        <w:rPr>
          <w:color w:val="000000"/>
        </w:rPr>
        <w:t> </w:t>
      </w:r>
      <w:r w:rsidRPr="004F5FB4">
        <w:rPr>
          <w:color w:val="000000"/>
        </w:rPr>
        <w:t>% und ≥</w:t>
      </w:r>
      <w:r w:rsidR="00F51CF0" w:rsidRPr="004F5FB4">
        <w:rPr>
          <w:color w:val="000000"/>
        </w:rPr>
        <w:t> </w:t>
      </w:r>
      <w:r w:rsidRPr="004F5FB4">
        <w:rPr>
          <w:color w:val="000000"/>
        </w:rPr>
        <w:t>5</w:t>
      </w:r>
      <w:r w:rsidR="00F51CF0" w:rsidRPr="004F5FB4">
        <w:rPr>
          <w:color w:val="000000"/>
        </w:rPr>
        <w:t> </w:t>
      </w:r>
      <w:r w:rsidRPr="004F5FB4">
        <w:rPr>
          <w:color w:val="000000"/>
        </w:rPr>
        <w:t xml:space="preserve">% </w:t>
      </w:r>
      <w:r w:rsidR="00B27BC8" w:rsidRPr="004F5FB4">
        <w:rPr>
          <w:color w:val="000000"/>
        </w:rPr>
        <w:t>[</w:t>
      </w:r>
      <w:r w:rsidRPr="004F5FB4">
        <w:rPr>
          <w:color w:val="000000"/>
        </w:rPr>
        <w:t>40</w:t>
      </w:r>
      <w:r w:rsidR="00F51CF0" w:rsidRPr="004F5FB4">
        <w:rPr>
          <w:color w:val="000000"/>
        </w:rPr>
        <w:t> </w:t>
      </w:r>
      <w:r w:rsidRPr="004F5FB4">
        <w:rPr>
          <w:color w:val="000000"/>
        </w:rPr>
        <w:t>% der Patienten</w:t>
      </w:r>
      <w:r w:rsidR="00B27BC8" w:rsidRPr="004F5FB4">
        <w:rPr>
          <w:color w:val="000000"/>
        </w:rPr>
        <w:t>]</w:t>
      </w:r>
      <w:r w:rsidRPr="004F5FB4">
        <w:rPr>
          <w:color w:val="000000"/>
        </w:rPr>
        <w:t>).</w:t>
      </w:r>
    </w:p>
    <w:p w14:paraId="60A3A480" w14:textId="77777777" w:rsidR="00C46587" w:rsidRPr="004F5FB4" w:rsidRDefault="00C46587" w:rsidP="00982118">
      <w:pPr>
        <w:rPr>
          <w:color w:val="000000"/>
        </w:rPr>
      </w:pPr>
    </w:p>
    <w:p w14:paraId="00EA99F2" w14:textId="77777777" w:rsidR="00534661" w:rsidRPr="00CA7719" w:rsidRDefault="00F811FC" w:rsidP="00CA7719">
      <w:pPr>
        <w:pStyle w:val="BodyText"/>
        <w:widowControl/>
        <w:kinsoku w:val="0"/>
        <w:overflowPunct w:val="0"/>
        <w:ind w:left="0"/>
        <w:rPr>
          <w:b/>
          <w:color w:val="000000"/>
        </w:rPr>
      </w:pPr>
      <w:r w:rsidRPr="00CA7719">
        <w:rPr>
          <w:b/>
          <w:color w:val="000000"/>
        </w:rPr>
        <w:t>Tabelle </w:t>
      </w:r>
      <w:r w:rsidR="00DA4438">
        <w:rPr>
          <w:b/>
          <w:color w:val="000000"/>
        </w:rPr>
        <w:t>14</w:t>
      </w:r>
    </w:p>
    <w:p w14:paraId="43208B6A" w14:textId="77777777" w:rsidR="00F811FC" w:rsidRPr="00CA7719" w:rsidRDefault="00F811FC" w:rsidP="00CA7719">
      <w:pPr>
        <w:pStyle w:val="BodyText"/>
        <w:widowControl/>
        <w:kinsoku w:val="0"/>
        <w:overflowPunct w:val="0"/>
        <w:ind w:left="0"/>
        <w:rPr>
          <w:b/>
          <w:color w:val="000000"/>
        </w:rPr>
      </w:pPr>
      <w:r w:rsidRPr="00CA7719">
        <w:rPr>
          <w:b/>
          <w:color w:val="000000"/>
        </w:rPr>
        <w:t>Ergebnisse zur Wirksamkeit in der Psoriasisstudie IV nach 16, 26 und 52 Wochen</w:t>
      </w:r>
    </w:p>
    <w:p w14:paraId="52914BAE" w14:textId="77777777" w:rsidR="00005E6C" w:rsidRPr="004F5FB4" w:rsidRDefault="00005E6C" w:rsidP="00005E6C">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29"/>
        <w:gridCol w:w="1491"/>
        <w:gridCol w:w="1767"/>
      </w:tblGrid>
      <w:tr w:rsidR="00005E6C" w:rsidRPr="004F5FB4" w14:paraId="69DF4F8F" w14:textId="77777777" w:rsidTr="00855029">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2B114647" w14:textId="77777777" w:rsidR="00005E6C" w:rsidRPr="004F5FB4" w:rsidRDefault="00005E6C" w:rsidP="00056F25">
            <w:pPr>
              <w:keepNext/>
              <w:rPr>
                <w:b/>
                <w:color w:val="000000"/>
              </w:rPr>
            </w:pPr>
            <w:r w:rsidRPr="004F5FB4">
              <w:rPr>
                <w:b/>
                <w:color w:val="000000"/>
              </w:rPr>
              <w:t>Endpunkt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50C1D321" w14:textId="77777777" w:rsidR="00005E6C" w:rsidRPr="004F5FB4" w:rsidRDefault="00005E6C" w:rsidP="00056F25">
            <w:pPr>
              <w:keepNext/>
              <w:jc w:val="center"/>
              <w:rPr>
                <w:b/>
                <w:color w:val="000000"/>
              </w:rPr>
            </w:pPr>
            <w:r w:rsidRPr="004F5FB4">
              <w:rPr>
                <w:b/>
                <w:color w:val="000000"/>
              </w:rPr>
              <w:t>Woche 16</w:t>
            </w:r>
          </w:p>
          <w:p w14:paraId="36CD81D0" w14:textId="77777777" w:rsidR="00005E6C" w:rsidRPr="004F5FB4" w:rsidRDefault="00005E6C" w:rsidP="00056F25">
            <w:pPr>
              <w:keepNext/>
              <w:jc w:val="center"/>
              <w:rPr>
                <w:b/>
                <w:color w:val="000000"/>
              </w:rPr>
            </w:pPr>
            <w:r w:rsidRPr="004F5FB4">
              <w:rPr>
                <w:b/>
                <w:color w:val="000000"/>
              </w:rPr>
              <w:t>placebokontrolliert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4F9E6D4" w14:textId="77777777" w:rsidR="00005E6C" w:rsidRPr="004F5FB4" w:rsidRDefault="00005E6C" w:rsidP="00056F25">
            <w:pPr>
              <w:keepNext/>
              <w:jc w:val="center"/>
              <w:rPr>
                <w:b/>
                <w:color w:val="000000"/>
              </w:rPr>
            </w:pPr>
            <w:r w:rsidRPr="004F5FB4">
              <w:rPr>
                <w:b/>
                <w:color w:val="000000"/>
              </w:rPr>
              <w:t>Woche 26</w:t>
            </w:r>
          </w:p>
          <w:p w14:paraId="0218F377" w14:textId="77777777" w:rsidR="00005E6C" w:rsidRPr="004F5FB4" w:rsidRDefault="00005E6C" w:rsidP="00056F25">
            <w:pPr>
              <w:keepNext/>
              <w:jc w:val="center"/>
              <w:rPr>
                <w:b/>
                <w:color w:val="000000"/>
              </w:rPr>
            </w:pPr>
            <w:r w:rsidRPr="004F5FB4">
              <w:rPr>
                <w:b/>
                <w:color w:val="000000"/>
              </w:rPr>
              <w:t>placebokontrolliert</w:t>
            </w:r>
          </w:p>
        </w:tc>
        <w:tc>
          <w:tcPr>
            <w:tcW w:w="1815" w:type="dxa"/>
            <w:tcBorders>
              <w:top w:val="single" w:sz="4" w:space="0" w:color="auto"/>
              <w:left w:val="single" w:sz="4" w:space="0" w:color="auto"/>
              <w:bottom w:val="single" w:sz="4" w:space="0" w:color="auto"/>
              <w:right w:val="single" w:sz="4" w:space="0" w:color="auto"/>
            </w:tcBorders>
            <w:vAlign w:val="center"/>
            <w:hideMark/>
          </w:tcPr>
          <w:p w14:paraId="1240C24C" w14:textId="77777777" w:rsidR="00005E6C" w:rsidRPr="004F5FB4" w:rsidRDefault="00005E6C" w:rsidP="00056F25">
            <w:pPr>
              <w:keepNext/>
              <w:jc w:val="center"/>
              <w:rPr>
                <w:b/>
                <w:color w:val="000000"/>
              </w:rPr>
            </w:pPr>
            <w:r w:rsidRPr="004F5FB4">
              <w:rPr>
                <w:b/>
                <w:color w:val="000000"/>
              </w:rPr>
              <w:t>Woche 52</w:t>
            </w:r>
          </w:p>
          <w:p w14:paraId="596A9B94" w14:textId="77777777" w:rsidR="00005E6C" w:rsidRPr="004F5FB4" w:rsidRDefault="00005E6C" w:rsidP="00056F25">
            <w:pPr>
              <w:keepNext/>
              <w:jc w:val="center"/>
              <w:rPr>
                <w:b/>
                <w:color w:val="000000"/>
              </w:rPr>
            </w:pPr>
            <w:r w:rsidRPr="004F5FB4">
              <w:rPr>
                <w:b/>
                <w:color w:val="000000"/>
              </w:rPr>
              <w:t>offen</w:t>
            </w:r>
          </w:p>
        </w:tc>
      </w:tr>
      <w:tr w:rsidR="00F811FC" w:rsidRPr="004F5FB4" w14:paraId="6A919063" w14:textId="77777777" w:rsidTr="00855029">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36FC1623" w14:textId="77777777" w:rsidR="00F811FC" w:rsidRPr="004F5FB4" w:rsidRDefault="00F811FC" w:rsidP="00056F25">
            <w:pPr>
              <w:keepNext/>
              <w:jc w:val="center"/>
              <w:rPr>
                <w:b/>
                <w:color w:val="000000"/>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7FEA19D9" w14:textId="77777777" w:rsidR="00F811FC" w:rsidRPr="004F5FB4" w:rsidRDefault="00F811FC" w:rsidP="000079DD">
            <w:pPr>
              <w:keepNext/>
              <w:jc w:val="center"/>
              <w:rPr>
                <w:b/>
                <w:color w:val="000000"/>
              </w:rPr>
            </w:pPr>
            <w:r w:rsidRPr="004F5FB4">
              <w:rPr>
                <w:b/>
                <w:color w:val="000000"/>
              </w:rPr>
              <w:t>Placebo</w:t>
            </w:r>
          </w:p>
          <w:p w14:paraId="52EE9191" w14:textId="77777777" w:rsidR="00F811FC" w:rsidRPr="004F5FB4" w:rsidRDefault="00F811FC" w:rsidP="000079DD">
            <w:pPr>
              <w:keepNext/>
              <w:jc w:val="center"/>
              <w:rPr>
                <w:b/>
                <w:color w:val="000000"/>
              </w:rPr>
            </w:pPr>
            <w:r w:rsidRPr="004F5FB4">
              <w:rPr>
                <w:b/>
                <w:color w:val="000000"/>
              </w:rPr>
              <w:t>n = 108</w:t>
            </w:r>
          </w:p>
        </w:tc>
        <w:tc>
          <w:tcPr>
            <w:tcW w:w="1465" w:type="dxa"/>
            <w:tcBorders>
              <w:top w:val="single" w:sz="4" w:space="0" w:color="auto"/>
              <w:left w:val="single" w:sz="4" w:space="0" w:color="auto"/>
              <w:bottom w:val="single" w:sz="4" w:space="0" w:color="auto"/>
              <w:right w:val="single" w:sz="4" w:space="0" w:color="auto"/>
            </w:tcBorders>
            <w:hideMark/>
          </w:tcPr>
          <w:p w14:paraId="25534BB5" w14:textId="77777777" w:rsidR="00F811FC" w:rsidRPr="004F5FB4" w:rsidRDefault="00F811FC" w:rsidP="000079DD">
            <w:pPr>
              <w:keepNext/>
              <w:jc w:val="center"/>
              <w:rPr>
                <w:b/>
                <w:color w:val="000000"/>
              </w:rPr>
            </w:pPr>
            <w:r w:rsidRPr="004F5FB4">
              <w:rPr>
                <w:b/>
                <w:color w:val="000000"/>
              </w:rPr>
              <w:t>Adalimumab</w:t>
            </w:r>
          </w:p>
          <w:p w14:paraId="078C250A" w14:textId="77777777" w:rsidR="00F811FC" w:rsidRPr="004F5FB4" w:rsidRDefault="00F811FC" w:rsidP="000079DD">
            <w:pPr>
              <w:keepNext/>
              <w:jc w:val="center"/>
              <w:rPr>
                <w:b/>
                <w:color w:val="000000"/>
              </w:rPr>
            </w:pPr>
            <w:r w:rsidRPr="004F5FB4">
              <w:rPr>
                <w:b/>
                <w:color w:val="000000"/>
              </w:rPr>
              <w:t>40 mg alle 2 Wo.</w:t>
            </w:r>
          </w:p>
          <w:p w14:paraId="2675B2A6" w14:textId="77777777" w:rsidR="00F811FC" w:rsidRPr="004F5FB4" w:rsidRDefault="00F811FC" w:rsidP="000079DD">
            <w:pPr>
              <w:keepNext/>
              <w:jc w:val="center"/>
              <w:rPr>
                <w:b/>
                <w:color w:val="000000"/>
              </w:rPr>
            </w:pPr>
            <w:r w:rsidRPr="004F5FB4">
              <w:rPr>
                <w:b/>
                <w:color w:val="000000"/>
              </w:rPr>
              <w:t>n = 109</w:t>
            </w:r>
          </w:p>
        </w:tc>
        <w:tc>
          <w:tcPr>
            <w:tcW w:w="1260" w:type="dxa"/>
            <w:tcBorders>
              <w:top w:val="single" w:sz="4" w:space="0" w:color="auto"/>
              <w:left w:val="single" w:sz="4" w:space="0" w:color="auto"/>
              <w:bottom w:val="single" w:sz="4" w:space="0" w:color="auto"/>
              <w:right w:val="single" w:sz="4" w:space="0" w:color="auto"/>
            </w:tcBorders>
            <w:hideMark/>
          </w:tcPr>
          <w:p w14:paraId="0C533EC2" w14:textId="77777777" w:rsidR="00F811FC" w:rsidRPr="004F5FB4" w:rsidRDefault="00F811FC" w:rsidP="000079DD">
            <w:pPr>
              <w:keepNext/>
              <w:jc w:val="center"/>
              <w:rPr>
                <w:b/>
                <w:color w:val="000000"/>
              </w:rPr>
            </w:pPr>
            <w:r w:rsidRPr="004F5FB4">
              <w:rPr>
                <w:b/>
                <w:color w:val="000000"/>
              </w:rPr>
              <w:t>Placebo</w:t>
            </w:r>
          </w:p>
          <w:p w14:paraId="709B51A5" w14:textId="77777777" w:rsidR="00F811FC" w:rsidRPr="004F5FB4" w:rsidRDefault="00F811FC" w:rsidP="000079DD">
            <w:pPr>
              <w:keepNext/>
              <w:jc w:val="center"/>
              <w:rPr>
                <w:b/>
                <w:color w:val="000000"/>
              </w:rPr>
            </w:pPr>
            <w:r w:rsidRPr="004F5FB4">
              <w:rPr>
                <w:b/>
                <w:color w:val="000000"/>
              </w:rPr>
              <w:t>n = 108</w:t>
            </w:r>
          </w:p>
        </w:tc>
        <w:tc>
          <w:tcPr>
            <w:tcW w:w="1530" w:type="dxa"/>
            <w:tcBorders>
              <w:top w:val="single" w:sz="4" w:space="0" w:color="auto"/>
              <w:left w:val="single" w:sz="4" w:space="0" w:color="auto"/>
              <w:bottom w:val="single" w:sz="4" w:space="0" w:color="auto"/>
              <w:right w:val="single" w:sz="4" w:space="0" w:color="auto"/>
            </w:tcBorders>
            <w:hideMark/>
          </w:tcPr>
          <w:p w14:paraId="1198177D" w14:textId="77777777" w:rsidR="00F811FC" w:rsidRPr="004F5FB4" w:rsidRDefault="00F811FC" w:rsidP="000079DD">
            <w:pPr>
              <w:keepNext/>
              <w:jc w:val="center"/>
              <w:rPr>
                <w:b/>
                <w:color w:val="000000"/>
              </w:rPr>
            </w:pPr>
            <w:r w:rsidRPr="004F5FB4">
              <w:rPr>
                <w:b/>
                <w:color w:val="000000"/>
              </w:rPr>
              <w:t>Adalimumab</w:t>
            </w:r>
          </w:p>
          <w:p w14:paraId="12C9C34C" w14:textId="77777777" w:rsidR="00F811FC" w:rsidRPr="004F5FB4" w:rsidRDefault="00F811FC" w:rsidP="000079DD">
            <w:pPr>
              <w:keepNext/>
              <w:jc w:val="center"/>
              <w:rPr>
                <w:b/>
                <w:color w:val="000000"/>
              </w:rPr>
            </w:pPr>
            <w:r w:rsidRPr="004F5FB4">
              <w:rPr>
                <w:b/>
                <w:color w:val="000000"/>
              </w:rPr>
              <w:t>40 mg alle 2 Wo.</w:t>
            </w:r>
          </w:p>
          <w:p w14:paraId="6155E684" w14:textId="77777777" w:rsidR="00F811FC" w:rsidRPr="004F5FB4" w:rsidRDefault="00F811FC" w:rsidP="000079DD">
            <w:pPr>
              <w:keepNext/>
              <w:jc w:val="center"/>
              <w:rPr>
                <w:b/>
                <w:color w:val="000000"/>
              </w:rPr>
            </w:pPr>
            <w:r w:rsidRPr="004F5FB4">
              <w:rPr>
                <w:b/>
                <w:color w:val="000000"/>
              </w:rPr>
              <w:t>n = 109</w:t>
            </w:r>
          </w:p>
        </w:tc>
        <w:tc>
          <w:tcPr>
            <w:tcW w:w="1815" w:type="dxa"/>
            <w:tcBorders>
              <w:top w:val="single" w:sz="4" w:space="0" w:color="auto"/>
              <w:left w:val="single" w:sz="4" w:space="0" w:color="auto"/>
              <w:bottom w:val="single" w:sz="4" w:space="0" w:color="auto"/>
              <w:right w:val="single" w:sz="4" w:space="0" w:color="auto"/>
            </w:tcBorders>
            <w:hideMark/>
          </w:tcPr>
          <w:p w14:paraId="377940BA" w14:textId="77777777" w:rsidR="00F811FC" w:rsidRPr="004F5FB4" w:rsidRDefault="00F811FC" w:rsidP="000079DD">
            <w:pPr>
              <w:keepNext/>
              <w:jc w:val="center"/>
              <w:rPr>
                <w:b/>
                <w:color w:val="000000"/>
              </w:rPr>
            </w:pPr>
            <w:r w:rsidRPr="004F5FB4">
              <w:rPr>
                <w:b/>
                <w:color w:val="000000"/>
              </w:rPr>
              <w:t>Adalimumab</w:t>
            </w:r>
          </w:p>
          <w:p w14:paraId="41B4F331" w14:textId="77777777" w:rsidR="00F811FC" w:rsidRPr="004F5FB4" w:rsidRDefault="00F811FC" w:rsidP="000079DD">
            <w:pPr>
              <w:keepNext/>
              <w:jc w:val="center"/>
              <w:rPr>
                <w:b/>
                <w:color w:val="000000"/>
              </w:rPr>
            </w:pPr>
            <w:r w:rsidRPr="004F5FB4">
              <w:rPr>
                <w:b/>
                <w:color w:val="000000"/>
              </w:rPr>
              <w:t>40 mg alle 2 Wo.</w:t>
            </w:r>
          </w:p>
          <w:p w14:paraId="55E26D8D" w14:textId="77777777" w:rsidR="00F811FC" w:rsidRPr="004F5FB4" w:rsidRDefault="00F811FC" w:rsidP="000079DD">
            <w:pPr>
              <w:keepNext/>
              <w:jc w:val="center"/>
              <w:rPr>
                <w:b/>
                <w:color w:val="000000"/>
              </w:rPr>
            </w:pPr>
            <w:r w:rsidRPr="004F5FB4">
              <w:rPr>
                <w:b/>
                <w:color w:val="000000"/>
              </w:rPr>
              <w:t>n = 80</w:t>
            </w:r>
          </w:p>
        </w:tc>
      </w:tr>
      <w:tr w:rsidR="00005E6C" w:rsidRPr="004F5FB4" w14:paraId="3E95095B"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6D5D21D2" w14:textId="77777777" w:rsidR="00005E6C" w:rsidRPr="004F5FB4" w:rsidRDefault="00005E6C" w:rsidP="00056F25">
            <w:pPr>
              <w:keepNext/>
              <w:rPr>
                <w:color w:val="000000"/>
              </w:rPr>
            </w:pPr>
            <w:r w:rsidRPr="004F5FB4">
              <w:rPr>
                <w:color w:val="000000"/>
              </w:rPr>
              <w:sym w:font="Symbol" w:char="F0B3"/>
            </w:r>
            <w:r w:rsidRPr="004F5FB4">
              <w:rPr>
                <w:color w:val="000000"/>
              </w:rPr>
              <w:t> mNAPSI 75 (%)</w:t>
            </w:r>
          </w:p>
        </w:tc>
        <w:tc>
          <w:tcPr>
            <w:tcW w:w="1325" w:type="dxa"/>
            <w:tcBorders>
              <w:top w:val="single" w:sz="4" w:space="0" w:color="auto"/>
              <w:left w:val="single" w:sz="4" w:space="0" w:color="auto"/>
              <w:bottom w:val="single" w:sz="4" w:space="0" w:color="auto"/>
              <w:right w:val="single" w:sz="4" w:space="0" w:color="auto"/>
            </w:tcBorders>
            <w:hideMark/>
          </w:tcPr>
          <w:p w14:paraId="28E758CC" w14:textId="77777777" w:rsidR="00005E6C" w:rsidRPr="004F5FB4" w:rsidRDefault="00005E6C" w:rsidP="00056F25">
            <w:pPr>
              <w:keepNext/>
              <w:jc w:val="center"/>
              <w:rPr>
                <w:color w:val="000000"/>
              </w:rPr>
            </w:pPr>
            <w:r w:rsidRPr="004F5FB4">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4E4645FA" w14:textId="77777777" w:rsidR="00005E6C" w:rsidRPr="004F5FB4" w:rsidRDefault="00005E6C" w:rsidP="00056F25">
            <w:pPr>
              <w:keepNext/>
              <w:jc w:val="center"/>
              <w:rPr>
                <w:color w:val="000000"/>
              </w:rPr>
            </w:pPr>
            <w:r w:rsidRPr="004F5FB4">
              <w:rPr>
                <w:color w:val="000000"/>
              </w:rPr>
              <w:t>26,0</w:t>
            </w:r>
            <w:r w:rsidRPr="004F5FB4">
              <w:rPr>
                <w:color w:val="000000"/>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78F766AD" w14:textId="77777777" w:rsidR="00005E6C" w:rsidRPr="004F5FB4" w:rsidRDefault="00005E6C" w:rsidP="00056F25">
            <w:pPr>
              <w:keepNext/>
              <w:jc w:val="center"/>
              <w:rPr>
                <w:color w:val="000000"/>
              </w:rPr>
            </w:pPr>
            <w:r w:rsidRPr="004F5FB4">
              <w:rPr>
                <w:color w:val="000000"/>
              </w:rPr>
              <w:t>3,4</w:t>
            </w:r>
          </w:p>
        </w:tc>
        <w:tc>
          <w:tcPr>
            <w:tcW w:w="1530" w:type="dxa"/>
            <w:tcBorders>
              <w:top w:val="single" w:sz="4" w:space="0" w:color="auto"/>
              <w:left w:val="single" w:sz="4" w:space="0" w:color="auto"/>
              <w:bottom w:val="single" w:sz="4" w:space="0" w:color="auto"/>
              <w:right w:val="single" w:sz="4" w:space="0" w:color="auto"/>
            </w:tcBorders>
            <w:hideMark/>
          </w:tcPr>
          <w:p w14:paraId="462AF967" w14:textId="77777777" w:rsidR="00005E6C" w:rsidRPr="004F5FB4" w:rsidRDefault="00005E6C" w:rsidP="00056F25">
            <w:pPr>
              <w:keepNext/>
              <w:jc w:val="center"/>
              <w:rPr>
                <w:color w:val="000000"/>
              </w:rPr>
            </w:pPr>
            <w:r w:rsidRPr="004F5FB4">
              <w:rPr>
                <w:color w:val="000000"/>
              </w:rPr>
              <w:t>46,6</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79AEB650" w14:textId="77777777" w:rsidR="00005E6C" w:rsidRPr="004F5FB4" w:rsidRDefault="00005E6C" w:rsidP="00056F25">
            <w:pPr>
              <w:keepNext/>
              <w:jc w:val="center"/>
              <w:rPr>
                <w:color w:val="000000"/>
              </w:rPr>
            </w:pPr>
            <w:r w:rsidRPr="004F5FB4">
              <w:rPr>
                <w:color w:val="000000"/>
              </w:rPr>
              <w:t>65,0</w:t>
            </w:r>
          </w:p>
        </w:tc>
      </w:tr>
      <w:tr w:rsidR="00005E6C" w:rsidRPr="004F5FB4" w14:paraId="7F3783F8"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7694D048" w14:textId="77777777" w:rsidR="00005E6C" w:rsidRPr="004F5FB4" w:rsidRDefault="00005E6C" w:rsidP="00056F25">
            <w:pPr>
              <w:keepNext/>
              <w:rPr>
                <w:color w:val="000000"/>
              </w:rPr>
            </w:pPr>
            <w:r w:rsidRPr="004F5FB4">
              <w:rPr>
                <w:color w:val="000000"/>
              </w:rPr>
              <w:t>PGA</w:t>
            </w:r>
            <w:r w:rsidRPr="004F5FB4">
              <w:rPr>
                <w:color w:val="000000"/>
              </w:rPr>
              <w:noBreakHyphen/>
              <w:t>F erscheinungsfrei/</w:t>
            </w:r>
            <w:r w:rsidR="00B27BC8" w:rsidRPr="004F5FB4">
              <w:rPr>
                <w:color w:val="000000"/>
              </w:rPr>
              <w:t xml:space="preserve"> </w:t>
            </w:r>
            <w:r w:rsidRPr="004F5FB4">
              <w:rPr>
                <w:color w:val="000000"/>
              </w:rPr>
              <w:t xml:space="preserve">minimal und Verbesserung um </w:t>
            </w:r>
            <w:r w:rsidRPr="004F5FB4">
              <w:rPr>
                <w:color w:val="000000"/>
              </w:rPr>
              <w:sym w:font="Symbol" w:char="F0B3"/>
            </w:r>
            <w:r w:rsidR="00F51CF0" w:rsidRPr="004F5FB4">
              <w:rPr>
                <w:color w:val="000000"/>
              </w:rPr>
              <w:t> </w:t>
            </w:r>
            <w:r w:rsidRPr="004F5FB4">
              <w:rPr>
                <w:color w:val="000000"/>
              </w:rPr>
              <w:t>2</w:t>
            </w:r>
            <w:r w:rsidR="00F51CF0" w:rsidRPr="004F5FB4">
              <w:rPr>
                <w:color w:val="000000"/>
              </w:rPr>
              <w:t> </w:t>
            </w:r>
            <w:r w:rsidRPr="004F5FB4">
              <w:rPr>
                <w:color w:val="000000"/>
              </w:rPr>
              <w:t>Stufen (%)</w:t>
            </w:r>
          </w:p>
        </w:tc>
        <w:tc>
          <w:tcPr>
            <w:tcW w:w="1325" w:type="dxa"/>
            <w:tcBorders>
              <w:top w:val="single" w:sz="4" w:space="0" w:color="auto"/>
              <w:left w:val="single" w:sz="4" w:space="0" w:color="auto"/>
              <w:bottom w:val="single" w:sz="4" w:space="0" w:color="auto"/>
              <w:right w:val="single" w:sz="4" w:space="0" w:color="auto"/>
            </w:tcBorders>
            <w:hideMark/>
          </w:tcPr>
          <w:p w14:paraId="46074D65" w14:textId="77777777" w:rsidR="00005E6C" w:rsidRPr="004F5FB4" w:rsidRDefault="00005E6C" w:rsidP="00056F25">
            <w:pPr>
              <w:keepNext/>
              <w:jc w:val="center"/>
              <w:rPr>
                <w:color w:val="000000"/>
              </w:rPr>
            </w:pPr>
            <w:r w:rsidRPr="004F5FB4">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2131039F" w14:textId="77777777" w:rsidR="00005E6C" w:rsidRPr="004F5FB4" w:rsidRDefault="00005E6C" w:rsidP="00056F25">
            <w:pPr>
              <w:keepNext/>
              <w:jc w:val="center"/>
              <w:rPr>
                <w:color w:val="000000"/>
              </w:rPr>
            </w:pPr>
            <w:r w:rsidRPr="004F5FB4">
              <w:rPr>
                <w:color w:val="000000"/>
              </w:rPr>
              <w:t>29,7</w:t>
            </w:r>
            <w:r w:rsidRPr="004F5FB4">
              <w:rPr>
                <w:color w:val="000000"/>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70649BC3" w14:textId="77777777" w:rsidR="00005E6C" w:rsidRPr="004F5FB4" w:rsidRDefault="00005E6C" w:rsidP="00056F25">
            <w:pPr>
              <w:keepNext/>
              <w:jc w:val="center"/>
              <w:rPr>
                <w:color w:val="000000"/>
              </w:rPr>
            </w:pPr>
            <w:r w:rsidRPr="004F5FB4">
              <w:rPr>
                <w:color w:val="000000"/>
              </w:rPr>
              <w:t>6,9</w:t>
            </w:r>
          </w:p>
        </w:tc>
        <w:tc>
          <w:tcPr>
            <w:tcW w:w="1530" w:type="dxa"/>
            <w:tcBorders>
              <w:top w:val="single" w:sz="4" w:space="0" w:color="auto"/>
              <w:left w:val="single" w:sz="4" w:space="0" w:color="auto"/>
              <w:bottom w:val="single" w:sz="4" w:space="0" w:color="auto"/>
              <w:right w:val="single" w:sz="4" w:space="0" w:color="auto"/>
            </w:tcBorders>
            <w:hideMark/>
          </w:tcPr>
          <w:p w14:paraId="5EB88019" w14:textId="77777777" w:rsidR="00005E6C" w:rsidRPr="004F5FB4" w:rsidRDefault="00005E6C" w:rsidP="00056F25">
            <w:pPr>
              <w:keepNext/>
              <w:jc w:val="center"/>
              <w:rPr>
                <w:color w:val="000000"/>
              </w:rPr>
            </w:pPr>
            <w:r w:rsidRPr="004F5FB4">
              <w:rPr>
                <w:color w:val="000000"/>
              </w:rPr>
              <w:t>48,9</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67172D73" w14:textId="77777777" w:rsidR="00005E6C" w:rsidRPr="004F5FB4" w:rsidRDefault="00005E6C" w:rsidP="00056F25">
            <w:pPr>
              <w:keepNext/>
              <w:jc w:val="center"/>
              <w:rPr>
                <w:color w:val="000000"/>
              </w:rPr>
            </w:pPr>
            <w:r w:rsidRPr="004F5FB4">
              <w:rPr>
                <w:color w:val="000000"/>
              </w:rPr>
              <w:t>61,3</w:t>
            </w:r>
          </w:p>
        </w:tc>
      </w:tr>
      <w:tr w:rsidR="00005E6C" w:rsidRPr="004F5FB4" w14:paraId="5A78C85B" w14:textId="77777777" w:rsidTr="00081A6C">
        <w:trPr>
          <w:cantSplit/>
        </w:trPr>
        <w:tc>
          <w:tcPr>
            <w:tcW w:w="1908" w:type="dxa"/>
            <w:tcBorders>
              <w:top w:val="single" w:sz="4" w:space="0" w:color="auto"/>
              <w:left w:val="single" w:sz="4" w:space="0" w:color="auto"/>
              <w:bottom w:val="single" w:sz="4" w:space="0" w:color="auto"/>
              <w:right w:val="single" w:sz="4" w:space="0" w:color="auto"/>
            </w:tcBorders>
            <w:hideMark/>
          </w:tcPr>
          <w:p w14:paraId="0FCEB037" w14:textId="77777777" w:rsidR="00005E6C" w:rsidRPr="004F5FB4" w:rsidRDefault="00005E6C" w:rsidP="00056F25">
            <w:pPr>
              <w:keepNext/>
              <w:rPr>
                <w:color w:val="000000"/>
              </w:rPr>
            </w:pPr>
            <w:r w:rsidRPr="004F5FB4">
              <w:rPr>
                <w:color w:val="000000"/>
              </w:rPr>
              <w:t>Prozentuale Veränderung des NAPSI bei allen Fingernägeln (%)</w:t>
            </w:r>
          </w:p>
        </w:tc>
        <w:tc>
          <w:tcPr>
            <w:tcW w:w="1325" w:type="dxa"/>
            <w:tcBorders>
              <w:top w:val="single" w:sz="4" w:space="0" w:color="auto"/>
              <w:left w:val="single" w:sz="4" w:space="0" w:color="auto"/>
              <w:bottom w:val="single" w:sz="4" w:space="0" w:color="auto"/>
              <w:right w:val="single" w:sz="4" w:space="0" w:color="auto"/>
            </w:tcBorders>
            <w:hideMark/>
          </w:tcPr>
          <w:p w14:paraId="074AEFD9" w14:textId="77777777" w:rsidR="00005E6C" w:rsidRPr="004F5FB4" w:rsidRDefault="00005E6C" w:rsidP="00056F25">
            <w:pPr>
              <w:keepNext/>
              <w:jc w:val="center"/>
              <w:rPr>
                <w:color w:val="000000"/>
              </w:rPr>
            </w:pPr>
            <w:r w:rsidRPr="004F5FB4">
              <w:rPr>
                <w:color w:val="000000"/>
              </w:rPr>
              <w:t>-7,8</w:t>
            </w:r>
          </w:p>
        </w:tc>
        <w:tc>
          <w:tcPr>
            <w:tcW w:w="1465" w:type="dxa"/>
            <w:tcBorders>
              <w:top w:val="single" w:sz="4" w:space="0" w:color="auto"/>
              <w:left w:val="single" w:sz="4" w:space="0" w:color="auto"/>
              <w:bottom w:val="single" w:sz="4" w:space="0" w:color="auto"/>
              <w:right w:val="single" w:sz="4" w:space="0" w:color="auto"/>
            </w:tcBorders>
            <w:hideMark/>
          </w:tcPr>
          <w:p w14:paraId="60DFFE58" w14:textId="77777777" w:rsidR="00005E6C" w:rsidRPr="004F5FB4" w:rsidRDefault="00005E6C" w:rsidP="00056F25">
            <w:pPr>
              <w:keepNext/>
              <w:jc w:val="center"/>
              <w:rPr>
                <w:color w:val="000000"/>
              </w:rPr>
            </w:pPr>
            <w:r w:rsidRPr="004F5FB4">
              <w:rPr>
                <w:color w:val="000000"/>
              </w:rPr>
              <w:t>-44,2</w:t>
            </w:r>
            <w:r w:rsidRPr="004F5FB4">
              <w:rPr>
                <w:color w:val="000000"/>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0C2D5DBF" w14:textId="77777777" w:rsidR="00005E6C" w:rsidRPr="004F5FB4" w:rsidRDefault="00005E6C" w:rsidP="00056F25">
            <w:pPr>
              <w:keepNext/>
              <w:jc w:val="center"/>
              <w:rPr>
                <w:color w:val="000000"/>
              </w:rPr>
            </w:pPr>
            <w:r w:rsidRPr="004F5FB4">
              <w:rPr>
                <w:color w:val="000000"/>
              </w:rPr>
              <w:t>-11,5</w:t>
            </w:r>
          </w:p>
        </w:tc>
        <w:tc>
          <w:tcPr>
            <w:tcW w:w="1530" w:type="dxa"/>
            <w:tcBorders>
              <w:top w:val="single" w:sz="4" w:space="0" w:color="auto"/>
              <w:left w:val="single" w:sz="4" w:space="0" w:color="auto"/>
              <w:bottom w:val="single" w:sz="4" w:space="0" w:color="auto"/>
              <w:right w:val="single" w:sz="4" w:space="0" w:color="auto"/>
            </w:tcBorders>
            <w:hideMark/>
          </w:tcPr>
          <w:p w14:paraId="437231D1" w14:textId="77777777" w:rsidR="00005E6C" w:rsidRPr="004F5FB4" w:rsidRDefault="00005E6C" w:rsidP="00056F25">
            <w:pPr>
              <w:keepNext/>
              <w:jc w:val="center"/>
              <w:rPr>
                <w:color w:val="000000"/>
              </w:rPr>
            </w:pPr>
            <w:r w:rsidRPr="004F5FB4">
              <w:rPr>
                <w:color w:val="000000"/>
              </w:rPr>
              <w:t>-56,2</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0EEDF911" w14:textId="77777777" w:rsidR="00005E6C" w:rsidRPr="004F5FB4" w:rsidRDefault="00005E6C" w:rsidP="00056F25">
            <w:pPr>
              <w:keepNext/>
              <w:jc w:val="center"/>
              <w:rPr>
                <w:color w:val="000000"/>
              </w:rPr>
            </w:pPr>
            <w:r w:rsidRPr="004F5FB4">
              <w:rPr>
                <w:color w:val="000000"/>
              </w:rPr>
              <w:t>-72,2</w:t>
            </w:r>
          </w:p>
        </w:tc>
      </w:tr>
      <w:tr w:rsidR="00081A6C" w:rsidRPr="004F5FB4" w14:paraId="51E9783D" w14:textId="77777777" w:rsidTr="00081A6C">
        <w:trPr>
          <w:cantSplit/>
        </w:trPr>
        <w:tc>
          <w:tcPr>
            <w:tcW w:w="9303" w:type="dxa"/>
            <w:gridSpan w:val="6"/>
            <w:tcBorders>
              <w:top w:val="single" w:sz="4" w:space="0" w:color="auto"/>
              <w:left w:val="nil"/>
              <w:bottom w:val="nil"/>
              <w:right w:val="nil"/>
            </w:tcBorders>
          </w:tcPr>
          <w:p w14:paraId="66AB3A53" w14:textId="77777777" w:rsidR="00081A6C" w:rsidRPr="00206AEA" w:rsidRDefault="00081A6C" w:rsidP="00081A6C">
            <w:pPr>
              <w:ind w:left="270" w:hanging="270"/>
              <w:rPr>
                <w:color w:val="000000"/>
                <w:sz w:val="20"/>
                <w:szCs w:val="20"/>
              </w:rPr>
            </w:pPr>
            <w:r w:rsidRPr="00206AEA">
              <w:rPr>
                <w:color w:val="000000"/>
                <w:sz w:val="20"/>
                <w:szCs w:val="20"/>
                <w:vertAlign w:val="superscript"/>
              </w:rPr>
              <w:t>a</w:t>
            </w:r>
            <w:r w:rsidRPr="00206AEA">
              <w:rPr>
                <w:color w:val="000000"/>
                <w:sz w:val="20"/>
                <w:szCs w:val="20"/>
              </w:rPr>
              <w:t xml:space="preserve"> </w:t>
            </w:r>
            <w:r w:rsidRPr="00206AEA">
              <w:rPr>
                <w:color w:val="000000"/>
                <w:sz w:val="20"/>
                <w:szCs w:val="20"/>
              </w:rPr>
              <w:tab/>
              <w:t xml:space="preserve">p &lt; 0,001 Adalimumab </w:t>
            </w:r>
            <w:r w:rsidR="00B27BC8" w:rsidRPr="00206AEA">
              <w:rPr>
                <w:iCs/>
                <w:color w:val="000000"/>
                <w:sz w:val="20"/>
                <w:szCs w:val="20"/>
              </w:rPr>
              <w:t>gegenüber</w:t>
            </w:r>
            <w:r w:rsidRPr="00206AEA">
              <w:rPr>
                <w:color w:val="000000"/>
                <w:sz w:val="20"/>
                <w:szCs w:val="20"/>
              </w:rPr>
              <w:t xml:space="preserve"> Placebo</w:t>
            </w:r>
          </w:p>
        </w:tc>
      </w:tr>
    </w:tbl>
    <w:p w14:paraId="04B6A032" w14:textId="77777777" w:rsidR="00C46587" w:rsidRPr="004F5FB4" w:rsidRDefault="00C46587" w:rsidP="00982118">
      <w:pPr>
        <w:rPr>
          <w:color w:val="000000"/>
        </w:rPr>
      </w:pPr>
    </w:p>
    <w:p w14:paraId="6D2C3E15" w14:textId="77777777" w:rsidR="00C46587" w:rsidRPr="004F5FB4" w:rsidRDefault="005A4709" w:rsidP="00982118">
      <w:pPr>
        <w:rPr>
          <w:color w:val="000000"/>
        </w:rPr>
      </w:pPr>
      <w:r w:rsidRPr="004F5FB4">
        <w:rPr>
          <w:color w:val="000000"/>
        </w:rPr>
        <w:t>Die mit Adalimumab behandelten Patienten erreichten in Woche</w:t>
      </w:r>
      <w:r w:rsidR="00F51CF0" w:rsidRPr="004F5FB4">
        <w:rPr>
          <w:color w:val="000000"/>
        </w:rPr>
        <w:t> </w:t>
      </w:r>
      <w:r w:rsidRPr="004F5FB4">
        <w:rPr>
          <w:color w:val="000000"/>
        </w:rPr>
        <w:t>26 statistisch signifikante Verbesserungen im DLQI verglichen mit Placebo.</w:t>
      </w:r>
    </w:p>
    <w:p w14:paraId="55569401" w14:textId="77777777" w:rsidR="00C46587" w:rsidRPr="004F5FB4" w:rsidRDefault="00C46587" w:rsidP="00982118">
      <w:pPr>
        <w:rPr>
          <w:color w:val="000000"/>
        </w:rPr>
      </w:pPr>
    </w:p>
    <w:p w14:paraId="7578C540" w14:textId="77777777" w:rsidR="00C46587" w:rsidRPr="004F5FB4" w:rsidRDefault="00C46587" w:rsidP="00982118">
      <w:pPr>
        <w:keepNext/>
        <w:rPr>
          <w:i/>
          <w:color w:val="000000"/>
        </w:rPr>
      </w:pPr>
      <w:r w:rsidRPr="004F5FB4">
        <w:rPr>
          <w:i/>
          <w:color w:val="000000"/>
        </w:rPr>
        <w:t>Hidradenitis suppurativa (Acne inversa) bei Erwachsenen</w:t>
      </w:r>
    </w:p>
    <w:p w14:paraId="35340EC1" w14:textId="77777777" w:rsidR="00C46587" w:rsidRPr="004F5FB4" w:rsidRDefault="00C46587" w:rsidP="00982118">
      <w:pPr>
        <w:keepNext/>
        <w:rPr>
          <w:color w:val="000000"/>
        </w:rPr>
      </w:pPr>
    </w:p>
    <w:p w14:paraId="2926C82C" w14:textId="77777777" w:rsidR="00C46587" w:rsidRPr="004F5FB4" w:rsidRDefault="00C46587" w:rsidP="00982118">
      <w:pPr>
        <w:rPr>
          <w:color w:val="000000"/>
        </w:rPr>
      </w:pPr>
      <w:r w:rsidRPr="004F5FB4">
        <w:rPr>
          <w:color w:val="000000"/>
        </w:rPr>
        <w:t>Die Sicherheit und Wirksamkeit von Adalimumab wurden in randomisierten, doppelblinden, placebokontrollierten Studien und in einer offenen Erweiterungsstudie an erwachsenen Patienten mit mittelschwerer bis schwerer Hidradenitis suppurativa (HS) untersucht. Diese Patienten wiesen eine Unverträglichkeit, eine Kontraindikation oder ein unzureichendes Ansprechen gegenüber einer systemischen antibiotischen Therapie nach einem mindestens 3</w:t>
      </w:r>
      <w:r w:rsidRPr="004F5FB4">
        <w:rPr>
          <w:color w:val="000000"/>
        </w:rPr>
        <w:noBreakHyphen/>
        <w:t>monatigen Behandlungsversuch auf. Die Patienten in den Studien HS</w:t>
      </w:r>
      <w:r w:rsidRPr="004F5FB4">
        <w:rPr>
          <w:color w:val="000000"/>
        </w:rPr>
        <w:noBreakHyphen/>
        <w:t>I und HS</w:t>
      </w:r>
      <w:r w:rsidRPr="004F5FB4">
        <w:rPr>
          <w:color w:val="000000"/>
        </w:rPr>
        <w:noBreakHyphen/>
        <w:t>II waren in Hurley-Stadium</w:t>
      </w:r>
      <w:r w:rsidR="00F51CF0" w:rsidRPr="004F5FB4">
        <w:rPr>
          <w:color w:val="000000"/>
        </w:rPr>
        <w:t> </w:t>
      </w:r>
      <w:r w:rsidRPr="004F5FB4">
        <w:rPr>
          <w:color w:val="000000"/>
        </w:rPr>
        <w:t>II oder III der Krankheit mit mindestens 3</w:t>
      </w:r>
      <w:r w:rsidR="00F51CF0" w:rsidRPr="004F5FB4">
        <w:rPr>
          <w:color w:val="000000"/>
        </w:rPr>
        <w:t> </w:t>
      </w:r>
      <w:r w:rsidRPr="004F5FB4">
        <w:rPr>
          <w:color w:val="000000"/>
        </w:rPr>
        <w:t>Abszessen oder entzündlichen Knoten.</w:t>
      </w:r>
    </w:p>
    <w:p w14:paraId="4FDA1374" w14:textId="77777777" w:rsidR="00C46587" w:rsidRPr="004F5FB4" w:rsidRDefault="00C46587" w:rsidP="00982118">
      <w:pPr>
        <w:rPr>
          <w:color w:val="000000"/>
        </w:rPr>
      </w:pPr>
    </w:p>
    <w:p w14:paraId="7C293050" w14:textId="77777777" w:rsidR="00C46587" w:rsidRPr="004F5FB4" w:rsidRDefault="00C46587" w:rsidP="00982118">
      <w:pPr>
        <w:rPr>
          <w:color w:val="000000"/>
        </w:rPr>
      </w:pPr>
      <w:r w:rsidRPr="004F5FB4">
        <w:rPr>
          <w:color w:val="000000"/>
        </w:rPr>
        <w:t>In der Studie</w:t>
      </w:r>
      <w:r w:rsidR="00C87E4B" w:rsidRPr="004F5FB4">
        <w:rPr>
          <w:color w:val="000000"/>
        </w:rPr>
        <w:t> </w:t>
      </w:r>
      <w:r w:rsidRPr="004F5FB4">
        <w:rPr>
          <w:color w:val="000000"/>
        </w:rPr>
        <w:t>HS</w:t>
      </w:r>
      <w:r w:rsidRPr="004F5FB4">
        <w:rPr>
          <w:color w:val="000000"/>
        </w:rPr>
        <w:noBreakHyphen/>
        <w:t>I (PIONEER</w:t>
      </w:r>
      <w:r w:rsidR="00F51CF0" w:rsidRPr="004F5FB4">
        <w:rPr>
          <w:color w:val="000000"/>
        </w:rPr>
        <w:t> </w:t>
      </w:r>
      <w:r w:rsidRPr="004F5FB4">
        <w:rPr>
          <w:color w:val="000000"/>
        </w:rPr>
        <w:t>I) wurden 307 Patienten in 2 Behandlungsperioden untersucht. In Periode</w:t>
      </w:r>
      <w:r w:rsidR="00F51CF0" w:rsidRPr="004F5FB4">
        <w:rPr>
          <w:color w:val="000000"/>
        </w:rPr>
        <w:t> </w:t>
      </w:r>
      <w:r w:rsidRPr="004F5FB4">
        <w:rPr>
          <w:color w:val="000000"/>
        </w:rPr>
        <w:t>A erhielten die Patienten Placebo oder eine Induktionsdosis von 160 mg Adalimumab in Woche</w:t>
      </w:r>
      <w:r w:rsidR="00F51CF0" w:rsidRPr="004F5FB4">
        <w:rPr>
          <w:color w:val="000000"/>
        </w:rPr>
        <w:t> </w:t>
      </w:r>
      <w:r w:rsidRPr="004F5FB4">
        <w:rPr>
          <w:color w:val="000000"/>
        </w:rPr>
        <w:t>0, danach 80 mg in Woche</w:t>
      </w:r>
      <w:r w:rsidR="00F51CF0" w:rsidRPr="004F5FB4">
        <w:rPr>
          <w:color w:val="000000"/>
        </w:rPr>
        <w:t> </w:t>
      </w:r>
      <w:r w:rsidRPr="004F5FB4">
        <w:rPr>
          <w:color w:val="000000"/>
        </w:rPr>
        <w:t>2 und ab Woche</w:t>
      </w:r>
      <w:r w:rsidR="00F51CF0" w:rsidRPr="004F5FB4">
        <w:rPr>
          <w:color w:val="000000"/>
        </w:rPr>
        <w:t> </w:t>
      </w:r>
      <w:r w:rsidRPr="004F5FB4">
        <w:rPr>
          <w:color w:val="000000"/>
        </w:rPr>
        <w:t>4 bis Woche</w:t>
      </w:r>
      <w:r w:rsidR="00F51CF0" w:rsidRPr="004F5FB4">
        <w:rPr>
          <w:color w:val="000000"/>
        </w:rPr>
        <w:t> </w:t>
      </w:r>
      <w:r w:rsidRPr="004F5FB4">
        <w:rPr>
          <w:color w:val="000000"/>
        </w:rPr>
        <w:t>11 40 mg wöchentlich. Eine gleichzeitige Behandlung mit Antibiotika war während der Studie nicht erlaubt. Nach einer 12</w:t>
      </w:r>
      <w:r w:rsidRPr="004F5FB4">
        <w:rPr>
          <w:color w:val="000000"/>
        </w:rPr>
        <w:noBreakHyphen/>
        <w:t>wöchigen Behandlung wurden die Patienten, die in Periode</w:t>
      </w:r>
      <w:r w:rsidR="00F51CF0" w:rsidRPr="004F5FB4">
        <w:rPr>
          <w:color w:val="000000"/>
        </w:rPr>
        <w:t> </w:t>
      </w:r>
      <w:r w:rsidRPr="004F5FB4">
        <w:rPr>
          <w:color w:val="000000"/>
        </w:rPr>
        <w:t>A Adalimumab erhalten hatten, in Periode</w:t>
      </w:r>
      <w:r w:rsidR="00F51CF0" w:rsidRPr="004F5FB4">
        <w:rPr>
          <w:color w:val="000000"/>
        </w:rPr>
        <w:t> </w:t>
      </w:r>
      <w:r w:rsidRPr="004F5FB4">
        <w:rPr>
          <w:color w:val="000000"/>
        </w:rPr>
        <w:t>B erneut in eine von drei Behandlungsgruppen randomisiert (40 mg Adalimumab wöchentlich, 40 mg Adalimumab jede zweite Woche oder Placebo von Woche</w:t>
      </w:r>
      <w:r w:rsidR="00F51CF0" w:rsidRPr="004F5FB4">
        <w:rPr>
          <w:color w:val="000000"/>
        </w:rPr>
        <w:t> </w:t>
      </w:r>
      <w:r w:rsidRPr="004F5FB4">
        <w:rPr>
          <w:color w:val="000000"/>
        </w:rPr>
        <w:t>12 bis Woche</w:t>
      </w:r>
      <w:r w:rsidR="00F51CF0" w:rsidRPr="004F5FB4">
        <w:rPr>
          <w:color w:val="000000"/>
        </w:rPr>
        <w:t> </w:t>
      </w:r>
      <w:r w:rsidRPr="004F5FB4">
        <w:rPr>
          <w:color w:val="000000"/>
        </w:rPr>
        <w:t>35). Patienten, die in Periode</w:t>
      </w:r>
      <w:r w:rsidR="00F51CF0" w:rsidRPr="004F5FB4">
        <w:rPr>
          <w:color w:val="000000"/>
        </w:rPr>
        <w:t> </w:t>
      </w:r>
      <w:r w:rsidRPr="004F5FB4">
        <w:rPr>
          <w:color w:val="000000"/>
        </w:rPr>
        <w:t>A Placebo erhalten hatten, wurden einer Behandlung mit 40 mg Adalimumab wöchentlich in Periode</w:t>
      </w:r>
      <w:r w:rsidR="00F51CF0" w:rsidRPr="004F5FB4">
        <w:rPr>
          <w:color w:val="000000"/>
        </w:rPr>
        <w:t> </w:t>
      </w:r>
      <w:r w:rsidRPr="004F5FB4">
        <w:rPr>
          <w:color w:val="000000"/>
        </w:rPr>
        <w:t xml:space="preserve">B zugeteilt. </w:t>
      </w:r>
    </w:p>
    <w:p w14:paraId="532F71D6" w14:textId="77777777" w:rsidR="00C46587" w:rsidRPr="004F5FB4" w:rsidRDefault="00C46587" w:rsidP="00982118">
      <w:pPr>
        <w:rPr>
          <w:color w:val="000000"/>
        </w:rPr>
      </w:pPr>
    </w:p>
    <w:p w14:paraId="5E2EF37C" w14:textId="77777777" w:rsidR="00C46587" w:rsidRPr="004F5FB4" w:rsidRDefault="00C46587" w:rsidP="00982118">
      <w:pPr>
        <w:rPr>
          <w:color w:val="000000"/>
        </w:rPr>
      </w:pPr>
      <w:r w:rsidRPr="004F5FB4">
        <w:rPr>
          <w:color w:val="000000"/>
        </w:rPr>
        <w:t>In der Studie HS</w:t>
      </w:r>
      <w:r w:rsidRPr="004F5FB4">
        <w:rPr>
          <w:color w:val="000000"/>
        </w:rPr>
        <w:noBreakHyphen/>
        <w:t>II (PIONEER</w:t>
      </w:r>
      <w:r w:rsidR="00F51CF0" w:rsidRPr="004F5FB4">
        <w:rPr>
          <w:color w:val="000000"/>
        </w:rPr>
        <w:t> </w:t>
      </w:r>
      <w:r w:rsidRPr="004F5FB4">
        <w:rPr>
          <w:color w:val="000000"/>
        </w:rPr>
        <w:t>II) wurden 326</w:t>
      </w:r>
      <w:r w:rsidR="00F51CF0" w:rsidRPr="004F5FB4">
        <w:rPr>
          <w:color w:val="000000"/>
        </w:rPr>
        <w:t> </w:t>
      </w:r>
      <w:r w:rsidRPr="004F5FB4">
        <w:rPr>
          <w:color w:val="000000"/>
        </w:rPr>
        <w:t>Patienten in 2</w:t>
      </w:r>
      <w:r w:rsidR="00F51CF0" w:rsidRPr="004F5FB4">
        <w:rPr>
          <w:color w:val="000000"/>
        </w:rPr>
        <w:t> </w:t>
      </w:r>
      <w:r w:rsidRPr="004F5FB4">
        <w:rPr>
          <w:color w:val="000000"/>
        </w:rPr>
        <w:t>Behandlungsperioden untersucht. In Periode</w:t>
      </w:r>
      <w:r w:rsidR="00F51CF0" w:rsidRPr="004F5FB4">
        <w:rPr>
          <w:color w:val="000000"/>
        </w:rPr>
        <w:t> </w:t>
      </w:r>
      <w:r w:rsidRPr="004F5FB4">
        <w:rPr>
          <w:color w:val="000000"/>
        </w:rPr>
        <w:t>A erhielten die Patienten Placebo oder eine Induktionsdosis von 160 mg Adalimumab in Woche</w:t>
      </w:r>
      <w:r w:rsidR="00F51CF0" w:rsidRPr="004F5FB4">
        <w:rPr>
          <w:color w:val="000000"/>
        </w:rPr>
        <w:t> </w:t>
      </w:r>
      <w:r w:rsidRPr="004F5FB4">
        <w:rPr>
          <w:color w:val="000000"/>
        </w:rPr>
        <w:t>0, danach 80 mg in Woche</w:t>
      </w:r>
      <w:r w:rsidR="00F51CF0" w:rsidRPr="004F5FB4">
        <w:rPr>
          <w:color w:val="000000"/>
        </w:rPr>
        <w:t> </w:t>
      </w:r>
      <w:r w:rsidRPr="004F5FB4">
        <w:rPr>
          <w:color w:val="000000"/>
        </w:rPr>
        <w:t>2 und ab Woche</w:t>
      </w:r>
      <w:r w:rsidR="00F51CF0" w:rsidRPr="004F5FB4">
        <w:rPr>
          <w:color w:val="000000"/>
        </w:rPr>
        <w:t> </w:t>
      </w:r>
      <w:r w:rsidRPr="004F5FB4">
        <w:rPr>
          <w:color w:val="000000"/>
        </w:rPr>
        <w:t>4 bis Woche</w:t>
      </w:r>
      <w:r w:rsidR="00F51CF0" w:rsidRPr="004F5FB4">
        <w:rPr>
          <w:color w:val="000000"/>
        </w:rPr>
        <w:t> </w:t>
      </w:r>
      <w:r w:rsidRPr="004F5FB4">
        <w:rPr>
          <w:color w:val="000000"/>
        </w:rPr>
        <w:t>11 40 mg wöchentlich. 19,3</w:t>
      </w:r>
      <w:r w:rsidR="00F51CF0" w:rsidRPr="004F5FB4">
        <w:rPr>
          <w:color w:val="000000"/>
        </w:rPr>
        <w:t> </w:t>
      </w:r>
      <w:r w:rsidRPr="004F5FB4">
        <w:rPr>
          <w:color w:val="000000"/>
        </w:rPr>
        <w:t>% der Patienten erhielten während der Studie eine fortgesetzte Basistherapie mit oralen Antibiotika. Nach einer 12</w:t>
      </w:r>
      <w:r w:rsidRPr="004F5FB4">
        <w:rPr>
          <w:color w:val="000000"/>
        </w:rPr>
        <w:noBreakHyphen/>
        <w:t>wöchigen Behandlung wurden die Patienten, die in Periode</w:t>
      </w:r>
      <w:r w:rsidR="00F51CF0" w:rsidRPr="004F5FB4">
        <w:rPr>
          <w:color w:val="000000"/>
        </w:rPr>
        <w:t> </w:t>
      </w:r>
      <w:r w:rsidRPr="004F5FB4">
        <w:rPr>
          <w:color w:val="000000"/>
        </w:rPr>
        <w:t xml:space="preserve">A Adalimumab erhalten hatten, in </w:t>
      </w:r>
      <w:r w:rsidRPr="004F5FB4">
        <w:rPr>
          <w:color w:val="000000"/>
        </w:rPr>
        <w:lastRenderedPageBreak/>
        <w:t>Periode</w:t>
      </w:r>
      <w:r w:rsidR="00F51CF0" w:rsidRPr="004F5FB4">
        <w:rPr>
          <w:color w:val="000000"/>
        </w:rPr>
        <w:t> </w:t>
      </w:r>
      <w:r w:rsidRPr="004F5FB4">
        <w:rPr>
          <w:color w:val="000000"/>
        </w:rPr>
        <w:t>B erneut in eine von drei Behandlungsgruppen randomisiert (40 mg Adalimumab wöchentlich, 40 mg Adalimumab jede zweite Woche oder Placebo von Woche</w:t>
      </w:r>
      <w:r w:rsidR="00F51CF0" w:rsidRPr="004F5FB4">
        <w:rPr>
          <w:color w:val="000000"/>
        </w:rPr>
        <w:t> </w:t>
      </w:r>
      <w:r w:rsidRPr="004F5FB4">
        <w:rPr>
          <w:color w:val="000000"/>
        </w:rPr>
        <w:t>12 bis Woche</w:t>
      </w:r>
      <w:r w:rsidR="00F51CF0" w:rsidRPr="004F5FB4">
        <w:rPr>
          <w:color w:val="000000"/>
        </w:rPr>
        <w:t> </w:t>
      </w:r>
      <w:r w:rsidRPr="004F5FB4">
        <w:rPr>
          <w:color w:val="000000"/>
        </w:rPr>
        <w:t>35). Patienten, die in Periode</w:t>
      </w:r>
      <w:r w:rsidR="00F51CF0" w:rsidRPr="004F5FB4">
        <w:rPr>
          <w:color w:val="000000"/>
        </w:rPr>
        <w:t> </w:t>
      </w:r>
      <w:r w:rsidRPr="004F5FB4">
        <w:rPr>
          <w:color w:val="000000"/>
        </w:rPr>
        <w:t>A Placebo erhalten hatten, wurden in Periode</w:t>
      </w:r>
      <w:r w:rsidR="00F51CF0" w:rsidRPr="004F5FB4">
        <w:rPr>
          <w:color w:val="000000"/>
        </w:rPr>
        <w:t> </w:t>
      </w:r>
      <w:r w:rsidRPr="004F5FB4">
        <w:rPr>
          <w:color w:val="000000"/>
        </w:rPr>
        <w:t>B der Placebogruppe zugeteilt.</w:t>
      </w:r>
    </w:p>
    <w:p w14:paraId="4A3FC698" w14:textId="77777777" w:rsidR="00C46587" w:rsidRPr="004F5FB4" w:rsidRDefault="00C46587" w:rsidP="00982118">
      <w:pPr>
        <w:rPr>
          <w:color w:val="000000"/>
        </w:rPr>
      </w:pPr>
    </w:p>
    <w:p w14:paraId="0BB29A4D" w14:textId="77777777" w:rsidR="00C46587" w:rsidRPr="004F5FB4" w:rsidRDefault="00C46587" w:rsidP="00982118">
      <w:pPr>
        <w:rPr>
          <w:color w:val="000000"/>
        </w:rPr>
      </w:pPr>
      <w:r w:rsidRPr="004F5FB4">
        <w:rPr>
          <w:color w:val="000000"/>
        </w:rPr>
        <w:t>Patienten, die an Studie</w:t>
      </w:r>
      <w:r w:rsidR="00C87E4B" w:rsidRPr="004F5FB4">
        <w:rPr>
          <w:color w:val="000000"/>
        </w:rPr>
        <w:t> </w:t>
      </w:r>
      <w:r w:rsidRPr="004F5FB4">
        <w:rPr>
          <w:color w:val="000000"/>
        </w:rPr>
        <w:t>HS</w:t>
      </w:r>
      <w:r w:rsidRPr="004F5FB4">
        <w:rPr>
          <w:color w:val="000000"/>
        </w:rPr>
        <w:noBreakHyphen/>
        <w:t>I oder HS</w:t>
      </w:r>
      <w:r w:rsidRPr="004F5FB4">
        <w:rPr>
          <w:color w:val="000000"/>
        </w:rPr>
        <w:noBreakHyphen/>
        <w:t>II teilgenommen hatten, waren für die Aufnahme in eine offene Erweiterungsstudie geeignet, in der 40 mg Adalimumab wöchentlich verabreicht wurden. Die durchschnittliche Exposition lag in allen Adalimumab-Populationen bei 762</w:t>
      </w:r>
      <w:r w:rsidR="00F51CF0" w:rsidRPr="004F5FB4">
        <w:rPr>
          <w:color w:val="000000"/>
        </w:rPr>
        <w:t> </w:t>
      </w:r>
      <w:r w:rsidRPr="004F5FB4">
        <w:rPr>
          <w:color w:val="000000"/>
        </w:rPr>
        <w:t>Tagen. Während aller drei Studien wendeten die Patienten täglich eine topische antiseptische Waschlösung an.</w:t>
      </w:r>
    </w:p>
    <w:p w14:paraId="5DD630B8" w14:textId="77777777" w:rsidR="00C46587" w:rsidRPr="004F5FB4" w:rsidRDefault="00C46587" w:rsidP="00982118">
      <w:pPr>
        <w:rPr>
          <w:color w:val="000000"/>
        </w:rPr>
      </w:pPr>
    </w:p>
    <w:p w14:paraId="7D17FE3F" w14:textId="77777777" w:rsidR="00C46587" w:rsidRPr="004F5FB4" w:rsidRDefault="00C46587" w:rsidP="00ED34EF">
      <w:pPr>
        <w:keepNext/>
        <w:rPr>
          <w:i/>
          <w:color w:val="000000"/>
          <w:u w:val="single"/>
        </w:rPr>
      </w:pPr>
      <w:r w:rsidRPr="004F5FB4">
        <w:rPr>
          <w:i/>
          <w:color w:val="000000"/>
          <w:u w:val="single"/>
        </w:rPr>
        <w:t>Klinisches Ansprechen</w:t>
      </w:r>
    </w:p>
    <w:p w14:paraId="1C81BD50" w14:textId="77777777" w:rsidR="00C46587" w:rsidRPr="004F5FB4" w:rsidRDefault="00C46587" w:rsidP="00ED34EF">
      <w:pPr>
        <w:keepNext/>
        <w:rPr>
          <w:color w:val="000000"/>
        </w:rPr>
      </w:pPr>
    </w:p>
    <w:p w14:paraId="38485472" w14:textId="77777777" w:rsidR="00C46587" w:rsidRPr="004F5FB4" w:rsidRDefault="00C46587" w:rsidP="00982118">
      <w:pPr>
        <w:rPr>
          <w:color w:val="000000"/>
        </w:rPr>
      </w:pPr>
      <w:r w:rsidRPr="004F5FB4">
        <w:rPr>
          <w:color w:val="000000"/>
        </w:rPr>
        <w:t>Die Verringerung der entzündlichen Läsionen und die Prävention einer Verschlimmerung der Abszesse und drainierenden Fisteln wurden anhand des Hidradenitis Suppurativa Clinical Response beurteilt (HiSCR; eine mindestens 50%ige Abnahme der Gesamtzahl an Abszessen und entzündlichen Knoten und keine Zunahme der Anzahl an Abszessen sowie der Anzahl an dränierenden Fisteln gegenüber Baseline). Die Verringerung der HS</w:t>
      </w:r>
      <w:r w:rsidRPr="004F5FB4">
        <w:rPr>
          <w:color w:val="000000"/>
        </w:rPr>
        <w:noBreakHyphen/>
        <w:t>bezogenen Hautschmerzen wurde mithilfe einer numerischen Bewertungsskala bei Patienten beurteilt, die auf einer Skala mit 11</w:t>
      </w:r>
      <w:r w:rsidR="00F51CF0" w:rsidRPr="004F5FB4">
        <w:rPr>
          <w:color w:val="000000"/>
        </w:rPr>
        <w:t> </w:t>
      </w:r>
      <w:r w:rsidRPr="004F5FB4">
        <w:rPr>
          <w:color w:val="000000"/>
        </w:rPr>
        <w:t xml:space="preserve">Punkten zu Beginn der Studie einen Score von 3 oder höher aufwiesen. </w:t>
      </w:r>
    </w:p>
    <w:p w14:paraId="49DC5D99" w14:textId="77777777" w:rsidR="00C46587" w:rsidRPr="004F5FB4" w:rsidRDefault="00C46587" w:rsidP="00982118">
      <w:pPr>
        <w:rPr>
          <w:color w:val="000000"/>
        </w:rPr>
      </w:pPr>
    </w:p>
    <w:p w14:paraId="25FF9BAA" w14:textId="77777777" w:rsidR="00C46587" w:rsidRPr="004F5FB4" w:rsidRDefault="00C46587" w:rsidP="00982118">
      <w:pPr>
        <w:rPr>
          <w:color w:val="000000"/>
        </w:rPr>
      </w:pPr>
      <w:r w:rsidRPr="004F5FB4">
        <w:rPr>
          <w:color w:val="000000"/>
        </w:rPr>
        <w:t>Im Vergleich zu Placebo erreichte ein signifikant höherer Anteil der mit Adalimumab behandelten Patienten ein HiSCR-Ansprechen zu Woche</w:t>
      </w:r>
      <w:r w:rsidR="00F51CF0" w:rsidRPr="004F5FB4">
        <w:rPr>
          <w:color w:val="000000"/>
        </w:rPr>
        <w:t> </w:t>
      </w:r>
      <w:r w:rsidRPr="004F5FB4">
        <w:rPr>
          <w:color w:val="000000"/>
        </w:rPr>
        <w:t>12. In Woche</w:t>
      </w:r>
      <w:r w:rsidR="00F51CF0" w:rsidRPr="004F5FB4">
        <w:rPr>
          <w:color w:val="000000"/>
        </w:rPr>
        <w:t> </w:t>
      </w:r>
      <w:r w:rsidRPr="004F5FB4">
        <w:rPr>
          <w:color w:val="000000"/>
        </w:rPr>
        <w:t>12 wies ein signifikant höherer Anteil an Patienten in Studie HS</w:t>
      </w:r>
      <w:r w:rsidRPr="004F5FB4">
        <w:rPr>
          <w:color w:val="000000"/>
        </w:rPr>
        <w:noBreakHyphen/>
        <w:t>II eine klinisch relevante Verringerung der HS</w:t>
      </w:r>
      <w:r w:rsidRPr="004F5FB4">
        <w:rPr>
          <w:color w:val="000000"/>
        </w:rPr>
        <w:noBreakHyphen/>
        <w:t>bezogenen Hautschmerzen auf (siehe Tabelle</w:t>
      </w:r>
      <w:r w:rsidR="00F51CF0" w:rsidRPr="004F5FB4">
        <w:rPr>
          <w:color w:val="000000"/>
        </w:rPr>
        <w:t> </w:t>
      </w:r>
      <w:r w:rsidR="00DA4438">
        <w:rPr>
          <w:color w:val="000000"/>
        </w:rPr>
        <w:t>15</w:t>
      </w:r>
      <w:r w:rsidRPr="004F5FB4">
        <w:rPr>
          <w:color w:val="000000"/>
        </w:rPr>
        <w:t>). Bei den mit Adalimumab behandelten Patienten war das Risiko eines Krankheitsschubes während der ersten 12</w:t>
      </w:r>
      <w:r w:rsidR="00F51CF0" w:rsidRPr="004F5FB4">
        <w:rPr>
          <w:color w:val="000000"/>
        </w:rPr>
        <w:t> </w:t>
      </w:r>
      <w:r w:rsidRPr="004F5FB4">
        <w:rPr>
          <w:color w:val="000000"/>
        </w:rPr>
        <w:t xml:space="preserve">Behandlungswochen signifikant reduziert. </w:t>
      </w:r>
    </w:p>
    <w:p w14:paraId="5A037D82" w14:textId="77777777" w:rsidR="00C46587" w:rsidRPr="004F5FB4" w:rsidRDefault="00C46587" w:rsidP="00982118">
      <w:pPr>
        <w:rPr>
          <w:color w:val="000000"/>
        </w:rPr>
      </w:pPr>
    </w:p>
    <w:p w14:paraId="52F2B945" w14:textId="77777777" w:rsidR="00DA4438" w:rsidRDefault="00C46587" w:rsidP="00D4051F">
      <w:pPr>
        <w:pStyle w:val="BodyText"/>
        <w:keepNext/>
        <w:keepLines/>
        <w:widowControl/>
        <w:kinsoku w:val="0"/>
        <w:overflowPunct w:val="0"/>
        <w:ind w:left="0"/>
        <w:rPr>
          <w:b/>
          <w:color w:val="000000"/>
        </w:rPr>
      </w:pPr>
      <w:r w:rsidRPr="00CA7719">
        <w:rPr>
          <w:b/>
          <w:color w:val="000000"/>
        </w:rPr>
        <w:t>Tabelle</w:t>
      </w:r>
      <w:r w:rsidR="00DA4438">
        <w:rPr>
          <w:b/>
          <w:color w:val="000000"/>
        </w:rPr>
        <w:t> 15</w:t>
      </w:r>
    </w:p>
    <w:p w14:paraId="44BA6C20" w14:textId="77777777" w:rsidR="00C46587" w:rsidRPr="00CA7719" w:rsidRDefault="00C46587" w:rsidP="00D4051F">
      <w:pPr>
        <w:pStyle w:val="BodyText"/>
        <w:keepNext/>
        <w:keepLines/>
        <w:widowControl/>
        <w:kinsoku w:val="0"/>
        <w:overflowPunct w:val="0"/>
        <w:ind w:left="0"/>
        <w:rPr>
          <w:b/>
          <w:color w:val="000000"/>
        </w:rPr>
      </w:pPr>
      <w:r w:rsidRPr="00CA7719">
        <w:rPr>
          <w:b/>
          <w:color w:val="000000"/>
        </w:rPr>
        <w:t>Ergebnisse bezüglich Wirksamkeit nach 12</w:t>
      </w:r>
      <w:r w:rsidR="00F51CF0" w:rsidRPr="00CA7719">
        <w:rPr>
          <w:b/>
          <w:color w:val="000000"/>
        </w:rPr>
        <w:t> </w:t>
      </w:r>
      <w:r w:rsidRPr="00CA7719">
        <w:rPr>
          <w:b/>
          <w:color w:val="000000"/>
        </w:rPr>
        <w:t>Wochen, Studie HS-I und HS-II</w:t>
      </w:r>
    </w:p>
    <w:p w14:paraId="3ED2DC38" w14:textId="77777777" w:rsidR="00C46587" w:rsidRPr="004F5FB4" w:rsidRDefault="00C46587" w:rsidP="003146E9">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481"/>
        <w:gridCol w:w="2009"/>
        <w:gridCol w:w="1473"/>
        <w:gridCol w:w="2009"/>
      </w:tblGrid>
      <w:tr w:rsidR="00C46587" w:rsidRPr="004F5FB4" w14:paraId="059A5E06" w14:textId="77777777" w:rsidTr="00081A6C">
        <w:tc>
          <w:tcPr>
            <w:tcW w:w="2135" w:type="dxa"/>
            <w:tcBorders>
              <w:top w:val="single" w:sz="4" w:space="0" w:color="auto"/>
              <w:left w:val="single" w:sz="4" w:space="0" w:color="auto"/>
              <w:bottom w:val="single" w:sz="4" w:space="0" w:color="auto"/>
              <w:right w:val="single" w:sz="4" w:space="0" w:color="auto"/>
            </w:tcBorders>
          </w:tcPr>
          <w:p w14:paraId="3A572CF5" w14:textId="77777777" w:rsidR="00C46587" w:rsidRPr="004F5FB4" w:rsidRDefault="00C46587" w:rsidP="003146E9">
            <w:pPr>
              <w:keepNext/>
              <w:rPr>
                <w:color w:val="000000"/>
              </w:rPr>
            </w:pPr>
          </w:p>
        </w:tc>
        <w:tc>
          <w:tcPr>
            <w:tcW w:w="3588" w:type="dxa"/>
            <w:gridSpan w:val="2"/>
            <w:tcBorders>
              <w:top w:val="single" w:sz="4" w:space="0" w:color="auto"/>
              <w:left w:val="single" w:sz="4" w:space="0" w:color="auto"/>
              <w:bottom w:val="single" w:sz="4" w:space="0" w:color="auto"/>
              <w:right w:val="single" w:sz="4" w:space="0" w:color="auto"/>
            </w:tcBorders>
            <w:vAlign w:val="bottom"/>
            <w:hideMark/>
          </w:tcPr>
          <w:p w14:paraId="3D6479F6" w14:textId="77777777" w:rsidR="00C46587" w:rsidRPr="004F5FB4" w:rsidRDefault="00C46587" w:rsidP="003146E9">
            <w:pPr>
              <w:keepNext/>
              <w:jc w:val="center"/>
              <w:rPr>
                <w:b/>
                <w:color w:val="000000"/>
              </w:rPr>
            </w:pPr>
            <w:r w:rsidRPr="004F5FB4">
              <w:rPr>
                <w:b/>
                <w:color w:val="000000"/>
              </w:rPr>
              <w:t>Studie HS-I</w:t>
            </w:r>
          </w:p>
        </w:tc>
        <w:tc>
          <w:tcPr>
            <w:tcW w:w="3580" w:type="dxa"/>
            <w:gridSpan w:val="2"/>
            <w:tcBorders>
              <w:top w:val="single" w:sz="4" w:space="0" w:color="auto"/>
              <w:left w:val="single" w:sz="4" w:space="0" w:color="auto"/>
              <w:bottom w:val="single" w:sz="4" w:space="0" w:color="auto"/>
              <w:right w:val="single" w:sz="4" w:space="0" w:color="auto"/>
            </w:tcBorders>
            <w:vAlign w:val="bottom"/>
            <w:hideMark/>
          </w:tcPr>
          <w:p w14:paraId="52A7ACBB" w14:textId="77777777" w:rsidR="00C46587" w:rsidRPr="004F5FB4" w:rsidRDefault="00C46587" w:rsidP="003146E9">
            <w:pPr>
              <w:keepNext/>
              <w:jc w:val="center"/>
              <w:rPr>
                <w:color w:val="000000"/>
              </w:rPr>
            </w:pPr>
            <w:r w:rsidRPr="004F5FB4">
              <w:rPr>
                <w:b/>
                <w:color w:val="000000"/>
              </w:rPr>
              <w:t>Studie HS-II</w:t>
            </w:r>
          </w:p>
        </w:tc>
      </w:tr>
      <w:tr w:rsidR="00C46587" w:rsidRPr="004F5FB4" w14:paraId="615036FF" w14:textId="77777777" w:rsidTr="00081A6C">
        <w:tc>
          <w:tcPr>
            <w:tcW w:w="2135" w:type="dxa"/>
            <w:tcBorders>
              <w:top w:val="single" w:sz="4" w:space="0" w:color="auto"/>
              <w:left w:val="single" w:sz="4" w:space="0" w:color="auto"/>
              <w:bottom w:val="single" w:sz="4" w:space="0" w:color="auto"/>
              <w:right w:val="single" w:sz="4" w:space="0" w:color="auto"/>
            </w:tcBorders>
            <w:vAlign w:val="center"/>
            <w:hideMark/>
          </w:tcPr>
          <w:p w14:paraId="0E15C8BA" w14:textId="77777777" w:rsidR="00C46587" w:rsidRPr="004F5FB4" w:rsidRDefault="00C46587" w:rsidP="003146E9">
            <w:pPr>
              <w:keepNext/>
              <w:rPr>
                <w:color w:val="000000"/>
                <w:lang w:val="en-GB"/>
              </w:rPr>
            </w:pPr>
          </w:p>
        </w:tc>
        <w:tc>
          <w:tcPr>
            <w:tcW w:w="1527" w:type="dxa"/>
            <w:tcBorders>
              <w:top w:val="single" w:sz="4" w:space="0" w:color="auto"/>
              <w:left w:val="single" w:sz="4" w:space="0" w:color="auto"/>
              <w:bottom w:val="single" w:sz="4" w:space="0" w:color="auto"/>
              <w:right w:val="single" w:sz="4" w:space="0" w:color="auto"/>
            </w:tcBorders>
            <w:vAlign w:val="bottom"/>
            <w:hideMark/>
          </w:tcPr>
          <w:p w14:paraId="74C2320D" w14:textId="77777777" w:rsidR="00C46587" w:rsidRPr="004F5FB4" w:rsidRDefault="00C46587" w:rsidP="003146E9">
            <w:pPr>
              <w:keepNext/>
              <w:jc w:val="center"/>
              <w:rPr>
                <w:b/>
                <w:color w:val="000000"/>
              </w:rPr>
            </w:pPr>
            <w:r w:rsidRPr="004F5FB4">
              <w:rPr>
                <w:b/>
                <w:color w:val="000000"/>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59071C8D" w14:textId="77777777" w:rsidR="00C46587" w:rsidRPr="004F5FB4" w:rsidRDefault="005A4709" w:rsidP="003146E9">
            <w:pPr>
              <w:keepNext/>
              <w:jc w:val="center"/>
              <w:rPr>
                <w:b/>
                <w:color w:val="000000"/>
              </w:rPr>
            </w:pPr>
            <w:r w:rsidRPr="004F5FB4">
              <w:rPr>
                <w:b/>
                <w:color w:val="000000"/>
              </w:rPr>
              <w:t>40 mg Adalimumab wöchentlich</w:t>
            </w:r>
          </w:p>
        </w:tc>
        <w:tc>
          <w:tcPr>
            <w:tcW w:w="1519" w:type="dxa"/>
            <w:tcBorders>
              <w:top w:val="single" w:sz="4" w:space="0" w:color="auto"/>
              <w:left w:val="single" w:sz="4" w:space="0" w:color="auto"/>
              <w:bottom w:val="single" w:sz="4" w:space="0" w:color="auto"/>
              <w:right w:val="single" w:sz="4" w:space="0" w:color="auto"/>
            </w:tcBorders>
            <w:vAlign w:val="bottom"/>
            <w:hideMark/>
          </w:tcPr>
          <w:p w14:paraId="00DF2292" w14:textId="77777777" w:rsidR="00C46587" w:rsidRPr="004F5FB4" w:rsidRDefault="00C46587" w:rsidP="003146E9">
            <w:pPr>
              <w:keepNext/>
              <w:jc w:val="center"/>
              <w:rPr>
                <w:b/>
                <w:color w:val="000000"/>
              </w:rPr>
            </w:pPr>
            <w:r w:rsidRPr="004F5FB4">
              <w:rPr>
                <w:b/>
                <w:color w:val="000000"/>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0B3DEA3F" w14:textId="77777777" w:rsidR="00C46587" w:rsidRPr="004F5FB4" w:rsidRDefault="005A4709" w:rsidP="003146E9">
            <w:pPr>
              <w:keepNext/>
              <w:jc w:val="center"/>
              <w:rPr>
                <w:b/>
                <w:color w:val="000000"/>
              </w:rPr>
            </w:pPr>
            <w:r w:rsidRPr="004F5FB4">
              <w:rPr>
                <w:b/>
                <w:color w:val="000000"/>
              </w:rPr>
              <w:t>40 mg Adalimumab wöchentlich</w:t>
            </w:r>
          </w:p>
        </w:tc>
      </w:tr>
      <w:tr w:rsidR="00C46587" w:rsidRPr="004F5FB4" w14:paraId="36590E61"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5D5ABE3F" w14:textId="77777777" w:rsidR="00C46587" w:rsidRPr="004F5FB4" w:rsidRDefault="00C46587" w:rsidP="003146E9">
            <w:pPr>
              <w:keepNext/>
              <w:rPr>
                <w:color w:val="000000"/>
                <w:lang w:val="en-US"/>
              </w:rPr>
            </w:pPr>
            <w:r w:rsidRPr="004F5FB4">
              <w:rPr>
                <w:color w:val="000000"/>
                <w:lang w:val="en-US"/>
              </w:rPr>
              <w:t>Hidradenitis suppurativa</w:t>
            </w:r>
          </w:p>
          <w:p w14:paraId="7D4164BA" w14:textId="77777777" w:rsidR="00C46587" w:rsidRPr="004F5FB4" w:rsidRDefault="00C46587" w:rsidP="003146E9">
            <w:pPr>
              <w:keepNext/>
              <w:rPr>
                <w:color w:val="000000"/>
                <w:lang w:val="en-US"/>
              </w:rPr>
            </w:pPr>
            <w:r w:rsidRPr="004F5FB4">
              <w:rPr>
                <w:color w:val="000000"/>
                <w:lang w:val="en-US"/>
              </w:rPr>
              <w:t>Clinical Response (</w:t>
            </w:r>
            <w:proofErr w:type="spellStart"/>
            <w:r w:rsidRPr="004F5FB4">
              <w:rPr>
                <w:color w:val="000000"/>
                <w:lang w:val="en-US"/>
              </w:rPr>
              <w:t>HiSCR</w:t>
            </w:r>
            <w:proofErr w:type="spellEnd"/>
            <w:r w:rsidRPr="004F5FB4">
              <w:rPr>
                <w:color w:val="000000"/>
                <w:lang w:val="en-US"/>
              </w:rPr>
              <w:t>)</w:t>
            </w:r>
            <w:r w:rsidRPr="004F5FB4">
              <w:rPr>
                <w:color w:val="000000"/>
                <w:vertAlign w:val="superscript"/>
                <w:lang w:val="en-US"/>
              </w:rPr>
              <w:t>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50C23EB6"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154</w:t>
            </w:r>
          </w:p>
          <w:p w14:paraId="46ECB1CB" w14:textId="77777777" w:rsidR="00C46587" w:rsidRPr="004F5FB4" w:rsidRDefault="00C46587" w:rsidP="003146E9">
            <w:pPr>
              <w:keepNext/>
              <w:jc w:val="center"/>
              <w:rPr>
                <w:color w:val="000000"/>
              </w:rPr>
            </w:pPr>
            <w:r w:rsidRPr="004F5FB4">
              <w:rPr>
                <w:color w:val="000000"/>
              </w:rPr>
              <w:t>40 (26,0 %)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016DA53F"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153</w:t>
            </w:r>
          </w:p>
          <w:p w14:paraId="666915F6" w14:textId="77777777" w:rsidR="00C46587" w:rsidRPr="004F5FB4" w:rsidRDefault="00C46587" w:rsidP="003146E9">
            <w:pPr>
              <w:keepNext/>
              <w:jc w:val="center"/>
              <w:rPr>
                <w:color w:val="000000"/>
              </w:rPr>
            </w:pPr>
            <w:r w:rsidRPr="004F5FB4">
              <w:rPr>
                <w:color w:val="000000"/>
              </w:rPr>
              <w:t>64 (41,8</w:t>
            </w:r>
            <w:r w:rsidR="00F51CF0" w:rsidRPr="004F5FB4">
              <w:rPr>
                <w:color w:val="000000"/>
              </w:rPr>
              <w:t> </w:t>
            </w:r>
            <w:r w:rsidRPr="004F5FB4">
              <w:rPr>
                <w:color w:val="000000"/>
              </w:rPr>
              <w:t>%)*</w:t>
            </w:r>
          </w:p>
        </w:tc>
        <w:tc>
          <w:tcPr>
            <w:tcW w:w="1519" w:type="dxa"/>
            <w:tcBorders>
              <w:top w:val="single" w:sz="4" w:space="0" w:color="auto"/>
              <w:left w:val="single" w:sz="4" w:space="0" w:color="auto"/>
              <w:bottom w:val="single" w:sz="4" w:space="0" w:color="auto"/>
              <w:right w:val="single" w:sz="4" w:space="0" w:color="auto"/>
            </w:tcBorders>
            <w:vAlign w:val="center"/>
            <w:hideMark/>
          </w:tcPr>
          <w:p w14:paraId="687C616C"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163</w:t>
            </w:r>
          </w:p>
          <w:p w14:paraId="06B2567D" w14:textId="77777777" w:rsidR="00C46587" w:rsidRPr="004F5FB4" w:rsidRDefault="00C46587" w:rsidP="003146E9">
            <w:pPr>
              <w:keepNext/>
              <w:jc w:val="center"/>
              <w:rPr>
                <w:color w:val="000000"/>
              </w:rPr>
            </w:pPr>
            <w:r w:rsidRPr="004F5FB4">
              <w:rPr>
                <w:color w:val="000000"/>
              </w:rPr>
              <w:t>45 (27,6 %)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02AC9C42"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163</w:t>
            </w:r>
          </w:p>
          <w:p w14:paraId="32F32ED9" w14:textId="77777777" w:rsidR="00C46587" w:rsidRPr="004F5FB4" w:rsidRDefault="00C46587" w:rsidP="003146E9">
            <w:pPr>
              <w:keepNext/>
              <w:jc w:val="center"/>
              <w:rPr>
                <w:color w:val="000000"/>
              </w:rPr>
            </w:pPr>
            <w:r w:rsidRPr="004F5FB4">
              <w:rPr>
                <w:color w:val="000000"/>
              </w:rPr>
              <w:t>96 (58,9</w:t>
            </w:r>
            <w:r w:rsidR="00F51CF0" w:rsidRPr="004F5FB4">
              <w:rPr>
                <w:color w:val="000000"/>
              </w:rPr>
              <w:t> </w:t>
            </w:r>
            <w:r w:rsidRPr="004F5FB4">
              <w:rPr>
                <w:color w:val="000000"/>
              </w:rPr>
              <w:t>%)***</w:t>
            </w:r>
          </w:p>
        </w:tc>
      </w:tr>
      <w:tr w:rsidR="00C46587" w:rsidRPr="004F5FB4" w14:paraId="521A0740"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11897E07" w14:textId="77777777" w:rsidR="00C46587" w:rsidRPr="004F5FB4" w:rsidRDefault="00C46587" w:rsidP="00D4051F">
            <w:pPr>
              <w:keepNext/>
              <w:rPr>
                <w:color w:val="000000"/>
              </w:rPr>
            </w:pPr>
            <w:r w:rsidRPr="004F5FB4">
              <w:rPr>
                <w:color w:val="000000"/>
              </w:rPr>
              <w:t>≥ 30%ige Verringerung der Hautschmerzen</w:t>
            </w:r>
            <w:r w:rsidRPr="004F5FB4">
              <w:rPr>
                <w:color w:val="000000"/>
                <w:vertAlign w:val="superscript"/>
              </w:rPr>
              <w:t>b</w:t>
            </w:r>
          </w:p>
        </w:tc>
        <w:tc>
          <w:tcPr>
            <w:tcW w:w="1527" w:type="dxa"/>
            <w:tcBorders>
              <w:top w:val="single" w:sz="4" w:space="0" w:color="auto"/>
              <w:left w:val="single" w:sz="4" w:space="0" w:color="auto"/>
              <w:bottom w:val="single" w:sz="4" w:space="0" w:color="auto"/>
              <w:right w:val="single" w:sz="4" w:space="0" w:color="auto"/>
            </w:tcBorders>
            <w:vAlign w:val="center"/>
            <w:hideMark/>
          </w:tcPr>
          <w:p w14:paraId="62B47D66"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109</w:t>
            </w:r>
          </w:p>
          <w:p w14:paraId="413BAE5C" w14:textId="77777777" w:rsidR="00C46587" w:rsidRPr="004F5FB4" w:rsidRDefault="00C46587" w:rsidP="003146E9">
            <w:pPr>
              <w:keepNext/>
              <w:jc w:val="center"/>
              <w:rPr>
                <w:color w:val="000000"/>
              </w:rPr>
            </w:pPr>
            <w:r w:rsidRPr="004F5FB4">
              <w:rPr>
                <w:color w:val="000000"/>
              </w:rPr>
              <w:t>27 (24,8 %)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299CE660"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122</w:t>
            </w:r>
          </w:p>
          <w:p w14:paraId="033EBA62" w14:textId="77777777" w:rsidR="00C46587" w:rsidRPr="004F5FB4" w:rsidRDefault="00C46587" w:rsidP="003146E9">
            <w:pPr>
              <w:keepNext/>
              <w:jc w:val="center"/>
              <w:rPr>
                <w:color w:val="000000"/>
              </w:rPr>
            </w:pPr>
            <w:r w:rsidRPr="004F5FB4">
              <w:rPr>
                <w:color w:val="000000"/>
              </w:rPr>
              <w:t>34 (27,9 %)</w:t>
            </w:r>
          </w:p>
        </w:tc>
        <w:tc>
          <w:tcPr>
            <w:tcW w:w="1519" w:type="dxa"/>
            <w:tcBorders>
              <w:top w:val="single" w:sz="4" w:space="0" w:color="auto"/>
              <w:left w:val="single" w:sz="4" w:space="0" w:color="auto"/>
              <w:bottom w:val="single" w:sz="4" w:space="0" w:color="auto"/>
              <w:right w:val="single" w:sz="4" w:space="0" w:color="auto"/>
            </w:tcBorders>
            <w:vAlign w:val="center"/>
            <w:hideMark/>
          </w:tcPr>
          <w:p w14:paraId="1880FC59"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111</w:t>
            </w:r>
          </w:p>
          <w:p w14:paraId="275DA566" w14:textId="77777777" w:rsidR="00C46587" w:rsidRPr="004F5FB4" w:rsidRDefault="00C46587" w:rsidP="003146E9">
            <w:pPr>
              <w:keepNext/>
              <w:jc w:val="center"/>
              <w:rPr>
                <w:color w:val="000000"/>
              </w:rPr>
            </w:pPr>
            <w:r w:rsidRPr="004F5FB4">
              <w:rPr>
                <w:color w:val="000000"/>
              </w:rPr>
              <w:t>23 (20,7 %)</w:t>
            </w:r>
          </w:p>
        </w:tc>
        <w:tc>
          <w:tcPr>
            <w:tcW w:w="2061" w:type="dxa"/>
            <w:tcBorders>
              <w:top w:val="single" w:sz="4" w:space="0" w:color="auto"/>
              <w:left w:val="single" w:sz="4" w:space="0" w:color="auto"/>
              <w:bottom w:val="single" w:sz="4" w:space="0" w:color="auto"/>
              <w:right w:val="single" w:sz="4" w:space="0" w:color="auto"/>
            </w:tcBorders>
            <w:vAlign w:val="center"/>
            <w:hideMark/>
          </w:tcPr>
          <w:p w14:paraId="4E9EF3F9" w14:textId="77777777" w:rsidR="00C46587" w:rsidRPr="004F5FB4" w:rsidRDefault="00C46587" w:rsidP="003146E9">
            <w:pPr>
              <w:keepNext/>
              <w:jc w:val="center"/>
              <w:rPr>
                <w:color w:val="000000"/>
              </w:rPr>
            </w:pPr>
            <w:r w:rsidRPr="004F5FB4">
              <w:rPr>
                <w:color w:val="000000"/>
              </w:rPr>
              <w:t>n</w:t>
            </w:r>
            <w:r w:rsidR="004256C6" w:rsidRPr="004F5FB4">
              <w:rPr>
                <w:color w:val="000000"/>
              </w:rPr>
              <w:t> </w:t>
            </w:r>
            <w:r w:rsidRPr="004F5FB4">
              <w:rPr>
                <w:color w:val="000000"/>
              </w:rPr>
              <w:t>=</w:t>
            </w:r>
            <w:r w:rsidR="004256C6" w:rsidRPr="004F5FB4">
              <w:rPr>
                <w:color w:val="000000"/>
              </w:rPr>
              <w:t> </w:t>
            </w:r>
            <w:r w:rsidRPr="004F5FB4">
              <w:rPr>
                <w:color w:val="000000"/>
              </w:rPr>
              <w:t>105</w:t>
            </w:r>
          </w:p>
          <w:p w14:paraId="430280F5" w14:textId="77777777" w:rsidR="00C46587" w:rsidRPr="004F5FB4" w:rsidRDefault="00C46587" w:rsidP="003146E9">
            <w:pPr>
              <w:keepNext/>
              <w:jc w:val="center"/>
              <w:rPr>
                <w:color w:val="000000"/>
              </w:rPr>
            </w:pPr>
            <w:r w:rsidRPr="004F5FB4">
              <w:rPr>
                <w:color w:val="000000"/>
              </w:rPr>
              <w:t>48 (45,7</w:t>
            </w:r>
            <w:r w:rsidR="00F51CF0" w:rsidRPr="004F5FB4">
              <w:rPr>
                <w:color w:val="000000"/>
              </w:rPr>
              <w:t> </w:t>
            </w:r>
            <w:r w:rsidRPr="004F5FB4">
              <w:rPr>
                <w:color w:val="000000"/>
              </w:rPr>
              <w:t>%)***</w:t>
            </w:r>
          </w:p>
        </w:tc>
      </w:tr>
      <w:tr w:rsidR="00081A6C" w:rsidRPr="004F5FB4" w14:paraId="1AF747D0" w14:textId="77777777" w:rsidTr="00081A6C">
        <w:tc>
          <w:tcPr>
            <w:tcW w:w="9303" w:type="dxa"/>
            <w:gridSpan w:val="5"/>
            <w:tcBorders>
              <w:top w:val="single" w:sz="4" w:space="0" w:color="auto"/>
              <w:left w:val="nil"/>
              <w:bottom w:val="nil"/>
              <w:right w:val="nil"/>
            </w:tcBorders>
          </w:tcPr>
          <w:p w14:paraId="4B9510B2" w14:textId="77777777" w:rsidR="00081A6C" w:rsidRPr="00206AEA" w:rsidRDefault="00081A6C" w:rsidP="003146E9">
            <w:pPr>
              <w:keepNext/>
              <w:ind w:left="270" w:hanging="270"/>
              <w:rPr>
                <w:color w:val="000000"/>
                <w:sz w:val="20"/>
              </w:rPr>
            </w:pPr>
            <w:r w:rsidRPr="00206AEA">
              <w:rPr>
                <w:color w:val="000000"/>
                <w:sz w:val="20"/>
              </w:rPr>
              <w:t>* p &lt; 0,05, *** p &lt; 0,001, Adalimumab gegenüber Placebo</w:t>
            </w:r>
          </w:p>
          <w:p w14:paraId="30AE4C77" w14:textId="77777777" w:rsidR="00081A6C" w:rsidRPr="00206AEA" w:rsidRDefault="00081A6C" w:rsidP="003146E9">
            <w:pPr>
              <w:keepNext/>
              <w:ind w:left="270" w:hanging="270"/>
              <w:rPr>
                <w:color w:val="000000"/>
                <w:sz w:val="20"/>
              </w:rPr>
            </w:pPr>
            <w:r w:rsidRPr="00206AEA">
              <w:rPr>
                <w:color w:val="000000"/>
                <w:sz w:val="20"/>
                <w:vertAlign w:val="superscript"/>
              </w:rPr>
              <w:t>a</w:t>
            </w:r>
            <w:r w:rsidRPr="00206AEA">
              <w:rPr>
                <w:color w:val="000000"/>
                <w:sz w:val="20"/>
              </w:rPr>
              <w:tab/>
              <w:t>Unter allen randomisierten Patienten</w:t>
            </w:r>
          </w:p>
          <w:p w14:paraId="29B835DE" w14:textId="77777777" w:rsidR="00081A6C" w:rsidRPr="00206AEA" w:rsidRDefault="00081A6C" w:rsidP="00D4051F">
            <w:pPr>
              <w:keepNext/>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Unter den Patienten mit einer anfänglichen Einstufung der HS-bezogenen Hautschmerzen ≥</w:t>
            </w:r>
            <w:r w:rsidR="00F51CF0" w:rsidRPr="00206AEA">
              <w:rPr>
                <w:color w:val="000000"/>
                <w:sz w:val="20"/>
              </w:rPr>
              <w:t> </w:t>
            </w:r>
            <w:r w:rsidRPr="00206AEA">
              <w:rPr>
                <w:color w:val="000000"/>
                <w:sz w:val="20"/>
              </w:rPr>
              <w:t>3 auf Basis einer numerischen Bewertungsskala von 0 bis 10; 0</w:t>
            </w:r>
            <w:r w:rsidR="004256C6" w:rsidRPr="00206AEA">
              <w:rPr>
                <w:color w:val="000000"/>
                <w:sz w:val="20"/>
              </w:rPr>
              <w:t> </w:t>
            </w:r>
            <w:r w:rsidRPr="00206AEA">
              <w:rPr>
                <w:color w:val="000000"/>
                <w:sz w:val="20"/>
              </w:rPr>
              <w:t>=</w:t>
            </w:r>
            <w:r w:rsidR="004256C6" w:rsidRPr="00206AEA">
              <w:rPr>
                <w:color w:val="000000"/>
                <w:sz w:val="20"/>
              </w:rPr>
              <w:t> </w:t>
            </w:r>
            <w:r w:rsidRPr="00206AEA">
              <w:rPr>
                <w:color w:val="000000"/>
                <w:sz w:val="20"/>
              </w:rPr>
              <w:t>keine Hautschmerzen, 10</w:t>
            </w:r>
            <w:r w:rsidR="004256C6" w:rsidRPr="00206AEA">
              <w:rPr>
                <w:color w:val="000000"/>
                <w:sz w:val="20"/>
              </w:rPr>
              <w:t> </w:t>
            </w:r>
            <w:r w:rsidRPr="00206AEA">
              <w:rPr>
                <w:color w:val="000000"/>
                <w:sz w:val="20"/>
              </w:rPr>
              <w:t>=</w:t>
            </w:r>
            <w:r w:rsidR="004256C6" w:rsidRPr="00206AEA">
              <w:rPr>
                <w:color w:val="000000"/>
                <w:sz w:val="20"/>
              </w:rPr>
              <w:t> </w:t>
            </w:r>
            <w:r w:rsidRPr="00206AEA">
              <w:rPr>
                <w:color w:val="000000"/>
                <w:sz w:val="20"/>
              </w:rPr>
              <w:t>die schlimmsten vorstellbaren Hautschmerzen.</w:t>
            </w:r>
          </w:p>
        </w:tc>
      </w:tr>
    </w:tbl>
    <w:p w14:paraId="1B8AB8F4" w14:textId="77777777" w:rsidR="00C46587" w:rsidRPr="004F5FB4" w:rsidRDefault="00C46587" w:rsidP="00982118">
      <w:pPr>
        <w:rPr>
          <w:color w:val="000000"/>
        </w:rPr>
      </w:pPr>
    </w:p>
    <w:p w14:paraId="33E61992" w14:textId="77777777" w:rsidR="00C46587" w:rsidRPr="004F5FB4" w:rsidRDefault="00C46587" w:rsidP="00982118">
      <w:pPr>
        <w:rPr>
          <w:color w:val="000000"/>
        </w:rPr>
      </w:pPr>
      <w:r w:rsidRPr="004F5FB4">
        <w:rPr>
          <w:color w:val="000000"/>
        </w:rPr>
        <w:t>Die Behandlung mit 40 mg Adalimumab wöchentlich führte zu einer signifikanten Verringerung des Risikos einer Verschlimmerung von Abszessen und drainierenden Fisteln. Etwa doppelt so viele Patienten in der Placebogruppe wiesen im Vergleich zur Adalimumab-Gruppe in den ersten 12</w:t>
      </w:r>
      <w:r w:rsidR="00F51CF0" w:rsidRPr="004F5FB4">
        <w:rPr>
          <w:color w:val="000000"/>
        </w:rPr>
        <w:t> </w:t>
      </w:r>
      <w:r w:rsidRPr="004F5FB4">
        <w:rPr>
          <w:color w:val="000000"/>
        </w:rPr>
        <w:t>Wochen der Studien</w:t>
      </w:r>
      <w:r w:rsidR="00C87E4B" w:rsidRPr="004F5FB4">
        <w:rPr>
          <w:color w:val="000000"/>
        </w:rPr>
        <w:t> </w:t>
      </w:r>
      <w:r w:rsidRPr="004F5FB4">
        <w:rPr>
          <w:color w:val="000000"/>
        </w:rPr>
        <w:t>HS</w:t>
      </w:r>
      <w:r w:rsidRPr="004F5FB4">
        <w:rPr>
          <w:color w:val="000000"/>
        </w:rPr>
        <w:noBreakHyphen/>
        <w:t>I und HS</w:t>
      </w:r>
      <w:r w:rsidRPr="004F5FB4">
        <w:rPr>
          <w:color w:val="000000"/>
        </w:rPr>
        <w:noBreakHyphen/>
        <w:t xml:space="preserve">II eine Verschlimmerung der Abszesse (23,0 % gegenüber 11,4 %) und drainierenden Fisteln (30,0 % gegenüber 13,9 %) auf. </w:t>
      </w:r>
    </w:p>
    <w:p w14:paraId="1D6FC0F8" w14:textId="77777777" w:rsidR="00C46587" w:rsidRPr="004F5FB4" w:rsidRDefault="00C46587" w:rsidP="00982118">
      <w:pPr>
        <w:rPr>
          <w:color w:val="000000"/>
        </w:rPr>
      </w:pPr>
    </w:p>
    <w:p w14:paraId="634AB625" w14:textId="77777777" w:rsidR="00C46587" w:rsidRPr="004F5FB4" w:rsidRDefault="00C46587" w:rsidP="00982118">
      <w:pPr>
        <w:rPr>
          <w:color w:val="000000"/>
        </w:rPr>
      </w:pPr>
      <w:r w:rsidRPr="004F5FB4">
        <w:rPr>
          <w:color w:val="000000"/>
        </w:rPr>
        <w:t>In Woche 12 wurden gegenüber den Ausgangswerten im Vergleich zu Placebo größere Verbesserungen hinsichtlich der anhand des Dermatology Life Quality Index (DLQI; Studie HS</w:t>
      </w:r>
      <w:r w:rsidRPr="004F5FB4">
        <w:rPr>
          <w:color w:val="000000"/>
        </w:rPr>
        <w:noBreakHyphen/>
        <w:t>I und HS</w:t>
      </w:r>
      <w:r w:rsidRPr="004F5FB4">
        <w:rPr>
          <w:color w:val="000000"/>
        </w:rPr>
        <w:noBreakHyphen/>
        <w:t>II) gemessenen hautspezifischen gesundheitsbezogenen Lebensqualität, der anhand des Treatment Satisfaction Questionnaire – Medication (TSQM; Studie</w:t>
      </w:r>
      <w:r w:rsidR="00B24C80" w:rsidRPr="004F5FB4">
        <w:rPr>
          <w:color w:val="000000"/>
        </w:rPr>
        <w:t> </w:t>
      </w:r>
      <w:r w:rsidRPr="004F5FB4">
        <w:rPr>
          <w:color w:val="000000"/>
        </w:rPr>
        <w:t>HS</w:t>
      </w:r>
      <w:r w:rsidRPr="004F5FB4">
        <w:rPr>
          <w:color w:val="000000"/>
        </w:rPr>
        <w:noBreakHyphen/>
        <w:t>I und HS</w:t>
      </w:r>
      <w:r w:rsidRPr="004F5FB4">
        <w:rPr>
          <w:color w:val="000000"/>
        </w:rPr>
        <w:noBreakHyphen/>
        <w:t xml:space="preserve">II) gemessenen allgemeinen Zufriedenheit der Patienten mit der medikamentösen Behandlung und der anhand des Physical </w:t>
      </w:r>
      <w:r w:rsidRPr="004F5FB4">
        <w:rPr>
          <w:color w:val="000000"/>
        </w:rPr>
        <w:lastRenderedPageBreak/>
        <w:t>Component Summary Score des SF</w:t>
      </w:r>
      <w:r w:rsidRPr="004F5FB4">
        <w:rPr>
          <w:color w:val="000000"/>
        </w:rPr>
        <w:noBreakHyphen/>
        <w:t>36-Fragebogens (Studie</w:t>
      </w:r>
      <w:r w:rsidR="00B24C80" w:rsidRPr="004F5FB4">
        <w:rPr>
          <w:color w:val="000000"/>
        </w:rPr>
        <w:t> </w:t>
      </w:r>
      <w:r w:rsidRPr="004F5FB4">
        <w:rPr>
          <w:color w:val="000000"/>
        </w:rPr>
        <w:t>HS</w:t>
      </w:r>
      <w:r w:rsidRPr="004F5FB4">
        <w:rPr>
          <w:color w:val="000000"/>
        </w:rPr>
        <w:noBreakHyphen/>
        <w:t>I) gemessenen körperlichen Gesundheit festgestellt.</w:t>
      </w:r>
    </w:p>
    <w:p w14:paraId="443A914B" w14:textId="77777777" w:rsidR="00C46587" w:rsidRPr="004F5FB4" w:rsidRDefault="00C46587" w:rsidP="00982118">
      <w:pPr>
        <w:rPr>
          <w:color w:val="000000"/>
        </w:rPr>
      </w:pPr>
    </w:p>
    <w:p w14:paraId="15E4BAA6" w14:textId="77777777" w:rsidR="00C46587" w:rsidRPr="004F5FB4" w:rsidRDefault="00C46587" w:rsidP="00982118">
      <w:pPr>
        <w:rPr>
          <w:color w:val="000000"/>
        </w:rPr>
      </w:pPr>
      <w:r w:rsidRPr="004F5FB4">
        <w:rPr>
          <w:color w:val="000000"/>
        </w:rPr>
        <w:t>Unter den Patienten, die in Woche</w:t>
      </w:r>
      <w:r w:rsidR="00F51CF0" w:rsidRPr="004F5FB4">
        <w:rPr>
          <w:color w:val="000000"/>
        </w:rPr>
        <w:t> </w:t>
      </w:r>
      <w:r w:rsidRPr="004F5FB4">
        <w:rPr>
          <w:color w:val="000000"/>
        </w:rPr>
        <w:t>12 mindestens teilweise auf die Behandlung mit 40 mg Adalimumab wöchentlich angesprochen haben, war die HiSCR-Rate in Woche</w:t>
      </w:r>
      <w:r w:rsidR="00F51CF0" w:rsidRPr="004F5FB4">
        <w:rPr>
          <w:color w:val="000000"/>
        </w:rPr>
        <w:t> </w:t>
      </w:r>
      <w:r w:rsidRPr="004F5FB4">
        <w:rPr>
          <w:color w:val="000000"/>
        </w:rPr>
        <w:t>36 höher bei Patienten, die weiterhin wöchentlich mit Adalimumab behandelt wurden, als bei Patienten, deren Dosisintervall auf jede zweite Woche verlängert wurde oder bei denen die Behandlung abgesetzt wurde (siehe Tabelle</w:t>
      </w:r>
      <w:r w:rsidR="00F51CF0" w:rsidRPr="004F5FB4">
        <w:rPr>
          <w:color w:val="000000"/>
        </w:rPr>
        <w:t> </w:t>
      </w:r>
      <w:r w:rsidR="00DA4438">
        <w:rPr>
          <w:color w:val="000000"/>
        </w:rPr>
        <w:t>16</w:t>
      </w:r>
      <w:r w:rsidRPr="004F5FB4">
        <w:rPr>
          <w:color w:val="000000"/>
        </w:rPr>
        <w:t>).</w:t>
      </w:r>
    </w:p>
    <w:p w14:paraId="02D921F7" w14:textId="77777777" w:rsidR="00C46587" w:rsidRPr="004F5FB4" w:rsidRDefault="00C46587" w:rsidP="00982118">
      <w:pPr>
        <w:rPr>
          <w:color w:val="000000"/>
        </w:rPr>
      </w:pPr>
    </w:p>
    <w:p w14:paraId="5EF8A1EC" w14:textId="77777777" w:rsidR="00534661" w:rsidRPr="004F5FB4" w:rsidRDefault="00C46587" w:rsidP="00687087">
      <w:pPr>
        <w:rPr>
          <w:b/>
          <w:color w:val="000000"/>
        </w:rPr>
      </w:pPr>
      <w:r w:rsidRPr="004F5FB4">
        <w:rPr>
          <w:b/>
          <w:color w:val="000000"/>
        </w:rPr>
        <w:t>Tabelle</w:t>
      </w:r>
      <w:r w:rsidR="00DA4438">
        <w:rPr>
          <w:b/>
          <w:color w:val="000000"/>
        </w:rPr>
        <w:t> 16</w:t>
      </w:r>
      <w:r w:rsidRPr="004F5FB4">
        <w:rPr>
          <w:b/>
          <w:color w:val="000000"/>
        </w:rPr>
        <w:t xml:space="preserve"> </w:t>
      </w:r>
    </w:p>
    <w:p w14:paraId="0368C67D" w14:textId="77777777" w:rsidR="00C46587" w:rsidRPr="004F5FB4" w:rsidRDefault="00C46587" w:rsidP="00687087">
      <w:pPr>
        <w:rPr>
          <w:b/>
          <w:color w:val="000000"/>
        </w:rPr>
      </w:pPr>
      <w:r w:rsidRPr="004F5FB4">
        <w:rPr>
          <w:b/>
          <w:color w:val="000000"/>
        </w:rPr>
        <w:t>Anteil der Patienten</w:t>
      </w:r>
      <w:r w:rsidRPr="004F5FB4">
        <w:rPr>
          <w:b/>
          <w:color w:val="000000"/>
          <w:vertAlign w:val="superscript"/>
        </w:rPr>
        <w:t>a</w:t>
      </w:r>
      <w:r w:rsidRPr="004F5FB4">
        <w:rPr>
          <w:b/>
          <w:color w:val="000000"/>
        </w:rPr>
        <w:t xml:space="preserve"> unter wöchentlicher Behandlung mit Adalimumab in Woche 12, die nach Neuzuweisung der Behandlung HiSCR</w:t>
      </w:r>
      <w:r w:rsidRPr="004F5FB4">
        <w:rPr>
          <w:b/>
          <w:color w:val="000000"/>
          <w:vertAlign w:val="superscript"/>
        </w:rPr>
        <w:t>b</w:t>
      </w:r>
      <w:r w:rsidRPr="004F5FB4">
        <w:rPr>
          <w:b/>
          <w:color w:val="000000"/>
        </w:rPr>
        <w:t xml:space="preserve"> in Woche</w:t>
      </w:r>
      <w:r w:rsidR="00F51CF0" w:rsidRPr="004F5FB4">
        <w:rPr>
          <w:b/>
          <w:color w:val="000000"/>
        </w:rPr>
        <w:t> </w:t>
      </w:r>
      <w:r w:rsidRPr="004F5FB4">
        <w:rPr>
          <w:b/>
          <w:color w:val="000000"/>
        </w:rPr>
        <w:t>24</w:t>
      </w:r>
      <w:r w:rsidR="00F51CF0" w:rsidRPr="004F5FB4">
        <w:rPr>
          <w:b/>
          <w:color w:val="000000"/>
        </w:rPr>
        <w:t xml:space="preserve"> </w:t>
      </w:r>
      <w:r w:rsidRPr="004F5FB4">
        <w:rPr>
          <w:b/>
          <w:color w:val="000000"/>
        </w:rPr>
        <w:t>und 36 erreichten</w:t>
      </w:r>
    </w:p>
    <w:p w14:paraId="6593552B" w14:textId="77777777" w:rsidR="00C46587" w:rsidRPr="004F5FB4" w:rsidRDefault="00C46587" w:rsidP="00982118">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2381"/>
        <w:gridCol w:w="2239"/>
        <w:gridCol w:w="2239"/>
      </w:tblGrid>
      <w:tr w:rsidR="00C46587" w:rsidRPr="004F5FB4" w14:paraId="0570B7C4" w14:textId="77777777">
        <w:tc>
          <w:tcPr>
            <w:tcW w:w="2325" w:type="dxa"/>
            <w:tcBorders>
              <w:top w:val="single" w:sz="4" w:space="0" w:color="auto"/>
              <w:left w:val="single" w:sz="4" w:space="0" w:color="auto"/>
              <w:bottom w:val="single" w:sz="4" w:space="0" w:color="auto"/>
              <w:right w:val="single" w:sz="4" w:space="0" w:color="auto"/>
            </w:tcBorders>
            <w:vAlign w:val="center"/>
          </w:tcPr>
          <w:p w14:paraId="60372F75" w14:textId="77777777" w:rsidR="00C46587" w:rsidRPr="004F5FB4" w:rsidRDefault="00C46587" w:rsidP="00982118">
            <w:pPr>
              <w:jc w:val="center"/>
              <w:rPr>
                <w:b/>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4024775E" w14:textId="77777777" w:rsidR="00C46587" w:rsidRPr="004F5FB4" w:rsidRDefault="00C46587" w:rsidP="00982118">
            <w:pPr>
              <w:jc w:val="center"/>
              <w:rPr>
                <w:b/>
                <w:color w:val="000000"/>
              </w:rPr>
            </w:pPr>
            <w:r w:rsidRPr="004F5FB4">
              <w:rPr>
                <w:b/>
                <w:color w:val="000000"/>
              </w:rPr>
              <w:t>Placebo</w:t>
            </w:r>
          </w:p>
          <w:p w14:paraId="52041F26" w14:textId="77777777" w:rsidR="00C46587" w:rsidRPr="004F5FB4" w:rsidRDefault="00C46587" w:rsidP="00982118">
            <w:pPr>
              <w:jc w:val="center"/>
              <w:rPr>
                <w:b/>
                <w:color w:val="000000"/>
              </w:rPr>
            </w:pPr>
            <w:r w:rsidRPr="004F5FB4">
              <w:rPr>
                <w:b/>
                <w:color w:val="000000"/>
              </w:rPr>
              <w:t>(Behandlungsabbruch)</w:t>
            </w:r>
          </w:p>
          <w:p w14:paraId="032BD205" w14:textId="77777777" w:rsidR="00C46587" w:rsidRPr="004F5FB4" w:rsidRDefault="00C46587" w:rsidP="00982118">
            <w:pPr>
              <w:jc w:val="center"/>
              <w:rPr>
                <w:b/>
                <w:color w:val="000000"/>
              </w:rPr>
            </w:pPr>
            <w:r w:rsidRPr="004F5FB4">
              <w:rPr>
                <w:b/>
                <w:color w:val="000000"/>
              </w:rPr>
              <w:t>n</w:t>
            </w:r>
            <w:r w:rsidR="004256C6" w:rsidRPr="004F5FB4">
              <w:rPr>
                <w:b/>
                <w:color w:val="000000"/>
              </w:rPr>
              <w:t> </w:t>
            </w:r>
            <w:r w:rsidRPr="004F5FB4">
              <w:rPr>
                <w:b/>
                <w:color w:val="000000"/>
              </w:rPr>
              <w:t>=</w:t>
            </w:r>
            <w:r w:rsidR="004256C6" w:rsidRPr="004F5FB4">
              <w:rPr>
                <w:b/>
                <w:color w:val="000000"/>
              </w:rPr>
              <w:t> </w:t>
            </w:r>
            <w:r w:rsidRPr="004F5FB4">
              <w:rPr>
                <w:b/>
                <w:color w:val="000000"/>
              </w:rPr>
              <w:t>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324BBCB" w14:textId="77777777" w:rsidR="00C46587" w:rsidRPr="004F5FB4" w:rsidRDefault="005A4709" w:rsidP="00982118">
            <w:pPr>
              <w:jc w:val="center"/>
              <w:rPr>
                <w:b/>
                <w:color w:val="000000"/>
              </w:rPr>
            </w:pPr>
            <w:r w:rsidRPr="004F5FB4">
              <w:rPr>
                <w:b/>
                <w:color w:val="000000"/>
              </w:rPr>
              <w:t>40 mg Adalimumab</w:t>
            </w:r>
          </w:p>
          <w:p w14:paraId="73453A81" w14:textId="77777777" w:rsidR="00C46587" w:rsidRPr="004F5FB4" w:rsidRDefault="00C46587" w:rsidP="00982118">
            <w:pPr>
              <w:jc w:val="center"/>
              <w:rPr>
                <w:b/>
                <w:color w:val="000000"/>
              </w:rPr>
            </w:pPr>
            <w:r w:rsidRPr="004F5FB4">
              <w:rPr>
                <w:b/>
                <w:color w:val="000000"/>
              </w:rPr>
              <w:t>jede zweite Woche</w:t>
            </w:r>
          </w:p>
          <w:p w14:paraId="41E25CF3" w14:textId="77777777" w:rsidR="00C46587" w:rsidRPr="004F5FB4" w:rsidRDefault="00C46587" w:rsidP="00982118">
            <w:pPr>
              <w:jc w:val="center"/>
              <w:rPr>
                <w:b/>
                <w:color w:val="000000"/>
              </w:rPr>
            </w:pPr>
            <w:r w:rsidRPr="004F5FB4">
              <w:rPr>
                <w:b/>
                <w:color w:val="000000"/>
              </w:rPr>
              <w:t>n</w:t>
            </w:r>
            <w:r w:rsidR="004256C6" w:rsidRPr="004F5FB4">
              <w:rPr>
                <w:b/>
                <w:color w:val="000000"/>
              </w:rPr>
              <w:t> </w:t>
            </w:r>
            <w:r w:rsidRPr="004F5FB4">
              <w:rPr>
                <w:b/>
                <w:color w:val="000000"/>
              </w:rPr>
              <w:t>=</w:t>
            </w:r>
            <w:r w:rsidR="004256C6" w:rsidRPr="004F5FB4">
              <w:rPr>
                <w:b/>
                <w:color w:val="000000"/>
              </w:rPr>
              <w:t> </w:t>
            </w:r>
            <w:r w:rsidRPr="004F5FB4">
              <w:rPr>
                <w:b/>
                <w:color w:val="000000"/>
              </w:rPr>
              <w:t>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414BA4F" w14:textId="77777777" w:rsidR="00C46587" w:rsidRPr="004F5FB4" w:rsidRDefault="005A4709" w:rsidP="00982118">
            <w:pPr>
              <w:jc w:val="center"/>
              <w:rPr>
                <w:b/>
                <w:color w:val="000000"/>
              </w:rPr>
            </w:pPr>
            <w:r w:rsidRPr="004F5FB4">
              <w:rPr>
                <w:b/>
                <w:color w:val="000000"/>
              </w:rPr>
              <w:t>40 mg Adalimumab</w:t>
            </w:r>
          </w:p>
          <w:p w14:paraId="4A3C2EFB" w14:textId="77777777" w:rsidR="00C46587" w:rsidRPr="004F5FB4" w:rsidRDefault="00C46587" w:rsidP="00982118">
            <w:pPr>
              <w:jc w:val="center"/>
              <w:rPr>
                <w:b/>
                <w:color w:val="000000"/>
              </w:rPr>
            </w:pPr>
            <w:r w:rsidRPr="004F5FB4">
              <w:rPr>
                <w:b/>
                <w:color w:val="000000"/>
              </w:rPr>
              <w:t>wöchentlich</w:t>
            </w:r>
          </w:p>
          <w:p w14:paraId="01E33B90" w14:textId="77777777" w:rsidR="00C46587" w:rsidRPr="004F5FB4" w:rsidRDefault="00C46587" w:rsidP="00982118">
            <w:pPr>
              <w:jc w:val="center"/>
              <w:rPr>
                <w:b/>
                <w:color w:val="000000"/>
              </w:rPr>
            </w:pPr>
            <w:r w:rsidRPr="004F5FB4">
              <w:rPr>
                <w:b/>
                <w:color w:val="000000"/>
              </w:rPr>
              <w:t>n</w:t>
            </w:r>
            <w:r w:rsidR="004256C6" w:rsidRPr="004F5FB4">
              <w:rPr>
                <w:b/>
                <w:color w:val="000000"/>
              </w:rPr>
              <w:t> </w:t>
            </w:r>
            <w:r w:rsidRPr="004F5FB4">
              <w:rPr>
                <w:b/>
                <w:color w:val="000000"/>
              </w:rPr>
              <w:t>=</w:t>
            </w:r>
            <w:r w:rsidR="004256C6" w:rsidRPr="004F5FB4">
              <w:rPr>
                <w:b/>
                <w:color w:val="000000"/>
              </w:rPr>
              <w:t> </w:t>
            </w:r>
            <w:r w:rsidRPr="004F5FB4">
              <w:rPr>
                <w:b/>
                <w:color w:val="000000"/>
              </w:rPr>
              <w:t>70</w:t>
            </w:r>
          </w:p>
        </w:tc>
      </w:tr>
      <w:tr w:rsidR="00C46587" w:rsidRPr="004F5FB4" w14:paraId="5C2F284F" w14:textId="77777777">
        <w:tc>
          <w:tcPr>
            <w:tcW w:w="2325" w:type="dxa"/>
            <w:tcBorders>
              <w:top w:val="single" w:sz="4" w:space="0" w:color="auto"/>
              <w:left w:val="single" w:sz="4" w:space="0" w:color="auto"/>
              <w:bottom w:val="single" w:sz="4" w:space="0" w:color="auto"/>
              <w:right w:val="single" w:sz="4" w:space="0" w:color="auto"/>
            </w:tcBorders>
            <w:hideMark/>
          </w:tcPr>
          <w:p w14:paraId="50469360" w14:textId="77777777" w:rsidR="00C46587" w:rsidRPr="004F5FB4" w:rsidRDefault="00C46587" w:rsidP="00982118">
            <w:pPr>
              <w:rPr>
                <w:color w:val="000000"/>
              </w:rPr>
            </w:pPr>
            <w:r w:rsidRPr="004F5FB4">
              <w:rPr>
                <w:color w:val="000000"/>
              </w:rPr>
              <w:t>Woche</w:t>
            </w:r>
            <w:r w:rsidR="004256C6" w:rsidRPr="004F5FB4">
              <w:rPr>
                <w:color w:val="000000"/>
              </w:rPr>
              <w:t> </w:t>
            </w:r>
            <w:r w:rsidRPr="004F5FB4">
              <w:rPr>
                <w:color w:val="000000"/>
              </w:rPr>
              <w:t>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E90AB0C" w14:textId="77777777" w:rsidR="00C46587" w:rsidRPr="004F5FB4" w:rsidRDefault="00C46587" w:rsidP="00982118">
            <w:pPr>
              <w:jc w:val="center"/>
              <w:rPr>
                <w:color w:val="000000"/>
              </w:rPr>
            </w:pPr>
            <w:r w:rsidRPr="004F5FB4">
              <w:rPr>
                <w:color w:val="000000"/>
              </w:rPr>
              <w:t>24 (32,9 %)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FECC77" w14:textId="77777777" w:rsidR="00C46587" w:rsidRPr="004F5FB4" w:rsidRDefault="00C46587" w:rsidP="00982118">
            <w:pPr>
              <w:jc w:val="center"/>
              <w:rPr>
                <w:color w:val="000000"/>
              </w:rPr>
            </w:pPr>
            <w:r w:rsidRPr="004F5FB4">
              <w:rPr>
                <w:color w:val="000000"/>
              </w:rPr>
              <w:t>36 (51,4 %)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FF6DAA8" w14:textId="77777777" w:rsidR="00C46587" w:rsidRPr="004F5FB4" w:rsidRDefault="00C46587" w:rsidP="00982118">
            <w:pPr>
              <w:jc w:val="center"/>
              <w:rPr>
                <w:color w:val="000000"/>
              </w:rPr>
            </w:pPr>
            <w:r w:rsidRPr="004F5FB4">
              <w:rPr>
                <w:color w:val="000000"/>
              </w:rPr>
              <w:t>40 (57,1 %)</w:t>
            </w:r>
          </w:p>
        </w:tc>
      </w:tr>
      <w:tr w:rsidR="00C46587" w:rsidRPr="004F5FB4" w14:paraId="29219D22" w14:textId="77777777" w:rsidTr="00081A6C">
        <w:tc>
          <w:tcPr>
            <w:tcW w:w="2325" w:type="dxa"/>
            <w:tcBorders>
              <w:top w:val="single" w:sz="4" w:space="0" w:color="auto"/>
              <w:left w:val="single" w:sz="4" w:space="0" w:color="auto"/>
              <w:bottom w:val="single" w:sz="4" w:space="0" w:color="auto"/>
              <w:right w:val="single" w:sz="4" w:space="0" w:color="auto"/>
            </w:tcBorders>
            <w:hideMark/>
          </w:tcPr>
          <w:p w14:paraId="182A5144" w14:textId="77777777" w:rsidR="00C46587" w:rsidRPr="004F5FB4" w:rsidRDefault="00C46587" w:rsidP="00982118">
            <w:pPr>
              <w:rPr>
                <w:color w:val="000000"/>
              </w:rPr>
            </w:pPr>
            <w:r w:rsidRPr="004F5FB4">
              <w:rPr>
                <w:color w:val="000000"/>
              </w:rPr>
              <w:t>Woche</w:t>
            </w:r>
            <w:r w:rsidR="004256C6" w:rsidRPr="004F5FB4">
              <w:rPr>
                <w:color w:val="000000"/>
              </w:rPr>
              <w:t> </w:t>
            </w:r>
            <w:r w:rsidRPr="004F5FB4">
              <w:rPr>
                <w:color w:val="000000"/>
              </w:rPr>
              <w:t>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A7C6D21" w14:textId="77777777" w:rsidR="00C46587" w:rsidRPr="004F5FB4" w:rsidRDefault="00C46587" w:rsidP="00982118">
            <w:pPr>
              <w:jc w:val="center"/>
              <w:rPr>
                <w:color w:val="000000"/>
              </w:rPr>
            </w:pPr>
            <w:r w:rsidRPr="004F5FB4">
              <w:rPr>
                <w:color w:val="000000"/>
              </w:rPr>
              <w:t>22 (30,1 %)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2735326" w14:textId="77777777" w:rsidR="00C46587" w:rsidRPr="004F5FB4" w:rsidRDefault="00C46587" w:rsidP="00982118">
            <w:pPr>
              <w:jc w:val="center"/>
              <w:rPr>
                <w:color w:val="000000"/>
              </w:rPr>
            </w:pPr>
            <w:r w:rsidRPr="004F5FB4">
              <w:rPr>
                <w:color w:val="000000"/>
              </w:rPr>
              <w:t>28 (40,0 %)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D498936" w14:textId="77777777" w:rsidR="00C46587" w:rsidRPr="004F5FB4" w:rsidRDefault="00C46587" w:rsidP="00982118">
            <w:pPr>
              <w:jc w:val="center"/>
              <w:rPr>
                <w:color w:val="000000"/>
              </w:rPr>
            </w:pPr>
            <w:r w:rsidRPr="004F5FB4">
              <w:rPr>
                <w:color w:val="000000"/>
              </w:rPr>
              <w:t>39 (55,7 %)</w:t>
            </w:r>
          </w:p>
        </w:tc>
      </w:tr>
      <w:tr w:rsidR="00081A6C" w:rsidRPr="004F5FB4" w14:paraId="3C7F4BC9" w14:textId="77777777" w:rsidTr="00081A6C">
        <w:tc>
          <w:tcPr>
            <w:tcW w:w="9303" w:type="dxa"/>
            <w:gridSpan w:val="4"/>
            <w:tcBorders>
              <w:top w:val="single" w:sz="4" w:space="0" w:color="auto"/>
              <w:left w:val="nil"/>
              <w:bottom w:val="nil"/>
              <w:right w:val="nil"/>
            </w:tcBorders>
          </w:tcPr>
          <w:p w14:paraId="0995FAE5" w14:textId="77777777" w:rsidR="00081A6C" w:rsidRPr="00206AEA" w:rsidRDefault="00081A6C" w:rsidP="00081A6C">
            <w:pPr>
              <w:ind w:left="270" w:hanging="270"/>
              <w:rPr>
                <w:color w:val="000000"/>
                <w:sz w:val="20"/>
              </w:rPr>
            </w:pPr>
            <w:r w:rsidRPr="00206AEA">
              <w:rPr>
                <w:color w:val="000000"/>
                <w:sz w:val="20"/>
                <w:vertAlign w:val="superscript"/>
              </w:rPr>
              <w:t>a</w:t>
            </w:r>
            <w:r w:rsidRPr="00206AEA">
              <w:rPr>
                <w:color w:val="000000"/>
                <w:sz w:val="20"/>
              </w:rPr>
              <w:tab/>
              <w:t>Patienten mit einem mindestens teilweisen Ansprechen auf 40 mg Adalimumab wöchentlich nach 12 Behandlungswochen</w:t>
            </w:r>
          </w:p>
          <w:p w14:paraId="59C6D8FD" w14:textId="77777777" w:rsidR="00081A6C" w:rsidRPr="00206AEA" w:rsidRDefault="00081A6C" w:rsidP="00081A6C">
            <w:pPr>
              <w:ind w:left="270" w:hanging="270"/>
              <w:rPr>
                <w:color w:val="000000"/>
                <w:sz w:val="20"/>
              </w:rPr>
            </w:pPr>
            <w:r w:rsidRPr="00206AEA">
              <w:rPr>
                <w:color w:val="000000"/>
                <w:sz w:val="20"/>
                <w:vertAlign w:val="superscript"/>
              </w:rPr>
              <w:t>b</w:t>
            </w:r>
            <w:r w:rsidRPr="00206AEA">
              <w:rPr>
                <w:color w:val="000000"/>
                <w:sz w:val="20"/>
              </w:rPr>
              <w:tab/>
              <w:t>Patienten, die die im Prüfplan festgelegten Kriterien im Hinblick auf einen Verlust des Ansprechens oder keine Verbesserung erfüllten, mussten aus den Studien ausscheiden und wurden als Non-Responder gewertet.</w:t>
            </w:r>
          </w:p>
        </w:tc>
      </w:tr>
    </w:tbl>
    <w:p w14:paraId="7A8B2ABE" w14:textId="77777777" w:rsidR="00C46587" w:rsidRPr="004F5FB4" w:rsidRDefault="00C46587" w:rsidP="00982118">
      <w:pPr>
        <w:rPr>
          <w:color w:val="000000"/>
        </w:rPr>
      </w:pPr>
    </w:p>
    <w:p w14:paraId="47F3BB3A" w14:textId="77777777" w:rsidR="00C46587" w:rsidRPr="004F5FB4" w:rsidRDefault="00C46587" w:rsidP="00982118">
      <w:pPr>
        <w:rPr>
          <w:color w:val="000000"/>
        </w:rPr>
      </w:pPr>
      <w:r w:rsidRPr="004F5FB4">
        <w:rPr>
          <w:color w:val="000000"/>
        </w:rPr>
        <w:t>Unter den Patienten, die in Woche</w:t>
      </w:r>
      <w:r w:rsidR="00F51CF0" w:rsidRPr="004F5FB4">
        <w:rPr>
          <w:color w:val="000000"/>
        </w:rPr>
        <w:t> </w:t>
      </w:r>
      <w:r w:rsidRPr="004F5FB4">
        <w:rPr>
          <w:color w:val="000000"/>
        </w:rPr>
        <w:t>12 mindestens teilweise auf die Behandlung angesprochen haben und die weiterhin mit Adalimumab behandelt wurden, betrug die HiSCR-Rate in Woche</w:t>
      </w:r>
      <w:r w:rsidR="00F51CF0" w:rsidRPr="004F5FB4">
        <w:rPr>
          <w:color w:val="000000"/>
        </w:rPr>
        <w:t> </w:t>
      </w:r>
      <w:r w:rsidRPr="004F5FB4">
        <w:rPr>
          <w:color w:val="000000"/>
        </w:rPr>
        <w:t>48 68,3</w:t>
      </w:r>
      <w:r w:rsidR="00F51CF0" w:rsidRPr="004F5FB4">
        <w:rPr>
          <w:color w:val="000000"/>
        </w:rPr>
        <w:t> </w:t>
      </w:r>
      <w:r w:rsidRPr="004F5FB4">
        <w:rPr>
          <w:color w:val="000000"/>
        </w:rPr>
        <w:t>% und in Woche</w:t>
      </w:r>
      <w:r w:rsidR="00F51CF0" w:rsidRPr="004F5FB4">
        <w:rPr>
          <w:color w:val="000000"/>
        </w:rPr>
        <w:t> </w:t>
      </w:r>
      <w:r w:rsidRPr="004F5FB4">
        <w:rPr>
          <w:color w:val="000000"/>
        </w:rPr>
        <w:t>96 65,1</w:t>
      </w:r>
      <w:r w:rsidR="00F51CF0" w:rsidRPr="004F5FB4">
        <w:rPr>
          <w:color w:val="000000"/>
        </w:rPr>
        <w:t> </w:t>
      </w:r>
      <w:r w:rsidRPr="004F5FB4">
        <w:rPr>
          <w:color w:val="000000"/>
        </w:rPr>
        <w:t>%. Bei einer langfristigen Behandlung mit Adalimumab 40 mg wöchentlich über 96 Wochen wurden keine neuen Erkenntnisse zur Sicherheit identifiziert.</w:t>
      </w:r>
    </w:p>
    <w:p w14:paraId="6C6271D1" w14:textId="77777777" w:rsidR="00C46587" w:rsidRPr="004F5FB4" w:rsidRDefault="00C46587" w:rsidP="00982118">
      <w:pPr>
        <w:rPr>
          <w:color w:val="000000"/>
        </w:rPr>
      </w:pPr>
    </w:p>
    <w:p w14:paraId="17B53F49" w14:textId="77777777" w:rsidR="00C46587" w:rsidRPr="004F5FB4" w:rsidRDefault="00C46587" w:rsidP="00982118">
      <w:pPr>
        <w:rPr>
          <w:color w:val="000000"/>
        </w:rPr>
      </w:pPr>
      <w:r w:rsidRPr="004F5FB4">
        <w:rPr>
          <w:color w:val="000000"/>
        </w:rPr>
        <w:t>Unter den Patienten in den Studien HS</w:t>
      </w:r>
      <w:r w:rsidRPr="004F5FB4">
        <w:rPr>
          <w:color w:val="000000"/>
        </w:rPr>
        <w:noBreakHyphen/>
        <w:t>I und HS</w:t>
      </w:r>
      <w:r w:rsidRPr="004F5FB4">
        <w:rPr>
          <w:color w:val="000000"/>
        </w:rPr>
        <w:noBreakHyphen/>
        <w:t>II, deren Behandlung mit Adalimumab in Woche</w:t>
      </w:r>
      <w:r w:rsidR="00F51CF0" w:rsidRPr="004F5FB4">
        <w:rPr>
          <w:color w:val="000000"/>
        </w:rPr>
        <w:t> </w:t>
      </w:r>
      <w:r w:rsidRPr="004F5FB4">
        <w:rPr>
          <w:color w:val="000000"/>
        </w:rPr>
        <w:t>12 abgesetzt wurde, war die HiSCR-Rate 12</w:t>
      </w:r>
      <w:r w:rsidR="00F51CF0" w:rsidRPr="004F5FB4">
        <w:rPr>
          <w:color w:val="000000"/>
        </w:rPr>
        <w:t> </w:t>
      </w:r>
      <w:r w:rsidRPr="004F5FB4">
        <w:rPr>
          <w:color w:val="000000"/>
        </w:rPr>
        <w:t>Wochen nach Wiederaufnahme der Behandlung mit 40 mg Adalimumab wöchentlich vergleichbar mit der Rate vor dem Absetzen der Behandlung (56,0 %).</w:t>
      </w:r>
    </w:p>
    <w:p w14:paraId="1F499DC7" w14:textId="77777777" w:rsidR="00C46587" w:rsidRPr="004F5FB4" w:rsidRDefault="00C46587" w:rsidP="00982118">
      <w:pPr>
        <w:rPr>
          <w:color w:val="000000"/>
        </w:rPr>
      </w:pPr>
    </w:p>
    <w:p w14:paraId="66368EFE" w14:textId="77777777" w:rsidR="00C46587" w:rsidRPr="004F5FB4" w:rsidRDefault="00C46587" w:rsidP="00966161">
      <w:pPr>
        <w:keepNext/>
        <w:rPr>
          <w:i/>
          <w:color w:val="000000"/>
        </w:rPr>
      </w:pPr>
      <w:r w:rsidRPr="004F5FB4">
        <w:rPr>
          <w:i/>
          <w:color w:val="000000"/>
        </w:rPr>
        <w:t>Morbus Crohn bei Erwachsenen</w:t>
      </w:r>
    </w:p>
    <w:p w14:paraId="56188CD9" w14:textId="77777777" w:rsidR="00C46587" w:rsidRPr="004F5FB4" w:rsidRDefault="00C46587" w:rsidP="00966161">
      <w:pPr>
        <w:keepNext/>
        <w:rPr>
          <w:color w:val="000000"/>
        </w:rPr>
      </w:pPr>
    </w:p>
    <w:p w14:paraId="06E0543A" w14:textId="77777777" w:rsidR="00C46587" w:rsidRPr="004F5FB4" w:rsidRDefault="00C46587" w:rsidP="00982118">
      <w:pPr>
        <w:rPr>
          <w:color w:val="000000"/>
        </w:rPr>
      </w:pPr>
      <w:r w:rsidRPr="004F5FB4">
        <w:rPr>
          <w:color w:val="000000"/>
        </w:rPr>
        <w:t>Die Sicherheit und Wirksamkeit von Adalimumab wurden bei über 1.500</w:t>
      </w:r>
      <w:r w:rsidR="005378EB" w:rsidRPr="004F5FB4">
        <w:rPr>
          <w:color w:val="000000"/>
        </w:rPr>
        <w:t> </w:t>
      </w:r>
      <w:r w:rsidRPr="004F5FB4">
        <w:rPr>
          <w:color w:val="000000"/>
        </w:rPr>
        <w:t xml:space="preserve">Patienten mit mittelschwerem bis schwerem, aktivem Morbus Crohn (Crohn’s Disease Activity Index </w:t>
      </w:r>
      <w:r w:rsidR="00280F5F" w:rsidRPr="004F5FB4">
        <w:rPr>
          <w:color w:val="000000"/>
        </w:rPr>
        <w:t>[</w:t>
      </w:r>
      <w:r w:rsidRPr="004F5FB4">
        <w:rPr>
          <w:color w:val="000000"/>
        </w:rPr>
        <w:t>CDAI</w:t>
      </w:r>
      <w:r w:rsidR="00280F5F" w:rsidRPr="004F5FB4">
        <w:rPr>
          <w:color w:val="000000"/>
        </w:rPr>
        <w:t>]</w:t>
      </w:r>
      <w:r w:rsidR="00B24C80" w:rsidRPr="004F5FB4">
        <w:rPr>
          <w:color w:val="000000"/>
        </w:rPr>
        <w:t> </w:t>
      </w:r>
      <w:r w:rsidRPr="004F5FB4">
        <w:rPr>
          <w:color w:val="000000"/>
        </w:rPr>
        <w:t>≥</w:t>
      </w:r>
      <w:r w:rsidR="00B24C80" w:rsidRPr="004F5FB4">
        <w:rPr>
          <w:color w:val="000000"/>
        </w:rPr>
        <w:t> </w:t>
      </w:r>
      <w:r w:rsidRPr="004F5FB4">
        <w:rPr>
          <w:color w:val="000000"/>
        </w:rPr>
        <w:t xml:space="preserve">220 und ≤ 450) in randomisierten, doppelblinden, placebokontrollierten Studien untersucht. Eine Begleitmedikation in gleichbleibender Dosierung mit Aminosalicylaten, </w:t>
      </w:r>
      <w:r w:rsidR="00280F5F" w:rsidRPr="004F5FB4">
        <w:rPr>
          <w:color w:val="000000"/>
        </w:rPr>
        <w:t>Glukok</w:t>
      </w:r>
      <w:r w:rsidRPr="004F5FB4">
        <w:rPr>
          <w:color w:val="000000"/>
        </w:rPr>
        <w:t>ortikoiden und/</w:t>
      </w:r>
      <w:r w:rsidR="00280F5F" w:rsidRPr="004F5FB4">
        <w:rPr>
          <w:color w:val="000000"/>
        </w:rPr>
        <w:t xml:space="preserve"> </w:t>
      </w:r>
      <w:r w:rsidRPr="004F5FB4">
        <w:rPr>
          <w:color w:val="000000"/>
        </w:rPr>
        <w:t>oder Immun</w:t>
      </w:r>
      <w:r w:rsidR="00280F5F" w:rsidRPr="004F5FB4">
        <w:rPr>
          <w:color w:val="000000"/>
        </w:rPr>
        <w:t>suppressiva</w:t>
      </w:r>
      <w:r w:rsidRPr="004F5FB4">
        <w:rPr>
          <w:color w:val="000000"/>
        </w:rPr>
        <w:t xml:space="preserve"> war erlaubt und bei 80 % der Patienten wurde mindestens eines dieser Medikamente fortgeführt.</w:t>
      </w:r>
    </w:p>
    <w:p w14:paraId="670BDE0E" w14:textId="77777777" w:rsidR="00C46587" w:rsidRPr="004F5FB4" w:rsidRDefault="00C46587" w:rsidP="00982118">
      <w:pPr>
        <w:rPr>
          <w:color w:val="000000"/>
        </w:rPr>
      </w:pPr>
    </w:p>
    <w:p w14:paraId="4D52A6A3" w14:textId="77777777" w:rsidR="00C46587" w:rsidRPr="004F5FB4" w:rsidRDefault="00C46587" w:rsidP="00982118">
      <w:pPr>
        <w:rPr>
          <w:color w:val="000000"/>
        </w:rPr>
      </w:pPr>
      <w:r w:rsidRPr="004F5FB4">
        <w:rPr>
          <w:color w:val="000000"/>
        </w:rPr>
        <w:t>Die Induktion einer klinischen Remission (definiert als CDAI</w:t>
      </w:r>
      <w:r w:rsidR="00B24C80" w:rsidRPr="004F5FB4">
        <w:rPr>
          <w:color w:val="000000"/>
        </w:rPr>
        <w:t> </w:t>
      </w:r>
      <w:r w:rsidRPr="004F5FB4">
        <w:rPr>
          <w:color w:val="000000"/>
        </w:rPr>
        <w:t>&lt;</w:t>
      </w:r>
      <w:r w:rsidR="005378EB" w:rsidRPr="004F5FB4">
        <w:rPr>
          <w:color w:val="000000"/>
        </w:rPr>
        <w:t> </w:t>
      </w:r>
      <w:r w:rsidRPr="004F5FB4">
        <w:rPr>
          <w:color w:val="000000"/>
        </w:rPr>
        <w:t>150) wurde in zwei Studien, MC-Studie</w:t>
      </w:r>
      <w:r w:rsidR="005378EB" w:rsidRPr="004F5FB4">
        <w:rPr>
          <w:color w:val="000000"/>
        </w:rPr>
        <w:t> </w:t>
      </w:r>
      <w:r w:rsidRPr="004F5FB4">
        <w:rPr>
          <w:color w:val="000000"/>
        </w:rPr>
        <w:t>I (CLASSIC</w:t>
      </w:r>
      <w:r w:rsidR="005378EB" w:rsidRPr="004F5FB4">
        <w:rPr>
          <w:color w:val="000000"/>
        </w:rPr>
        <w:t> </w:t>
      </w:r>
      <w:r w:rsidRPr="004F5FB4">
        <w:rPr>
          <w:color w:val="000000"/>
        </w:rPr>
        <w:t>I) und MC-Studie</w:t>
      </w:r>
      <w:r w:rsidR="005378EB" w:rsidRPr="004F5FB4">
        <w:rPr>
          <w:color w:val="000000"/>
        </w:rPr>
        <w:t> </w:t>
      </w:r>
      <w:r w:rsidRPr="004F5FB4">
        <w:rPr>
          <w:color w:val="000000"/>
        </w:rPr>
        <w:t>II (GAIN), untersucht. In der MC-Studie</w:t>
      </w:r>
      <w:r w:rsidR="005378EB" w:rsidRPr="004F5FB4">
        <w:rPr>
          <w:color w:val="000000"/>
        </w:rPr>
        <w:t xml:space="preserve"> </w:t>
      </w:r>
      <w:r w:rsidRPr="004F5FB4">
        <w:rPr>
          <w:color w:val="000000"/>
        </w:rPr>
        <w:t>I wurden 299</w:t>
      </w:r>
      <w:r w:rsidR="00787A91" w:rsidRPr="004F5FB4">
        <w:rPr>
          <w:color w:val="000000"/>
        </w:rPr>
        <w:t> </w:t>
      </w:r>
      <w:r w:rsidRPr="004F5FB4">
        <w:rPr>
          <w:color w:val="000000"/>
        </w:rPr>
        <w:t>Patienten, die zuvor nicht mit einem TNF-Antagonisten behandelt wurden, in eine von vier Behandlungsgruppen randomisiert: Placebo in Woche</w:t>
      </w:r>
      <w:r w:rsidR="005378EB" w:rsidRPr="004F5FB4">
        <w:rPr>
          <w:color w:val="000000"/>
        </w:rPr>
        <w:t> </w:t>
      </w:r>
      <w:r w:rsidRPr="004F5FB4">
        <w:rPr>
          <w:color w:val="000000"/>
        </w:rPr>
        <w:t>0 und 2, 160 mg Adalimumab in Woche</w:t>
      </w:r>
      <w:r w:rsidR="005378EB" w:rsidRPr="004F5FB4">
        <w:rPr>
          <w:color w:val="000000"/>
        </w:rPr>
        <w:t> </w:t>
      </w:r>
      <w:r w:rsidRPr="004F5FB4">
        <w:rPr>
          <w:color w:val="000000"/>
        </w:rPr>
        <w:t>0 und 80 mg in Woche</w:t>
      </w:r>
      <w:r w:rsidR="005378EB" w:rsidRPr="004F5FB4">
        <w:rPr>
          <w:color w:val="000000"/>
        </w:rPr>
        <w:t> </w:t>
      </w:r>
      <w:r w:rsidRPr="004F5FB4">
        <w:rPr>
          <w:color w:val="000000"/>
        </w:rPr>
        <w:t>2, 80 mg in Woche</w:t>
      </w:r>
      <w:r w:rsidR="005378EB" w:rsidRPr="004F5FB4">
        <w:rPr>
          <w:color w:val="000000"/>
        </w:rPr>
        <w:t> </w:t>
      </w:r>
      <w:r w:rsidRPr="004F5FB4">
        <w:rPr>
          <w:color w:val="000000"/>
        </w:rPr>
        <w:t>0 und 40 mg in Woche</w:t>
      </w:r>
      <w:r w:rsidR="005378EB" w:rsidRPr="004F5FB4">
        <w:rPr>
          <w:color w:val="000000"/>
        </w:rPr>
        <w:t> </w:t>
      </w:r>
      <w:r w:rsidRPr="004F5FB4">
        <w:rPr>
          <w:color w:val="000000"/>
        </w:rPr>
        <w:t>2 sowie 40 mg in Woche</w:t>
      </w:r>
      <w:r w:rsidR="005378EB" w:rsidRPr="004F5FB4">
        <w:rPr>
          <w:color w:val="000000"/>
        </w:rPr>
        <w:t> </w:t>
      </w:r>
      <w:r w:rsidRPr="004F5FB4">
        <w:rPr>
          <w:color w:val="000000"/>
        </w:rPr>
        <w:t>0 und 20 mg in Woche</w:t>
      </w:r>
      <w:r w:rsidR="005378EB" w:rsidRPr="004F5FB4">
        <w:rPr>
          <w:color w:val="000000"/>
        </w:rPr>
        <w:t> </w:t>
      </w:r>
      <w:r w:rsidRPr="004F5FB4">
        <w:rPr>
          <w:color w:val="000000"/>
        </w:rPr>
        <w:t>2. In der MC-Studie</w:t>
      </w:r>
      <w:r w:rsidR="005378EB" w:rsidRPr="004F5FB4">
        <w:rPr>
          <w:color w:val="000000"/>
        </w:rPr>
        <w:t> </w:t>
      </w:r>
      <w:r w:rsidRPr="004F5FB4">
        <w:rPr>
          <w:color w:val="000000"/>
        </w:rPr>
        <w:t>II wurden 325</w:t>
      </w:r>
      <w:r w:rsidR="005378EB" w:rsidRPr="004F5FB4">
        <w:rPr>
          <w:color w:val="000000"/>
        </w:rPr>
        <w:t> </w:t>
      </w:r>
      <w:r w:rsidRPr="004F5FB4">
        <w:rPr>
          <w:color w:val="000000"/>
        </w:rPr>
        <w:t>Patienten, die nicht mehr ausreichend auf Infliximab ansprachen oder eine Unverträglichkeit gegenüber Infliximab zeigten, randomisiert und erhielten entweder 160 mg Adalimumab in Woche</w:t>
      </w:r>
      <w:r w:rsidR="005378EB" w:rsidRPr="004F5FB4">
        <w:rPr>
          <w:color w:val="000000"/>
        </w:rPr>
        <w:t> </w:t>
      </w:r>
      <w:r w:rsidRPr="004F5FB4">
        <w:rPr>
          <w:color w:val="000000"/>
        </w:rPr>
        <w:t>0 und 80 mg in Woche</w:t>
      </w:r>
      <w:r w:rsidR="005378EB" w:rsidRPr="004F5FB4">
        <w:rPr>
          <w:color w:val="000000"/>
        </w:rPr>
        <w:t> </w:t>
      </w:r>
      <w:r w:rsidRPr="004F5FB4">
        <w:rPr>
          <w:color w:val="000000"/>
        </w:rPr>
        <w:t>2 oder Placebo in Woche</w:t>
      </w:r>
      <w:r w:rsidR="005378EB" w:rsidRPr="004F5FB4">
        <w:rPr>
          <w:color w:val="000000"/>
        </w:rPr>
        <w:t> </w:t>
      </w:r>
      <w:r w:rsidRPr="004F5FB4">
        <w:rPr>
          <w:color w:val="000000"/>
        </w:rPr>
        <w:t>0 und 2. Patienten, bei denen sich primär keine Wirkung zeigte, wurden aus diesen Studien ausgeschlossen und nicht weiter untersucht.</w:t>
      </w:r>
    </w:p>
    <w:p w14:paraId="76CF961A" w14:textId="77777777" w:rsidR="00C46587" w:rsidRPr="004F5FB4" w:rsidRDefault="00C46587" w:rsidP="00982118">
      <w:pPr>
        <w:rPr>
          <w:color w:val="000000"/>
        </w:rPr>
      </w:pPr>
    </w:p>
    <w:p w14:paraId="14BE49F3" w14:textId="77777777" w:rsidR="00C46587" w:rsidRPr="004F5FB4" w:rsidRDefault="00C46587" w:rsidP="00982118">
      <w:pPr>
        <w:rPr>
          <w:color w:val="000000"/>
        </w:rPr>
      </w:pPr>
      <w:r w:rsidRPr="004F5FB4">
        <w:rPr>
          <w:color w:val="000000"/>
        </w:rPr>
        <w:t>Der Erhalt der klinischen Remission wurde in der MC-Studie</w:t>
      </w:r>
      <w:r w:rsidR="005378EB" w:rsidRPr="004F5FB4">
        <w:rPr>
          <w:color w:val="000000"/>
        </w:rPr>
        <w:t> </w:t>
      </w:r>
      <w:r w:rsidRPr="004F5FB4">
        <w:rPr>
          <w:color w:val="000000"/>
        </w:rPr>
        <w:t>III (CHARM) untersucht. In der offenen Induktionsphase der MC-Studie</w:t>
      </w:r>
      <w:r w:rsidR="005378EB" w:rsidRPr="004F5FB4">
        <w:rPr>
          <w:color w:val="000000"/>
        </w:rPr>
        <w:t> </w:t>
      </w:r>
      <w:r w:rsidRPr="004F5FB4">
        <w:rPr>
          <w:color w:val="000000"/>
        </w:rPr>
        <w:t>III erhielten 854</w:t>
      </w:r>
      <w:r w:rsidR="005378EB" w:rsidRPr="004F5FB4">
        <w:rPr>
          <w:color w:val="000000"/>
        </w:rPr>
        <w:t> </w:t>
      </w:r>
      <w:r w:rsidRPr="004F5FB4">
        <w:rPr>
          <w:color w:val="000000"/>
        </w:rPr>
        <w:t>Patienten 80 mg in Woche</w:t>
      </w:r>
      <w:r w:rsidR="005378EB" w:rsidRPr="004F5FB4">
        <w:rPr>
          <w:color w:val="000000"/>
        </w:rPr>
        <w:t> </w:t>
      </w:r>
      <w:r w:rsidRPr="004F5FB4">
        <w:rPr>
          <w:color w:val="000000"/>
        </w:rPr>
        <w:t>0 und 40 mg in Woche</w:t>
      </w:r>
      <w:r w:rsidR="005378EB" w:rsidRPr="004F5FB4">
        <w:rPr>
          <w:color w:val="000000"/>
        </w:rPr>
        <w:t> </w:t>
      </w:r>
      <w:r w:rsidRPr="004F5FB4">
        <w:rPr>
          <w:color w:val="000000"/>
        </w:rPr>
        <w:t>2. In Woche</w:t>
      </w:r>
      <w:r w:rsidR="005378EB" w:rsidRPr="004F5FB4">
        <w:rPr>
          <w:color w:val="000000"/>
        </w:rPr>
        <w:t> </w:t>
      </w:r>
      <w:r w:rsidRPr="004F5FB4">
        <w:rPr>
          <w:color w:val="000000"/>
        </w:rPr>
        <w:t>4 wurden die Patienten randomisiert und erhielten entweder 40 mg alle zwei Wochen, 40 mg jede Woche oder Placebo über den gesamten Studienzeitraum von 56</w:t>
      </w:r>
      <w:r w:rsidR="005378EB" w:rsidRPr="004F5FB4">
        <w:rPr>
          <w:color w:val="000000"/>
        </w:rPr>
        <w:t> </w:t>
      </w:r>
      <w:r w:rsidRPr="004F5FB4">
        <w:rPr>
          <w:color w:val="000000"/>
        </w:rPr>
        <w:t xml:space="preserve">Wochen. Patienten, die </w:t>
      </w:r>
      <w:r w:rsidRPr="004F5FB4">
        <w:rPr>
          <w:color w:val="000000"/>
        </w:rPr>
        <w:lastRenderedPageBreak/>
        <w:t>auf die Therapie ansprachen (Minderung des CDAI</w:t>
      </w:r>
      <w:r w:rsidR="00036475" w:rsidRPr="004F5FB4">
        <w:rPr>
          <w:color w:val="000000"/>
        </w:rPr>
        <w:t> </w:t>
      </w:r>
      <w:r w:rsidRPr="004F5FB4">
        <w:rPr>
          <w:color w:val="000000"/>
        </w:rPr>
        <w:t>≥</w:t>
      </w:r>
      <w:r w:rsidR="005378EB" w:rsidRPr="004F5FB4">
        <w:rPr>
          <w:color w:val="000000"/>
        </w:rPr>
        <w:t> </w:t>
      </w:r>
      <w:r w:rsidRPr="004F5FB4">
        <w:rPr>
          <w:color w:val="000000"/>
        </w:rPr>
        <w:t>70), wurden in Woche</w:t>
      </w:r>
      <w:r w:rsidR="005378EB" w:rsidRPr="004F5FB4">
        <w:rPr>
          <w:color w:val="000000"/>
        </w:rPr>
        <w:t> </w:t>
      </w:r>
      <w:r w:rsidRPr="004F5FB4">
        <w:rPr>
          <w:color w:val="000000"/>
        </w:rPr>
        <w:t xml:space="preserve">4 stratifiziert und unabhängig von denen, die bis Woche 4 noch kein klinisches Ansprechen zeigten, analysiert. Ein Ausschleichen der </w:t>
      </w:r>
      <w:r w:rsidR="00280F5F" w:rsidRPr="004F5FB4">
        <w:rPr>
          <w:color w:val="000000"/>
        </w:rPr>
        <w:t>Glukok</w:t>
      </w:r>
      <w:r w:rsidRPr="004F5FB4">
        <w:rPr>
          <w:color w:val="000000"/>
        </w:rPr>
        <w:t>ortikoide war ab der 8.</w:t>
      </w:r>
      <w:r w:rsidR="005378EB" w:rsidRPr="004F5FB4">
        <w:rPr>
          <w:color w:val="000000"/>
        </w:rPr>
        <w:t> </w:t>
      </w:r>
      <w:r w:rsidRPr="004F5FB4">
        <w:rPr>
          <w:color w:val="000000"/>
        </w:rPr>
        <w:t>Woche erlaubt.</w:t>
      </w:r>
    </w:p>
    <w:p w14:paraId="6327B555" w14:textId="77777777" w:rsidR="00C46587" w:rsidRPr="004F5FB4" w:rsidRDefault="00C46587" w:rsidP="00982118">
      <w:pPr>
        <w:rPr>
          <w:color w:val="000000"/>
        </w:rPr>
      </w:pPr>
    </w:p>
    <w:p w14:paraId="056477B7" w14:textId="77777777" w:rsidR="00C46587" w:rsidRPr="004F5FB4" w:rsidRDefault="00C46587" w:rsidP="00982118">
      <w:pPr>
        <w:rPr>
          <w:color w:val="000000"/>
        </w:rPr>
      </w:pPr>
      <w:r w:rsidRPr="004F5FB4">
        <w:rPr>
          <w:color w:val="000000"/>
        </w:rPr>
        <w:t xml:space="preserve">Die </w:t>
      </w:r>
      <w:r w:rsidR="00280F5F" w:rsidRPr="004F5FB4">
        <w:rPr>
          <w:color w:val="000000"/>
        </w:rPr>
        <w:t>klinischen Remissions- und Ansprechr</w:t>
      </w:r>
      <w:r w:rsidRPr="004F5FB4">
        <w:rPr>
          <w:color w:val="000000"/>
        </w:rPr>
        <w:t>aten für die MC-Studie</w:t>
      </w:r>
      <w:r w:rsidR="005378EB" w:rsidRPr="004F5FB4">
        <w:rPr>
          <w:color w:val="000000"/>
        </w:rPr>
        <w:t> </w:t>
      </w:r>
      <w:r w:rsidRPr="004F5FB4">
        <w:rPr>
          <w:color w:val="000000"/>
        </w:rPr>
        <w:t>I und die MC-Studie</w:t>
      </w:r>
      <w:r w:rsidR="005378EB" w:rsidRPr="004F5FB4">
        <w:rPr>
          <w:color w:val="000000"/>
        </w:rPr>
        <w:t> </w:t>
      </w:r>
      <w:r w:rsidRPr="004F5FB4">
        <w:rPr>
          <w:color w:val="000000"/>
        </w:rPr>
        <w:t>II sind in Tabelle</w:t>
      </w:r>
      <w:r w:rsidR="005378EB" w:rsidRPr="004F5FB4">
        <w:rPr>
          <w:color w:val="000000"/>
        </w:rPr>
        <w:t> </w:t>
      </w:r>
      <w:r w:rsidR="00DA4438">
        <w:rPr>
          <w:color w:val="000000"/>
        </w:rPr>
        <w:t>17</w:t>
      </w:r>
      <w:r w:rsidRPr="004F5FB4">
        <w:rPr>
          <w:color w:val="000000"/>
        </w:rPr>
        <w:t xml:space="preserve"> aufgeführt.</w:t>
      </w:r>
    </w:p>
    <w:p w14:paraId="7A51684A" w14:textId="77777777" w:rsidR="00C46587" w:rsidRPr="004F5FB4" w:rsidRDefault="00C46587" w:rsidP="00982118">
      <w:pPr>
        <w:rPr>
          <w:color w:val="000000"/>
        </w:rPr>
      </w:pPr>
    </w:p>
    <w:p w14:paraId="201AE3A8" w14:textId="77777777" w:rsidR="00534661" w:rsidRPr="004F5FB4" w:rsidRDefault="00C46587" w:rsidP="00687087">
      <w:pPr>
        <w:keepNext/>
        <w:rPr>
          <w:b/>
          <w:color w:val="000000"/>
        </w:rPr>
      </w:pPr>
      <w:r w:rsidRPr="004F5FB4">
        <w:rPr>
          <w:b/>
          <w:color w:val="000000"/>
        </w:rPr>
        <w:t>Tabelle</w:t>
      </w:r>
      <w:r w:rsidR="00DA4438">
        <w:rPr>
          <w:b/>
          <w:color w:val="000000"/>
        </w:rPr>
        <w:t> 17</w:t>
      </w:r>
      <w:r w:rsidR="00B24C80" w:rsidRPr="004F5FB4">
        <w:rPr>
          <w:b/>
          <w:color w:val="000000"/>
        </w:rPr>
        <w:t xml:space="preserve"> </w:t>
      </w:r>
    </w:p>
    <w:p w14:paraId="429C78C6" w14:textId="77777777" w:rsidR="002510E7" w:rsidRPr="004F5FB4" w:rsidRDefault="002510E7" w:rsidP="00687087">
      <w:pPr>
        <w:keepNext/>
        <w:rPr>
          <w:b/>
          <w:color w:val="000000"/>
        </w:rPr>
      </w:pPr>
      <w:r w:rsidRPr="004F5FB4">
        <w:rPr>
          <w:b/>
          <w:color w:val="000000"/>
        </w:rPr>
        <w:t>Induktion der klinischen Remission und des Ansprechens (Prozent der Patienten)</w:t>
      </w:r>
    </w:p>
    <w:p w14:paraId="07D22E7B" w14:textId="77777777" w:rsidR="002510E7" w:rsidRPr="004F5FB4" w:rsidRDefault="002510E7" w:rsidP="003146E9">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005"/>
        <w:gridCol w:w="1793"/>
        <w:gridCol w:w="1793"/>
        <w:gridCol w:w="1055"/>
        <w:gridCol w:w="1795"/>
      </w:tblGrid>
      <w:tr w:rsidR="002510E7" w:rsidRPr="004F5FB4" w14:paraId="66147AD0"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254DE367" w14:textId="77777777" w:rsidR="002510E7" w:rsidRPr="004F5FB4" w:rsidRDefault="002510E7" w:rsidP="003146E9">
            <w:pPr>
              <w:keepNext/>
              <w:rPr>
                <w:color w:val="000000"/>
              </w:rPr>
            </w:pPr>
          </w:p>
        </w:tc>
        <w:tc>
          <w:tcPr>
            <w:tcW w:w="4711" w:type="dxa"/>
            <w:gridSpan w:val="3"/>
            <w:tcBorders>
              <w:top w:val="single" w:sz="4" w:space="0" w:color="auto"/>
              <w:left w:val="single" w:sz="4" w:space="0" w:color="auto"/>
              <w:bottom w:val="single" w:sz="4" w:space="0" w:color="auto"/>
              <w:right w:val="single" w:sz="4" w:space="0" w:color="auto"/>
            </w:tcBorders>
            <w:hideMark/>
          </w:tcPr>
          <w:p w14:paraId="38199B2B" w14:textId="77777777" w:rsidR="002510E7" w:rsidRPr="004C3123" w:rsidRDefault="002510E7" w:rsidP="003146E9">
            <w:pPr>
              <w:keepNext/>
              <w:rPr>
                <w:color w:val="000000"/>
              </w:rPr>
            </w:pPr>
            <w:r w:rsidRPr="004C3123">
              <w:rPr>
                <w:b/>
                <w:color w:val="000000"/>
              </w:rPr>
              <w:t>MC-Studie I: Infliximab-naive Patienten</w:t>
            </w:r>
          </w:p>
        </w:tc>
        <w:tc>
          <w:tcPr>
            <w:tcW w:w="2924" w:type="dxa"/>
            <w:gridSpan w:val="2"/>
            <w:tcBorders>
              <w:top w:val="single" w:sz="4" w:space="0" w:color="auto"/>
              <w:left w:val="single" w:sz="4" w:space="0" w:color="auto"/>
              <w:bottom w:val="single" w:sz="4" w:space="0" w:color="auto"/>
              <w:right w:val="single" w:sz="4" w:space="0" w:color="auto"/>
            </w:tcBorders>
            <w:hideMark/>
          </w:tcPr>
          <w:p w14:paraId="496295AA" w14:textId="77777777" w:rsidR="002510E7" w:rsidRPr="004F5FB4" w:rsidRDefault="002510E7" w:rsidP="003146E9">
            <w:pPr>
              <w:keepNext/>
              <w:rPr>
                <w:color w:val="000000"/>
              </w:rPr>
            </w:pPr>
            <w:r w:rsidRPr="004F5FB4">
              <w:rPr>
                <w:b/>
                <w:color w:val="000000"/>
              </w:rPr>
              <w:t>MC-Studie II: Infliximab-erfahrene Patienten</w:t>
            </w:r>
          </w:p>
        </w:tc>
      </w:tr>
      <w:tr w:rsidR="002510E7" w:rsidRPr="004F5FB4" w14:paraId="6B75DE27"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3AB87885" w14:textId="77777777" w:rsidR="002510E7" w:rsidRPr="004F5FB4" w:rsidRDefault="002510E7" w:rsidP="003146E9">
            <w:pPr>
              <w:keepNext/>
              <w:rPr>
                <w:color w:val="000000"/>
              </w:rPr>
            </w:pPr>
          </w:p>
        </w:tc>
        <w:tc>
          <w:tcPr>
            <w:tcW w:w="1029" w:type="dxa"/>
            <w:tcBorders>
              <w:top w:val="single" w:sz="4" w:space="0" w:color="auto"/>
              <w:left w:val="single" w:sz="4" w:space="0" w:color="auto"/>
              <w:bottom w:val="single" w:sz="4" w:space="0" w:color="auto"/>
              <w:right w:val="single" w:sz="4" w:space="0" w:color="auto"/>
            </w:tcBorders>
            <w:hideMark/>
          </w:tcPr>
          <w:p w14:paraId="51F462ED" w14:textId="77777777" w:rsidR="002510E7" w:rsidRPr="004F5FB4" w:rsidRDefault="002510E7" w:rsidP="003146E9">
            <w:pPr>
              <w:keepNext/>
              <w:jc w:val="center"/>
              <w:rPr>
                <w:b/>
                <w:color w:val="000000"/>
              </w:rPr>
            </w:pPr>
            <w:r w:rsidRPr="004F5FB4">
              <w:rPr>
                <w:b/>
                <w:color w:val="000000"/>
              </w:rPr>
              <w:t>Placebo</w:t>
            </w:r>
          </w:p>
          <w:p w14:paraId="27840B6B" w14:textId="77777777" w:rsidR="002510E7" w:rsidRPr="004F5FB4" w:rsidRDefault="002510E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74</w:t>
            </w:r>
          </w:p>
        </w:tc>
        <w:tc>
          <w:tcPr>
            <w:tcW w:w="1841" w:type="dxa"/>
            <w:tcBorders>
              <w:top w:val="single" w:sz="4" w:space="0" w:color="auto"/>
              <w:left w:val="single" w:sz="4" w:space="0" w:color="auto"/>
              <w:bottom w:val="single" w:sz="4" w:space="0" w:color="auto"/>
              <w:right w:val="single" w:sz="4" w:space="0" w:color="auto"/>
            </w:tcBorders>
            <w:hideMark/>
          </w:tcPr>
          <w:p w14:paraId="0FB6E23D" w14:textId="77777777" w:rsidR="002510E7" w:rsidRPr="004F5FB4" w:rsidRDefault="002510E7" w:rsidP="003146E9">
            <w:pPr>
              <w:keepNext/>
              <w:jc w:val="center"/>
              <w:rPr>
                <w:b/>
                <w:color w:val="000000"/>
              </w:rPr>
            </w:pPr>
            <w:r w:rsidRPr="004F5FB4">
              <w:rPr>
                <w:b/>
                <w:color w:val="000000"/>
              </w:rPr>
              <w:t>Adalimumab</w:t>
            </w:r>
          </w:p>
          <w:p w14:paraId="7611F3E1" w14:textId="77777777" w:rsidR="002510E7" w:rsidRPr="004F5FB4" w:rsidRDefault="002510E7" w:rsidP="003146E9">
            <w:pPr>
              <w:keepNext/>
              <w:jc w:val="center"/>
              <w:rPr>
                <w:b/>
                <w:color w:val="000000"/>
              </w:rPr>
            </w:pPr>
            <w:r w:rsidRPr="004F5FB4">
              <w:rPr>
                <w:b/>
                <w:color w:val="000000"/>
              </w:rPr>
              <w:t>80/40 mg</w:t>
            </w:r>
          </w:p>
          <w:p w14:paraId="29C60802" w14:textId="77777777" w:rsidR="002510E7" w:rsidRPr="004F5FB4" w:rsidRDefault="002510E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75</w:t>
            </w:r>
          </w:p>
        </w:tc>
        <w:tc>
          <w:tcPr>
            <w:tcW w:w="1841" w:type="dxa"/>
            <w:tcBorders>
              <w:top w:val="single" w:sz="4" w:space="0" w:color="auto"/>
              <w:left w:val="single" w:sz="4" w:space="0" w:color="auto"/>
              <w:bottom w:val="single" w:sz="4" w:space="0" w:color="auto"/>
              <w:right w:val="single" w:sz="4" w:space="0" w:color="auto"/>
            </w:tcBorders>
            <w:hideMark/>
          </w:tcPr>
          <w:p w14:paraId="2D2E0593" w14:textId="77777777" w:rsidR="002510E7" w:rsidRPr="004F5FB4" w:rsidRDefault="002510E7" w:rsidP="003146E9">
            <w:pPr>
              <w:keepNext/>
              <w:jc w:val="center"/>
              <w:rPr>
                <w:b/>
                <w:color w:val="000000"/>
              </w:rPr>
            </w:pPr>
            <w:r w:rsidRPr="004F5FB4">
              <w:rPr>
                <w:b/>
                <w:color w:val="000000"/>
              </w:rPr>
              <w:t>Adalimumab</w:t>
            </w:r>
          </w:p>
          <w:p w14:paraId="5998B1DE" w14:textId="77777777" w:rsidR="002510E7" w:rsidRPr="004F5FB4" w:rsidRDefault="002510E7" w:rsidP="003146E9">
            <w:pPr>
              <w:keepNext/>
              <w:jc w:val="center"/>
              <w:rPr>
                <w:b/>
                <w:color w:val="000000"/>
              </w:rPr>
            </w:pPr>
            <w:r w:rsidRPr="004F5FB4">
              <w:rPr>
                <w:b/>
                <w:color w:val="000000"/>
              </w:rPr>
              <w:t>160/80 mg</w:t>
            </w:r>
          </w:p>
          <w:p w14:paraId="51EC66D7" w14:textId="77777777" w:rsidR="002510E7" w:rsidRPr="004F5FB4" w:rsidRDefault="002510E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76</w:t>
            </w:r>
          </w:p>
        </w:tc>
        <w:tc>
          <w:tcPr>
            <w:tcW w:w="1080" w:type="dxa"/>
            <w:tcBorders>
              <w:top w:val="single" w:sz="4" w:space="0" w:color="auto"/>
              <w:left w:val="single" w:sz="4" w:space="0" w:color="auto"/>
              <w:bottom w:val="single" w:sz="4" w:space="0" w:color="auto"/>
              <w:right w:val="single" w:sz="4" w:space="0" w:color="auto"/>
            </w:tcBorders>
            <w:hideMark/>
          </w:tcPr>
          <w:p w14:paraId="75323419" w14:textId="77777777" w:rsidR="002510E7" w:rsidRPr="004F5FB4" w:rsidRDefault="002510E7" w:rsidP="003146E9">
            <w:pPr>
              <w:keepNext/>
              <w:jc w:val="center"/>
              <w:rPr>
                <w:b/>
                <w:color w:val="000000"/>
              </w:rPr>
            </w:pPr>
            <w:r w:rsidRPr="004F5FB4">
              <w:rPr>
                <w:b/>
                <w:color w:val="000000"/>
              </w:rPr>
              <w:t>Placebo</w:t>
            </w:r>
          </w:p>
          <w:p w14:paraId="220595CD" w14:textId="77777777" w:rsidR="002510E7" w:rsidRPr="004F5FB4" w:rsidRDefault="002510E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166</w:t>
            </w:r>
          </w:p>
        </w:tc>
        <w:tc>
          <w:tcPr>
            <w:tcW w:w="1844" w:type="dxa"/>
            <w:tcBorders>
              <w:top w:val="single" w:sz="4" w:space="0" w:color="auto"/>
              <w:left w:val="single" w:sz="4" w:space="0" w:color="auto"/>
              <w:bottom w:val="single" w:sz="4" w:space="0" w:color="auto"/>
              <w:right w:val="single" w:sz="4" w:space="0" w:color="auto"/>
            </w:tcBorders>
            <w:hideMark/>
          </w:tcPr>
          <w:p w14:paraId="4B50908B" w14:textId="77777777" w:rsidR="002510E7" w:rsidRPr="004F5FB4" w:rsidRDefault="002510E7" w:rsidP="003146E9">
            <w:pPr>
              <w:keepNext/>
              <w:jc w:val="center"/>
              <w:rPr>
                <w:b/>
                <w:color w:val="000000"/>
              </w:rPr>
            </w:pPr>
            <w:r w:rsidRPr="004F5FB4">
              <w:rPr>
                <w:b/>
                <w:color w:val="000000"/>
              </w:rPr>
              <w:t>Adalimumab</w:t>
            </w:r>
          </w:p>
          <w:p w14:paraId="6CC611BD" w14:textId="77777777" w:rsidR="002510E7" w:rsidRPr="004F5FB4" w:rsidRDefault="002510E7" w:rsidP="003146E9">
            <w:pPr>
              <w:keepNext/>
              <w:jc w:val="center"/>
              <w:rPr>
                <w:b/>
                <w:color w:val="000000"/>
              </w:rPr>
            </w:pPr>
            <w:r w:rsidRPr="004F5FB4">
              <w:rPr>
                <w:b/>
                <w:color w:val="000000"/>
              </w:rPr>
              <w:t>160/80 mg</w:t>
            </w:r>
          </w:p>
          <w:p w14:paraId="05A3796C" w14:textId="77777777" w:rsidR="002510E7" w:rsidRPr="004F5FB4" w:rsidRDefault="002510E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159</w:t>
            </w:r>
          </w:p>
        </w:tc>
      </w:tr>
      <w:tr w:rsidR="002510E7" w:rsidRPr="004F5FB4" w14:paraId="2EB68A9D"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23D867AB" w14:textId="77777777" w:rsidR="002510E7" w:rsidRPr="004F5FB4" w:rsidRDefault="002510E7" w:rsidP="003146E9">
            <w:pPr>
              <w:keepNext/>
              <w:rPr>
                <w:color w:val="000000"/>
              </w:rPr>
            </w:pPr>
            <w:r w:rsidRPr="004F5FB4">
              <w:rPr>
                <w:color w:val="000000"/>
              </w:rPr>
              <w:t>Woche</w:t>
            </w:r>
            <w:r w:rsidR="00036475" w:rsidRPr="004F5FB4">
              <w:rPr>
                <w:color w:val="000000"/>
              </w:rPr>
              <w:t> </w:t>
            </w:r>
            <w:r w:rsidRPr="004F5FB4">
              <w:rPr>
                <w:color w:val="000000"/>
              </w:rPr>
              <w:t>4</w:t>
            </w:r>
          </w:p>
        </w:tc>
        <w:tc>
          <w:tcPr>
            <w:tcW w:w="1029" w:type="dxa"/>
            <w:tcBorders>
              <w:top w:val="single" w:sz="4" w:space="0" w:color="auto"/>
              <w:left w:val="single" w:sz="4" w:space="0" w:color="auto"/>
              <w:bottom w:val="single" w:sz="4" w:space="0" w:color="auto"/>
              <w:right w:val="single" w:sz="4" w:space="0" w:color="auto"/>
            </w:tcBorders>
          </w:tcPr>
          <w:p w14:paraId="400DDB5F" w14:textId="77777777" w:rsidR="002510E7" w:rsidRPr="004F5FB4" w:rsidRDefault="002510E7" w:rsidP="003146E9">
            <w:pPr>
              <w:keepNext/>
              <w:rPr>
                <w:color w:val="000000"/>
                <w:lang w:val="en-GB"/>
              </w:rPr>
            </w:pPr>
          </w:p>
        </w:tc>
        <w:tc>
          <w:tcPr>
            <w:tcW w:w="1841" w:type="dxa"/>
            <w:tcBorders>
              <w:top w:val="single" w:sz="4" w:space="0" w:color="auto"/>
              <w:left w:val="single" w:sz="4" w:space="0" w:color="auto"/>
              <w:bottom w:val="single" w:sz="4" w:space="0" w:color="auto"/>
              <w:right w:val="single" w:sz="4" w:space="0" w:color="auto"/>
            </w:tcBorders>
          </w:tcPr>
          <w:p w14:paraId="6EA59397" w14:textId="77777777" w:rsidR="002510E7" w:rsidRPr="004F5FB4" w:rsidRDefault="002510E7" w:rsidP="003146E9">
            <w:pPr>
              <w:keepNext/>
              <w:rPr>
                <w:color w:val="000000"/>
                <w:lang w:val="en-GB"/>
              </w:rPr>
            </w:pPr>
          </w:p>
        </w:tc>
        <w:tc>
          <w:tcPr>
            <w:tcW w:w="1841" w:type="dxa"/>
            <w:tcBorders>
              <w:top w:val="single" w:sz="4" w:space="0" w:color="auto"/>
              <w:left w:val="single" w:sz="4" w:space="0" w:color="auto"/>
              <w:bottom w:val="single" w:sz="4" w:space="0" w:color="auto"/>
              <w:right w:val="single" w:sz="4" w:space="0" w:color="auto"/>
            </w:tcBorders>
          </w:tcPr>
          <w:p w14:paraId="611BFE04" w14:textId="77777777" w:rsidR="002510E7" w:rsidRPr="004F5FB4" w:rsidRDefault="002510E7" w:rsidP="003146E9">
            <w:pPr>
              <w:keepNext/>
              <w:rPr>
                <w:color w:val="000000"/>
                <w:lang w:val="en-GB"/>
              </w:rPr>
            </w:pPr>
          </w:p>
        </w:tc>
        <w:tc>
          <w:tcPr>
            <w:tcW w:w="1080" w:type="dxa"/>
            <w:tcBorders>
              <w:top w:val="single" w:sz="4" w:space="0" w:color="auto"/>
              <w:left w:val="single" w:sz="4" w:space="0" w:color="auto"/>
              <w:bottom w:val="single" w:sz="4" w:space="0" w:color="auto"/>
              <w:right w:val="single" w:sz="4" w:space="0" w:color="auto"/>
            </w:tcBorders>
          </w:tcPr>
          <w:p w14:paraId="09ECCA87" w14:textId="77777777" w:rsidR="002510E7" w:rsidRPr="004F5FB4" w:rsidRDefault="002510E7" w:rsidP="003146E9">
            <w:pPr>
              <w:keepNext/>
              <w:rPr>
                <w:color w:val="000000"/>
                <w:lang w:val="en-GB"/>
              </w:rPr>
            </w:pPr>
          </w:p>
        </w:tc>
        <w:tc>
          <w:tcPr>
            <w:tcW w:w="1844" w:type="dxa"/>
            <w:tcBorders>
              <w:top w:val="single" w:sz="4" w:space="0" w:color="auto"/>
              <w:left w:val="single" w:sz="4" w:space="0" w:color="auto"/>
              <w:bottom w:val="single" w:sz="4" w:space="0" w:color="auto"/>
              <w:right w:val="single" w:sz="4" w:space="0" w:color="auto"/>
            </w:tcBorders>
          </w:tcPr>
          <w:p w14:paraId="5C22662C" w14:textId="77777777" w:rsidR="002510E7" w:rsidRPr="004F5FB4" w:rsidRDefault="002510E7" w:rsidP="003146E9">
            <w:pPr>
              <w:keepNext/>
              <w:rPr>
                <w:color w:val="000000"/>
                <w:lang w:val="en-GB"/>
              </w:rPr>
            </w:pPr>
          </w:p>
        </w:tc>
      </w:tr>
      <w:tr w:rsidR="002510E7" w:rsidRPr="004F5FB4" w14:paraId="5BF27588"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2BF080B4" w14:textId="77777777" w:rsidR="002510E7" w:rsidRPr="004F5FB4" w:rsidRDefault="002510E7" w:rsidP="00D67346">
            <w:pPr>
              <w:rPr>
                <w:color w:val="000000"/>
              </w:rPr>
            </w:pPr>
            <w:r w:rsidRPr="004F5FB4">
              <w:rPr>
                <w:color w:val="000000"/>
              </w:rPr>
              <w:t>Klinische Remission</w:t>
            </w:r>
          </w:p>
        </w:tc>
        <w:tc>
          <w:tcPr>
            <w:tcW w:w="1029" w:type="dxa"/>
            <w:tcBorders>
              <w:top w:val="single" w:sz="4" w:space="0" w:color="auto"/>
              <w:left w:val="single" w:sz="4" w:space="0" w:color="auto"/>
              <w:bottom w:val="single" w:sz="4" w:space="0" w:color="auto"/>
              <w:right w:val="single" w:sz="4" w:space="0" w:color="auto"/>
            </w:tcBorders>
            <w:vAlign w:val="center"/>
            <w:hideMark/>
          </w:tcPr>
          <w:p w14:paraId="448640CC" w14:textId="77777777" w:rsidR="002510E7" w:rsidRPr="004F5FB4" w:rsidRDefault="002510E7" w:rsidP="00D67346">
            <w:pPr>
              <w:jc w:val="center"/>
              <w:rPr>
                <w:color w:val="000000"/>
              </w:rPr>
            </w:pPr>
            <w:r w:rsidRPr="004F5FB4">
              <w:rPr>
                <w:color w:val="000000"/>
              </w:rPr>
              <w:t>12 %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D70AFEB" w14:textId="77777777" w:rsidR="002510E7" w:rsidRPr="004F5FB4" w:rsidRDefault="002510E7" w:rsidP="00D67346">
            <w:pPr>
              <w:jc w:val="center"/>
              <w:rPr>
                <w:color w:val="000000"/>
              </w:rPr>
            </w:pPr>
            <w:r w:rsidRPr="004F5FB4">
              <w:rPr>
                <w:color w:val="000000"/>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719B419" w14:textId="77777777" w:rsidR="002510E7" w:rsidRPr="004F5FB4" w:rsidRDefault="002510E7" w:rsidP="00D67346">
            <w:pPr>
              <w:jc w:val="center"/>
              <w:rPr>
                <w:color w:val="000000"/>
              </w:rPr>
            </w:pPr>
            <w:r w:rsidRPr="004F5FB4">
              <w:rPr>
                <w:color w:val="000000"/>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01EE1F2" w14:textId="77777777" w:rsidR="002510E7" w:rsidRPr="004F5FB4" w:rsidRDefault="002510E7" w:rsidP="00D67346">
            <w:pPr>
              <w:jc w:val="center"/>
              <w:rPr>
                <w:color w:val="000000"/>
              </w:rPr>
            </w:pPr>
            <w:r w:rsidRPr="004F5FB4">
              <w:rPr>
                <w:color w:val="000000"/>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BCEE9F7" w14:textId="77777777" w:rsidR="002510E7" w:rsidRPr="004F5FB4" w:rsidRDefault="002510E7" w:rsidP="00D67346">
            <w:pPr>
              <w:jc w:val="center"/>
              <w:rPr>
                <w:color w:val="000000"/>
              </w:rPr>
            </w:pPr>
            <w:r w:rsidRPr="004F5FB4">
              <w:rPr>
                <w:color w:val="000000"/>
              </w:rPr>
              <w:t>21 %*</w:t>
            </w:r>
          </w:p>
        </w:tc>
      </w:tr>
      <w:tr w:rsidR="002510E7" w:rsidRPr="004F5FB4" w14:paraId="68194021"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7F93C336" w14:textId="77777777" w:rsidR="002510E7" w:rsidRPr="004F5FB4" w:rsidRDefault="002510E7" w:rsidP="00D67346">
            <w:pPr>
              <w:rPr>
                <w:color w:val="000000"/>
              </w:rPr>
            </w:pPr>
            <w:r w:rsidRPr="004F5FB4">
              <w:rPr>
                <w:color w:val="000000"/>
              </w:rPr>
              <w:t>Klinisches Ansprechen (CR</w:t>
            </w:r>
            <w:r w:rsidRPr="004F5FB4">
              <w:rPr>
                <w:color w:val="000000"/>
              </w:rPr>
              <w:noBreakHyphen/>
              <w:t>100)</w:t>
            </w:r>
          </w:p>
        </w:tc>
        <w:tc>
          <w:tcPr>
            <w:tcW w:w="1029" w:type="dxa"/>
            <w:tcBorders>
              <w:top w:val="single" w:sz="4" w:space="0" w:color="auto"/>
              <w:left w:val="single" w:sz="4" w:space="0" w:color="auto"/>
              <w:bottom w:val="single" w:sz="4" w:space="0" w:color="auto"/>
              <w:right w:val="single" w:sz="4" w:space="0" w:color="auto"/>
            </w:tcBorders>
            <w:vAlign w:val="center"/>
            <w:hideMark/>
          </w:tcPr>
          <w:p w14:paraId="62B4E288" w14:textId="77777777" w:rsidR="002510E7" w:rsidRPr="004F5FB4" w:rsidRDefault="002510E7" w:rsidP="00D67346">
            <w:pPr>
              <w:jc w:val="center"/>
              <w:rPr>
                <w:color w:val="000000"/>
              </w:rPr>
            </w:pPr>
            <w:r w:rsidRPr="004F5FB4">
              <w:rPr>
                <w:color w:val="000000"/>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063553F" w14:textId="77777777" w:rsidR="002510E7" w:rsidRPr="004F5FB4" w:rsidRDefault="002510E7" w:rsidP="00D67346">
            <w:pPr>
              <w:jc w:val="center"/>
              <w:rPr>
                <w:color w:val="000000"/>
              </w:rPr>
            </w:pPr>
            <w:r w:rsidRPr="004F5FB4">
              <w:rPr>
                <w:color w:val="000000"/>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DCA2390" w14:textId="77777777" w:rsidR="002510E7" w:rsidRPr="004F5FB4" w:rsidRDefault="002510E7" w:rsidP="00D67346">
            <w:pPr>
              <w:jc w:val="center"/>
              <w:rPr>
                <w:color w:val="000000"/>
              </w:rPr>
            </w:pPr>
            <w:r w:rsidRPr="004F5FB4">
              <w:rPr>
                <w:color w:val="000000"/>
              </w:rPr>
              <w:t>49</w:t>
            </w:r>
            <w:r w:rsidR="005378EB" w:rsidRPr="004F5FB4">
              <w:rPr>
                <w:color w:val="000000"/>
              </w:rPr>
              <w:t> </w:t>
            </w:r>
            <w:r w:rsidRPr="004F5FB4">
              <w:rPr>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C2FE57" w14:textId="77777777" w:rsidR="002510E7" w:rsidRPr="004F5FB4" w:rsidRDefault="002510E7" w:rsidP="00D67346">
            <w:pPr>
              <w:jc w:val="center"/>
              <w:rPr>
                <w:color w:val="000000"/>
              </w:rPr>
            </w:pPr>
            <w:r w:rsidRPr="004F5FB4">
              <w:rPr>
                <w:color w:val="000000"/>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9A41DD5" w14:textId="77777777" w:rsidR="002510E7" w:rsidRPr="004F5FB4" w:rsidRDefault="002510E7" w:rsidP="00D67346">
            <w:pPr>
              <w:jc w:val="center"/>
              <w:rPr>
                <w:color w:val="000000"/>
              </w:rPr>
            </w:pPr>
            <w:r w:rsidRPr="004F5FB4">
              <w:rPr>
                <w:color w:val="000000"/>
              </w:rPr>
              <w:t>38 %**</w:t>
            </w:r>
          </w:p>
        </w:tc>
      </w:tr>
      <w:tr w:rsidR="00995D38" w:rsidRPr="004F5FB4" w14:paraId="1057890C" w14:textId="77777777" w:rsidTr="00995D38">
        <w:trPr>
          <w:cantSplit/>
        </w:trPr>
        <w:tc>
          <w:tcPr>
            <w:tcW w:w="9303" w:type="dxa"/>
            <w:gridSpan w:val="6"/>
            <w:tcBorders>
              <w:top w:val="single" w:sz="4" w:space="0" w:color="auto"/>
              <w:left w:val="nil"/>
              <w:bottom w:val="nil"/>
              <w:right w:val="nil"/>
            </w:tcBorders>
          </w:tcPr>
          <w:p w14:paraId="2BBE2455" w14:textId="77777777" w:rsidR="00995D38" w:rsidRPr="00206AEA" w:rsidRDefault="00995D38" w:rsidP="00995D38">
            <w:pPr>
              <w:ind w:left="270" w:hanging="270"/>
              <w:rPr>
                <w:color w:val="000000"/>
                <w:sz w:val="20"/>
              </w:rPr>
            </w:pPr>
            <w:r w:rsidRPr="00206AEA">
              <w:rPr>
                <w:color w:val="000000"/>
                <w:sz w:val="20"/>
              </w:rPr>
              <w:t>Alle p</w:t>
            </w:r>
            <w:r w:rsidRPr="00206AEA">
              <w:rPr>
                <w:color w:val="000000"/>
                <w:sz w:val="20"/>
              </w:rPr>
              <w:noBreakHyphen/>
              <w:t xml:space="preserve">Werte beziehen sich auf den paarweisen Vergleich der Zahlen für Adalimumab </w:t>
            </w:r>
            <w:r w:rsidRPr="00206AEA">
              <w:rPr>
                <w:i/>
                <w:iCs/>
                <w:color w:val="000000"/>
                <w:sz w:val="20"/>
              </w:rPr>
              <w:t>versus</w:t>
            </w:r>
            <w:r w:rsidRPr="00206AEA">
              <w:rPr>
                <w:color w:val="000000"/>
                <w:sz w:val="20"/>
              </w:rPr>
              <w:t xml:space="preserve"> Placebo </w:t>
            </w:r>
          </w:p>
          <w:p w14:paraId="38848B66" w14:textId="77777777" w:rsidR="00995D38" w:rsidRPr="00206AEA" w:rsidRDefault="00995D38" w:rsidP="00995D38">
            <w:pPr>
              <w:ind w:left="270" w:hanging="270"/>
              <w:rPr>
                <w:color w:val="000000"/>
                <w:sz w:val="20"/>
              </w:rPr>
            </w:pPr>
            <w:r w:rsidRPr="00206AEA">
              <w:rPr>
                <w:color w:val="000000"/>
                <w:sz w:val="20"/>
              </w:rPr>
              <w:t>*</w:t>
            </w:r>
            <w:r w:rsidRPr="00206AEA">
              <w:rPr>
                <w:color w:val="000000"/>
                <w:sz w:val="20"/>
              </w:rPr>
              <w:tab/>
              <w:t>p</w:t>
            </w:r>
            <w:r w:rsidR="00BC409B" w:rsidRPr="00206AEA">
              <w:rPr>
                <w:color w:val="000000"/>
                <w:sz w:val="20"/>
              </w:rPr>
              <w:t> </w:t>
            </w:r>
            <w:r w:rsidRPr="00206AEA">
              <w:rPr>
                <w:color w:val="000000"/>
                <w:sz w:val="20"/>
              </w:rPr>
              <w:t>&lt;</w:t>
            </w:r>
            <w:r w:rsidR="00BC409B" w:rsidRPr="00206AEA">
              <w:rPr>
                <w:color w:val="000000"/>
                <w:sz w:val="20"/>
              </w:rPr>
              <w:t> </w:t>
            </w:r>
            <w:r w:rsidRPr="00206AEA">
              <w:rPr>
                <w:color w:val="000000"/>
                <w:sz w:val="20"/>
              </w:rPr>
              <w:t>0,001 </w:t>
            </w:r>
          </w:p>
          <w:p w14:paraId="4FE49C93" w14:textId="77777777" w:rsidR="00995D38" w:rsidRPr="00206AEA" w:rsidRDefault="00995D38" w:rsidP="00995D38">
            <w:pPr>
              <w:ind w:left="270" w:hanging="270"/>
              <w:rPr>
                <w:color w:val="000000"/>
                <w:sz w:val="20"/>
              </w:rPr>
            </w:pPr>
            <w:r w:rsidRPr="00206AEA">
              <w:rPr>
                <w:color w:val="000000"/>
                <w:sz w:val="20"/>
              </w:rPr>
              <w:t>**</w:t>
            </w:r>
            <w:r w:rsidRPr="00206AEA">
              <w:rPr>
                <w:color w:val="000000"/>
                <w:sz w:val="20"/>
              </w:rPr>
              <w:tab/>
              <w:t>p &lt; 0,01 </w:t>
            </w:r>
          </w:p>
        </w:tc>
      </w:tr>
    </w:tbl>
    <w:p w14:paraId="09315C71" w14:textId="77777777" w:rsidR="00C46587" w:rsidRPr="004F5FB4" w:rsidRDefault="00C46587" w:rsidP="00982118">
      <w:pPr>
        <w:rPr>
          <w:color w:val="000000"/>
          <w:lang w:val="en-GB"/>
        </w:rPr>
      </w:pPr>
    </w:p>
    <w:p w14:paraId="45B40EAD" w14:textId="77777777" w:rsidR="00C46587" w:rsidRPr="004F5FB4" w:rsidRDefault="00C46587" w:rsidP="00982118">
      <w:pPr>
        <w:rPr>
          <w:color w:val="000000"/>
        </w:rPr>
      </w:pPr>
      <w:r w:rsidRPr="004F5FB4">
        <w:rPr>
          <w:color w:val="000000"/>
        </w:rPr>
        <w:t>Die Remissionsraten in Woche</w:t>
      </w:r>
      <w:r w:rsidR="005378EB" w:rsidRPr="004F5FB4">
        <w:rPr>
          <w:color w:val="000000"/>
        </w:rPr>
        <w:t> </w:t>
      </w:r>
      <w:r w:rsidRPr="004F5FB4">
        <w:rPr>
          <w:color w:val="000000"/>
        </w:rPr>
        <w:t>8 für die Induktionsdosierung mit 160/80 mg und mit 80/40 mg waren vergleichbar, unter der Dosierung mit 160/80 mg wurden häufiger Nebenwirkungen beobachtet.</w:t>
      </w:r>
    </w:p>
    <w:p w14:paraId="27A3E275" w14:textId="77777777" w:rsidR="00C46587" w:rsidRPr="004F5FB4" w:rsidRDefault="00C46587" w:rsidP="00982118">
      <w:pPr>
        <w:rPr>
          <w:color w:val="000000"/>
        </w:rPr>
      </w:pPr>
    </w:p>
    <w:p w14:paraId="553373A6" w14:textId="77777777" w:rsidR="00C46587" w:rsidRPr="004F5FB4" w:rsidRDefault="00C46587" w:rsidP="00982118">
      <w:pPr>
        <w:rPr>
          <w:color w:val="000000"/>
        </w:rPr>
      </w:pPr>
      <w:r w:rsidRPr="004F5FB4">
        <w:rPr>
          <w:color w:val="000000"/>
        </w:rPr>
        <w:t>In Woche</w:t>
      </w:r>
      <w:r w:rsidR="005378EB" w:rsidRPr="004F5FB4">
        <w:rPr>
          <w:color w:val="000000"/>
        </w:rPr>
        <w:t> </w:t>
      </w:r>
      <w:r w:rsidRPr="004F5FB4">
        <w:rPr>
          <w:color w:val="000000"/>
        </w:rPr>
        <w:t>4 zeigten in der MC-Studie</w:t>
      </w:r>
      <w:r w:rsidR="005378EB" w:rsidRPr="004F5FB4">
        <w:rPr>
          <w:color w:val="000000"/>
        </w:rPr>
        <w:t> </w:t>
      </w:r>
      <w:r w:rsidRPr="004F5FB4">
        <w:rPr>
          <w:color w:val="000000"/>
        </w:rPr>
        <w:t>III 58</w:t>
      </w:r>
      <w:r w:rsidR="005378EB" w:rsidRPr="004F5FB4">
        <w:rPr>
          <w:color w:val="000000"/>
        </w:rPr>
        <w:t> </w:t>
      </w:r>
      <w:r w:rsidRPr="004F5FB4">
        <w:rPr>
          <w:color w:val="000000"/>
        </w:rPr>
        <w:t>% (499/854) der Patienten ein klinisches Ansprechen und wurden in der primären Analyse erfasst. Von diesen Patienten mit klinischem Ansprechen in Woche</w:t>
      </w:r>
      <w:r w:rsidR="005378EB" w:rsidRPr="004F5FB4">
        <w:rPr>
          <w:color w:val="000000"/>
        </w:rPr>
        <w:t> </w:t>
      </w:r>
      <w:r w:rsidRPr="004F5FB4">
        <w:rPr>
          <w:color w:val="000000"/>
        </w:rPr>
        <w:t>4 hatten 48</w:t>
      </w:r>
      <w:r w:rsidR="005378EB" w:rsidRPr="004F5FB4">
        <w:rPr>
          <w:color w:val="000000"/>
        </w:rPr>
        <w:t> </w:t>
      </w:r>
      <w:r w:rsidRPr="004F5FB4">
        <w:rPr>
          <w:color w:val="000000"/>
        </w:rPr>
        <w:t>% bereits zuvor TNF-Antagonisten erhalten. Die Raten der anhaltenden Remission und des Ansprechens sind in Tabelle</w:t>
      </w:r>
      <w:r w:rsidR="005378EB" w:rsidRPr="004F5FB4">
        <w:rPr>
          <w:color w:val="000000"/>
        </w:rPr>
        <w:t> </w:t>
      </w:r>
      <w:r w:rsidR="00DA4438">
        <w:rPr>
          <w:color w:val="000000"/>
        </w:rPr>
        <w:t>18</w:t>
      </w:r>
      <w:r w:rsidRPr="004F5FB4">
        <w:rPr>
          <w:color w:val="000000"/>
        </w:rPr>
        <w:t xml:space="preserve"> aufgeführt. Die Ergebnisse zur klinischen Remission waren weitgehend konstant, unabhängig davon, ob früher bereits ein TNF-Antagonist verabreicht wurde.</w:t>
      </w:r>
    </w:p>
    <w:p w14:paraId="31E89CA5" w14:textId="77777777" w:rsidR="00C46587" w:rsidRPr="004F5FB4" w:rsidRDefault="00C46587" w:rsidP="00982118">
      <w:pPr>
        <w:rPr>
          <w:color w:val="000000"/>
        </w:rPr>
      </w:pPr>
    </w:p>
    <w:p w14:paraId="43CE2AA7" w14:textId="77777777" w:rsidR="00C46587" w:rsidRPr="004F5FB4" w:rsidRDefault="00C46587" w:rsidP="00982118">
      <w:pPr>
        <w:rPr>
          <w:color w:val="000000"/>
        </w:rPr>
      </w:pPr>
      <w:r w:rsidRPr="004F5FB4">
        <w:rPr>
          <w:color w:val="000000"/>
        </w:rPr>
        <w:t>Adalimumab verringerte im Vergleich zu Placebo krankheitsbezogene Klinikaufenthalte und Operationen in Woche</w:t>
      </w:r>
      <w:r w:rsidR="005378EB" w:rsidRPr="004F5FB4">
        <w:rPr>
          <w:color w:val="000000"/>
        </w:rPr>
        <w:t> </w:t>
      </w:r>
      <w:r w:rsidRPr="004F5FB4">
        <w:rPr>
          <w:color w:val="000000"/>
        </w:rPr>
        <w:t>56 signifikant.</w:t>
      </w:r>
    </w:p>
    <w:p w14:paraId="574711CC" w14:textId="77777777" w:rsidR="00C46587" w:rsidRPr="004F5FB4" w:rsidRDefault="00C46587" w:rsidP="00982118">
      <w:pPr>
        <w:rPr>
          <w:color w:val="000000"/>
        </w:rPr>
      </w:pPr>
    </w:p>
    <w:p w14:paraId="5C82A3BD" w14:textId="77777777" w:rsidR="00534661" w:rsidRPr="004F5FB4" w:rsidRDefault="00C46587" w:rsidP="00687087">
      <w:pPr>
        <w:keepNext/>
        <w:rPr>
          <w:b/>
          <w:color w:val="000000"/>
        </w:rPr>
      </w:pPr>
      <w:r w:rsidRPr="004F5FB4">
        <w:rPr>
          <w:b/>
          <w:color w:val="000000"/>
        </w:rPr>
        <w:t>Tabelle</w:t>
      </w:r>
      <w:r w:rsidR="00DA4438">
        <w:rPr>
          <w:b/>
          <w:color w:val="000000"/>
        </w:rPr>
        <w:t> 18</w:t>
      </w:r>
      <w:r w:rsidR="00B24C80" w:rsidRPr="004F5FB4">
        <w:rPr>
          <w:b/>
          <w:color w:val="000000"/>
        </w:rPr>
        <w:t xml:space="preserve"> </w:t>
      </w:r>
    </w:p>
    <w:p w14:paraId="1AD06154" w14:textId="77777777" w:rsidR="00C46587" w:rsidRPr="004F5FB4" w:rsidRDefault="00C46587" w:rsidP="00687087">
      <w:pPr>
        <w:keepNext/>
        <w:rPr>
          <w:b/>
          <w:color w:val="000000"/>
        </w:rPr>
      </w:pPr>
      <w:r w:rsidRPr="004F5FB4">
        <w:rPr>
          <w:b/>
          <w:color w:val="000000"/>
        </w:rPr>
        <w:t>Aufrechterhaltung der klinischen Remission und des Ansprechens (Prozent der Patienten)</w:t>
      </w:r>
    </w:p>
    <w:p w14:paraId="47329AEC" w14:textId="77777777" w:rsidR="00C46587" w:rsidRPr="004F5FB4" w:rsidRDefault="00C46587" w:rsidP="00982118">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2090"/>
        <w:gridCol w:w="2121"/>
        <w:gridCol w:w="2121"/>
      </w:tblGrid>
      <w:tr w:rsidR="00C46587" w:rsidRPr="004F5FB4" w14:paraId="7AA82727" w14:textId="77777777" w:rsidTr="00D4051F">
        <w:tc>
          <w:tcPr>
            <w:tcW w:w="2804" w:type="dxa"/>
            <w:tcBorders>
              <w:top w:val="single" w:sz="4" w:space="0" w:color="auto"/>
              <w:left w:val="single" w:sz="4" w:space="0" w:color="auto"/>
              <w:bottom w:val="single" w:sz="4" w:space="0" w:color="auto"/>
              <w:right w:val="single" w:sz="4" w:space="0" w:color="auto"/>
            </w:tcBorders>
          </w:tcPr>
          <w:p w14:paraId="7B6E2D8B" w14:textId="77777777" w:rsidR="00C46587" w:rsidRPr="004F5FB4" w:rsidRDefault="00C46587" w:rsidP="00982118">
            <w:pPr>
              <w:keepNext/>
              <w:rPr>
                <w:b/>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4CD61738" w14:textId="77777777" w:rsidR="00C46587" w:rsidRPr="004F5FB4" w:rsidRDefault="00C46587" w:rsidP="00982118">
            <w:pPr>
              <w:keepNext/>
              <w:jc w:val="center"/>
              <w:rPr>
                <w:b/>
                <w:color w:val="000000"/>
              </w:rPr>
            </w:pPr>
            <w:r w:rsidRPr="004F5FB4">
              <w:rPr>
                <w:b/>
                <w:color w:val="000000"/>
              </w:rPr>
              <w:t>Placebo</w:t>
            </w:r>
          </w:p>
        </w:tc>
        <w:tc>
          <w:tcPr>
            <w:tcW w:w="2163" w:type="dxa"/>
            <w:tcBorders>
              <w:top w:val="single" w:sz="4" w:space="0" w:color="auto"/>
              <w:left w:val="single" w:sz="4" w:space="0" w:color="auto"/>
              <w:bottom w:val="single" w:sz="4" w:space="0" w:color="auto"/>
              <w:right w:val="single" w:sz="4" w:space="0" w:color="auto"/>
            </w:tcBorders>
            <w:vAlign w:val="center"/>
            <w:hideMark/>
          </w:tcPr>
          <w:p w14:paraId="4C45A492" w14:textId="77777777" w:rsidR="00C46587" w:rsidRPr="004F5FB4" w:rsidRDefault="00C46587" w:rsidP="00982118">
            <w:pPr>
              <w:keepNext/>
              <w:jc w:val="center"/>
              <w:rPr>
                <w:b/>
                <w:color w:val="000000"/>
              </w:rPr>
            </w:pPr>
            <w:r w:rsidRPr="004F5FB4">
              <w:rPr>
                <w:b/>
                <w:color w:val="000000"/>
              </w:rPr>
              <w:t>40 mg Adalimumab</w:t>
            </w:r>
          </w:p>
          <w:p w14:paraId="26C75E17" w14:textId="77777777" w:rsidR="00C46587" w:rsidRPr="004F5FB4" w:rsidRDefault="00C46587" w:rsidP="00982118">
            <w:pPr>
              <w:keepNext/>
              <w:jc w:val="center"/>
              <w:rPr>
                <w:b/>
                <w:color w:val="000000"/>
              </w:rPr>
            </w:pPr>
            <w:r w:rsidRPr="004F5FB4">
              <w:rPr>
                <w:b/>
                <w:color w:val="000000"/>
              </w:rPr>
              <w:t>jede zweite Woche</w:t>
            </w:r>
          </w:p>
        </w:tc>
        <w:tc>
          <w:tcPr>
            <w:tcW w:w="2163" w:type="dxa"/>
            <w:tcBorders>
              <w:top w:val="single" w:sz="4" w:space="0" w:color="auto"/>
              <w:left w:val="single" w:sz="4" w:space="0" w:color="auto"/>
              <w:bottom w:val="single" w:sz="4" w:space="0" w:color="auto"/>
              <w:right w:val="single" w:sz="4" w:space="0" w:color="auto"/>
            </w:tcBorders>
            <w:vAlign w:val="center"/>
            <w:hideMark/>
          </w:tcPr>
          <w:p w14:paraId="49716528" w14:textId="77777777" w:rsidR="00C46587" w:rsidRPr="004F5FB4" w:rsidRDefault="00C46587" w:rsidP="00982118">
            <w:pPr>
              <w:keepNext/>
              <w:jc w:val="center"/>
              <w:rPr>
                <w:b/>
                <w:color w:val="000000"/>
              </w:rPr>
            </w:pPr>
            <w:r w:rsidRPr="004F5FB4">
              <w:rPr>
                <w:b/>
                <w:color w:val="000000"/>
              </w:rPr>
              <w:t>40 mg Adalimumab</w:t>
            </w:r>
          </w:p>
          <w:p w14:paraId="1E429057" w14:textId="77777777" w:rsidR="00C46587" w:rsidRPr="004F5FB4" w:rsidRDefault="00C46587" w:rsidP="00982118">
            <w:pPr>
              <w:keepNext/>
              <w:jc w:val="center"/>
              <w:rPr>
                <w:b/>
                <w:color w:val="000000"/>
              </w:rPr>
            </w:pPr>
            <w:r w:rsidRPr="004F5FB4">
              <w:rPr>
                <w:b/>
                <w:color w:val="000000"/>
              </w:rPr>
              <w:t>jede Woche</w:t>
            </w:r>
          </w:p>
        </w:tc>
      </w:tr>
      <w:tr w:rsidR="00C46587" w:rsidRPr="004F5FB4" w14:paraId="7F6D114A"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1FF3034C" w14:textId="77777777" w:rsidR="00C46587" w:rsidRPr="004F5FB4" w:rsidRDefault="00C46587" w:rsidP="00982118">
            <w:pPr>
              <w:keepNext/>
              <w:rPr>
                <w:b/>
                <w:color w:val="000000"/>
              </w:rPr>
            </w:pPr>
            <w:r w:rsidRPr="004F5FB4">
              <w:rPr>
                <w:b/>
                <w:color w:val="000000"/>
              </w:rPr>
              <w:t>Woche</w:t>
            </w:r>
            <w:r w:rsidR="00C403AB" w:rsidRPr="004F5FB4">
              <w:rPr>
                <w:b/>
                <w:color w:val="000000"/>
              </w:rPr>
              <w:t> </w:t>
            </w:r>
            <w:r w:rsidRPr="004F5FB4">
              <w:rPr>
                <w:b/>
                <w:color w:val="000000"/>
              </w:rPr>
              <w:t>26</w:t>
            </w:r>
          </w:p>
        </w:tc>
        <w:tc>
          <w:tcPr>
            <w:tcW w:w="2161" w:type="dxa"/>
            <w:tcBorders>
              <w:top w:val="single" w:sz="4" w:space="0" w:color="auto"/>
              <w:left w:val="single" w:sz="4" w:space="0" w:color="auto"/>
              <w:bottom w:val="single" w:sz="4" w:space="0" w:color="auto"/>
              <w:right w:val="single" w:sz="4" w:space="0" w:color="auto"/>
            </w:tcBorders>
            <w:hideMark/>
          </w:tcPr>
          <w:p w14:paraId="48D24576" w14:textId="77777777" w:rsidR="00C46587" w:rsidRPr="004F5FB4" w:rsidRDefault="00C4658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170</w:t>
            </w:r>
          </w:p>
        </w:tc>
        <w:tc>
          <w:tcPr>
            <w:tcW w:w="2163" w:type="dxa"/>
            <w:tcBorders>
              <w:top w:val="single" w:sz="4" w:space="0" w:color="auto"/>
              <w:left w:val="single" w:sz="4" w:space="0" w:color="auto"/>
              <w:bottom w:val="single" w:sz="4" w:space="0" w:color="auto"/>
              <w:right w:val="single" w:sz="4" w:space="0" w:color="auto"/>
            </w:tcBorders>
            <w:hideMark/>
          </w:tcPr>
          <w:p w14:paraId="45BFAB50" w14:textId="77777777" w:rsidR="00C46587" w:rsidRPr="004F5FB4" w:rsidRDefault="00C4658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172</w:t>
            </w:r>
          </w:p>
        </w:tc>
        <w:tc>
          <w:tcPr>
            <w:tcW w:w="2163" w:type="dxa"/>
            <w:tcBorders>
              <w:top w:val="single" w:sz="4" w:space="0" w:color="auto"/>
              <w:left w:val="single" w:sz="4" w:space="0" w:color="auto"/>
              <w:bottom w:val="single" w:sz="4" w:space="0" w:color="auto"/>
              <w:right w:val="single" w:sz="4" w:space="0" w:color="auto"/>
            </w:tcBorders>
            <w:hideMark/>
          </w:tcPr>
          <w:p w14:paraId="651C0808" w14:textId="77777777" w:rsidR="00C46587" w:rsidRPr="004F5FB4" w:rsidRDefault="00C46587" w:rsidP="00B24C80">
            <w:pPr>
              <w:keepNext/>
              <w:jc w:val="center"/>
              <w:rPr>
                <w:b/>
                <w:color w:val="000000"/>
              </w:rPr>
            </w:pPr>
            <w:r w:rsidRPr="004F5FB4">
              <w:rPr>
                <w:b/>
                <w:color w:val="000000"/>
              </w:rPr>
              <w:t>n</w:t>
            </w:r>
            <w:r w:rsidR="00B24C80" w:rsidRPr="004F5FB4">
              <w:rPr>
                <w:b/>
                <w:color w:val="000000"/>
              </w:rPr>
              <w:t> </w:t>
            </w:r>
            <w:r w:rsidRPr="004F5FB4">
              <w:rPr>
                <w:b/>
                <w:color w:val="000000"/>
              </w:rPr>
              <w:t>=</w:t>
            </w:r>
            <w:r w:rsidR="00B24C80" w:rsidRPr="004F5FB4">
              <w:rPr>
                <w:b/>
                <w:color w:val="000000"/>
              </w:rPr>
              <w:t> </w:t>
            </w:r>
            <w:r w:rsidRPr="004F5FB4">
              <w:rPr>
                <w:b/>
                <w:color w:val="000000"/>
              </w:rPr>
              <w:t>157</w:t>
            </w:r>
          </w:p>
        </w:tc>
      </w:tr>
      <w:tr w:rsidR="00C46587" w:rsidRPr="004F5FB4" w14:paraId="7546B162"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163D43CA" w14:textId="77777777" w:rsidR="00C46587" w:rsidRPr="004F5FB4" w:rsidRDefault="00C46587" w:rsidP="00982118">
            <w:pPr>
              <w:rPr>
                <w:color w:val="000000"/>
              </w:rPr>
            </w:pPr>
            <w:r w:rsidRPr="004F5FB4">
              <w:rPr>
                <w:color w:val="000000"/>
              </w:rPr>
              <w:t>Klinische Remission</w:t>
            </w:r>
          </w:p>
        </w:tc>
        <w:tc>
          <w:tcPr>
            <w:tcW w:w="2161" w:type="dxa"/>
            <w:tcBorders>
              <w:top w:val="single" w:sz="4" w:space="0" w:color="auto"/>
              <w:left w:val="single" w:sz="4" w:space="0" w:color="auto"/>
              <w:bottom w:val="single" w:sz="4" w:space="0" w:color="auto"/>
              <w:right w:val="single" w:sz="4" w:space="0" w:color="auto"/>
            </w:tcBorders>
            <w:hideMark/>
          </w:tcPr>
          <w:p w14:paraId="475E5242" w14:textId="77777777" w:rsidR="00C46587" w:rsidRPr="004F5FB4" w:rsidRDefault="00C46587" w:rsidP="00982118">
            <w:pPr>
              <w:jc w:val="center"/>
              <w:rPr>
                <w:color w:val="000000"/>
              </w:rPr>
            </w:pPr>
            <w:r w:rsidRPr="004F5FB4">
              <w:rPr>
                <w:color w:val="000000"/>
              </w:rPr>
              <w:t>17 %</w:t>
            </w:r>
          </w:p>
        </w:tc>
        <w:tc>
          <w:tcPr>
            <w:tcW w:w="2163" w:type="dxa"/>
            <w:tcBorders>
              <w:top w:val="single" w:sz="4" w:space="0" w:color="auto"/>
              <w:left w:val="single" w:sz="4" w:space="0" w:color="auto"/>
              <w:bottom w:val="single" w:sz="4" w:space="0" w:color="auto"/>
              <w:right w:val="single" w:sz="4" w:space="0" w:color="auto"/>
            </w:tcBorders>
            <w:hideMark/>
          </w:tcPr>
          <w:p w14:paraId="08867876" w14:textId="77777777" w:rsidR="00C46587" w:rsidRPr="004F5FB4" w:rsidRDefault="00C46587" w:rsidP="00982118">
            <w:pPr>
              <w:jc w:val="center"/>
              <w:rPr>
                <w:color w:val="000000"/>
              </w:rPr>
            </w:pPr>
            <w:r w:rsidRPr="004F5FB4">
              <w:rPr>
                <w:color w:val="000000"/>
              </w:rPr>
              <w:t>40 %*</w:t>
            </w:r>
          </w:p>
        </w:tc>
        <w:tc>
          <w:tcPr>
            <w:tcW w:w="2163" w:type="dxa"/>
            <w:tcBorders>
              <w:top w:val="single" w:sz="4" w:space="0" w:color="auto"/>
              <w:left w:val="single" w:sz="4" w:space="0" w:color="auto"/>
              <w:bottom w:val="single" w:sz="4" w:space="0" w:color="auto"/>
              <w:right w:val="single" w:sz="4" w:space="0" w:color="auto"/>
            </w:tcBorders>
            <w:hideMark/>
          </w:tcPr>
          <w:p w14:paraId="29C7E91C" w14:textId="77777777" w:rsidR="00C46587" w:rsidRPr="004F5FB4" w:rsidRDefault="00C46587" w:rsidP="00982118">
            <w:pPr>
              <w:jc w:val="center"/>
              <w:rPr>
                <w:color w:val="000000"/>
              </w:rPr>
            </w:pPr>
            <w:r w:rsidRPr="004F5FB4">
              <w:rPr>
                <w:color w:val="000000"/>
              </w:rPr>
              <w:t>47 %*</w:t>
            </w:r>
          </w:p>
        </w:tc>
      </w:tr>
      <w:tr w:rsidR="00C46587" w:rsidRPr="004F5FB4" w14:paraId="5A21A797"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340FF11E" w14:textId="77777777" w:rsidR="00C46587" w:rsidRPr="004F5FB4" w:rsidRDefault="00C46587" w:rsidP="00982118">
            <w:pPr>
              <w:rPr>
                <w:color w:val="000000"/>
              </w:rPr>
            </w:pPr>
            <w:r w:rsidRPr="004F5FB4">
              <w:rPr>
                <w:color w:val="000000"/>
              </w:rPr>
              <w:t>Klinisches Ansprechen (CR</w:t>
            </w:r>
            <w:r w:rsidRPr="004F5FB4">
              <w:rPr>
                <w:color w:val="000000"/>
              </w:rPr>
              <w:noBreakHyphen/>
              <w:t>100)</w:t>
            </w:r>
          </w:p>
        </w:tc>
        <w:tc>
          <w:tcPr>
            <w:tcW w:w="2161" w:type="dxa"/>
            <w:tcBorders>
              <w:top w:val="single" w:sz="4" w:space="0" w:color="auto"/>
              <w:left w:val="single" w:sz="4" w:space="0" w:color="auto"/>
              <w:bottom w:val="single" w:sz="4" w:space="0" w:color="auto"/>
              <w:right w:val="single" w:sz="4" w:space="0" w:color="auto"/>
            </w:tcBorders>
            <w:hideMark/>
          </w:tcPr>
          <w:p w14:paraId="62A1D0C1" w14:textId="77777777" w:rsidR="00C46587" w:rsidRPr="004F5FB4" w:rsidRDefault="00C46587" w:rsidP="00982118">
            <w:pPr>
              <w:jc w:val="center"/>
              <w:rPr>
                <w:color w:val="000000"/>
              </w:rPr>
            </w:pPr>
            <w:r w:rsidRPr="004F5FB4">
              <w:rPr>
                <w:color w:val="000000"/>
              </w:rPr>
              <w:t>27 %</w:t>
            </w:r>
          </w:p>
        </w:tc>
        <w:tc>
          <w:tcPr>
            <w:tcW w:w="2163" w:type="dxa"/>
            <w:tcBorders>
              <w:top w:val="single" w:sz="4" w:space="0" w:color="auto"/>
              <w:left w:val="single" w:sz="4" w:space="0" w:color="auto"/>
              <w:bottom w:val="single" w:sz="4" w:space="0" w:color="auto"/>
              <w:right w:val="single" w:sz="4" w:space="0" w:color="auto"/>
            </w:tcBorders>
            <w:hideMark/>
          </w:tcPr>
          <w:p w14:paraId="74D2798A" w14:textId="77777777" w:rsidR="00C46587" w:rsidRPr="004F5FB4" w:rsidRDefault="00C46587" w:rsidP="00982118">
            <w:pPr>
              <w:jc w:val="center"/>
              <w:rPr>
                <w:color w:val="000000"/>
              </w:rPr>
            </w:pPr>
            <w:r w:rsidRPr="004F5FB4">
              <w:rPr>
                <w:color w:val="000000"/>
              </w:rPr>
              <w:t>52 %*</w:t>
            </w:r>
          </w:p>
        </w:tc>
        <w:tc>
          <w:tcPr>
            <w:tcW w:w="2163" w:type="dxa"/>
            <w:tcBorders>
              <w:top w:val="single" w:sz="4" w:space="0" w:color="auto"/>
              <w:left w:val="single" w:sz="4" w:space="0" w:color="auto"/>
              <w:bottom w:val="single" w:sz="4" w:space="0" w:color="auto"/>
              <w:right w:val="single" w:sz="4" w:space="0" w:color="auto"/>
            </w:tcBorders>
            <w:hideMark/>
          </w:tcPr>
          <w:p w14:paraId="498DA5E2" w14:textId="77777777" w:rsidR="00C46587" w:rsidRPr="004F5FB4" w:rsidRDefault="00C46587" w:rsidP="00982118">
            <w:pPr>
              <w:jc w:val="center"/>
              <w:rPr>
                <w:color w:val="000000"/>
              </w:rPr>
            </w:pPr>
            <w:r w:rsidRPr="004F5FB4">
              <w:rPr>
                <w:color w:val="000000"/>
              </w:rPr>
              <w:t>52 %*</w:t>
            </w:r>
          </w:p>
        </w:tc>
      </w:tr>
      <w:tr w:rsidR="00C46587" w:rsidRPr="004F5FB4" w14:paraId="7439638A"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5827398D" w14:textId="77777777" w:rsidR="00C46587" w:rsidRPr="004F5FB4" w:rsidRDefault="00C46587" w:rsidP="00982118">
            <w:pPr>
              <w:ind w:left="288"/>
              <w:rPr>
                <w:color w:val="000000"/>
              </w:rPr>
            </w:pPr>
            <w:r w:rsidRPr="004F5FB4">
              <w:rPr>
                <w:color w:val="000000"/>
              </w:rPr>
              <w:t>Patienten in steroidfreier Remission für ≥ 90 Tage</w:t>
            </w:r>
            <w:r w:rsidRPr="004F5FB4">
              <w:rPr>
                <w:color w:val="000000"/>
                <w:vertAlign w:val="superscript"/>
              </w:rPr>
              <w:t>a</w:t>
            </w:r>
          </w:p>
        </w:tc>
        <w:tc>
          <w:tcPr>
            <w:tcW w:w="2161" w:type="dxa"/>
            <w:tcBorders>
              <w:top w:val="single" w:sz="4" w:space="0" w:color="auto"/>
              <w:left w:val="single" w:sz="4" w:space="0" w:color="auto"/>
              <w:bottom w:val="single" w:sz="4" w:space="0" w:color="auto"/>
              <w:right w:val="single" w:sz="4" w:space="0" w:color="auto"/>
            </w:tcBorders>
            <w:hideMark/>
          </w:tcPr>
          <w:p w14:paraId="73D7AD10" w14:textId="77777777" w:rsidR="00C46587" w:rsidRPr="004F5FB4" w:rsidRDefault="00C46587" w:rsidP="00982118">
            <w:pPr>
              <w:jc w:val="center"/>
              <w:rPr>
                <w:color w:val="000000"/>
              </w:rPr>
            </w:pPr>
            <w:r w:rsidRPr="004F5FB4">
              <w:rPr>
                <w:color w:val="000000"/>
              </w:rPr>
              <w:t>3 % (2/66)</w:t>
            </w:r>
          </w:p>
        </w:tc>
        <w:tc>
          <w:tcPr>
            <w:tcW w:w="2163" w:type="dxa"/>
            <w:tcBorders>
              <w:top w:val="single" w:sz="4" w:space="0" w:color="auto"/>
              <w:left w:val="single" w:sz="4" w:space="0" w:color="auto"/>
              <w:bottom w:val="single" w:sz="4" w:space="0" w:color="auto"/>
              <w:right w:val="single" w:sz="4" w:space="0" w:color="auto"/>
            </w:tcBorders>
            <w:hideMark/>
          </w:tcPr>
          <w:p w14:paraId="34172CA9" w14:textId="77777777" w:rsidR="00C46587" w:rsidRPr="004F5FB4" w:rsidRDefault="00C46587" w:rsidP="00982118">
            <w:pPr>
              <w:jc w:val="center"/>
              <w:rPr>
                <w:color w:val="000000"/>
              </w:rPr>
            </w:pPr>
            <w:r w:rsidRPr="004F5FB4">
              <w:rPr>
                <w:color w:val="000000"/>
              </w:rPr>
              <w:t>19 % (11/58)**</w:t>
            </w:r>
          </w:p>
        </w:tc>
        <w:tc>
          <w:tcPr>
            <w:tcW w:w="2163" w:type="dxa"/>
            <w:tcBorders>
              <w:top w:val="single" w:sz="4" w:space="0" w:color="auto"/>
              <w:left w:val="single" w:sz="4" w:space="0" w:color="auto"/>
              <w:bottom w:val="single" w:sz="4" w:space="0" w:color="auto"/>
              <w:right w:val="single" w:sz="4" w:space="0" w:color="auto"/>
            </w:tcBorders>
            <w:hideMark/>
          </w:tcPr>
          <w:p w14:paraId="78190DF5" w14:textId="77777777" w:rsidR="00C46587" w:rsidRPr="004F5FB4" w:rsidRDefault="00C46587" w:rsidP="00982118">
            <w:pPr>
              <w:jc w:val="center"/>
              <w:rPr>
                <w:color w:val="000000"/>
              </w:rPr>
            </w:pPr>
            <w:r w:rsidRPr="004F5FB4">
              <w:rPr>
                <w:color w:val="000000"/>
              </w:rPr>
              <w:t>15 % (11/74)**</w:t>
            </w:r>
          </w:p>
        </w:tc>
      </w:tr>
      <w:tr w:rsidR="00C46587" w:rsidRPr="004F5FB4" w14:paraId="23075591"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58ACA8EE" w14:textId="77777777" w:rsidR="00C46587" w:rsidRPr="004F5FB4" w:rsidRDefault="00C46587" w:rsidP="00982118">
            <w:pPr>
              <w:rPr>
                <w:b/>
                <w:color w:val="000000"/>
              </w:rPr>
            </w:pPr>
            <w:r w:rsidRPr="004F5FB4">
              <w:rPr>
                <w:b/>
                <w:color w:val="000000"/>
              </w:rPr>
              <w:t>Woche</w:t>
            </w:r>
            <w:r w:rsidR="00C403AB" w:rsidRPr="004F5FB4">
              <w:rPr>
                <w:b/>
                <w:color w:val="000000"/>
              </w:rPr>
              <w:t> </w:t>
            </w:r>
            <w:r w:rsidRPr="004F5FB4">
              <w:rPr>
                <w:b/>
                <w:color w:val="000000"/>
              </w:rPr>
              <w:t>56</w:t>
            </w:r>
          </w:p>
        </w:tc>
        <w:tc>
          <w:tcPr>
            <w:tcW w:w="2161" w:type="dxa"/>
            <w:tcBorders>
              <w:top w:val="single" w:sz="4" w:space="0" w:color="auto"/>
              <w:left w:val="single" w:sz="4" w:space="0" w:color="auto"/>
              <w:bottom w:val="single" w:sz="4" w:space="0" w:color="auto"/>
              <w:right w:val="single" w:sz="4" w:space="0" w:color="auto"/>
            </w:tcBorders>
            <w:hideMark/>
          </w:tcPr>
          <w:p w14:paraId="72D99FC7" w14:textId="77777777" w:rsidR="00C46587" w:rsidRPr="004F5FB4" w:rsidRDefault="00C46587" w:rsidP="00982118">
            <w:pPr>
              <w:jc w:val="center"/>
              <w:rPr>
                <w:b/>
                <w:color w:val="000000"/>
              </w:rPr>
            </w:pPr>
            <w:r w:rsidRPr="004F5FB4">
              <w:rPr>
                <w:b/>
                <w:color w:val="000000"/>
              </w:rPr>
              <w:t>n</w:t>
            </w:r>
            <w:r w:rsidR="00C403AB" w:rsidRPr="004F5FB4">
              <w:rPr>
                <w:b/>
                <w:color w:val="000000"/>
              </w:rPr>
              <w:t> </w:t>
            </w:r>
            <w:r w:rsidRPr="004F5FB4">
              <w:rPr>
                <w:b/>
                <w:color w:val="000000"/>
              </w:rPr>
              <w:t>=</w:t>
            </w:r>
            <w:r w:rsidR="00C403AB" w:rsidRPr="004F5FB4">
              <w:rPr>
                <w:b/>
                <w:color w:val="000000"/>
              </w:rPr>
              <w:t> </w:t>
            </w:r>
            <w:r w:rsidRPr="004F5FB4">
              <w:rPr>
                <w:b/>
                <w:color w:val="000000"/>
              </w:rPr>
              <w:t>170</w:t>
            </w:r>
          </w:p>
        </w:tc>
        <w:tc>
          <w:tcPr>
            <w:tcW w:w="2163" w:type="dxa"/>
            <w:tcBorders>
              <w:top w:val="single" w:sz="4" w:space="0" w:color="auto"/>
              <w:left w:val="single" w:sz="4" w:space="0" w:color="auto"/>
              <w:bottom w:val="single" w:sz="4" w:space="0" w:color="auto"/>
              <w:right w:val="single" w:sz="4" w:space="0" w:color="auto"/>
            </w:tcBorders>
            <w:hideMark/>
          </w:tcPr>
          <w:p w14:paraId="21D39606" w14:textId="77777777" w:rsidR="00C46587" w:rsidRPr="004F5FB4" w:rsidRDefault="00C46587" w:rsidP="00982118">
            <w:pPr>
              <w:jc w:val="center"/>
              <w:rPr>
                <w:b/>
                <w:color w:val="000000"/>
              </w:rPr>
            </w:pPr>
            <w:r w:rsidRPr="004F5FB4">
              <w:rPr>
                <w:b/>
                <w:color w:val="000000"/>
              </w:rPr>
              <w:t>n</w:t>
            </w:r>
            <w:r w:rsidR="00C403AB" w:rsidRPr="004F5FB4">
              <w:rPr>
                <w:b/>
                <w:color w:val="000000"/>
              </w:rPr>
              <w:t> </w:t>
            </w:r>
            <w:r w:rsidRPr="004F5FB4">
              <w:rPr>
                <w:b/>
                <w:color w:val="000000"/>
              </w:rPr>
              <w:t>=</w:t>
            </w:r>
            <w:r w:rsidR="00C403AB" w:rsidRPr="004F5FB4">
              <w:rPr>
                <w:b/>
                <w:color w:val="000000"/>
              </w:rPr>
              <w:t> </w:t>
            </w:r>
            <w:r w:rsidRPr="004F5FB4">
              <w:rPr>
                <w:b/>
                <w:color w:val="000000"/>
              </w:rPr>
              <w:t>172</w:t>
            </w:r>
          </w:p>
        </w:tc>
        <w:tc>
          <w:tcPr>
            <w:tcW w:w="2163" w:type="dxa"/>
            <w:tcBorders>
              <w:top w:val="single" w:sz="4" w:space="0" w:color="auto"/>
              <w:left w:val="single" w:sz="4" w:space="0" w:color="auto"/>
              <w:bottom w:val="single" w:sz="4" w:space="0" w:color="auto"/>
              <w:right w:val="single" w:sz="4" w:space="0" w:color="auto"/>
            </w:tcBorders>
            <w:hideMark/>
          </w:tcPr>
          <w:p w14:paraId="4D2F1A0D" w14:textId="77777777" w:rsidR="00C46587" w:rsidRPr="004F5FB4" w:rsidRDefault="00C46587" w:rsidP="00982118">
            <w:pPr>
              <w:jc w:val="center"/>
              <w:rPr>
                <w:b/>
                <w:color w:val="000000"/>
              </w:rPr>
            </w:pPr>
            <w:r w:rsidRPr="004F5FB4">
              <w:rPr>
                <w:b/>
                <w:color w:val="000000"/>
              </w:rPr>
              <w:t>n</w:t>
            </w:r>
            <w:r w:rsidR="00C403AB" w:rsidRPr="004F5FB4">
              <w:rPr>
                <w:b/>
                <w:color w:val="000000"/>
              </w:rPr>
              <w:t> </w:t>
            </w:r>
            <w:r w:rsidRPr="004F5FB4">
              <w:rPr>
                <w:b/>
                <w:color w:val="000000"/>
              </w:rPr>
              <w:t>=</w:t>
            </w:r>
            <w:r w:rsidR="00C403AB" w:rsidRPr="004F5FB4">
              <w:rPr>
                <w:b/>
                <w:color w:val="000000"/>
              </w:rPr>
              <w:t> </w:t>
            </w:r>
            <w:r w:rsidRPr="004F5FB4">
              <w:rPr>
                <w:b/>
                <w:color w:val="000000"/>
              </w:rPr>
              <w:t>157</w:t>
            </w:r>
          </w:p>
        </w:tc>
      </w:tr>
      <w:tr w:rsidR="00C46587" w:rsidRPr="004F5FB4" w14:paraId="0587BC8B"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6B6A6447" w14:textId="77777777" w:rsidR="00C46587" w:rsidRPr="004F5FB4" w:rsidRDefault="00C46587" w:rsidP="00982118">
            <w:pPr>
              <w:rPr>
                <w:color w:val="000000"/>
              </w:rPr>
            </w:pPr>
            <w:r w:rsidRPr="004F5FB4">
              <w:rPr>
                <w:color w:val="000000"/>
              </w:rPr>
              <w:t>Klinische Remission</w:t>
            </w:r>
          </w:p>
        </w:tc>
        <w:tc>
          <w:tcPr>
            <w:tcW w:w="2161" w:type="dxa"/>
            <w:tcBorders>
              <w:top w:val="single" w:sz="4" w:space="0" w:color="auto"/>
              <w:left w:val="single" w:sz="4" w:space="0" w:color="auto"/>
              <w:bottom w:val="single" w:sz="4" w:space="0" w:color="auto"/>
              <w:right w:val="single" w:sz="4" w:space="0" w:color="auto"/>
            </w:tcBorders>
            <w:hideMark/>
          </w:tcPr>
          <w:p w14:paraId="6B95F85E" w14:textId="77777777" w:rsidR="00C46587" w:rsidRPr="004F5FB4" w:rsidRDefault="00C46587" w:rsidP="00982118">
            <w:pPr>
              <w:jc w:val="center"/>
              <w:rPr>
                <w:color w:val="000000"/>
              </w:rPr>
            </w:pPr>
            <w:r w:rsidRPr="004F5FB4">
              <w:rPr>
                <w:color w:val="000000"/>
              </w:rPr>
              <w:t>12 %</w:t>
            </w:r>
          </w:p>
        </w:tc>
        <w:tc>
          <w:tcPr>
            <w:tcW w:w="2163" w:type="dxa"/>
            <w:tcBorders>
              <w:top w:val="single" w:sz="4" w:space="0" w:color="auto"/>
              <w:left w:val="single" w:sz="4" w:space="0" w:color="auto"/>
              <w:bottom w:val="single" w:sz="4" w:space="0" w:color="auto"/>
              <w:right w:val="single" w:sz="4" w:space="0" w:color="auto"/>
            </w:tcBorders>
            <w:hideMark/>
          </w:tcPr>
          <w:p w14:paraId="736622A9" w14:textId="77777777" w:rsidR="00C46587" w:rsidRPr="004F5FB4" w:rsidRDefault="00C46587" w:rsidP="00982118">
            <w:pPr>
              <w:jc w:val="center"/>
              <w:rPr>
                <w:color w:val="000000"/>
              </w:rPr>
            </w:pPr>
            <w:r w:rsidRPr="004F5FB4">
              <w:rPr>
                <w:color w:val="000000"/>
              </w:rPr>
              <w:t>36 %*</w:t>
            </w:r>
          </w:p>
        </w:tc>
        <w:tc>
          <w:tcPr>
            <w:tcW w:w="2163" w:type="dxa"/>
            <w:tcBorders>
              <w:top w:val="single" w:sz="4" w:space="0" w:color="auto"/>
              <w:left w:val="single" w:sz="4" w:space="0" w:color="auto"/>
              <w:bottom w:val="single" w:sz="4" w:space="0" w:color="auto"/>
              <w:right w:val="single" w:sz="4" w:space="0" w:color="auto"/>
            </w:tcBorders>
            <w:hideMark/>
          </w:tcPr>
          <w:p w14:paraId="304C989E" w14:textId="77777777" w:rsidR="00C46587" w:rsidRPr="004F5FB4" w:rsidRDefault="00C46587" w:rsidP="00982118">
            <w:pPr>
              <w:jc w:val="center"/>
              <w:rPr>
                <w:color w:val="000000"/>
              </w:rPr>
            </w:pPr>
            <w:r w:rsidRPr="004F5FB4">
              <w:rPr>
                <w:color w:val="000000"/>
              </w:rPr>
              <w:t>41 %*</w:t>
            </w:r>
          </w:p>
        </w:tc>
      </w:tr>
      <w:tr w:rsidR="00C46587" w:rsidRPr="004F5FB4" w14:paraId="768D63D8"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4358DD7D" w14:textId="77777777" w:rsidR="00C46587" w:rsidRPr="004F5FB4" w:rsidRDefault="00C46587" w:rsidP="00982118">
            <w:pPr>
              <w:rPr>
                <w:color w:val="000000"/>
              </w:rPr>
            </w:pPr>
            <w:r w:rsidRPr="004F5FB4">
              <w:rPr>
                <w:color w:val="000000"/>
              </w:rPr>
              <w:t>Klinisches Ansprechen (CR</w:t>
            </w:r>
            <w:r w:rsidRPr="004F5FB4">
              <w:rPr>
                <w:color w:val="000000"/>
              </w:rPr>
              <w:noBreakHyphen/>
              <w:t>100)</w:t>
            </w:r>
          </w:p>
        </w:tc>
        <w:tc>
          <w:tcPr>
            <w:tcW w:w="2161" w:type="dxa"/>
            <w:tcBorders>
              <w:top w:val="single" w:sz="4" w:space="0" w:color="auto"/>
              <w:left w:val="single" w:sz="4" w:space="0" w:color="auto"/>
              <w:bottom w:val="single" w:sz="4" w:space="0" w:color="auto"/>
              <w:right w:val="single" w:sz="4" w:space="0" w:color="auto"/>
            </w:tcBorders>
            <w:hideMark/>
          </w:tcPr>
          <w:p w14:paraId="4335D8B4" w14:textId="77777777" w:rsidR="00C46587" w:rsidRPr="004F5FB4" w:rsidRDefault="00C46587" w:rsidP="00982118">
            <w:pPr>
              <w:jc w:val="center"/>
              <w:rPr>
                <w:color w:val="000000"/>
              </w:rPr>
            </w:pPr>
            <w:r w:rsidRPr="004F5FB4">
              <w:rPr>
                <w:color w:val="000000"/>
              </w:rPr>
              <w:t>17 %</w:t>
            </w:r>
          </w:p>
        </w:tc>
        <w:tc>
          <w:tcPr>
            <w:tcW w:w="2163" w:type="dxa"/>
            <w:tcBorders>
              <w:top w:val="single" w:sz="4" w:space="0" w:color="auto"/>
              <w:left w:val="single" w:sz="4" w:space="0" w:color="auto"/>
              <w:bottom w:val="single" w:sz="4" w:space="0" w:color="auto"/>
              <w:right w:val="single" w:sz="4" w:space="0" w:color="auto"/>
            </w:tcBorders>
            <w:hideMark/>
          </w:tcPr>
          <w:p w14:paraId="03C7587F" w14:textId="77777777" w:rsidR="00C46587" w:rsidRPr="004F5FB4" w:rsidRDefault="00C46587" w:rsidP="00982118">
            <w:pPr>
              <w:jc w:val="center"/>
              <w:rPr>
                <w:color w:val="000000"/>
              </w:rPr>
            </w:pPr>
            <w:r w:rsidRPr="004F5FB4">
              <w:rPr>
                <w:color w:val="000000"/>
              </w:rPr>
              <w:t>41 %*</w:t>
            </w:r>
          </w:p>
        </w:tc>
        <w:tc>
          <w:tcPr>
            <w:tcW w:w="2163" w:type="dxa"/>
            <w:tcBorders>
              <w:top w:val="single" w:sz="4" w:space="0" w:color="auto"/>
              <w:left w:val="single" w:sz="4" w:space="0" w:color="auto"/>
              <w:bottom w:val="single" w:sz="4" w:space="0" w:color="auto"/>
              <w:right w:val="single" w:sz="4" w:space="0" w:color="auto"/>
            </w:tcBorders>
            <w:hideMark/>
          </w:tcPr>
          <w:p w14:paraId="119AB138" w14:textId="77777777" w:rsidR="00C46587" w:rsidRPr="004F5FB4" w:rsidRDefault="00C46587" w:rsidP="00982118">
            <w:pPr>
              <w:jc w:val="center"/>
              <w:rPr>
                <w:color w:val="000000"/>
              </w:rPr>
            </w:pPr>
            <w:r w:rsidRPr="004F5FB4">
              <w:rPr>
                <w:color w:val="000000"/>
              </w:rPr>
              <w:t>48 %*</w:t>
            </w:r>
          </w:p>
        </w:tc>
      </w:tr>
      <w:tr w:rsidR="00C46587" w:rsidRPr="004F5FB4" w14:paraId="23236DD7" w14:textId="77777777" w:rsidTr="00D4051F">
        <w:tc>
          <w:tcPr>
            <w:tcW w:w="2804" w:type="dxa"/>
            <w:tcBorders>
              <w:top w:val="single" w:sz="4" w:space="0" w:color="auto"/>
              <w:left w:val="single" w:sz="4" w:space="0" w:color="auto"/>
              <w:bottom w:val="single" w:sz="4" w:space="0" w:color="auto"/>
              <w:right w:val="single" w:sz="4" w:space="0" w:color="auto"/>
            </w:tcBorders>
            <w:hideMark/>
          </w:tcPr>
          <w:p w14:paraId="293C3FA5" w14:textId="77777777" w:rsidR="00C46587" w:rsidRPr="004F5FB4" w:rsidRDefault="00C46587" w:rsidP="00982118">
            <w:pPr>
              <w:ind w:left="288"/>
              <w:rPr>
                <w:color w:val="000000"/>
              </w:rPr>
            </w:pPr>
            <w:r w:rsidRPr="004F5FB4">
              <w:rPr>
                <w:color w:val="000000"/>
              </w:rPr>
              <w:t>Patienten in steroidfreier Remission für ≥ 90 Tage</w:t>
            </w:r>
            <w:r w:rsidRPr="004F5FB4">
              <w:rPr>
                <w:color w:val="000000"/>
                <w:vertAlign w:val="superscript"/>
              </w:rPr>
              <w:t>a</w:t>
            </w:r>
          </w:p>
        </w:tc>
        <w:tc>
          <w:tcPr>
            <w:tcW w:w="2161" w:type="dxa"/>
            <w:tcBorders>
              <w:top w:val="single" w:sz="4" w:space="0" w:color="auto"/>
              <w:left w:val="single" w:sz="4" w:space="0" w:color="auto"/>
              <w:bottom w:val="single" w:sz="4" w:space="0" w:color="auto"/>
              <w:right w:val="single" w:sz="4" w:space="0" w:color="auto"/>
            </w:tcBorders>
            <w:hideMark/>
          </w:tcPr>
          <w:p w14:paraId="07625F42" w14:textId="77777777" w:rsidR="00C46587" w:rsidRPr="004F5FB4" w:rsidRDefault="00C46587" w:rsidP="00982118">
            <w:pPr>
              <w:jc w:val="center"/>
              <w:rPr>
                <w:color w:val="000000"/>
              </w:rPr>
            </w:pPr>
            <w:r w:rsidRPr="004F5FB4">
              <w:rPr>
                <w:color w:val="000000"/>
              </w:rPr>
              <w:t>5 % (3/66)</w:t>
            </w:r>
          </w:p>
        </w:tc>
        <w:tc>
          <w:tcPr>
            <w:tcW w:w="2163" w:type="dxa"/>
            <w:tcBorders>
              <w:top w:val="single" w:sz="4" w:space="0" w:color="auto"/>
              <w:left w:val="single" w:sz="4" w:space="0" w:color="auto"/>
              <w:bottom w:val="single" w:sz="4" w:space="0" w:color="auto"/>
              <w:right w:val="single" w:sz="4" w:space="0" w:color="auto"/>
            </w:tcBorders>
            <w:hideMark/>
          </w:tcPr>
          <w:p w14:paraId="63ED10EF" w14:textId="77777777" w:rsidR="00C46587" w:rsidRPr="004F5FB4" w:rsidRDefault="00C46587" w:rsidP="00982118">
            <w:pPr>
              <w:jc w:val="center"/>
              <w:rPr>
                <w:color w:val="000000"/>
              </w:rPr>
            </w:pPr>
            <w:r w:rsidRPr="004F5FB4">
              <w:rPr>
                <w:color w:val="000000"/>
              </w:rPr>
              <w:t>29 % (17/58)*</w:t>
            </w:r>
          </w:p>
        </w:tc>
        <w:tc>
          <w:tcPr>
            <w:tcW w:w="2163" w:type="dxa"/>
            <w:tcBorders>
              <w:top w:val="single" w:sz="4" w:space="0" w:color="auto"/>
              <w:left w:val="single" w:sz="4" w:space="0" w:color="auto"/>
              <w:bottom w:val="single" w:sz="4" w:space="0" w:color="auto"/>
              <w:right w:val="single" w:sz="4" w:space="0" w:color="auto"/>
            </w:tcBorders>
            <w:hideMark/>
          </w:tcPr>
          <w:p w14:paraId="18AF963D" w14:textId="77777777" w:rsidR="00C46587" w:rsidRPr="004F5FB4" w:rsidRDefault="00C46587" w:rsidP="00982118">
            <w:pPr>
              <w:jc w:val="center"/>
              <w:rPr>
                <w:color w:val="000000"/>
              </w:rPr>
            </w:pPr>
            <w:r w:rsidRPr="004F5FB4">
              <w:rPr>
                <w:color w:val="000000"/>
              </w:rPr>
              <w:t>20 % (15/74)**</w:t>
            </w:r>
          </w:p>
        </w:tc>
      </w:tr>
    </w:tbl>
    <w:p w14:paraId="2139961E" w14:textId="77777777" w:rsidR="00D4051F" w:rsidRPr="00206AEA" w:rsidRDefault="00D4051F" w:rsidP="00D4051F">
      <w:pPr>
        <w:ind w:left="270" w:hanging="270"/>
        <w:rPr>
          <w:color w:val="000000"/>
          <w:sz w:val="20"/>
        </w:rPr>
      </w:pPr>
      <w:r w:rsidRPr="00206AEA">
        <w:rPr>
          <w:color w:val="000000"/>
          <w:sz w:val="20"/>
        </w:rPr>
        <w:t xml:space="preserve">* </w:t>
      </w:r>
      <w:r w:rsidRPr="00206AEA">
        <w:rPr>
          <w:color w:val="000000"/>
          <w:sz w:val="20"/>
        </w:rPr>
        <w:tab/>
        <w:t xml:space="preserve">p &lt; 0,001 bezogen auf den paarweisen Vergleich der Zahlen für Adalimumab </w:t>
      </w:r>
      <w:r w:rsidRPr="00206AEA">
        <w:rPr>
          <w:i/>
          <w:iCs/>
          <w:color w:val="000000"/>
          <w:sz w:val="20"/>
        </w:rPr>
        <w:t>versus</w:t>
      </w:r>
      <w:r w:rsidRPr="00206AEA">
        <w:rPr>
          <w:color w:val="000000"/>
          <w:sz w:val="20"/>
        </w:rPr>
        <w:t xml:space="preserve"> Placebo </w:t>
      </w:r>
    </w:p>
    <w:p w14:paraId="3940BB8A" w14:textId="77777777" w:rsidR="00D4051F" w:rsidRPr="00206AEA" w:rsidRDefault="00D4051F" w:rsidP="00D4051F">
      <w:pPr>
        <w:ind w:left="270" w:hanging="270"/>
        <w:rPr>
          <w:color w:val="000000"/>
          <w:sz w:val="20"/>
        </w:rPr>
      </w:pPr>
      <w:r w:rsidRPr="00206AEA">
        <w:rPr>
          <w:color w:val="000000"/>
          <w:sz w:val="20"/>
        </w:rPr>
        <w:lastRenderedPageBreak/>
        <w:t xml:space="preserve">** </w:t>
      </w:r>
      <w:r w:rsidRPr="00206AEA">
        <w:rPr>
          <w:color w:val="000000"/>
          <w:sz w:val="20"/>
        </w:rPr>
        <w:tab/>
        <w:t xml:space="preserve">p &lt; 0,02 bezogen auf den paarweisen Vergleich der Zahlen für Adalimumab </w:t>
      </w:r>
      <w:r w:rsidRPr="00206AEA">
        <w:rPr>
          <w:i/>
          <w:iCs/>
          <w:color w:val="000000"/>
          <w:sz w:val="20"/>
        </w:rPr>
        <w:t>versus</w:t>
      </w:r>
      <w:r w:rsidRPr="00206AEA">
        <w:rPr>
          <w:color w:val="000000"/>
          <w:sz w:val="20"/>
        </w:rPr>
        <w:t xml:space="preserve"> Placebo </w:t>
      </w:r>
    </w:p>
    <w:p w14:paraId="03677148" w14:textId="77777777" w:rsidR="00D4051F" w:rsidRDefault="00D4051F" w:rsidP="00D4051F">
      <w:pPr>
        <w:rPr>
          <w:color w:val="000000"/>
        </w:rPr>
      </w:pPr>
      <w:r w:rsidRPr="00206AEA">
        <w:rPr>
          <w:color w:val="000000"/>
          <w:sz w:val="20"/>
          <w:vertAlign w:val="superscript"/>
        </w:rPr>
        <w:t>a</w:t>
      </w:r>
      <w:r w:rsidRPr="00206AEA">
        <w:rPr>
          <w:color w:val="000000"/>
          <w:sz w:val="20"/>
        </w:rPr>
        <w:t xml:space="preserve"> </w:t>
      </w:r>
      <w:r w:rsidRPr="00206AEA">
        <w:rPr>
          <w:color w:val="000000"/>
          <w:sz w:val="20"/>
        </w:rPr>
        <w:tab/>
        <w:t xml:space="preserve">Von den Patienten, die Glukokortikoide zu Beginn erhalten haben </w:t>
      </w:r>
    </w:p>
    <w:p w14:paraId="327189F5" w14:textId="77777777" w:rsidR="00D4051F" w:rsidRPr="004F5FB4" w:rsidRDefault="00D4051F" w:rsidP="00982118">
      <w:pPr>
        <w:rPr>
          <w:color w:val="000000"/>
        </w:rPr>
      </w:pPr>
    </w:p>
    <w:p w14:paraId="48C65BB0" w14:textId="77777777" w:rsidR="00C46587" w:rsidRPr="004F5FB4" w:rsidRDefault="00C46587" w:rsidP="00982118">
      <w:pPr>
        <w:rPr>
          <w:color w:val="000000"/>
        </w:rPr>
      </w:pPr>
      <w:r w:rsidRPr="004F5FB4">
        <w:rPr>
          <w:color w:val="000000"/>
        </w:rPr>
        <w:t>Bei den Patienten, die bis Woche</w:t>
      </w:r>
      <w:r w:rsidR="00534661" w:rsidRPr="004F5FB4">
        <w:rPr>
          <w:color w:val="000000"/>
        </w:rPr>
        <w:t> </w:t>
      </w:r>
      <w:r w:rsidRPr="004F5FB4">
        <w:rPr>
          <w:color w:val="000000"/>
        </w:rPr>
        <w:t xml:space="preserve">4 nicht angesprochen hatten, zeigte sich bei 43 % der </w:t>
      </w:r>
      <w:r w:rsidR="001B2F6A" w:rsidRPr="004F5FB4">
        <w:rPr>
          <w:color w:val="000000"/>
        </w:rPr>
        <w:t xml:space="preserve">mit Adalimumab behandelten </w:t>
      </w:r>
      <w:r w:rsidRPr="004F5FB4">
        <w:rPr>
          <w:color w:val="000000"/>
        </w:rPr>
        <w:t>Patienten in Woche 12 ein</w:t>
      </w:r>
      <w:r w:rsidR="001B2F6A" w:rsidRPr="004F5FB4">
        <w:rPr>
          <w:color w:val="000000"/>
        </w:rPr>
        <w:t>e</w:t>
      </w:r>
      <w:r w:rsidRPr="004F5FB4">
        <w:rPr>
          <w:color w:val="000000"/>
        </w:rPr>
        <w:t xml:space="preserve"> </w:t>
      </w:r>
      <w:r w:rsidR="001B2F6A" w:rsidRPr="004F5FB4">
        <w:rPr>
          <w:color w:val="000000"/>
        </w:rPr>
        <w:t>Wirkung</w:t>
      </w:r>
      <w:r w:rsidRPr="004F5FB4">
        <w:rPr>
          <w:color w:val="000000"/>
        </w:rPr>
        <w:t xml:space="preserve"> </w:t>
      </w:r>
      <w:r w:rsidR="001B2F6A" w:rsidRPr="004F5FB4">
        <w:rPr>
          <w:color w:val="000000"/>
        </w:rPr>
        <w:t>im V</w:t>
      </w:r>
      <w:r w:rsidRPr="004F5FB4">
        <w:rPr>
          <w:color w:val="000000"/>
        </w:rPr>
        <w:t>ergl</w:t>
      </w:r>
      <w:r w:rsidR="001B2F6A" w:rsidRPr="004F5FB4">
        <w:rPr>
          <w:color w:val="000000"/>
        </w:rPr>
        <w:t>e</w:t>
      </w:r>
      <w:r w:rsidRPr="004F5FB4">
        <w:rPr>
          <w:color w:val="000000"/>
        </w:rPr>
        <w:t>ich</w:t>
      </w:r>
      <w:r w:rsidR="001B2F6A" w:rsidRPr="004F5FB4">
        <w:rPr>
          <w:color w:val="000000"/>
        </w:rPr>
        <w:t xml:space="preserve"> zu</w:t>
      </w:r>
      <w:r w:rsidRPr="004F5FB4">
        <w:rPr>
          <w:color w:val="000000"/>
        </w:rPr>
        <w:t xml:space="preserve"> 30 % der P</w:t>
      </w:r>
      <w:r w:rsidR="001B2F6A" w:rsidRPr="004F5FB4">
        <w:rPr>
          <w:color w:val="000000"/>
        </w:rPr>
        <w:t>lacebop</w:t>
      </w:r>
      <w:r w:rsidRPr="004F5FB4">
        <w:rPr>
          <w:color w:val="000000"/>
        </w:rPr>
        <w:t>atienten. Diese Ergebnisse lassen vermuten, dass einige Patienten, die bis Woche</w:t>
      </w:r>
      <w:r w:rsidR="005378EB" w:rsidRPr="004F5FB4">
        <w:rPr>
          <w:color w:val="000000"/>
        </w:rPr>
        <w:t> </w:t>
      </w:r>
      <w:r w:rsidRPr="004F5FB4">
        <w:rPr>
          <w:color w:val="000000"/>
        </w:rPr>
        <w:t>4 noch nicht auf die Therapie angesprochen haben, von einer Weiterführung der Erhaltungstherapie bis Woche</w:t>
      </w:r>
      <w:r w:rsidR="005378EB" w:rsidRPr="004F5FB4">
        <w:rPr>
          <w:color w:val="000000"/>
        </w:rPr>
        <w:t> </w:t>
      </w:r>
      <w:r w:rsidRPr="004F5FB4">
        <w:rPr>
          <w:color w:val="000000"/>
        </w:rPr>
        <w:t>12 profitieren. Eine Fortsetzung der Therapie über die 12.</w:t>
      </w:r>
      <w:r w:rsidR="005378EB" w:rsidRPr="004F5FB4">
        <w:rPr>
          <w:color w:val="000000"/>
        </w:rPr>
        <w:t> </w:t>
      </w:r>
      <w:r w:rsidRPr="004F5FB4">
        <w:rPr>
          <w:color w:val="000000"/>
        </w:rPr>
        <w:t>Woche hinaus zeigte keine signifikant höhere Ansprechrate (siehe Abschnitt</w:t>
      </w:r>
      <w:r w:rsidR="005378EB" w:rsidRPr="004F5FB4">
        <w:rPr>
          <w:color w:val="000000"/>
        </w:rPr>
        <w:t> </w:t>
      </w:r>
      <w:r w:rsidRPr="004F5FB4">
        <w:rPr>
          <w:color w:val="000000"/>
        </w:rPr>
        <w:t>4.2).</w:t>
      </w:r>
    </w:p>
    <w:p w14:paraId="7CB8470D" w14:textId="77777777" w:rsidR="00C46587" w:rsidRPr="004F5FB4" w:rsidRDefault="00C46587" w:rsidP="00982118">
      <w:pPr>
        <w:rPr>
          <w:color w:val="000000"/>
        </w:rPr>
      </w:pPr>
    </w:p>
    <w:p w14:paraId="448AAEF0" w14:textId="77777777" w:rsidR="00C46587" w:rsidRPr="004F5FB4" w:rsidRDefault="00C46587" w:rsidP="00982118">
      <w:pPr>
        <w:rPr>
          <w:color w:val="000000"/>
        </w:rPr>
      </w:pPr>
      <w:r w:rsidRPr="004F5FB4">
        <w:rPr>
          <w:color w:val="000000"/>
        </w:rPr>
        <w:t>117 von 276</w:t>
      </w:r>
      <w:r w:rsidR="005378EB" w:rsidRPr="004F5FB4">
        <w:rPr>
          <w:color w:val="000000"/>
        </w:rPr>
        <w:t> </w:t>
      </w:r>
      <w:r w:rsidRPr="004F5FB4">
        <w:rPr>
          <w:color w:val="000000"/>
        </w:rPr>
        <w:t>Patienten aus der MC-Studie</w:t>
      </w:r>
      <w:r w:rsidR="005378EB" w:rsidRPr="004F5FB4">
        <w:rPr>
          <w:color w:val="000000"/>
        </w:rPr>
        <w:t> </w:t>
      </w:r>
      <w:r w:rsidRPr="004F5FB4">
        <w:rPr>
          <w:color w:val="000000"/>
        </w:rPr>
        <w:t>I und 272 von 777 aus den MC-Studien</w:t>
      </w:r>
      <w:r w:rsidR="005378EB" w:rsidRPr="004F5FB4">
        <w:rPr>
          <w:color w:val="000000"/>
        </w:rPr>
        <w:t> </w:t>
      </w:r>
      <w:r w:rsidRPr="004F5FB4">
        <w:rPr>
          <w:color w:val="000000"/>
        </w:rPr>
        <w:t>II und III wurden mindestens 3</w:t>
      </w:r>
      <w:r w:rsidR="005378EB" w:rsidRPr="004F5FB4">
        <w:rPr>
          <w:color w:val="000000"/>
        </w:rPr>
        <w:t> </w:t>
      </w:r>
      <w:r w:rsidRPr="004F5FB4">
        <w:rPr>
          <w:color w:val="000000"/>
        </w:rPr>
        <w:t>Jahre in einer offenen Studie mit Adalimumab weiterbehandelt. 88 bzw. 189</w:t>
      </w:r>
      <w:r w:rsidR="005378EB" w:rsidRPr="004F5FB4">
        <w:rPr>
          <w:color w:val="000000"/>
        </w:rPr>
        <w:t> </w:t>
      </w:r>
      <w:r w:rsidRPr="004F5FB4">
        <w:rPr>
          <w:color w:val="000000"/>
        </w:rPr>
        <w:t>Patienten blieben weiterhin in klinischer Remission. Ein klinisches Ansprechen (CR</w:t>
      </w:r>
      <w:r w:rsidRPr="004F5FB4">
        <w:rPr>
          <w:color w:val="000000"/>
        </w:rPr>
        <w:noBreakHyphen/>
        <w:t>100) wurde bei 102 bzw. 233 Patienten erhalten.</w:t>
      </w:r>
    </w:p>
    <w:p w14:paraId="176618B6" w14:textId="77777777" w:rsidR="00C46587" w:rsidRPr="004F5FB4" w:rsidRDefault="00C46587" w:rsidP="00982118">
      <w:pPr>
        <w:rPr>
          <w:color w:val="000000"/>
        </w:rPr>
      </w:pPr>
    </w:p>
    <w:p w14:paraId="42CECAB2" w14:textId="77777777" w:rsidR="00C46587" w:rsidRPr="004F5FB4" w:rsidRDefault="00C46587" w:rsidP="00982118">
      <w:pPr>
        <w:keepNext/>
        <w:rPr>
          <w:i/>
          <w:color w:val="000000"/>
          <w:u w:val="single"/>
        </w:rPr>
      </w:pPr>
      <w:r w:rsidRPr="004F5FB4">
        <w:rPr>
          <w:i/>
          <w:color w:val="000000"/>
          <w:u w:val="single"/>
        </w:rPr>
        <w:t>Lebensqualität</w:t>
      </w:r>
    </w:p>
    <w:p w14:paraId="1242DA92" w14:textId="77777777" w:rsidR="00C46587" w:rsidRPr="004F5FB4" w:rsidRDefault="00C46587" w:rsidP="00982118">
      <w:pPr>
        <w:keepNext/>
        <w:rPr>
          <w:color w:val="000000"/>
        </w:rPr>
      </w:pPr>
    </w:p>
    <w:p w14:paraId="29C7C697" w14:textId="77777777" w:rsidR="00C46587" w:rsidRPr="004F5FB4" w:rsidRDefault="00C46587" w:rsidP="00982118">
      <w:pPr>
        <w:rPr>
          <w:color w:val="000000"/>
        </w:rPr>
      </w:pPr>
      <w:r w:rsidRPr="004F5FB4">
        <w:rPr>
          <w:color w:val="000000"/>
        </w:rPr>
        <w:t>In der MC-Studie</w:t>
      </w:r>
      <w:r w:rsidR="005378EB" w:rsidRPr="004F5FB4">
        <w:rPr>
          <w:color w:val="000000"/>
        </w:rPr>
        <w:t> </w:t>
      </w:r>
      <w:r w:rsidRPr="004F5FB4">
        <w:rPr>
          <w:color w:val="000000"/>
        </w:rPr>
        <w:t>I und der MC-Studie</w:t>
      </w:r>
      <w:r w:rsidR="005378EB" w:rsidRPr="004F5FB4">
        <w:rPr>
          <w:color w:val="000000"/>
        </w:rPr>
        <w:t> </w:t>
      </w:r>
      <w:r w:rsidRPr="004F5FB4">
        <w:rPr>
          <w:color w:val="000000"/>
        </w:rPr>
        <w:t>II zeigte sich eine statistisch signifikante Verbesserung im krankheitsspezifischen IBDQ(Inflammatory-Bowel-Disease-Questionnaire)-Gesamtscore in Woche</w:t>
      </w:r>
      <w:r w:rsidR="005378EB" w:rsidRPr="004F5FB4">
        <w:rPr>
          <w:color w:val="000000"/>
        </w:rPr>
        <w:t> </w:t>
      </w:r>
      <w:r w:rsidRPr="004F5FB4">
        <w:rPr>
          <w:color w:val="000000"/>
        </w:rPr>
        <w:t>4 bei Patienten, die in die Adalimumab-Gruppen 80/40 mg und 160/80 mg randomisiert wurden, im Vergleich zur Placebogruppe. Dasselbe zeigte sich in der MC-Studie</w:t>
      </w:r>
      <w:r w:rsidR="005378EB" w:rsidRPr="004F5FB4">
        <w:rPr>
          <w:color w:val="000000"/>
        </w:rPr>
        <w:t> </w:t>
      </w:r>
      <w:r w:rsidRPr="004F5FB4">
        <w:rPr>
          <w:color w:val="000000"/>
        </w:rPr>
        <w:t>III in Woche</w:t>
      </w:r>
      <w:r w:rsidR="005378EB" w:rsidRPr="004F5FB4">
        <w:rPr>
          <w:color w:val="000000"/>
        </w:rPr>
        <w:t> </w:t>
      </w:r>
      <w:r w:rsidRPr="004F5FB4">
        <w:rPr>
          <w:color w:val="000000"/>
        </w:rPr>
        <w:t>26 und 56 in den Adalimumab-Behandlungsgruppen im Vergleich zur Placebogruppe.</w:t>
      </w:r>
    </w:p>
    <w:p w14:paraId="701A677E" w14:textId="77777777" w:rsidR="00C46587" w:rsidRPr="004F5FB4" w:rsidRDefault="00C46587" w:rsidP="00982118">
      <w:pPr>
        <w:rPr>
          <w:color w:val="000000"/>
        </w:rPr>
      </w:pPr>
    </w:p>
    <w:p w14:paraId="40014868" w14:textId="77777777" w:rsidR="008A732E" w:rsidRPr="004F5FB4" w:rsidRDefault="008A732E" w:rsidP="00982118">
      <w:pPr>
        <w:keepNext/>
        <w:rPr>
          <w:i/>
          <w:color w:val="000000"/>
        </w:rPr>
      </w:pPr>
      <w:r w:rsidRPr="004F5FB4">
        <w:rPr>
          <w:i/>
          <w:color w:val="000000"/>
        </w:rPr>
        <w:t>Uveitis bei Erwachsenen</w:t>
      </w:r>
    </w:p>
    <w:p w14:paraId="0C438C89" w14:textId="77777777" w:rsidR="00C46587" w:rsidRPr="004F5FB4" w:rsidRDefault="00C46587" w:rsidP="00982118">
      <w:pPr>
        <w:keepNext/>
        <w:rPr>
          <w:color w:val="000000"/>
        </w:rPr>
      </w:pPr>
    </w:p>
    <w:p w14:paraId="16731394" w14:textId="77777777" w:rsidR="008A732E" w:rsidRPr="004F5FB4" w:rsidRDefault="00C46587" w:rsidP="00982118">
      <w:pPr>
        <w:rPr>
          <w:color w:val="000000"/>
        </w:rPr>
      </w:pPr>
      <w:r w:rsidRPr="004F5FB4">
        <w:rPr>
          <w:color w:val="000000"/>
        </w:rPr>
        <w:t>Die Sicherheit und Wirksamkeit von Adalimumab wurden in zwei randomisierten, doppelmaskierten, placebokontrollierten Studien (UV</w:t>
      </w:r>
      <w:r w:rsidR="00F80A04" w:rsidRPr="004F5FB4">
        <w:rPr>
          <w:color w:val="000000"/>
        </w:rPr>
        <w:t> </w:t>
      </w:r>
      <w:r w:rsidRPr="004F5FB4">
        <w:rPr>
          <w:color w:val="000000"/>
        </w:rPr>
        <w:t>I und II) bei erwachsenen Patienten mit nicht infektiöser Uveitis intermedia, Uveitis posterior und Panuveitis beurteilt, ausgenommen Patienten mit isolierter Uveitis anterior. Die Patienten erhielten Placebo oder eine Induktionsdosis von 80 mg Adalimumab, gefolgt von 40 mg alle zwei Wochen, beginnend eine Woche nach der Induktionsdosis. Eine Begleitmedikation in gleichbleibender Dosierung mit einem nicht biologischen Immunsuppressivum war erlaubt.</w:t>
      </w:r>
    </w:p>
    <w:p w14:paraId="57C2C3E5" w14:textId="77777777" w:rsidR="00C46587" w:rsidRPr="004F5FB4" w:rsidRDefault="00C46587" w:rsidP="00982118">
      <w:pPr>
        <w:rPr>
          <w:color w:val="000000"/>
        </w:rPr>
      </w:pPr>
    </w:p>
    <w:p w14:paraId="65E20BB2" w14:textId="77777777" w:rsidR="008A732E" w:rsidRPr="004F5FB4" w:rsidRDefault="00C46587" w:rsidP="00982118">
      <w:pPr>
        <w:rPr>
          <w:color w:val="000000"/>
        </w:rPr>
      </w:pPr>
      <w:r w:rsidRPr="004F5FB4">
        <w:rPr>
          <w:color w:val="000000"/>
        </w:rPr>
        <w:t>In der Studie UV</w:t>
      </w:r>
      <w:r w:rsidR="00DA64A8" w:rsidRPr="004F5FB4">
        <w:rPr>
          <w:color w:val="000000"/>
        </w:rPr>
        <w:t> </w:t>
      </w:r>
      <w:r w:rsidRPr="004F5FB4">
        <w:rPr>
          <w:color w:val="000000"/>
        </w:rPr>
        <w:t>I wurden 217</w:t>
      </w:r>
      <w:r w:rsidR="00DA64A8" w:rsidRPr="004F5FB4">
        <w:rPr>
          <w:color w:val="000000"/>
        </w:rPr>
        <w:t> </w:t>
      </w:r>
      <w:r w:rsidRPr="004F5FB4">
        <w:rPr>
          <w:color w:val="000000"/>
        </w:rPr>
        <w:t>Patienten untersucht, die trotz Behandlung mit Kortikosteroiden (Prednison oral in einer Dosierung von 10 bis 60</w:t>
      </w:r>
      <w:r w:rsidR="00DA64A8" w:rsidRPr="004F5FB4">
        <w:rPr>
          <w:color w:val="000000"/>
        </w:rPr>
        <w:t> </w:t>
      </w:r>
      <w:r w:rsidRPr="004F5FB4">
        <w:rPr>
          <w:color w:val="000000"/>
        </w:rPr>
        <w:t>mg/Tag) eine aktive Uveitis aufwiesen. Alle Patienten erhielten bei Eintritt in die Studie 2</w:t>
      </w:r>
      <w:r w:rsidR="00DA64A8" w:rsidRPr="004F5FB4">
        <w:rPr>
          <w:color w:val="000000"/>
        </w:rPr>
        <w:t> </w:t>
      </w:r>
      <w:r w:rsidRPr="004F5FB4">
        <w:rPr>
          <w:color w:val="000000"/>
        </w:rPr>
        <w:t>Wochen lang eine standardisierte Prednison-Dosis von 60</w:t>
      </w:r>
      <w:r w:rsidR="00DA64A8" w:rsidRPr="004F5FB4">
        <w:rPr>
          <w:color w:val="000000"/>
        </w:rPr>
        <w:t> </w:t>
      </w:r>
      <w:r w:rsidRPr="004F5FB4">
        <w:rPr>
          <w:color w:val="000000"/>
        </w:rPr>
        <w:t xml:space="preserve">mg/Tag. Darauf folgte eine verpflichtende </w:t>
      </w:r>
      <w:r w:rsidR="00BF7942" w:rsidRPr="004F5FB4">
        <w:rPr>
          <w:color w:val="000000"/>
        </w:rPr>
        <w:t>Steroida</w:t>
      </w:r>
      <w:r w:rsidRPr="004F5FB4">
        <w:rPr>
          <w:color w:val="000000"/>
        </w:rPr>
        <w:t>usschleichung, sodass die Kortikosteroide bis Woche</w:t>
      </w:r>
      <w:r w:rsidR="00DA64A8" w:rsidRPr="004F5FB4">
        <w:rPr>
          <w:color w:val="000000"/>
        </w:rPr>
        <w:t> </w:t>
      </w:r>
      <w:r w:rsidRPr="004F5FB4">
        <w:rPr>
          <w:color w:val="000000"/>
        </w:rPr>
        <w:t>15 vollständig abgesetzt waren.</w:t>
      </w:r>
    </w:p>
    <w:p w14:paraId="2BE78DE6" w14:textId="77777777" w:rsidR="00C46587" w:rsidRPr="004F5FB4" w:rsidRDefault="00C46587" w:rsidP="00982118">
      <w:pPr>
        <w:rPr>
          <w:color w:val="000000"/>
        </w:rPr>
      </w:pPr>
    </w:p>
    <w:p w14:paraId="6D3B690C" w14:textId="77777777" w:rsidR="008A732E" w:rsidRPr="004F5FB4" w:rsidRDefault="00C46587" w:rsidP="00982118">
      <w:pPr>
        <w:rPr>
          <w:color w:val="000000"/>
        </w:rPr>
      </w:pPr>
      <w:r w:rsidRPr="004F5FB4">
        <w:rPr>
          <w:color w:val="000000"/>
        </w:rPr>
        <w:t>In der Studie UV</w:t>
      </w:r>
      <w:r w:rsidR="00DA64A8" w:rsidRPr="004F5FB4">
        <w:rPr>
          <w:color w:val="000000"/>
        </w:rPr>
        <w:t> </w:t>
      </w:r>
      <w:r w:rsidRPr="004F5FB4">
        <w:rPr>
          <w:color w:val="000000"/>
        </w:rPr>
        <w:t>II wurden 226</w:t>
      </w:r>
      <w:r w:rsidR="00DA64A8" w:rsidRPr="004F5FB4">
        <w:rPr>
          <w:color w:val="000000"/>
        </w:rPr>
        <w:t> </w:t>
      </w:r>
      <w:r w:rsidRPr="004F5FB4">
        <w:rPr>
          <w:color w:val="000000"/>
        </w:rPr>
        <w:t>Patienten mit inaktiver Uveitis untersucht, die bei Baseline zur Kontrolle ihrer Erkrankung dauerhaft mit Kortikosteroiden behandelt werden mussten (Prednison oral 10 bis 35</w:t>
      </w:r>
      <w:r w:rsidR="00DA64A8" w:rsidRPr="004F5FB4">
        <w:rPr>
          <w:color w:val="000000"/>
        </w:rPr>
        <w:t> </w:t>
      </w:r>
      <w:r w:rsidRPr="004F5FB4">
        <w:rPr>
          <w:color w:val="000000"/>
        </w:rPr>
        <w:t xml:space="preserve">mg/Tag). Danach folgte eine verpflichtende </w:t>
      </w:r>
      <w:r w:rsidR="00BF7942" w:rsidRPr="004F5FB4">
        <w:rPr>
          <w:color w:val="000000"/>
        </w:rPr>
        <w:t>Steroida</w:t>
      </w:r>
      <w:r w:rsidRPr="004F5FB4">
        <w:rPr>
          <w:color w:val="000000"/>
        </w:rPr>
        <w:t>usschleichung, sodass die Kortikosteroide bis Woche</w:t>
      </w:r>
      <w:r w:rsidR="00DA64A8" w:rsidRPr="004F5FB4">
        <w:rPr>
          <w:color w:val="000000"/>
        </w:rPr>
        <w:t> </w:t>
      </w:r>
      <w:r w:rsidRPr="004F5FB4">
        <w:rPr>
          <w:color w:val="000000"/>
        </w:rPr>
        <w:t>19 vollständig abgesetzt waren.</w:t>
      </w:r>
    </w:p>
    <w:p w14:paraId="1B39EFEA" w14:textId="77777777" w:rsidR="00C46587" w:rsidRPr="004F5FB4" w:rsidRDefault="00C46587" w:rsidP="00982118">
      <w:pPr>
        <w:rPr>
          <w:color w:val="000000"/>
        </w:rPr>
      </w:pPr>
    </w:p>
    <w:p w14:paraId="18B5B5E8" w14:textId="77777777" w:rsidR="009C503E" w:rsidRPr="004F5FB4" w:rsidRDefault="00C46587" w:rsidP="009C503E">
      <w:pPr>
        <w:pStyle w:val="BodyText"/>
        <w:widowControl/>
        <w:tabs>
          <w:tab w:val="left" w:pos="90"/>
        </w:tabs>
        <w:kinsoku w:val="0"/>
        <w:overflowPunct w:val="0"/>
        <w:ind w:left="0"/>
        <w:rPr>
          <w:color w:val="000000"/>
        </w:rPr>
      </w:pPr>
      <w:r w:rsidRPr="004F5FB4">
        <w:rPr>
          <w:color w:val="000000"/>
        </w:rPr>
        <w:t>Der primäre Wirksamkeitsendpunkt beider Studien war die „Dauer bis zum Behandlungsversagen“. Das Behandlungsversagen wurde definiert durch eine Verschlechterung in einer der vier Komponenten: entzündliche Läsionen der Ader- und Netzhaut und/</w:t>
      </w:r>
      <w:r w:rsidR="00DA64A8" w:rsidRPr="004F5FB4">
        <w:rPr>
          <w:color w:val="000000"/>
        </w:rPr>
        <w:t xml:space="preserve"> </w:t>
      </w:r>
      <w:r w:rsidRPr="004F5FB4">
        <w:rPr>
          <w:color w:val="000000"/>
        </w:rPr>
        <w:t>oder entzündliche Gefäßläsionen der Netzhaut, Grad der Vorderkammerzellen, Grad der Glaskörpertrübung und bestkorrigierter Visus (best corrected visual acuity, BCVA).</w:t>
      </w:r>
    </w:p>
    <w:p w14:paraId="0E104D37" w14:textId="77777777" w:rsidR="009C503E" w:rsidRPr="004F5FB4" w:rsidRDefault="009C503E" w:rsidP="009C503E">
      <w:pPr>
        <w:pStyle w:val="BodyText"/>
        <w:widowControl/>
        <w:tabs>
          <w:tab w:val="left" w:pos="90"/>
        </w:tabs>
        <w:kinsoku w:val="0"/>
        <w:overflowPunct w:val="0"/>
        <w:ind w:left="0"/>
        <w:rPr>
          <w:color w:val="000000"/>
        </w:rPr>
      </w:pPr>
    </w:p>
    <w:p w14:paraId="226EF8D8" w14:textId="77777777" w:rsidR="00181343" w:rsidRPr="004F5FB4" w:rsidRDefault="00EB309E" w:rsidP="00181343">
      <w:pPr>
        <w:pStyle w:val="BodyText"/>
        <w:widowControl/>
        <w:tabs>
          <w:tab w:val="left" w:pos="90"/>
        </w:tabs>
        <w:kinsoku w:val="0"/>
        <w:overflowPunct w:val="0"/>
        <w:ind w:left="0"/>
        <w:rPr>
          <w:color w:val="000000"/>
        </w:rPr>
      </w:pPr>
      <w:r w:rsidRPr="004F5FB4">
        <w:rPr>
          <w:color w:val="000000"/>
        </w:rPr>
        <w:t xml:space="preserve">Die </w:t>
      </w:r>
      <w:r w:rsidR="00181343" w:rsidRPr="004F5FB4">
        <w:rPr>
          <w:color w:val="000000"/>
        </w:rPr>
        <w:t>Patienten, die die Studien UV I und UV II abgeschlossen hatten, konnten in eine unkontrollierte Langzeit-Fortsetzungsstudie, mit einer ursprünglich geplanten Dauer von 78</w:t>
      </w:r>
      <w:r w:rsidR="00534661" w:rsidRPr="004F5FB4">
        <w:rPr>
          <w:color w:val="000000"/>
        </w:rPr>
        <w:t> </w:t>
      </w:r>
      <w:r w:rsidR="00181343" w:rsidRPr="004F5FB4">
        <w:rPr>
          <w:color w:val="000000"/>
        </w:rPr>
        <w:t>Wochen, eingeschlossen werden. Die Patienten durften die Studienmedikation über die Woche 78 hinaus fortsetzen</w:t>
      </w:r>
      <w:r w:rsidRPr="004F5FB4">
        <w:rPr>
          <w:color w:val="000000"/>
        </w:rPr>
        <w:t>,</w:t>
      </w:r>
      <w:r w:rsidR="00181343" w:rsidRPr="004F5FB4">
        <w:rPr>
          <w:color w:val="000000"/>
        </w:rPr>
        <w:t xml:space="preserve"> bis sie Zugang zu Adalimumab hatten.</w:t>
      </w:r>
    </w:p>
    <w:p w14:paraId="164D4359" w14:textId="77777777" w:rsidR="009C503E" w:rsidRPr="004F5FB4" w:rsidRDefault="009C503E" w:rsidP="009C503E">
      <w:pPr>
        <w:pStyle w:val="BodyText"/>
        <w:widowControl/>
        <w:tabs>
          <w:tab w:val="left" w:pos="90"/>
        </w:tabs>
        <w:kinsoku w:val="0"/>
        <w:overflowPunct w:val="0"/>
        <w:ind w:left="0"/>
        <w:rPr>
          <w:color w:val="000000"/>
        </w:rPr>
      </w:pPr>
    </w:p>
    <w:p w14:paraId="2D1D6EBF" w14:textId="77777777" w:rsidR="008A732E" w:rsidRPr="004F5FB4" w:rsidRDefault="008A732E" w:rsidP="00982118">
      <w:pPr>
        <w:rPr>
          <w:i/>
          <w:color w:val="000000"/>
          <w:u w:val="single"/>
        </w:rPr>
      </w:pPr>
    </w:p>
    <w:p w14:paraId="5D2E5ED1" w14:textId="77777777" w:rsidR="008A732E" w:rsidRPr="004F5FB4" w:rsidRDefault="008A732E" w:rsidP="00982118">
      <w:pPr>
        <w:keepNext/>
        <w:rPr>
          <w:i/>
          <w:color w:val="000000"/>
          <w:u w:val="single"/>
        </w:rPr>
      </w:pPr>
      <w:r w:rsidRPr="004F5FB4">
        <w:rPr>
          <w:i/>
          <w:color w:val="000000"/>
          <w:u w:val="single"/>
        </w:rPr>
        <w:lastRenderedPageBreak/>
        <w:t>Klinisches Ansprechen</w:t>
      </w:r>
    </w:p>
    <w:p w14:paraId="56F85210" w14:textId="77777777" w:rsidR="00C46587" w:rsidRPr="004F5FB4" w:rsidRDefault="00C46587" w:rsidP="00982118">
      <w:pPr>
        <w:keepNext/>
        <w:rPr>
          <w:color w:val="000000"/>
        </w:rPr>
      </w:pPr>
    </w:p>
    <w:p w14:paraId="0F711D5C" w14:textId="77777777" w:rsidR="008A732E" w:rsidRPr="004F5FB4" w:rsidRDefault="00C46587" w:rsidP="00982118">
      <w:pPr>
        <w:rPr>
          <w:color w:val="000000"/>
        </w:rPr>
      </w:pPr>
      <w:r w:rsidRPr="004F5FB4">
        <w:rPr>
          <w:color w:val="000000"/>
        </w:rPr>
        <w:t>Die Ergebnisse aus beiden Studien zeigten eine statistisch signifikante Reduktion des Risikos eines Behandlungsversagens bei Patienten unter Behandlung mit Adalimumab gegenüber Patienten, die Placebo erhielten (siehe Tabelle</w:t>
      </w:r>
      <w:r w:rsidR="00DA64A8" w:rsidRPr="004F5FB4">
        <w:rPr>
          <w:color w:val="000000"/>
        </w:rPr>
        <w:t> </w:t>
      </w:r>
      <w:r w:rsidR="00DA4438">
        <w:rPr>
          <w:color w:val="000000"/>
        </w:rPr>
        <w:t>19</w:t>
      </w:r>
      <w:r w:rsidRPr="004F5FB4">
        <w:rPr>
          <w:color w:val="000000"/>
        </w:rPr>
        <w:t>). Beide Studien zeigten im Vergleich zu Placebo eine frühzeitig einsetzende und anhaltende Auswirkung von Adalimumab auf die Rate an Behandlungsversagen (siehe Abbildung</w:t>
      </w:r>
      <w:r w:rsidR="00DA64A8" w:rsidRPr="004F5FB4">
        <w:rPr>
          <w:color w:val="000000"/>
        </w:rPr>
        <w:t> </w:t>
      </w:r>
      <w:r w:rsidR="00DA4438">
        <w:rPr>
          <w:color w:val="000000"/>
        </w:rPr>
        <w:t>1</w:t>
      </w:r>
      <w:r w:rsidRPr="004F5FB4">
        <w:rPr>
          <w:color w:val="000000"/>
        </w:rPr>
        <w:t>).</w:t>
      </w:r>
    </w:p>
    <w:p w14:paraId="01801B55" w14:textId="77777777" w:rsidR="008A732E" w:rsidRPr="004F5FB4" w:rsidRDefault="008A732E" w:rsidP="00982118">
      <w:pPr>
        <w:rPr>
          <w:color w:val="000000"/>
        </w:rPr>
      </w:pPr>
    </w:p>
    <w:p w14:paraId="2AA5353E" w14:textId="77777777" w:rsidR="00534661" w:rsidRPr="004F5FB4" w:rsidRDefault="009C503E" w:rsidP="00687087">
      <w:pPr>
        <w:rPr>
          <w:b/>
          <w:color w:val="000000"/>
        </w:rPr>
      </w:pPr>
      <w:r w:rsidRPr="004F5FB4">
        <w:rPr>
          <w:b/>
          <w:color w:val="000000"/>
        </w:rPr>
        <w:t>Tabelle</w:t>
      </w:r>
      <w:r w:rsidR="00DA4438">
        <w:rPr>
          <w:b/>
          <w:color w:val="000000"/>
        </w:rPr>
        <w:t> 19</w:t>
      </w:r>
      <w:r w:rsidRPr="004F5FB4">
        <w:rPr>
          <w:b/>
          <w:color w:val="000000"/>
        </w:rPr>
        <w:t xml:space="preserve"> </w:t>
      </w:r>
    </w:p>
    <w:p w14:paraId="1EF84931" w14:textId="77777777" w:rsidR="009C503E" w:rsidRPr="004F5FB4" w:rsidRDefault="009C503E" w:rsidP="00687087">
      <w:pPr>
        <w:rPr>
          <w:b/>
          <w:color w:val="000000"/>
        </w:rPr>
      </w:pPr>
      <w:r w:rsidRPr="004F5FB4">
        <w:rPr>
          <w:b/>
          <w:color w:val="000000"/>
        </w:rPr>
        <w:t>Dauer bis zum Behandlungsversagen in den Studien UV I und UV II</w:t>
      </w:r>
    </w:p>
    <w:p w14:paraId="361CAE96" w14:textId="77777777" w:rsidR="00C46587" w:rsidRPr="004F5FB4" w:rsidRDefault="00C46587" w:rsidP="00982118">
      <w:pPr>
        <w:rPr>
          <w:color w:val="000000"/>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30"/>
        <w:gridCol w:w="709"/>
        <w:gridCol w:w="1264"/>
        <w:gridCol w:w="1264"/>
        <w:gridCol w:w="1221"/>
        <w:gridCol w:w="1236"/>
        <w:gridCol w:w="1251"/>
      </w:tblGrid>
      <w:tr w:rsidR="008A732E" w:rsidRPr="004F5FB4" w14:paraId="134672D8" w14:textId="77777777" w:rsidTr="002510E7">
        <w:tc>
          <w:tcPr>
            <w:tcW w:w="2178" w:type="dxa"/>
            <w:tcBorders>
              <w:top w:val="single" w:sz="4" w:space="0" w:color="auto"/>
              <w:left w:val="nil"/>
              <w:bottom w:val="single" w:sz="4" w:space="0" w:color="auto"/>
              <w:right w:val="nil"/>
            </w:tcBorders>
            <w:hideMark/>
          </w:tcPr>
          <w:p w14:paraId="05628128" w14:textId="77777777" w:rsidR="008A732E" w:rsidRPr="004F5FB4" w:rsidRDefault="008A732E" w:rsidP="00982118">
            <w:pPr>
              <w:rPr>
                <w:b/>
                <w:color w:val="000000"/>
              </w:rPr>
            </w:pPr>
            <w:r w:rsidRPr="004F5FB4">
              <w:rPr>
                <w:b/>
                <w:color w:val="000000"/>
              </w:rPr>
              <w:t>Auswertung</w:t>
            </w:r>
          </w:p>
          <w:p w14:paraId="2F01906F" w14:textId="77777777" w:rsidR="008A732E" w:rsidRPr="004F5FB4" w:rsidRDefault="004C70DE" w:rsidP="00982118">
            <w:pPr>
              <w:rPr>
                <w:b/>
                <w:color w:val="000000"/>
              </w:rPr>
            </w:pPr>
            <w:r w:rsidRPr="004F5FB4">
              <w:rPr>
                <w:b/>
                <w:color w:val="000000"/>
              </w:rPr>
              <w:t>     Behandlung</w:t>
            </w:r>
          </w:p>
        </w:tc>
        <w:tc>
          <w:tcPr>
            <w:tcW w:w="720" w:type="dxa"/>
            <w:tcBorders>
              <w:top w:val="single" w:sz="4" w:space="0" w:color="auto"/>
              <w:left w:val="nil"/>
              <w:bottom w:val="single" w:sz="4" w:space="0" w:color="auto"/>
              <w:right w:val="nil"/>
            </w:tcBorders>
            <w:hideMark/>
          </w:tcPr>
          <w:p w14:paraId="6A0EAEF0" w14:textId="77777777" w:rsidR="008A732E" w:rsidRPr="004F5FB4" w:rsidRDefault="008A732E" w:rsidP="00982118">
            <w:pPr>
              <w:rPr>
                <w:b/>
                <w:color w:val="000000"/>
              </w:rPr>
            </w:pPr>
            <w:r w:rsidRPr="004F5FB4">
              <w:rPr>
                <w:b/>
                <w:color w:val="000000"/>
              </w:rPr>
              <w:t>N</w:t>
            </w:r>
          </w:p>
        </w:tc>
        <w:tc>
          <w:tcPr>
            <w:tcW w:w="1281" w:type="dxa"/>
            <w:tcBorders>
              <w:top w:val="single" w:sz="4" w:space="0" w:color="auto"/>
              <w:left w:val="nil"/>
              <w:bottom w:val="single" w:sz="4" w:space="0" w:color="auto"/>
              <w:right w:val="nil"/>
            </w:tcBorders>
            <w:hideMark/>
          </w:tcPr>
          <w:p w14:paraId="505A2B5E" w14:textId="77777777" w:rsidR="008A732E" w:rsidRPr="004F5FB4" w:rsidRDefault="008A732E" w:rsidP="00982118">
            <w:pPr>
              <w:rPr>
                <w:b/>
                <w:color w:val="000000"/>
              </w:rPr>
            </w:pPr>
            <w:r w:rsidRPr="004F5FB4">
              <w:rPr>
                <w:b/>
                <w:color w:val="000000"/>
              </w:rPr>
              <w:t>Versagen</w:t>
            </w:r>
          </w:p>
          <w:p w14:paraId="2E3E8A7E" w14:textId="77777777" w:rsidR="008A732E" w:rsidRPr="004F5FB4" w:rsidRDefault="008A732E" w:rsidP="00982118">
            <w:pPr>
              <w:rPr>
                <w:b/>
                <w:color w:val="000000"/>
              </w:rPr>
            </w:pPr>
            <w:r w:rsidRPr="004F5FB4">
              <w:rPr>
                <w:b/>
                <w:color w:val="000000"/>
              </w:rPr>
              <w:t>N (%)</w:t>
            </w:r>
          </w:p>
        </w:tc>
        <w:tc>
          <w:tcPr>
            <w:tcW w:w="1281" w:type="dxa"/>
            <w:tcBorders>
              <w:top w:val="single" w:sz="4" w:space="0" w:color="auto"/>
              <w:left w:val="nil"/>
              <w:bottom w:val="single" w:sz="4" w:space="0" w:color="auto"/>
              <w:right w:val="nil"/>
            </w:tcBorders>
            <w:hideMark/>
          </w:tcPr>
          <w:p w14:paraId="3053D958" w14:textId="77777777" w:rsidR="008A732E" w:rsidRPr="004F5FB4" w:rsidRDefault="008A732E" w:rsidP="00982118">
            <w:pPr>
              <w:rPr>
                <w:b/>
                <w:color w:val="000000"/>
              </w:rPr>
            </w:pPr>
            <w:r w:rsidRPr="004F5FB4">
              <w:rPr>
                <w:b/>
                <w:color w:val="000000"/>
              </w:rPr>
              <w:t>Dauer (Median) bis zum Versagen (Monate)</w:t>
            </w:r>
          </w:p>
        </w:tc>
        <w:tc>
          <w:tcPr>
            <w:tcW w:w="1281" w:type="dxa"/>
            <w:tcBorders>
              <w:top w:val="single" w:sz="4" w:space="0" w:color="auto"/>
              <w:left w:val="nil"/>
              <w:bottom w:val="single" w:sz="4" w:space="0" w:color="auto"/>
              <w:right w:val="nil"/>
            </w:tcBorders>
            <w:hideMark/>
          </w:tcPr>
          <w:p w14:paraId="1BC5C915" w14:textId="77777777" w:rsidR="008A732E" w:rsidRPr="004F5FB4" w:rsidRDefault="008A732E" w:rsidP="00982118">
            <w:pPr>
              <w:rPr>
                <w:b/>
                <w:color w:val="000000"/>
              </w:rPr>
            </w:pPr>
            <w:r w:rsidRPr="004F5FB4">
              <w:rPr>
                <w:b/>
                <w:color w:val="000000"/>
              </w:rPr>
              <w:t>HR</w:t>
            </w:r>
            <w:r w:rsidRPr="004F5FB4">
              <w:rPr>
                <w:b/>
                <w:color w:val="000000"/>
                <w:vertAlign w:val="superscript"/>
              </w:rPr>
              <w:t>a</w:t>
            </w:r>
          </w:p>
        </w:tc>
        <w:tc>
          <w:tcPr>
            <w:tcW w:w="1281" w:type="dxa"/>
            <w:tcBorders>
              <w:top w:val="single" w:sz="4" w:space="0" w:color="auto"/>
              <w:left w:val="nil"/>
              <w:bottom w:val="single" w:sz="4" w:space="0" w:color="auto"/>
              <w:right w:val="nil"/>
            </w:tcBorders>
            <w:hideMark/>
          </w:tcPr>
          <w:p w14:paraId="0DBFE261" w14:textId="77777777" w:rsidR="008A732E" w:rsidRPr="004F5FB4" w:rsidRDefault="008A732E" w:rsidP="00982118">
            <w:pPr>
              <w:rPr>
                <w:b/>
                <w:color w:val="000000"/>
              </w:rPr>
            </w:pPr>
            <w:r w:rsidRPr="004F5FB4">
              <w:rPr>
                <w:b/>
                <w:color w:val="000000"/>
              </w:rPr>
              <w:t>95 %-KI für HR</w:t>
            </w:r>
            <w:r w:rsidRPr="004F5FB4">
              <w:rPr>
                <w:b/>
                <w:color w:val="000000"/>
                <w:vertAlign w:val="superscript"/>
              </w:rPr>
              <w:t>a</w:t>
            </w:r>
            <w:r w:rsidRPr="004F5FB4">
              <w:rPr>
                <w:b/>
                <w:color w:val="000000"/>
              </w:rPr>
              <w:t xml:space="preserve"> </w:t>
            </w:r>
          </w:p>
        </w:tc>
        <w:tc>
          <w:tcPr>
            <w:tcW w:w="1281" w:type="dxa"/>
            <w:tcBorders>
              <w:top w:val="single" w:sz="4" w:space="0" w:color="auto"/>
              <w:left w:val="nil"/>
              <w:bottom w:val="single" w:sz="4" w:space="0" w:color="auto"/>
              <w:right w:val="nil"/>
            </w:tcBorders>
            <w:hideMark/>
          </w:tcPr>
          <w:p w14:paraId="155C5C1D" w14:textId="77777777" w:rsidR="008A732E" w:rsidRPr="004F5FB4" w:rsidRDefault="008A732E" w:rsidP="00982118">
            <w:pPr>
              <w:rPr>
                <w:b/>
                <w:color w:val="000000"/>
              </w:rPr>
            </w:pPr>
            <w:r w:rsidRPr="004F5FB4">
              <w:rPr>
                <w:b/>
                <w:color w:val="000000"/>
              </w:rPr>
              <w:t>p-Wert</w:t>
            </w:r>
            <w:r w:rsidRPr="004F5FB4">
              <w:rPr>
                <w:b/>
                <w:color w:val="000000"/>
                <w:vertAlign w:val="superscript"/>
              </w:rPr>
              <w:t>b</w:t>
            </w:r>
          </w:p>
        </w:tc>
      </w:tr>
      <w:tr w:rsidR="008A732E" w:rsidRPr="004F5FB4" w14:paraId="5F0573C6" w14:textId="77777777" w:rsidTr="002510E7">
        <w:tc>
          <w:tcPr>
            <w:tcW w:w="9303" w:type="dxa"/>
            <w:gridSpan w:val="7"/>
            <w:tcBorders>
              <w:top w:val="single" w:sz="4" w:space="0" w:color="auto"/>
              <w:left w:val="nil"/>
              <w:bottom w:val="nil"/>
              <w:right w:val="nil"/>
            </w:tcBorders>
            <w:hideMark/>
          </w:tcPr>
          <w:p w14:paraId="10B085B0" w14:textId="77777777" w:rsidR="008A732E" w:rsidRPr="004F5FB4" w:rsidRDefault="008A732E" w:rsidP="00982118">
            <w:pPr>
              <w:rPr>
                <w:b/>
                <w:color w:val="000000"/>
              </w:rPr>
            </w:pPr>
            <w:r w:rsidRPr="004F5FB4">
              <w:rPr>
                <w:b/>
                <w:color w:val="000000"/>
              </w:rPr>
              <w:t>Dauer bis zum Behandlungsversagen in oder nach Woche</w:t>
            </w:r>
            <w:r w:rsidR="00DA64A8" w:rsidRPr="004F5FB4">
              <w:rPr>
                <w:b/>
                <w:color w:val="000000"/>
              </w:rPr>
              <w:t> </w:t>
            </w:r>
            <w:r w:rsidRPr="004F5FB4">
              <w:rPr>
                <w:b/>
                <w:color w:val="000000"/>
              </w:rPr>
              <w:t>6 in der Studie UV</w:t>
            </w:r>
            <w:r w:rsidR="00DA64A8" w:rsidRPr="004F5FB4">
              <w:rPr>
                <w:b/>
                <w:color w:val="000000"/>
              </w:rPr>
              <w:t> </w:t>
            </w:r>
            <w:r w:rsidRPr="004F5FB4">
              <w:rPr>
                <w:b/>
                <w:color w:val="000000"/>
              </w:rPr>
              <w:t xml:space="preserve">I  </w:t>
            </w:r>
          </w:p>
        </w:tc>
      </w:tr>
      <w:tr w:rsidR="008A732E" w:rsidRPr="004F5FB4" w14:paraId="37AB71B0" w14:textId="77777777" w:rsidTr="002510E7">
        <w:tc>
          <w:tcPr>
            <w:tcW w:w="9303" w:type="dxa"/>
            <w:gridSpan w:val="7"/>
            <w:tcBorders>
              <w:top w:val="nil"/>
              <w:left w:val="nil"/>
              <w:bottom w:val="nil"/>
              <w:right w:val="nil"/>
            </w:tcBorders>
            <w:hideMark/>
          </w:tcPr>
          <w:p w14:paraId="6F374DAA" w14:textId="77777777" w:rsidR="008A732E" w:rsidRPr="004F5FB4" w:rsidRDefault="008A732E" w:rsidP="00982118">
            <w:pPr>
              <w:rPr>
                <w:color w:val="000000"/>
              </w:rPr>
            </w:pPr>
            <w:r w:rsidRPr="004F5FB4">
              <w:rPr>
                <w:color w:val="000000"/>
              </w:rPr>
              <w:t>Primäre Auswertung (ITT-Population)</w:t>
            </w:r>
          </w:p>
        </w:tc>
      </w:tr>
      <w:tr w:rsidR="008A732E" w:rsidRPr="004F5FB4" w14:paraId="5357B86B" w14:textId="77777777" w:rsidTr="002510E7">
        <w:tc>
          <w:tcPr>
            <w:tcW w:w="2178" w:type="dxa"/>
            <w:tcBorders>
              <w:top w:val="nil"/>
              <w:left w:val="nil"/>
              <w:bottom w:val="nil"/>
              <w:right w:val="nil"/>
            </w:tcBorders>
            <w:hideMark/>
          </w:tcPr>
          <w:p w14:paraId="47353B63" w14:textId="77777777" w:rsidR="008A732E" w:rsidRPr="004F5FB4" w:rsidRDefault="008A732E" w:rsidP="00982118">
            <w:pPr>
              <w:rPr>
                <w:color w:val="000000"/>
              </w:rPr>
            </w:pPr>
            <w:r w:rsidRPr="004F5FB4">
              <w:rPr>
                <w:color w:val="000000"/>
              </w:rPr>
              <w:t>     Placebo</w:t>
            </w:r>
          </w:p>
        </w:tc>
        <w:tc>
          <w:tcPr>
            <w:tcW w:w="720" w:type="dxa"/>
            <w:tcBorders>
              <w:top w:val="nil"/>
              <w:left w:val="nil"/>
              <w:bottom w:val="nil"/>
              <w:right w:val="nil"/>
            </w:tcBorders>
            <w:hideMark/>
          </w:tcPr>
          <w:p w14:paraId="6034259F" w14:textId="77777777" w:rsidR="008A732E" w:rsidRPr="004F5FB4" w:rsidRDefault="008A732E" w:rsidP="00982118">
            <w:pPr>
              <w:rPr>
                <w:color w:val="000000"/>
              </w:rPr>
            </w:pPr>
            <w:r w:rsidRPr="004F5FB4">
              <w:rPr>
                <w:color w:val="000000"/>
              </w:rPr>
              <w:t>107</w:t>
            </w:r>
          </w:p>
        </w:tc>
        <w:tc>
          <w:tcPr>
            <w:tcW w:w="1281" w:type="dxa"/>
            <w:tcBorders>
              <w:top w:val="nil"/>
              <w:left w:val="nil"/>
              <w:bottom w:val="nil"/>
              <w:right w:val="nil"/>
            </w:tcBorders>
            <w:hideMark/>
          </w:tcPr>
          <w:p w14:paraId="4B942ABD" w14:textId="77777777" w:rsidR="008A732E" w:rsidRPr="004F5FB4" w:rsidRDefault="008A732E" w:rsidP="00982118">
            <w:pPr>
              <w:rPr>
                <w:color w:val="000000"/>
              </w:rPr>
            </w:pPr>
            <w:r w:rsidRPr="004F5FB4">
              <w:rPr>
                <w:color w:val="000000"/>
              </w:rPr>
              <w:t>84 (78,5)</w:t>
            </w:r>
          </w:p>
        </w:tc>
        <w:tc>
          <w:tcPr>
            <w:tcW w:w="1281" w:type="dxa"/>
            <w:tcBorders>
              <w:top w:val="nil"/>
              <w:left w:val="nil"/>
              <w:bottom w:val="nil"/>
              <w:right w:val="nil"/>
            </w:tcBorders>
            <w:hideMark/>
          </w:tcPr>
          <w:p w14:paraId="0E3876AB" w14:textId="77777777" w:rsidR="008A732E" w:rsidRPr="004F5FB4" w:rsidRDefault="008A732E" w:rsidP="00982118">
            <w:pPr>
              <w:rPr>
                <w:color w:val="000000"/>
              </w:rPr>
            </w:pPr>
            <w:r w:rsidRPr="004F5FB4">
              <w:rPr>
                <w:color w:val="000000"/>
              </w:rPr>
              <w:t>3,0 </w:t>
            </w:r>
          </w:p>
        </w:tc>
        <w:tc>
          <w:tcPr>
            <w:tcW w:w="1281" w:type="dxa"/>
            <w:tcBorders>
              <w:top w:val="nil"/>
              <w:left w:val="nil"/>
              <w:bottom w:val="nil"/>
              <w:right w:val="nil"/>
            </w:tcBorders>
            <w:hideMark/>
          </w:tcPr>
          <w:p w14:paraId="272D4814" w14:textId="77777777" w:rsidR="008A732E" w:rsidRPr="004F5FB4" w:rsidRDefault="008A732E" w:rsidP="00982118">
            <w:pP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0F32E576" w14:textId="77777777" w:rsidR="008A732E" w:rsidRPr="004F5FB4" w:rsidRDefault="008A732E" w:rsidP="00982118">
            <w:pP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2E998A34" w14:textId="77777777" w:rsidR="008A732E" w:rsidRPr="004F5FB4" w:rsidRDefault="008A732E" w:rsidP="00982118">
            <w:pPr>
              <w:rPr>
                <w:color w:val="000000"/>
              </w:rPr>
            </w:pPr>
            <w:r w:rsidRPr="004F5FB4">
              <w:rPr>
                <w:color w:val="000000"/>
              </w:rPr>
              <w:noBreakHyphen/>
            </w:r>
            <w:r w:rsidRPr="004F5FB4">
              <w:rPr>
                <w:color w:val="000000"/>
              </w:rPr>
              <w:noBreakHyphen/>
            </w:r>
          </w:p>
        </w:tc>
      </w:tr>
      <w:tr w:rsidR="008A732E" w:rsidRPr="004F5FB4" w14:paraId="76A014A4" w14:textId="77777777" w:rsidTr="002510E7">
        <w:tc>
          <w:tcPr>
            <w:tcW w:w="2178" w:type="dxa"/>
            <w:tcBorders>
              <w:top w:val="nil"/>
              <w:left w:val="nil"/>
              <w:bottom w:val="single" w:sz="4" w:space="0" w:color="auto"/>
              <w:right w:val="nil"/>
            </w:tcBorders>
            <w:hideMark/>
          </w:tcPr>
          <w:p w14:paraId="674ABE4E" w14:textId="77777777" w:rsidR="008A732E" w:rsidRPr="004F5FB4" w:rsidRDefault="008A732E" w:rsidP="00982118">
            <w:pPr>
              <w:rPr>
                <w:color w:val="000000"/>
              </w:rPr>
            </w:pPr>
            <w:r w:rsidRPr="004F5FB4">
              <w:rPr>
                <w:color w:val="000000"/>
              </w:rPr>
              <w:t>     Adalimumab</w:t>
            </w:r>
          </w:p>
        </w:tc>
        <w:tc>
          <w:tcPr>
            <w:tcW w:w="720" w:type="dxa"/>
            <w:tcBorders>
              <w:top w:val="nil"/>
              <w:left w:val="nil"/>
              <w:bottom w:val="single" w:sz="4" w:space="0" w:color="auto"/>
              <w:right w:val="nil"/>
            </w:tcBorders>
            <w:hideMark/>
          </w:tcPr>
          <w:p w14:paraId="3973A395" w14:textId="77777777" w:rsidR="008A732E" w:rsidRPr="004F5FB4" w:rsidRDefault="008A732E" w:rsidP="00982118">
            <w:pPr>
              <w:rPr>
                <w:color w:val="000000"/>
              </w:rPr>
            </w:pPr>
            <w:r w:rsidRPr="004F5FB4">
              <w:rPr>
                <w:color w:val="000000"/>
              </w:rPr>
              <w:t>110 </w:t>
            </w:r>
          </w:p>
        </w:tc>
        <w:tc>
          <w:tcPr>
            <w:tcW w:w="1281" w:type="dxa"/>
            <w:tcBorders>
              <w:top w:val="nil"/>
              <w:left w:val="nil"/>
              <w:bottom w:val="single" w:sz="4" w:space="0" w:color="auto"/>
              <w:right w:val="nil"/>
            </w:tcBorders>
            <w:hideMark/>
          </w:tcPr>
          <w:p w14:paraId="24575E87" w14:textId="77777777" w:rsidR="008A732E" w:rsidRPr="004F5FB4" w:rsidRDefault="008A732E" w:rsidP="00982118">
            <w:pPr>
              <w:rPr>
                <w:color w:val="000000"/>
              </w:rPr>
            </w:pPr>
            <w:r w:rsidRPr="004F5FB4">
              <w:rPr>
                <w:color w:val="000000"/>
              </w:rPr>
              <w:t>60 (54,5)</w:t>
            </w:r>
          </w:p>
        </w:tc>
        <w:tc>
          <w:tcPr>
            <w:tcW w:w="1281" w:type="dxa"/>
            <w:tcBorders>
              <w:top w:val="nil"/>
              <w:left w:val="nil"/>
              <w:bottom w:val="single" w:sz="4" w:space="0" w:color="auto"/>
              <w:right w:val="nil"/>
            </w:tcBorders>
            <w:hideMark/>
          </w:tcPr>
          <w:p w14:paraId="46D21AE3" w14:textId="77777777" w:rsidR="008A732E" w:rsidRPr="004F5FB4" w:rsidRDefault="008A732E" w:rsidP="00982118">
            <w:pPr>
              <w:rPr>
                <w:color w:val="000000"/>
              </w:rPr>
            </w:pPr>
            <w:r w:rsidRPr="004F5FB4">
              <w:rPr>
                <w:color w:val="000000"/>
              </w:rPr>
              <w:t>5,6 </w:t>
            </w:r>
          </w:p>
        </w:tc>
        <w:tc>
          <w:tcPr>
            <w:tcW w:w="1281" w:type="dxa"/>
            <w:tcBorders>
              <w:top w:val="nil"/>
              <w:left w:val="nil"/>
              <w:bottom w:val="single" w:sz="4" w:space="0" w:color="auto"/>
              <w:right w:val="nil"/>
            </w:tcBorders>
            <w:hideMark/>
          </w:tcPr>
          <w:p w14:paraId="055E5900" w14:textId="77777777" w:rsidR="008A732E" w:rsidRPr="004F5FB4" w:rsidRDefault="008A732E" w:rsidP="00982118">
            <w:pPr>
              <w:rPr>
                <w:color w:val="000000"/>
              </w:rPr>
            </w:pPr>
            <w:r w:rsidRPr="004F5FB4">
              <w:rPr>
                <w:color w:val="000000"/>
              </w:rPr>
              <w:t>0,50</w:t>
            </w:r>
          </w:p>
        </w:tc>
        <w:tc>
          <w:tcPr>
            <w:tcW w:w="1281" w:type="dxa"/>
            <w:tcBorders>
              <w:top w:val="nil"/>
              <w:left w:val="nil"/>
              <w:bottom w:val="single" w:sz="4" w:space="0" w:color="auto"/>
              <w:right w:val="nil"/>
            </w:tcBorders>
            <w:hideMark/>
          </w:tcPr>
          <w:p w14:paraId="0F890302" w14:textId="77777777" w:rsidR="008A732E" w:rsidRPr="004F5FB4" w:rsidRDefault="008A732E" w:rsidP="00982118">
            <w:pPr>
              <w:rPr>
                <w:color w:val="000000"/>
              </w:rPr>
            </w:pPr>
            <w:r w:rsidRPr="004F5FB4">
              <w:rPr>
                <w:color w:val="000000"/>
              </w:rPr>
              <w:t>0,36; 0,70 </w:t>
            </w:r>
          </w:p>
        </w:tc>
        <w:tc>
          <w:tcPr>
            <w:tcW w:w="1281" w:type="dxa"/>
            <w:tcBorders>
              <w:top w:val="nil"/>
              <w:left w:val="nil"/>
              <w:bottom w:val="single" w:sz="4" w:space="0" w:color="auto"/>
              <w:right w:val="nil"/>
            </w:tcBorders>
            <w:hideMark/>
          </w:tcPr>
          <w:p w14:paraId="16452B70" w14:textId="77777777" w:rsidR="008A732E" w:rsidRPr="004F5FB4" w:rsidRDefault="008A732E" w:rsidP="009C503E">
            <w:pPr>
              <w:rPr>
                <w:color w:val="000000"/>
              </w:rPr>
            </w:pPr>
            <w:r w:rsidRPr="004F5FB4">
              <w:rPr>
                <w:color w:val="000000"/>
              </w:rPr>
              <w:t>&lt;</w:t>
            </w:r>
            <w:r w:rsidR="009C503E" w:rsidRPr="004F5FB4">
              <w:rPr>
                <w:color w:val="000000"/>
              </w:rPr>
              <w:t> </w:t>
            </w:r>
            <w:r w:rsidRPr="004F5FB4">
              <w:rPr>
                <w:color w:val="000000"/>
              </w:rPr>
              <w:t>0,001 </w:t>
            </w:r>
          </w:p>
        </w:tc>
      </w:tr>
      <w:tr w:rsidR="008A732E" w:rsidRPr="004F5FB4" w14:paraId="49FFE670" w14:textId="77777777" w:rsidTr="002510E7">
        <w:tc>
          <w:tcPr>
            <w:tcW w:w="9303" w:type="dxa"/>
            <w:gridSpan w:val="7"/>
            <w:tcBorders>
              <w:top w:val="single" w:sz="4" w:space="0" w:color="auto"/>
              <w:left w:val="nil"/>
              <w:bottom w:val="nil"/>
              <w:right w:val="nil"/>
            </w:tcBorders>
            <w:hideMark/>
          </w:tcPr>
          <w:p w14:paraId="7644D72E" w14:textId="77777777" w:rsidR="008A732E" w:rsidRPr="004F5FB4" w:rsidRDefault="008A732E" w:rsidP="00982118">
            <w:pPr>
              <w:rPr>
                <w:b/>
                <w:color w:val="000000"/>
              </w:rPr>
            </w:pPr>
            <w:r w:rsidRPr="004F5FB4">
              <w:rPr>
                <w:b/>
                <w:color w:val="000000"/>
              </w:rPr>
              <w:t>Dauer bis zum Behandlungsversagen in oder nach Woche 2 in der Studie UV II</w:t>
            </w:r>
          </w:p>
        </w:tc>
      </w:tr>
      <w:tr w:rsidR="008A732E" w:rsidRPr="004F5FB4" w14:paraId="7BD87AA4" w14:textId="77777777" w:rsidTr="002510E7">
        <w:tc>
          <w:tcPr>
            <w:tcW w:w="9303" w:type="dxa"/>
            <w:gridSpan w:val="7"/>
            <w:tcBorders>
              <w:top w:val="nil"/>
              <w:left w:val="nil"/>
              <w:bottom w:val="nil"/>
              <w:right w:val="nil"/>
            </w:tcBorders>
            <w:hideMark/>
          </w:tcPr>
          <w:p w14:paraId="793831B9" w14:textId="77777777" w:rsidR="008A732E" w:rsidRPr="004F5FB4" w:rsidRDefault="008A732E" w:rsidP="00982118">
            <w:pPr>
              <w:rPr>
                <w:color w:val="000000"/>
              </w:rPr>
            </w:pPr>
            <w:r w:rsidRPr="004F5FB4">
              <w:rPr>
                <w:color w:val="000000"/>
              </w:rPr>
              <w:t>Primäre Auswertung (ITT-Population)</w:t>
            </w:r>
          </w:p>
        </w:tc>
      </w:tr>
      <w:tr w:rsidR="008A732E" w:rsidRPr="004F5FB4" w14:paraId="17A86068" w14:textId="77777777" w:rsidTr="002510E7">
        <w:tc>
          <w:tcPr>
            <w:tcW w:w="2178" w:type="dxa"/>
            <w:tcBorders>
              <w:top w:val="nil"/>
              <w:left w:val="nil"/>
              <w:bottom w:val="nil"/>
              <w:right w:val="nil"/>
            </w:tcBorders>
            <w:hideMark/>
          </w:tcPr>
          <w:p w14:paraId="3AE5F045" w14:textId="77777777" w:rsidR="008A732E" w:rsidRPr="004F5FB4" w:rsidRDefault="008A732E" w:rsidP="00982118">
            <w:pPr>
              <w:rPr>
                <w:color w:val="000000"/>
              </w:rPr>
            </w:pPr>
            <w:r w:rsidRPr="004F5FB4">
              <w:rPr>
                <w:color w:val="000000"/>
              </w:rPr>
              <w:t>     Placebo</w:t>
            </w:r>
          </w:p>
        </w:tc>
        <w:tc>
          <w:tcPr>
            <w:tcW w:w="720" w:type="dxa"/>
            <w:tcBorders>
              <w:top w:val="nil"/>
              <w:left w:val="nil"/>
              <w:bottom w:val="nil"/>
              <w:right w:val="nil"/>
            </w:tcBorders>
            <w:hideMark/>
          </w:tcPr>
          <w:p w14:paraId="223F694D" w14:textId="77777777" w:rsidR="008A732E" w:rsidRPr="004F5FB4" w:rsidRDefault="008A732E" w:rsidP="00982118">
            <w:pPr>
              <w:rPr>
                <w:color w:val="000000"/>
              </w:rPr>
            </w:pPr>
            <w:r w:rsidRPr="004F5FB4">
              <w:rPr>
                <w:color w:val="000000"/>
              </w:rPr>
              <w:t>111 </w:t>
            </w:r>
          </w:p>
        </w:tc>
        <w:tc>
          <w:tcPr>
            <w:tcW w:w="1281" w:type="dxa"/>
            <w:tcBorders>
              <w:top w:val="nil"/>
              <w:left w:val="nil"/>
              <w:bottom w:val="nil"/>
              <w:right w:val="nil"/>
            </w:tcBorders>
            <w:hideMark/>
          </w:tcPr>
          <w:p w14:paraId="75B76777" w14:textId="77777777" w:rsidR="008A732E" w:rsidRPr="004F5FB4" w:rsidRDefault="008A732E" w:rsidP="00982118">
            <w:pPr>
              <w:rPr>
                <w:color w:val="000000"/>
              </w:rPr>
            </w:pPr>
            <w:r w:rsidRPr="004F5FB4">
              <w:rPr>
                <w:color w:val="000000"/>
              </w:rPr>
              <w:t>61 (55,0)</w:t>
            </w:r>
          </w:p>
        </w:tc>
        <w:tc>
          <w:tcPr>
            <w:tcW w:w="1281" w:type="dxa"/>
            <w:tcBorders>
              <w:top w:val="nil"/>
              <w:left w:val="nil"/>
              <w:bottom w:val="nil"/>
              <w:right w:val="nil"/>
            </w:tcBorders>
            <w:hideMark/>
          </w:tcPr>
          <w:p w14:paraId="18093ECA" w14:textId="77777777" w:rsidR="008A732E" w:rsidRPr="004F5FB4" w:rsidRDefault="008A732E" w:rsidP="00982118">
            <w:pPr>
              <w:rPr>
                <w:color w:val="000000"/>
              </w:rPr>
            </w:pPr>
            <w:r w:rsidRPr="004F5FB4">
              <w:rPr>
                <w:color w:val="000000"/>
              </w:rPr>
              <w:t>8,3 </w:t>
            </w:r>
          </w:p>
        </w:tc>
        <w:tc>
          <w:tcPr>
            <w:tcW w:w="1281" w:type="dxa"/>
            <w:tcBorders>
              <w:top w:val="nil"/>
              <w:left w:val="nil"/>
              <w:bottom w:val="nil"/>
              <w:right w:val="nil"/>
            </w:tcBorders>
            <w:hideMark/>
          </w:tcPr>
          <w:p w14:paraId="35BA76EB" w14:textId="77777777" w:rsidR="008A732E" w:rsidRPr="004F5FB4" w:rsidRDefault="008A732E" w:rsidP="00982118">
            <w:pP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4D70DD4D" w14:textId="77777777" w:rsidR="008A732E" w:rsidRPr="004F5FB4" w:rsidRDefault="008A732E" w:rsidP="00982118">
            <w:pPr>
              <w:rPr>
                <w:color w:val="000000"/>
              </w:rPr>
            </w:pPr>
            <w:r w:rsidRPr="004F5FB4">
              <w:rPr>
                <w:color w:val="000000"/>
              </w:rPr>
              <w:noBreakHyphen/>
            </w:r>
            <w:r w:rsidRPr="004F5FB4">
              <w:rPr>
                <w:color w:val="000000"/>
              </w:rPr>
              <w:noBreakHyphen/>
            </w:r>
          </w:p>
        </w:tc>
        <w:tc>
          <w:tcPr>
            <w:tcW w:w="1281" w:type="dxa"/>
            <w:tcBorders>
              <w:top w:val="nil"/>
              <w:left w:val="nil"/>
              <w:bottom w:val="nil"/>
              <w:right w:val="nil"/>
            </w:tcBorders>
            <w:hideMark/>
          </w:tcPr>
          <w:p w14:paraId="7DE6BB32" w14:textId="77777777" w:rsidR="008A732E" w:rsidRPr="004F5FB4" w:rsidRDefault="008A732E" w:rsidP="00982118">
            <w:pPr>
              <w:rPr>
                <w:color w:val="000000"/>
              </w:rPr>
            </w:pPr>
            <w:r w:rsidRPr="004F5FB4">
              <w:rPr>
                <w:color w:val="000000"/>
              </w:rPr>
              <w:noBreakHyphen/>
            </w:r>
            <w:r w:rsidRPr="004F5FB4">
              <w:rPr>
                <w:color w:val="000000"/>
              </w:rPr>
              <w:noBreakHyphen/>
            </w:r>
          </w:p>
        </w:tc>
      </w:tr>
      <w:tr w:rsidR="008A732E" w:rsidRPr="004F5FB4" w14:paraId="608B5567" w14:textId="77777777" w:rsidTr="007F42F7">
        <w:tc>
          <w:tcPr>
            <w:tcW w:w="2178" w:type="dxa"/>
            <w:tcBorders>
              <w:top w:val="nil"/>
              <w:left w:val="nil"/>
              <w:bottom w:val="single" w:sz="4" w:space="0" w:color="auto"/>
              <w:right w:val="nil"/>
            </w:tcBorders>
            <w:hideMark/>
          </w:tcPr>
          <w:p w14:paraId="31873758" w14:textId="77777777" w:rsidR="008A732E" w:rsidRPr="004F5FB4" w:rsidRDefault="008A732E" w:rsidP="00982118">
            <w:pPr>
              <w:rPr>
                <w:color w:val="000000"/>
              </w:rPr>
            </w:pPr>
            <w:r w:rsidRPr="004F5FB4">
              <w:rPr>
                <w:color w:val="000000"/>
              </w:rPr>
              <w:t>     Adalimumab</w:t>
            </w:r>
          </w:p>
        </w:tc>
        <w:tc>
          <w:tcPr>
            <w:tcW w:w="720" w:type="dxa"/>
            <w:tcBorders>
              <w:top w:val="nil"/>
              <w:left w:val="nil"/>
              <w:bottom w:val="single" w:sz="4" w:space="0" w:color="auto"/>
              <w:right w:val="nil"/>
            </w:tcBorders>
            <w:hideMark/>
          </w:tcPr>
          <w:p w14:paraId="2B630256" w14:textId="77777777" w:rsidR="008A732E" w:rsidRPr="004F5FB4" w:rsidRDefault="008A732E" w:rsidP="00982118">
            <w:pPr>
              <w:rPr>
                <w:color w:val="000000"/>
              </w:rPr>
            </w:pPr>
            <w:r w:rsidRPr="004F5FB4">
              <w:rPr>
                <w:color w:val="000000"/>
              </w:rPr>
              <w:t>115 </w:t>
            </w:r>
          </w:p>
        </w:tc>
        <w:tc>
          <w:tcPr>
            <w:tcW w:w="1281" w:type="dxa"/>
            <w:tcBorders>
              <w:top w:val="nil"/>
              <w:left w:val="nil"/>
              <w:bottom w:val="single" w:sz="4" w:space="0" w:color="auto"/>
              <w:right w:val="nil"/>
            </w:tcBorders>
            <w:hideMark/>
          </w:tcPr>
          <w:p w14:paraId="105D6F24" w14:textId="77777777" w:rsidR="008A732E" w:rsidRPr="004F5FB4" w:rsidRDefault="008A732E" w:rsidP="00982118">
            <w:pPr>
              <w:rPr>
                <w:color w:val="000000"/>
              </w:rPr>
            </w:pPr>
            <w:r w:rsidRPr="004F5FB4">
              <w:rPr>
                <w:color w:val="000000"/>
              </w:rPr>
              <w:t>45 (39,1)</w:t>
            </w:r>
          </w:p>
        </w:tc>
        <w:tc>
          <w:tcPr>
            <w:tcW w:w="1281" w:type="dxa"/>
            <w:tcBorders>
              <w:top w:val="nil"/>
              <w:left w:val="nil"/>
              <w:bottom w:val="single" w:sz="4" w:space="0" w:color="auto"/>
              <w:right w:val="nil"/>
            </w:tcBorders>
            <w:hideMark/>
          </w:tcPr>
          <w:p w14:paraId="6B7D8002" w14:textId="77777777" w:rsidR="008A732E" w:rsidRPr="004F5FB4" w:rsidRDefault="008A732E" w:rsidP="00982118">
            <w:pPr>
              <w:rPr>
                <w:color w:val="000000"/>
              </w:rPr>
            </w:pPr>
            <w:r w:rsidRPr="004F5FB4">
              <w:rPr>
                <w:color w:val="000000"/>
              </w:rPr>
              <w:t>n. b.</w:t>
            </w:r>
            <w:r w:rsidRPr="004F5FB4">
              <w:rPr>
                <w:color w:val="000000"/>
                <w:vertAlign w:val="superscript"/>
              </w:rPr>
              <w:t>c</w:t>
            </w:r>
          </w:p>
        </w:tc>
        <w:tc>
          <w:tcPr>
            <w:tcW w:w="1281" w:type="dxa"/>
            <w:tcBorders>
              <w:top w:val="nil"/>
              <w:left w:val="nil"/>
              <w:bottom w:val="single" w:sz="4" w:space="0" w:color="auto"/>
              <w:right w:val="nil"/>
            </w:tcBorders>
            <w:hideMark/>
          </w:tcPr>
          <w:p w14:paraId="48A4B4F4" w14:textId="77777777" w:rsidR="008A732E" w:rsidRPr="004F5FB4" w:rsidRDefault="008A732E" w:rsidP="00982118">
            <w:pPr>
              <w:rPr>
                <w:color w:val="000000"/>
              </w:rPr>
            </w:pPr>
            <w:r w:rsidRPr="004F5FB4">
              <w:rPr>
                <w:color w:val="000000"/>
              </w:rPr>
              <w:t>0,57</w:t>
            </w:r>
          </w:p>
        </w:tc>
        <w:tc>
          <w:tcPr>
            <w:tcW w:w="1281" w:type="dxa"/>
            <w:tcBorders>
              <w:top w:val="nil"/>
              <w:left w:val="nil"/>
              <w:bottom w:val="single" w:sz="4" w:space="0" w:color="auto"/>
              <w:right w:val="nil"/>
            </w:tcBorders>
            <w:hideMark/>
          </w:tcPr>
          <w:p w14:paraId="71BEC197" w14:textId="77777777" w:rsidR="008A732E" w:rsidRPr="004F5FB4" w:rsidRDefault="008A732E" w:rsidP="00982118">
            <w:pPr>
              <w:rPr>
                <w:color w:val="000000"/>
              </w:rPr>
            </w:pPr>
            <w:r w:rsidRPr="004F5FB4">
              <w:rPr>
                <w:color w:val="000000"/>
              </w:rPr>
              <w:t>0,39; 0,84</w:t>
            </w:r>
          </w:p>
        </w:tc>
        <w:tc>
          <w:tcPr>
            <w:tcW w:w="1281" w:type="dxa"/>
            <w:tcBorders>
              <w:top w:val="nil"/>
              <w:left w:val="nil"/>
              <w:bottom w:val="single" w:sz="4" w:space="0" w:color="auto"/>
              <w:right w:val="nil"/>
            </w:tcBorders>
            <w:hideMark/>
          </w:tcPr>
          <w:p w14:paraId="3E15AC9A" w14:textId="77777777" w:rsidR="008A732E" w:rsidRPr="004F5FB4" w:rsidRDefault="008A732E" w:rsidP="00982118">
            <w:pPr>
              <w:rPr>
                <w:color w:val="000000"/>
              </w:rPr>
            </w:pPr>
            <w:r w:rsidRPr="004F5FB4">
              <w:rPr>
                <w:color w:val="000000"/>
              </w:rPr>
              <w:t>0,004 </w:t>
            </w:r>
          </w:p>
        </w:tc>
      </w:tr>
      <w:tr w:rsidR="007F42F7" w:rsidRPr="004F5FB4" w14:paraId="23136989" w14:textId="77777777" w:rsidTr="007F42F7">
        <w:tc>
          <w:tcPr>
            <w:tcW w:w="9303" w:type="dxa"/>
            <w:gridSpan w:val="7"/>
            <w:tcBorders>
              <w:top w:val="single" w:sz="4" w:space="0" w:color="auto"/>
              <w:left w:val="nil"/>
              <w:bottom w:val="nil"/>
              <w:right w:val="nil"/>
            </w:tcBorders>
          </w:tcPr>
          <w:p w14:paraId="5C5838DE" w14:textId="77777777" w:rsidR="007F42F7" w:rsidRPr="00206AEA" w:rsidRDefault="007F42F7" w:rsidP="007F42F7">
            <w:pPr>
              <w:rPr>
                <w:color w:val="000000"/>
                <w:sz w:val="20"/>
              </w:rPr>
            </w:pPr>
            <w:r w:rsidRPr="00206AEA">
              <w:rPr>
                <w:color w:val="000000"/>
                <w:sz w:val="20"/>
              </w:rPr>
              <w:t>Hinweis: Ein Behandlungsversagen in oder nach Woche</w:t>
            </w:r>
            <w:r w:rsidR="009945A2" w:rsidRPr="00206AEA">
              <w:rPr>
                <w:color w:val="000000"/>
                <w:sz w:val="20"/>
              </w:rPr>
              <w:t> </w:t>
            </w:r>
            <w:r w:rsidRPr="00206AEA">
              <w:rPr>
                <w:color w:val="000000"/>
                <w:sz w:val="20"/>
              </w:rPr>
              <w:t>6 (Studie UV</w:t>
            </w:r>
            <w:r w:rsidR="009945A2" w:rsidRPr="00206AEA">
              <w:rPr>
                <w:color w:val="000000"/>
                <w:sz w:val="20"/>
              </w:rPr>
              <w:t> </w:t>
            </w:r>
            <w:r w:rsidRPr="00206AEA">
              <w:rPr>
                <w:color w:val="000000"/>
                <w:sz w:val="20"/>
              </w:rPr>
              <w:t>I) bzw. in oder nach Woche</w:t>
            </w:r>
            <w:r w:rsidR="009945A2" w:rsidRPr="00206AEA">
              <w:rPr>
                <w:color w:val="000000"/>
                <w:sz w:val="20"/>
              </w:rPr>
              <w:t> </w:t>
            </w:r>
            <w:r w:rsidRPr="00206AEA">
              <w:rPr>
                <w:color w:val="000000"/>
                <w:sz w:val="20"/>
              </w:rPr>
              <w:t>2 (Studie UV</w:t>
            </w:r>
            <w:r w:rsidR="004509D2" w:rsidRPr="00206AEA">
              <w:rPr>
                <w:color w:val="000000"/>
                <w:sz w:val="20"/>
              </w:rPr>
              <w:t> </w:t>
            </w:r>
            <w:r w:rsidRPr="00206AEA">
              <w:rPr>
                <w:color w:val="000000"/>
                <w:sz w:val="20"/>
              </w:rPr>
              <w:t xml:space="preserve">II) wurde als Ereignis gewertet. Ein Ausscheiden aus anderen Gründen als Behandlungsversagen wurde zum Zeitpunkt des Ausscheidens zensiert. </w:t>
            </w:r>
          </w:p>
          <w:p w14:paraId="3F8A7E6E" w14:textId="77777777" w:rsidR="007F42F7" w:rsidRPr="00206AEA" w:rsidRDefault="007F42F7" w:rsidP="007F42F7">
            <w:pPr>
              <w:ind w:left="270" w:hanging="270"/>
              <w:rPr>
                <w:color w:val="000000"/>
                <w:sz w:val="20"/>
              </w:rPr>
            </w:pPr>
            <w:r w:rsidRPr="00206AEA">
              <w:rPr>
                <w:color w:val="000000"/>
                <w:sz w:val="20"/>
                <w:vertAlign w:val="superscript"/>
              </w:rPr>
              <w:t>a</w:t>
            </w:r>
            <w:r w:rsidRPr="00206AEA">
              <w:rPr>
                <w:color w:val="000000"/>
                <w:sz w:val="20"/>
              </w:rPr>
              <w:tab/>
              <w:t xml:space="preserve">HR von Adalimumab gegenüber Placebo der Cox-Regressionsanalyse mit Behandlung als Faktor </w:t>
            </w:r>
          </w:p>
          <w:p w14:paraId="3F211D60" w14:textId="77777777" w:rsidR="007F42F7" w:rsidRPr="00206AEA" w:rsidRDefault="007F42F7" w:rsidP="007F42F7">
            <w:pPr>
              <w:ind w:left="270" w:hanging="270"/>
              <w:rPr>
                <w:color w:val="000000"/>
                <w:sz w:val="20"/>
              </w:rPr>
            </w:pPr>
            <w:r w:rsidRPr="00206AEA">
              <w:rPr>
                <w:color w:val="000000"/>
                <w:sz w:val="20"/>
                <w:vertAlign w:val="superscript"/>
              </w:rPr>
              <w:t>b</w:t>
            </w:r>
            <w:r w:rsidRPr="00206AEA">
              <w:rPr>
                <w:color w:val="000000"/>
                <w:sz w:val="20"/>
              </w:rPr>
              <w:tab/>
              <w:t>2</w:t>
            </w:r>
            <w:r w:rsidRPr="00206AEA">
              <w:rPr>
                <w:color w:val="000000"/>
                <w:sz w:val="20"/>
              </w:rPr>
              <w:noBreakHyphen/>
              <w:t xml:space="preserve">seitiger p-Wert vom Log-Rank-Test </w:t>
            </w:r>
          </w:p>
          <w:p w14:paraId="7470B66D" w14:textId="77777777" w:rsidR="007F42F7" w:rsidRPr="00206AEA" w:rsidRDefault="007F42F7" w:rsidP="007F42F7">
            <w:pPr>
              <w:ind w:left="270" w:hanging="270"/>
              <w:rPr>
                <w:color w:val="000000"/>
                <w:sz w:val="20"/>
              </w:rPr>
            </w:pPr>
            <w:r w:rsidRPr="00206AEA">
              <w:rPr>
                <w:color w:val="000000"/>
                <w:sz w:val="20"/>
                <w:vertAlign w:val="superscript"/>
              </w:rPr>
              <w:t>c</w:t>
            </w:r>
            <w:r w:rsidRPr="00206AEA">
              <w:rPr>
                <w:color w:val="000000"/>
                <w:sz w:val="20"/>
              </w:rPr>
              <w:tab/>
              <w:t xml:space="preserve">n. b. = nicht bestimmbar. Bei weniger als der Hälfte der Risikopatienten kam es zu einem Ereignis. </w:t>
            </w:r>
          </w:p>
        </w:tc>
      </w:tr>
    </w:tbl>
    <w:p w14:paraId="3AC48303" w14:textId="77777777" w:rsidR="008A732E" w:rsidRPr="004F5FB4" w:rsidRDefault="008A732E" w:rsidP="00982118">
      <w:pPr>
        <w:rPr>
          <w:color w:val="000000"/>
        </w:rPr>
      </w:pPr>
    </w:p>
    <w:p w14:paraId="1FE2E68E" w14:textId="77777777" w:rsidR="009C503E" w:rsidRPr="004F5FB4" w:rsidRDefault="009C503E" w:rsidP="00687087">
      <w:pPr>
        <w:keepNext/>
        <w:rPr>
          <w:color w:val="000000"/>
        </w:rPr>
      </w:pPr>
      <w:r w:rsidRPr="004F5FB4">
        <w:rPr>
          <w:b/>
          <w:color w:val="000000"/>
        </w:rPr>
        <w:t xml:space="preserve">Abb. </w:t>
      </w:r>
      <w:r w:rsidR="00DA4438">
        <w:rPr>
          <w:b/>
          <w:color w:val="000000"/>
        </w:rPr>
        <w:t>1</w:t>
      </w:r>
      <w:r w:rsidR="00181343" w:rsidRPr="004F5FB4">
        <w:rPr>
          <w:b/>
          <w:color w:val="000000"/>
        </w:rPr>
        <w:t>.</w:t>
      </w:r>
      <w:r w:rsidRPr="004F5FB4">
        <w:rPr>
          <w:b/>
          <w:color w:val="000000"/>
        </w:rPr>
        <w:t xml:space="preserve"> Kaplan-Meier-Kurven zur Darstellung der Dauer bis zum Behandlungsversagen in oder nach Woche 6 (Studie UV I) bzw. Woche 2 (Studie UV II)</w:t>
      </w:r>
    </w:p>
    <w:p w14:paraId="5EB38E9B" w14:textId="261D1A08" w:rsidR="008A732E" w:rsidRPr="004F5FB4" w:rsidRDefault="00032CD3" w:rsidP="00982118">
      <w:pPr>
        <w:keepNext/>
        <w:rPr>
          <w:color w:val="000000"/>
        </w:rPr>
      </w:pPr>
      <w:r w:rsidRPr="004F5FB4">
        <w:rPr>
          <w:noProof/>
          <w:color w:val="000000"/>
        </w:rPr>
        <mc:AlternateContent>
          <mc:Choice Requires="wps">
            <w:drawing>
              <wp:anchor distT="0" distB="0" distL="114300" distR="114300" simplePos="0" relativeHeight="251658262" behindDoc="0" locked="0" layoutInCell="1" allowOverlap="1" wp14:anchorId="11DE0F29" wp14:editId="6998CDD3">
                <wp:simplePos x="0" y="0"/>
                <wp:positionH relativeFrom="column">
                  <wp:posOffset>-6350</wp:posOffset>
                </wp:positionH>
                <wp:positionV relativeFrom="paragraph">
                  <wp:posOffset>147320</wp:posOffset>
                </wp:positionV>
                <wp:extent cx="369570" cy="2882265"/>
                <wp:effectExtent l="0" t="0" r="0" b="0"/>
                <wp:wrapNone/>
                <wp:docPr id="29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3839821B" w14:textId="77777777" w:rsidR="008F3710" w:rsidRPr="007C4B2C" w:rsidRDefault="008F3710" w:rsidP="00172DF4">
                            <w:pPr>
                              <w:jc w:val="center"/>
                              <w:rPr>
                                <w:b/>
                                <w:bCs/>
                                <w:sz w:val="18"/>
                                <w:szCs w:val="18"/>
                              </w:rPr>
                            </w:pPr>
                            <w:r>
                              <w:rPr>
                                <w:b/>
                                <w:bCs/>
                                <w:sz w:val="18"/>
                                <w:szCs w:val="18"/>
                              </w:rPr>
                              <w:t>RATE BEHANDLUNGSVERSAGEN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E0F29" id="Text Box 221" o:spid="_x0000_s1038" type="#_x0000_t202" style="position:absolute;margin-left:-.5pt;margin-top:11.6pt;width:29.1pt;height:226.9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aR+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" stroked="f">
                <v:textbox style="layout-flow:vertical;mso-layout-flow-alt:bottom-to-top">
                  <w:txbxContent>
                    <w:p w14:paraId="3839821B" w14:textId="77777777" w:rsidR="008F3710" w:rsidRPr="007C4B2C" w:rsidRDefault="008F3710" w:rsidP="00172DF4">
                      <w:pPr>
                        <w:jc w:val="center"/>
                        <w:rPr>
                          <w:b/>
                          <w:bCs/>
                          <w:sz w:val="18"/>
                          <w:szCs w:val="18"/>
                        </w:rPr>
                      </w:pPr>
                      <w:r>
                        <w:rPr>
                          <w:b/>
                          <w:bCs/>
                          <w:sz w:val="18"/>
                          <w:szCs w:val="18"/>
                        </w:rPr>
                        <w:t>RATE BEHANDLUNGSVERSAGEN (%)</w:t>
                      </w:r>
                    </w:p>
                  </w:txbxContent>
                </v:textbox>
              </v:shape>
            </w:pict>
          </mc:Fallback>
        </mc:AlternateContent>
      </w:r>
    </w:p>
    <w:p w14:paraId="2972B2EA" w14:textId="0637085F" w:rsidR="00A84E59" w:rsidRPr="004F5FB4" w:rsidRDefault="00032CD3" w:rsidP="00982118">
      <w:pPr>
        <w:rPr>
          <w:color w:val="000000"/>
          <w:highlight w:val="yellow"/>
        </w:rPr>
      </w:pPr>
      <w:r w:rsidRPr="004F5FB4">
        <w:rPr>
          <w:noProof/>
          <w:color w:val="000000"/>
        </w:rPr>
        <mc:AlternateContent>
          <mc:Choice Requires="wps">
            <w:drawing>
              <wp:anchor distT="0" distB="0" distL="114300" distR="114300" simplePos="0" relativeHeight="251658265" behindDoc="0" locked="0" layoutInCell="1" allowOverlap="1" wp14:anchorId="0EF85544" wp14:editId="7E93C69A">
                <wp:simplePos x="0" y="0"/>
                <wp:positionH relativeFrom="column">
                  <wp:posOffset>1793875</wp:posOffset>
                </wp:positionH>
                <wp:positionV relativeFrom="paragraph">
                  <wp:posOffset>2602865</wp:posOffset>
                </wp:positionV>
                <wp:extent cx="1024890" cy="201930"/>
                <wp:effectExtent l="0" t="0" r="0" b="0"/>
                <wp:wrapNone/>
                <wp:docPr id="28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201930"/>
                        </a:xfrm>
                        <a:prstGeom prst="rect">
                          <a:avLst/>
                        </a:prstGeom>
                        <a:solidFill>
                          <a:srgbClr val="FFFFFF"/>
                        </a:solidFill>
                        <a:ln>
                          <a:noFill/>
                        </a:ln>
                      </wps:spPr>
                      <wps:txbx>
                        <w:txbxContent>
                          <w:p w14:paraId="0C03027D"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85544" id="Text Box 224" o:spid="_x0000_s1039" type="#_x0000_t202" style="position:absolute;margin-left:141.25pt;margin-top:204.95pt;width:80.7pt;height:15.9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" stroked="f">
                <v:textbox>
                  <w:txbxContent>
                    <w:p w14:paraId="0C03027D"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64" behindDoc="0" locked="0" layoutInCell="1" allowOverlap="1" wp14:anchorId="67EBBC1C" wp14:editId="4920AB3D">
                <wp:simplePos x="0" y="0"/>
                <wp:positionH relativeFrom="column">
                  <wp:posOffset>275590</wp:posOffset>
                </wp:positionH>
                <wp:positionV relativeFrom="paragraph">
                  <wp:posOffset>2614930</wp:posOffset>
                </wp:positionV>
                <wp:extent cx="933450" cy="253365"/>
                <wp:effectExtent l="0" t="0" r="0" b="0"/>
                <wp:wrapNone/>
                <wp:docPr id="136"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3365"/>
                        </a:xfrm>
                        <a:prstGeom prst="rect">
                          <a:avLst/>
                        </a:prstGeom>
                        <a:solidFill>
                          <a:srgbClr val="FFFFFF"/>
                        </a:solidFill>
                        <a:ln>
                          <a:noFill/>
                        </a:ln>
                      </wps:spPr>
                      <wps:txbx>
                        <w:txbxContent>
                          <w:p w14:paraId="429F56D7" w14:textId="77777777" w:rsidR="008F3710" w:rsidRPr="007C4B2C" w:rsidRDefault="008F3710" w:rsidP="00172DF4">
                            <w:pPr>
                              <w:rPr>
                                <w:sz w:val="18"/>
                                <w:szCs w:val="18"/>
                              </w:rPr>
                            </w:pPr>
                            <w:r>
                              <w:rPr>
                                <w:sz w:val="18"/>
                                <w:szCs w:val="18"/>
                              </w:rPr>
                              <w:t>Studie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BBC1C" id="Text Box 223" o:spid="_x0000_s1040" type="#_x0000_t202" style="position:absolute;margin-left:21.7pt;margin-top:205.9pt;width:73.5pt;height:19.9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" stroked="f">
                <v:textbox>
                  <w:txbxContent>
                    <w:p w14:paraId="429F56D7" w14:textId="77777777" w:rsidR="008F3710" w:rsidRPr="007C4B2C" w:rsidRDefault="008F3710" w:rsidP="00172DF4">
                      <w:pPr>
                        <w:rPr>
                          <w:sz w:val="18"/>
                          <w:szCs w:val="18"/>
                        </w:rPr>
                      </w:pPr>
                      <w:r>
                        <w:rPr>
                          <w:sz w:val="18"/>
                          <w:szCs w:val="18"/>
                        </w:rPr>
                        <w:t>Studie UV I</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63" behindDoc="0" locked="0" layoutInCell="1" allowOverlap="1" wp14:anchorId="599C7708" wp14:editId="11741E64">
                <wp:simplePos x="0" y="0"/>
                <wp:positionH relativeFrom="column">
                  <wp:posOffset>2491105</wp:posOffset>
                </wp:positionH>
                <wp:positionV relativeFrom="paragraph">
                  <wp:posOffset>2456815</wp:posOffset>
                </wp:positionV>
                <wp:extent cx="1181100" cy="196215"/>
                <wp:effectExtent l="0" t="0" r="0" b="0"/>
                <wp:wrapNone/>
                <wp:docPr id="29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43D7894E" w14:textId="77777777" w:rsidR="008F3710" w:rsidRPr="007C4B2C" w:rsidRDefault="008F3710" w:rsidP="00172DF4">
                            <w:pPr>
                              <w:rPr>
                                <w:b/>
                                <w:bCs/>
                                <w:sz w:val="16"/>
                                <w:szCs w:val="16"/>
                              </w:rPr>
                            </w:pPr>
                            <w:r>
                              <w:rPr>
                                <w:b/>
                                <w:bCs/>
                                <w:sz w:val="16"/>
                                <w:szCs w:val="16"/>
                              </w:rPr>
                              <w:t>DAUER (MONATE)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C7708" id="Text Box 222" o:spid="_x0000_s1041" type="#_x0000_t202" style="position:absolute;margin-left:196.15pt;margin-top:193.45pt;width:93pt;height:15.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" stroked="f">
                <v:textbox>
                  <w:txbxContent>
                    <w:p w14:paraId="43D7894E" w14:textId="77777777" w:rsidR="008F3710" w:rsidRPr="007C4B2C" w:rsidRDefault="008F3710" w:rsidP="00172DF4">
                      <w:pPr>
                        <w:rPr>
                          <w:b/>
                          <w:bCs/>
                          <w:sz w:val="16"/>
                          <w:szCs w:val="16"/>
                        </w:rPr>
                      </w:pPr>
                      <w:r>
                        <w:rPr>
                          <w:b/>
                          <w:bCs/>
                          <w:sz w:val="16"/>
                          <w:szCs w:val="16"/>
                        </w:rPr>
                        <w:t>DAUER (MONATE)</w:t>
                      </w:r>
                    </w:p>
                  </w:txbxContent>
                </v:textbox>
              </v:shape>
            </w:pict>
          </mc:Fallback>
        </mc:AlternateContent>
      </w:r>
      <w:r w:rsidRPr="004F5FB4">
        <w:rPr>
          <w:noProof/>
          <w:color w:val="000000"/>
        </w:rPr>
        <mc:AlternateContent>
          <mc:Choice Requires="wps">
            <w:drawing>
              <wp:anchor distT="0" distB="0" distL="114300" distR="114300" simplePos="0" relativeHeight="251658267" behindDoc="0" locked="0" layoutInCell="1" allowOverlap="1" wp14:anchorId="628F4738" wp14:editId="2FA1784C">
                <wp:simplePos x="0" y="0"/>
                <wp:positionH relativeFrom="column">
                  <wp:posOffset>4700270</wp:posOffset>
                </wp:positionH>
                <wp:positionV relativeFrom="paragraph">
                  <wp:posOffset>2617470</wp:posOffset>
                </wp:positionV>
                <wp:extent cx="840740" cy="212725"/>
                <wp:effectExtent l="0" t="0" r="0" b="0"/>
                <wp:wrapNone/>
                <wp:docPr id="29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33D077E6"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F4738" id="Text Box 226" o:spid="_x0000_s1042" type="#_x0000_t202" style="position:absolute;margin-left:370.1pt;margin-top:206.1pt;width:66.2pt;height:16.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" stroked="f">
                <v:textbox>
                  <w:txbxContent>
                    <w:p w14:paraId="33D077E6"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66" behindDoc="0" locked="0" layoutInCell="1" allowOverlap="1" wp14:anchorId="2DAC1CF7" wp14:editId="40C50F54">
                <wp:simplePos x="0" y="0"/>
                <wp:positionH relativeFrom="column">
                  <wp:posOffset>3232785</wp:posOffset>
                </wp:positionH>
                <wp:positionV relativeFrom="paragraph">
                  <wp:posOffset>2617470</wp:posOffset>
                </wp:positionV>
                <wp:extent cx="713105" cy="201930"/>
                <wp:effectExtent l="0" t="0" r="0" b="0"/>
                <wp:wrapNone/>
                <wp:docPr id="29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5F6AE0EA"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C1CF7" id="Text Box 225" o:spid="_x0000_s1043" type="#_x0000_t202" style="position:absolute;margin-left:254.55pt;margin-top:206.1pt;width:56.15pt;height:15.9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QX9wEAANEDAAAOAAAAZHJzL2Uyb0RvYy54bWysU8Fu2zAMvQ/YPwi6L47TdFm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" stroked="f">
                <v:textbox>
                  <w:txbxContent>
                    <w:p w14:paraId="5F6AE0EA"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4F5FB4">
        <w:rPr>
          <w:noProof/>
          <w:color w:val="000000"/>
          <w:lang w:eastAsia="de-DE"/>
        </w:rPr>
        <w:drawing>
          <wp:inline distT="0" distB="0" distL="0" distR="0" wp14:anchorId="59124973" wp14:editId="1769E87D">
            <wp:extent cx="5943600" cy="28289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30469659" w14:textId="77777777" w:rsidR="00A84E59" w:rsidRPr="004F5FB4" w:rsidRDefault="00A84E59" w:rsidP="00982118">
      <w:pPr>
        <w:rPr>
          <w:color w:val="000000"/>
          <w:highlight w:val="yellow"/>
          <w:lang w:val="en-GB"/>
        </w:rPr>
      </w:pPr>
    </w:p>
    <w:p w14:paraId="1F0297EB" w14:textId="498F473C" w:rsidR="00A84E59" w:rsidRPr="004F5FB4" w:rsidRDefault="00032CD3" w:rsidP="00982118">
      <w:pPr>
        <w:rPr>
          <w:color w:val="000000"/>
          <w:highlight w:val="yellow"/>
        </w:rPr>
      </w:pPr>
      <w:r w:rsidRPr="004F5FB4">
        <w:rPr>
          <w:noProof/>
          <w:color w:val="000000"/>
        </w:rPr>
        <w:lastRenderedPageBreak/>
        <mc:AlternateContent>
          <mc:Choice Requires="wps">
            <w:drawing>
              <wp:anchor distT="0" distB="0" distL="114300" distR="114300" simplePos="0" relativeHeight="251658273" behindDoc="0" locked="0" layoutInCell="1" allowOverlap="1" wp14:anchorId="3EDFFF9B" wp14:editId="4EDB2E62">
                <wp:simplePos x="0" y="0"/>
                <wp:positionH relativeFrom="column">
                  <wp:posOffset>4761230</wp:posOffset>
                </wp:positionH>
                <wp:positionV relativeFrom="paragraph">
                  <wp:posOffset>2594610</wp:posOffset>
                </wp:positionV>
                <wp:extent cx="814705" cy="204470"/>
                <wp:effectExtent l="0" t="0" r="0" b="0"/>
                <wp:wrapNone/>
                <wp:docPr id="287"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0ED9C79F"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FF9B" id="Text Box 232" o:spid="_x0000_s1044" type="#_x0000_t202" style="position:absolute;margin-left:374.9pt;margin-top:204.3pt;width:64.15pt;height:16.1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" stroked="f">
                <v:textbox>
                  <w:txbxContent>
                    <w:p w14:paraId="0ED9C79F"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72" behindDoc="0" locked="0" layoutInCell="1" allowOverlap="1" wp14:anchorId="325DA8EA" wp14:editId="64E00434">
                <wp:simplePos x="0" y="0"/>
                <wp:positionH relativeFrom="column">
                  <wp:posOffset>3314700</wp:posOffset>
                </wp:positionH>
                <wp:positionV relativeFrom="paragraph">
                  <wp:posOffset>2594610</wp:posOffset>
                </wp:positionV>
                <wp:extent cx="814705" cy="204470"/>
                <wp:effectExtent l="0" t="0" r="0" b="0"/>
                <wp:wrapNone/>
                <wp:docPr id="28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4F80A67C"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DA8EA" id="Text Box 231" o:spid="_x0000_s1045" type="#_x0000_t202" style="position:absolute;margin-left:261pt;margin-top:204.3pt;width:64.15pt;height:16.1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" stroked="f">
                <v:textbox>
                  <w:txbxContent>
                    <w:p w14:paraId="4F80A67C"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71" behindDoc="0" locked="0" layoutInCell="1" allowOverlap="1" wp14:anchorId="4E25D70C" wp14:editId="6109A867">
                <wp:simplePos x="0" y="0"/>
                <wp:positionH relativeFrom="column">
                  <wp:posOffset>1772920</wp:posOffset>
                </wp:positionH>
                <wp:positionV relativeFrom="paragraph">
                  <wp:posOffset>2594610</wp:posOffset>
                </wp:positionV>
                <wp:extent cx="814705" cy="204470"/>
                <wp:effectExtent l="0" t="0" r="0" b="0"/>
                <wp:wrapNone/>
                <wp:docPr id="28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601C6688"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5D70C" id="Text Box 230" o:spid="_x0000_s1046" type="#_x0000_t202" style="position:absolute;margin-left:139.6pt;margin-top:204.3pt;width:64.15pt;height:16.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1Y9QEAANE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" stroked="f">
                <v:textbox>
                  <w:txbxContent>
                    <w:p w14:paraId="601C6688"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70" behindDoc="0" locked="0" layoutInCell="1" allowOverlap="1" wp14:anchorId="1CB7D07C" wp14:editId="243FD0DB">
                <wp:simplePos x="0" y="0"/>
                <wp:positionH relativeFrom="column">
                  <wp:posOffset>344805</wp:posOffset>
                </wp:positionH>
                <wp:positionV relativeFrom="paragraph">
                  <wp:posOffset>2605405</wp:posOffset>
                </wp:positionV>
                <wp:extent cx="814705" cy="204470"/>
                <wp:effectExtent l="0" t="0" r="0" b="0"/>
                <wp:wrapNone/>
                <wp:docPr id="28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70339D23" w14:textId="77777777" w:rsidR="008F3710" w:rsidRPr="007C4B2C" w:rsidRDefault="008F3710" w:rsidP="00172DF4">
                            <w:pPr>
                              <w:rPr>
                                <w:sz w:val="18"/>
                                <w:szCs w:val="18"/>
                              </w:rPr>
                            </w:pPr>
                            <w:r>
                              <w:rPr>
                                <w:sz w:val="18"/>
                                <w:szCs w:val="18"/>
                              </w:rPr>
                              <w:t>Studie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7D07C" id="Text Box 229" o:spid="_x0000_s1047" type="#_x0000_t202" style="position:absolute;margin-left:27.15pt;margin-top:205.15pt;width:64.15pt;height:16.1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ei09QEAANE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" stroked="f">
                <v:textbox>
                  <w:txbxContent>
                    <w:p w14:paraId="70339D23" w14:textId="77777777" w:rsidR="008F3710" w:rsidRPr="007C4B2C" w:rsidRDefault="008F3710" w:rsidP="00172DF4">
                      <w:pPr>
                        <w:rPr>
                          <w:sz w:val="18"/>
                          <w:szCs w:val="18"/>
                        </w:rPr>
                      </w:pPr>
                      <w:r>
                        <w:rPr>
                          <w:sz w:val="18"/>
                          <w:szCs w:val="18"/>
                        </w:rPr>
                        <w:t>Studie UV II</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69" behindDoc="0" locked="0" layoutInCell="1" allowOverlap="1" wp14:anchorId="52C5F8D1" wp14:editId="140615D2">
                <wp:simplePos x="0" y="0"/>
                <wp:positionH relativeFrom="column">
                  <wp:posOffset>2505075</wp:posOffset>
                </wp:positionH>
                <wp:positionV relativeFrom="paragraph">
                  <wp:posOffset>2456815</wp:posOffset>
                </wp:positionV>
                <wp:extent cx="1181100" cy="196215"/>
                <wp:effectExtent l="0" t="0" r="0" b="0"/>
                <wp:wrapNone/>
                <wp:docPr id="283"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7B09A469" w14:textId="77777777" w:rsidR="008F3710" w:rsidRPr="007C4B2C" w:rsidRDefault="008F3710" w:rsidP="00172DF4">
                            <w:pPr>
                              <w:rPr>
                                <w:b/>
                                <w:bCs/>
                                <w:sz w:val="16"/>
                                <w:szCs w:val="16"/>
                              </w:rPr>
                            </w:pPr>
                            <w:r>
                              <w:rPr>
                                <w:b/>
                                <w:bCs/>
                                <w:sz w:val="16"/>
                                <w:szCs w:val="16"/>
                              </w:rPr>
                              <w:t>DAUER (MONATE)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5F8D1" id="Text Box 228" o:spid="_x0000_s1048" type="#_x0000_t202" style="position:absolute;margin-left:197.25pt;margin-top:193.45pt;width:93pt;height:15.4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" stroked="f">
                <v:textbox>
                  <w:txbxContent>
                    <w:p w14:paraId="7B09A469" w14:textId="77777777" w:rsidR="008F3710" w:rsidRPr="007C4B2C" w:rsidRDefault="008F3710" w:rsidP="00172DF4">
                      <w:pPr>
                        <w:rPr>
                          <w:b/>
                          <w:bCs/>
                          <w:sz w:val="16"/>
                          <w:szCs w:val="16"/>
                        </w:rPr>
                      </w:pPr>
                      <w:r>
                        <w:rPr>
                          <w:b/>
                          <w:bCs/>
                          <w:sz w:val="16"/>
                          <w:szCs w:val="16"/>
                        </w:rPr>
                        <w:t>DAUER (MONATE)</w:t>
                      </w:r>
                    </w:p>
                  </w:txbxContent>
                </v:textbox>
              </v:shape>
            </w:pict>
          </mc:Fallback>
        </mc:AlternateContent>
      </w:r>
      <w:r w:rsidRPr="004F5FB4">
        <w:rPr>
          <w:noProof/>
          <w:color w:val="000000"/>
        </w:rPr>
        <mc:AlternateContent>
          <mc:Choice Requires="wps">
            <w:drawing>
              <wp:anchor distT="0" distB="0" distL="114300" distR="114300" simplePos="0" relativeHeight="251658268" behindDoc="0" locked="0" layoutInCell="1" allowOverlap="1" wp14:anchorId="0FE7469E" wp14:editId="48E5B501">
                <wp:simplePos x="0" y="0"/>
                <wp:positionH relativeFrom="column">
                  <wp:posOffset>6985</wp:posOffset>
                </wp:positionH>
                <wp:positionV relativeFrom="paragraph">
                  <wp:posOffset>43180</wp:posOffset>
                </wp:positionV>
                <wp:extent cx="306070" cy="2510155"/>
                <wp:effectExtent l="0" t="0" r="0" b="0"/>
                <wp:wrapNone/>
                <wp:docPr id="28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4B662B88" w14:textId="77777777" w:rsidR="008F3710" w:rsidRPr="007C4B2C" w:rsidRDefault="008F3710" w:rsidP="00172DF4">
                            <w:pPr>
                              <w:jc w:val="center"/>
                              <w:rPr>
                                <w:b/>
                                <w:bCs/>
                                <w:sz w:val="18"/>
                                <w:szCs w:val="18"/>
                              </w:rPr>
                            </w:pPr>
                            <w:r>
                              <w:rPr>
                                <w:b/>
                                <w:bCs/>
                                <w:sz w:val="18"/>
                                <w:szCs w:val="18"/>
                              </w:rPr>
                              <w:t>RATE BEHANDLUNGSVERSAGEN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7469E" id="Text Box 227" o:spid="_x0000_s1049" type="#_x0000_t202" style="position:absolute;margin-left:.55pt;margin-top:3.4pt;width:24.1pt;height:197.6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" stroked="f">
                <v:textbox style="layout-flow:vertical;mso-layout-flow-alt:bottom-to-top">
                  <w:txbxContent>
                    <w:p w14:paraId="4B662B88" w14:textId="77777777" w:rsidR="008F3710" w:rsidRPr="007C4B2C" w:rsidRDefault="008F3710" w:rsidP="00172DF4">
                      <w:pPr>
                        <w:jc w:val="center"/>
                        <w:rPr>
                          <w:b/>
                          <w:bCs/>
                          <w:sz w:val="18"/>
                          <w:szCs w:val="18"/>
                        </w:rPr>
                      </w:pPr>
                      <w:r>
                        <w:rPr>
                          <w:b/>
                          <w:bCs/>
                          <w:sz w:val="18"/>
                          <w:szCs w:val="18"/>
                        </w:rPr>
                        <w:t>RATE BEHANDLUNGSVERSAGEN (%)</w:t>
                      </w:r>
                    </w:p>
                  </w:txbxContent>
                </v:textbox>
              </v:shape>
            </w:pict>
          </mc:Fallback>
        </mc:AlternateContent>
      </w:r>
      <w:r w:rsidRPr="004F5FB4">
        <w:rPr>
          <w:noProof/>
          <w:color w:val="000000"/>
          <w:lang w:eastAsia="de-DE"/>
        </w:rPr>
        <w:drawing>
          <wp:inline distT="0" distB="0" distL="0" distR="0" wp14:anchorId="2D98AFD3" wp14:editId="14000368">
            <wp:extent cx="5943600" cy="28003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800350"/>
                    </a:xfrm>
                    <a:prstGeom prst="rect">
                      <a:avLst/>
                    </a:prstGeom>
                    <a:noFill/>
                    <a:ln>
                      <a:noFill/>
                    </a:ln>
                  </pic:spPr>
                </pic:pic>
              </a:graphicData>
            </a:graphic>
          </wp:inline>
        </w:drawing>
      </w:r>
    </w:p>
    <w:p w14:paraId="418AE611" w14:textId="77777777" w:rsidR="00A84E59" w:rsidRPr="00206AEA" w:rsidRDefault="00A84E59" w:rsidP="00982118">
      <w:pPr>
        <w:rPr>
          <w:color w:val="000000"/>
          <w:sz w:val="20"/>
        </w:rPr>
      </w:pPr>
      <w:r w:rsidRPr="00206AEA">
        <w:rPr>
          <w:color w:val="000000"/>
          <w:sz w:val="20"/>
        </w:rPr>
        <w:t>Hinweis: P# = Placebo (Anzahl Ereignisse/Anzahl Risikopatienten); A# = Adalimumab (Anzahl Ereignisse/Anzahl Risikopatienten)</w:t>
      </w:r>
    </w:p>
    <w:p w14:paraId="08A8EFE6" w14:textId="77777777" w:rsidR="00A84E59" w:rsidRPr="004F5FB4" w:rsidRDefault="00A84E59" w:rsidP="00982118">
      <w:pPr>
        <w:rPr>
          <w:color w:val="000000"/>
        </w:rPr>
      </w:pPr>
    </w:p>
    <w:p w14:paraId="5407F63D" w14:textId="77777777" w:rsidR="00A84E59" w:rsidRPr="004F5FB4" w:rsidRDefault="00C46587" w:rsidP="00982118">
      <w:pPr>
        <w:rPr>
          <w:color w:val="000000"/>
        </w:rPr>
      </w:pPr>
      <w:r w:rsidRPr="004F5FB4">
        <w:rPr>
          <w:color w:val="000000"/>
        </w:rPr>
        <w:t>In der Studie UV</w:t>
      </w:r>
      <w:r w:rsidR="004509D2" w:rsidRPr="004F5FB4">
        <w:rPr>
          <w:color w:val="000000"/>
        </w:rPr>
        <w:t> </w:t>
      </w:r>
      <w:r w:rsidRPr="004F5FB4">
        <w:rPr>
          <w:color w:val="000000"/>
        </w:rPr>
        <w:t>I wurden für jede Komponente des Behandlungsversagens statistisch signifikante Unterschiede zugunsten von Adalimumab gegenüber Placebo festgestellt. In der Studie UV</w:t>
      </w:r>
      <w:r w:rsidR="004509D2" w:rsidRPr="004F5FB4">
        <w:rPr>
          <w:color w:val="000000"/>
        </w:rPr>
        <w:t> </w:t>
      </w:r>
      <w:r w:rsidRPr="004F5FB4">
        <w:rPr>
          <w:color w:val="000000"/>
        </w:rPr>
        <w:t>II wurden statistisch signifikante Unterschiede nur für die Sehschärfe festgestellt, doch die Ergebnisse der anderen Komponenten fielen numerisch zugunsten von Adalimumab aus.</w:t>
      </w:r>
    </w:p>
    <w:p w14:paraId="507E5807" w14:textId="77777777" w:rsidR="00EA77A5" w:rsidRPr="004F5FB4" w:rsidRDefault="00EA77A5" w:rsidP="00982118">
      <w:pPr>
        <w:rPr>
          <w:color w:val="000000"/>
        </w:rPr>
      </w:pPr>
    </w:p>
    <w:p w14:paraId="1A03E487" w14:textId="77777777" w:rsidR="009C503E" w:rsidRPr="004F5FB4" w:rsidRDefault="009C503E" w:rsidP="009C503E">
      <w:pPr>
        <w:pStyle w:val="BodyText"/>
        <w:widowControl/>
        <w:kinsoku w:val="0"/>
        <w:overflowPunct w:val="0"/>
        <w:ind w:left="0"/>
        <w:rPr>
          <w:color w:val="000000"/>
        </w:rPr>
      </w:pPr>
      <w:r w:rsidRPr="004F5FB4">
        <w:rPr>
          <w:color w:val="000000"/>
        </w:rPr>
        <w:t>Von den 424 Studienteilnehmern, die in die unkontrollierte Langzeit-</w:t>
      </w:r>
      <w:r w:rsidR="00DC4073" w:rsidRPr="004F5FB4">
        <w:rPr>
          <w:color w:val="000000"/>
        </w:rPr>
        <w:t>Fortsetzungsstudie von den</w:t>
      </w:r>
      <w:r w:rsidRPr="004F5FB4">
        <w:rPr>
          <w:color w:val="000000"/>
        </w:rPr>
        <w:t xml:space="preserve"> Studien UV I und UV II eingeschlossen waren, erwiesen sich 60 Studienteilnehmer als nicht auswertbar (z. B. aufgrund von Abweichungen oder </w:t>
      </w:r>
      <w:r w:rsidR="00DC4073" w:rsidRPr="004F5FB4">
        <w:rPr>
          <w:color w:val="000000"/>
        </w:rPr>
        <w:t>durch</w:t>
      </w:r>
      <w:r w:rsidRPr="004F5FB4">
        <w:rPr>
          <w:color w:val="000000"/>
        </w:rPr>
        <w:t xml:space="preserve"> Komplikationen nachrangig einer diabetischen Retinopathie, </w:t>
      </w:r>
      <w:r w:rsidR="00DC4073" w:rsidRPr="004F5FB4">
        <w:rPr>
          <w:color w:val="000000"/>
        </w:rPr>
        <w:t xml:space="preserve">die auf </w:t>
      </w:r>
      <w:r w:rsidRPr="004F5FB4">
        <w:rPr>
          <w:color w:val="000000"/>
        </w:rPr>
        <w:t>eine Operation des grauen Stars oder Glaskörperentfernung</w:t>
      </w:r>
      <w:r w:rsidR="00DC4073" w:rsidRPr="004F5FB4">
        <w:rPr>
          <w:color w:val="000000"/>
        </w:rPr>
        <w:t xml:space="preserve"> zurückzuführen waren</w:t>
      </w:r>
      <w:r w:rsidRPr="004F5FB4">
        <w:rPr>
          <w:color w:val="000000"/>
        </w:rPr>
        <w:t xml:space="preserve">). Sie wurden deshalb von der primären Wirksamkeitsanalyse ausgeschlossen. Von den 364 verbleibenden Patienten </w:t>
      </w:r>
      <w:r w:rsidR="00DC4073" w:rsidRPr="004F5FB4">
        <w:rPr>
          <w:color w:val="000000"/>
        </w:rPr>
        <w:t xml:space="preserve">waren </w:t>
      </w:r>
      <w:r w:rsidRPr="004F5FB4">
        <w:rPr>
          <w:color w:val="000000"/>
        </w:rPr>
        <w:t>269</w:t>
      </w:r>
      <w:r w:rsidR="00DC4073" w:rsidRPr="004F5FB4">
        <w:rPr>
          <w:color w:val="000000"/>
        </w:rPr>
        <w:t> </w:t>
      </w:r>
      <w:r w:rsidRPr="004F5FB4">
        <w:rPr>
          <w:color w:val="000000"/>
        </w:rPr>
        <w:t xml:space="preserve">Patienten (74 %) </w:t>
      </w:r>
      <w:r w:rsidR="00DC4073" w:rsidRPr="004F5FB4">
        <w:rPr>
          <w:color w:val="000000"/>
        </w:rPr>
        <w:t>nach</w:t>
      </w:r>
      <w:r w:rsidRPr="004F5FB4">
        <w:rPr>
          <w:color w:val="000000"/>
        </w:rPr>
        <w:t xml:space="preserve"> 78</w:t>
      </w:r>
      <w:r w:rsidR="00DC4073" w:rsidRPr="004F5FB4">
        <w:rPr>
          <w:color w:val="000000"/>
        </w:rPr>
        <w:t> Wochen</w:t>
      </w:r>
      <w:r w:rsidRPr="004F5FB4">
        <w:rPr>
          <w:color w:val="000000"/>
        </w:rPr>
        <w:t xml:space="preserve"> </w:t>
      </w:r>
      <w:r w:rsidR="00DC4073" w:rsidRPr="004F5FB4">
        <w:rPr>
          <w:color w:val="000000"/>
        </w:rPr>
        <w:t>noch auf</w:t>
      </w:r>
      <w:r w:rsidRPr="004F5FB4">
        <w:rPr>
          <w:color w:val="000000"/>
        </w:rPr>
        <w:t xml:space="preserve"> Adalimumab</w:t>
      </w:r>
      <w:r w:rsidR="00DC4073" w:rsidRPr="004F5FB4">
        <w:rPr>
          <w:color w:val="000000"/>
        </w:rPr>
        <w:t>-Therapie</w:t>
      </w:r>
      <w:r w:rsidRPr="004F5FB4">
        <w:rPr>
          <w:color w:val="000000"/>
        </w:rPr>
        <w:t>. Basierend auf dem betrachteten datenbasierten Ansatz waren 216 (80,3 %) Patienten symptomfrei (keine aktiven entzündlichen Läsionen, Grad der Vorderkammerzellen ≤ 0,5+, Grad der Glaskörpertrübung ≤ 0,5+) mit einer einhergehenden Steroiddosis ≤ 7,5 mg pro Tag und 178 (66,2 %) waren in einer steroidfreien Ruhephase. In Woche 78 wurde bei 88,6 % der Augen der bestkorrigierte Visus (</w:t>
      </w:r>
      <w:r w:rsidRPr="004F5FB4">
        <w:rPr>
          <w:i/>
          <w:color w:val="000000"/>
        </w:rPr>
        <w:t>best corrected visual acuity</w:t>
      </w:r>
      <w:r w:rsidRPr="004F5FB4">
        <w:rPr>
          <w:color w:val="000000"/>
        </w:rPr>
        <w:t>, BCVA) entweder verbessert oder erhalten (</w:t>
      </w:r>
      <w:r w:rsidR="00DC4073" w:rsidRPr="004F5FB4">
        <w:rPr>
          <w:color w:val="000000"/>
        </w:rPr>
        <w:t xml:space="preserve">&lt; 5 Zeichen der </w:t>
      </w:r>
      <w:r w:rsidRPr="004F5FB4">
        <w:rPr>
          <w:color w:val="000000"/>
        </w:rPr>
        <w:t>Verschlechterung). Die Daten</w:t>
      </w:r>
      <w:r w:rsidR="00DC4073" w:rsidRPr="004F5FB4">
        <w:rPr>
          <w:color w:val="000000"/>
        </w:rPr>
        <w:t xml:space="preserve">, die über die </w:t>
      </w:r>
      <w:r w:rsidRPr="004F5FB4">
        <w:rPr>
          <w:color w:val="000000"/>
        </w:rPr>
        <w:t>Woche 78</w:t>
      </w:r>
      <w:r w:rsidR="00DC4073" w:rsidRPr="004F5FB4">
        <w:rPr>
          <w:color w:val="000000"/>
        </w:rPr>
        <w:t xml:space="preserve"> hinaus erhoben wurden, waren</w:t>
      </w:r>
      <w:r w:rsidRPr="004F5FB4">
        <w:rPr>
          <w:color w:val="000000"/>
        </w:rPr>
        <w:t xml:space="preserve"> im Allgemeinen </w:t>
      </w:r>
      <w:r w:rsidR="00DC4073" w:rsidRPr="004F5FB4">
        <w:rPr>
          <w:color w:val="000000"/>
        </w:rPr>
        <w:t>übereinstimmend mit diesen Daten, aber</w:t>
      </w:r>
      <w:r w:rsidRPr="004F5FB4">
        <w:rPr>
          <w:color w:val="000000"/>
        </w:rPr>
        <w:t xml:space="preserve"> die Anzahl </w:t>
      </w:r>
      <w:r w:rsidR="00DC4073" w:rsidRPr="004F5FB4">
        <w:rPr>
          <w:color w:val="000000"/>
        </w:rPr>
        <w:t>von eingeschlossenen</w:t>
      </w:r>
      <w:r w:rsidRPr="004F5FB4">
        <w:rPr>
          <w:color w:val="000000"/>
        </w:rPr>
        <w:t xml:space="preserve"> Studienteilnehmern </w:t>
      </w:r>
      <w:r w:rsidR="00DC4073" w:rsidRPr="004F5FB4">
        <w:rPr>
          <w:color w:val="000000"/>
        </w:rPr>
        <w:t xml:space="preserve">war </w:t>
      </w:r>
      <w:r w:rsidRPr="004F5FB4">
        <w:rPr>
          <w:color w:val="000000"/>
        </w:rPr>
        <w:t>nach diese</w:t>
      </w:r>
      <w:r w:rsidR="00DC4073" w:rsidRPr="004F5FB4">
        <w:rPr>
          <w:color w:val="000000"/>
        </w:rPr>
        <w:t>r</w:t>
      </w:r>
      <w:r w:rsidRPr="004F5FB4">
        <w:rPr>
          <w:color w:val="000000"/>
        </w:rPr>
        <w:t xml:space="preserve"> Zeit zurück</w:t>
      </w:r>
      <w:r w:rsidR="00DC4073" w:rsidRPr="004F5FB4">
        <w:rPr>
          <w:color w:val="000000"/>
        </w:rPr>
        <w:t>gegangen</w:t>
      </w:r>
      <w:r w:rsidRPr="004F5FB4">
        <w:rPr>
          <w:color w:val="000000"/>
        </w:rPr>
        <w:t xml:space="preserve">. </w:t>
      </w:r>
      <w:r w:rsidR="00DC4073" w:rsidRPr="004F5FB4">
        <w:rPr>
          <w:color w:val="000000"/>
        </w:rPr>
        <w:t>U</w:t>
      </w:r>
      <w:r w:rsidRPr="004F5FB4">
        <w:rPr>
          <w:color w:val="000000"/>
        </w:rPr>
        <w:t>rsächlich für die vorzeitige Beendigung der Studie waren in 18 % der Fälle das Auftreten von Nebenwirkungen und in 8 % der Fälle ein unzureichendes Ansprechen auf die Behandlung mit Adalimumab.</w:t>
      </w:r>
    </w:p>
    <w:p w14:paraId="2262DCAC" w14:textId="77777777" w:rsidR="00EA77A5" w:rsidRPr="004F5FB4" w:rsidRDefault="00EA77A5" w:rsidP="00982118">
      <w:pPr>
        <w:rPr>
          <w:color w:val="000000"/>
        </w:rPr>
      </w:pPr>
    </w:p>
    <w:p w14:paraId="45B86CDA" w14:textId="77777777" w:rsidR="00A84E59" w:rsidRPr="004F5FB4" w:rsidRDefault="00C46587" w:rsidP="00ED34EF">
      <w:pPr>
        <w:keepNext/>
        <w:rPr>
          <w:i/>
          <w:color w:val="000000"/>
          <w:u w:val="single"/>
        </w:rPr>
      </w:pPr>
      <w:r w:rsidRPr="004F5FB4">
        <w:rPr>
          <w:i/>
          <w:color w:val="000000"/>
          <w:u w:val="single"/>
        </w:rPr>
        <w:t>Lebensqualität</w:t>
      </w:r>
    </w:p>
    <w:p w14:paraId="4F34D424" w14:textId="77777777" w:rsidR="00C46587" w:rsidRPr="004F5FB4" w:rsidRDefault="00C46587" w:rsidP="00ED34EF">
      <w:pPr>
        <w:keepNext/>
        <w:rPr>
          <w:color w:val="000000"/>
        </w:rPr>
      </w:pPr>
    </w:p>
    <w:p w14:paraId="38BB46F7" w14:textId="77777777" w:rsidR="009C503E" w:rsidRPr="004F5FB4" w:rsidRDefault="009C503E" w:rsidP="009C503E">
      <w:pPr>
        <w:pStyle w:val="BodyText"/>
        <w:widowControl/>
        <w:kinsoku w:val="0"/>
        <w:overflowPunct w:val="0"/>
        <w:ind w:left="0"/>
        <w:rPr>
          <w:color w:val="000000"/>
        </w:rPr>
      </w:pPr>
      <w:r w:rsidRPr="004F5FB4">
        <w:rPr>
          <w:color w:val="000000"/>
        </w:rPr>
        <w:t>In beiden klinischen Studien wurde die Therapiebewertung aus Patientensicht (patient reported outcome, PRO) hinsichtlich des Sehvermögens mithilfe des NEI VFQ-25 beurteilt. Bei den meisten Subscores fielen die Ergebnisse numerisch zugunsten von Adalimumab aus – ein statistisch signifikanter mittlerer Unterschied bestand in der Studie UV I beim allgemeinen Sehvermögen, bei Augenschmerzen, Nahsicht, mentaler Gesundheit und dem Gesamtscore, in der Studie UV II beim allgemeinen Sehvermögen und der mentalen Gesundheit. Weitere Wirkungen in Bezug auf das Sehvermögen fielen in der Studie UV I beim Farbsehen und in der Studie UV II beim Farbsehen, dem peripheren Sehen und der Nahsicht numerisch nicht zugunsten von Adalimumab aus.</w:t>
      </w:r>
    </w:p>
    <w:p w14:paraId="039E3C10" w14:textId="77777777" w:rsidR="00A84E59" w:rsidRPr="004F5FB4" w:rsidRDefault="00A84E59" w:rsidP="00982118">
      <w:pPr>
        <w:rPr>
          <w:color w:val="000000"/>
        </w:rPr>
      </w:pPr>
    </w:p>
    <w:p w14:paraId="6872EC7B" w14:textId="77777777" w:rsidR="00C46587" w:rsidRPr="004F5FB4" w:rsidRDefault="00C46587" w:rsidP="00ED34EF">
      <w:pPr>
        <w:keepNext/>
        <w:rPr>
          <w:color w:val="000000"/>
          <w:u w:val="single"/>
        </w:rPr>
      </w:pPr>
      <w:r w:rsidRPr="004F5FB4">
        <w:rPr>
          <w:color w:val="000000"/>
          <w:u w:val="single"/>
        </w:rPr>
        <w:t>Immunogenität</w:t>
      </w:r>
    </w:p>
    <w:p w14:paraId="1BE70D24" w14:textId="77777777" w:rsidR="00C46587" w:rsidRPr="004F5FB4" w:rsidRDefault="00C46587" w:rsidP="00ED34EF">
      <w:pPr>
        <w:keepNext/>
        <w:rPr>
          <w:color w:val="000000"/>
        </w:rPr>
      </w:pPr>
    </w:p>
    <w:p w14:paraId="09EFEB7C" w14:textId="77777777" w:rsidR="00C46587" w:rsidRPr="004F5FB4" w:rsidRDefault="00C27FEF" w:rsidP="00982118">
      <w:pPr>
        <w:rPr>
          <w:color w:val="000000"/>
        </w:rPr>
      </w:pPr>
      <w:r w:rsidRPr="004F5FB4">
        <w:rPr>
          <w:color w:val="000000"/>
        </w:rPr>
        <w:t>Während der Behandlung mit Adalimumab können sich Anti-Adalimumab-Antikörper entwickeln. Die Bildung von Anti</w:t>
      </w:r>
      <w:r w:rsidRPr="004F5FB4">
        <w:rPr>
          <w:color w:val="000000"/>
        </w:rPr>
        <w:noBreakHyphen/>
        <w:t xml:space="preserve">Adalimumab-Antikörpern ist mit einer erhöhten Clearance und einer </w:t>
      </w:r>
      <w:r w:rsidRPr="004F5FB4">
        <w:rPr>
          <w:color w:val="000000"/>
        </w:rPr>
        <w:lastRenderedPageBreak/>
        <w:t>verminderten Wirksamkeit von Adalimumab verbunden. Zwischen der Anwesenheit von Anti-Adalimumab-Antikörpern und dem Auftreten von unerwünschten Ereignissen gibt es keinen offensichtlichen Zusammenhang.</w:t>
      </w:r>
    </w:p>
    <w:p w14:paraId="54299983" w14:textId="77777777" w:rsidR="00C46587" w:rsidRPr="004F5FB4" w:rsidRDefault="00C46587" w:rsidP="00982118">
      <w:pPr>
        <w:rPr>
          <w:color w:val="000000"/>
        </w:rPr>
      </w:pPr>
    </w:p>
    <w:p w14:paraId="5AF30989" w14:textId="77777777" w:rsidR="00C46587" w:rsidRPr="004F5FB4" w:rsidRDefault="00C46587" w:rsidP="002510E7">
      <w:pPr>
        <w:keepNext/>
        <w:kinsoku w:val="0"/>
        <w:overflowPunct w:val="0"/>
        <w:rPr>
          <w:color w:val="000000"/>
          <w:u w:val="single"/>
        </w:rPr>
      </w:pPr>
      <w:r w:rsidRPr="004F5FB4">
        <w:rPr>
          <w:color w:val="000000"/>
          <w:u w:val="single"/>
        </w:rPr>
        <w:t>Kinder und Jugendliche</w:t>
      </w:r>
    </w:p>
    <w:p w14:paraId="38C1A988" w14:textId="77777777" w:rsidR="00C46587" w:rsidRPr="004F5FB4" w:rsidRDefault="00C46587" w:rsidP="002510E7">
      <w:pPr>
        <w:keepNext/>
        <w:kinsoku w:val="0"/>
        <w:overflowPunct w:val="0"/>
        <w:rPr>
          <w:color w:val="000000"/>
        </w:rPr>
      </w:pPr>
    </w:p>
    <w:p w14:paraId="78919B4C" w14:textId="77777777" w:rsidR="00DA4438" w:rsidRPr="00DA4438" w:rsidRDefault="00DA4438" w:rsidP="00DA4438">
      <w:pPr>
        <w:keepNext/>
        <w:kinsoku w:val="0"/>
        <w:overflowPunct w:val="0"/>
        <w:rPr>
          <w:color w:val="000000"/>
        </w:rPr>
      </w:pPr>
      <w:bookmarkStart w:id="1" w:name="_Hlk67035181"/>
      <w:r w:rsidRPr="00DA4438">
        <w:rPr>
          <w:i/>
          <w:iCs/>
          <w:color w:val="000000"/>
        </w:rPr>
        <w:t>Juvenile idiopathische Arthritis (JIA)</w:t>
      </w:r>
    </w:p>
    <w:p w14:paraId="04FFAB19" w14:textId="77777777" w:rsidR="00DA4438" w:rsidRPr="00DA4438" w:rsidRDefault="00DA4438" w:rsidP="00DA4438">
      <w:pPr>
        <w:keepNext/>
        <w:kinsoku w:val="0"/>
        <w:overflowPunct w:val="0"/>
        <w:rPr>
          <w:i/>
          <w:iCs/>
          <w:color w:val="000000"/>
        </w:rPr>
      </w:pPr>
    </w:p>
    <w:p w14:paraId="5F53948E" w14:textId="77777777" w:rsidR="00DA4438" w:rsidRPr="00DA4438" w:rsidRDefault="00DA4438" w:rsidP="00DA4438">
      <w:pPr>
        <w:keepNext/>
        <w:kinsoku w:val="0"/>
        <w:overflowPunct w:val="0"/>
        <w:rPr>
          <w:color w:val="000000"/>
        </w:rPr>
      </w:pPr>
      <w:r w:rsidRPr="00DA4438">
        <w:rPr>
          <w:i/>
          <w:iCs/>
          <w:color w:val="000000"/>
          <w:u w:val="single"/>
        </w:rPr>
        <w:t>Polyartikuläre juvenile idiopathische Arthritis (pJIA)</w:t>
      </w:r>
    </w:p>
    <w:p w14:paraId="2476E773" w14:textId="77777777" w:rsidR="00DA4438" w:rsidRPr="00DA4438" w:rsidRDefault="00DA4438" w:rsidP="00DA4438">
      <w:pPr>
        <w:keepNext/>
        <w:kinsoku w:val="0"/>
        <w:overflowPunct w:val="0"/>
        <w:rPr>
          <w:i/>
          <w:iCs/>
          <w:color w:val="000000"/>
        </w:rPr>
      </w:pPr>
    </w:p>
    <w:p w14:paraId="0099F4C8" w14:textId="77777777" w:rsidR="00DA4438" w:rsidRPr="00DA4438" w:rsidRDefault="00DA4438" w:rsidP="00DA4438">
      <w:pPr>
        <w:kinsoku w:val="0"/>
        <w:overflowPunct w:val="0"/>
        <w:rPr>
          <w:color w:val="000000"/>
        </w:rPr>
      </w:pPr>
      <w:r w:rsidRPr="00DA4438">
        <w:rPr>
          <w:color w:val="000000"/>
        </w:rPr>
        <w:t>Die Sicherheit und Wirksamkeit von Adalimumab wurden in zwei Studien (pJIA I und II) an Kindern mit aktiver polyartikulärer juveniler idiopathischer Arthritis oder polyartikulärem Verlauf untersucht, die zu Erkrankungsbeginn verschiedene Subtypen der juvenilen idiopathischen Arthritis aufwiesen (am häufigsten waren Rheumafaktor-negative oder -positive Polyarthritis und erweiterte Oligoarthritis).</w:t>
      </w:r>
    </w:p>
    <w:p w14:paraId="2D505381" w14:textId="77777777" w:rsidR="00DA4438" w:rsidRPr="00DA4438" w:rsidRDefault="00DA4438" w:rsidP="00DA4438">
      <w:pPr>
        <w:kinsoku w:val="0"/>
        <w:overflowPunct w:val="0"/>
        <w:rPr>
          <w:color w:val="000000"/>
        </w:rPr>
      </w:pPr>
    </w:p>
    <w:p w14:paraId="7DA05434" w14:textId="77777777" w:rsidR="00DA4438" w:rsidRPr="00DA4438" w:rsidRDefault="00DA4438" w:rsidP="00DA4438">
      <w:pPr>
        <w:keepNext/>
        <w:kinsoku w:val="0"/>
        <w:overflowPunct w:val="0"/>
        <w:rPr>
          <w:color w:val="000000"/>
        </w:rPr>
      </w:pPr>
      <w:r w:rsidRPr="00DA4438">
        <w:rPr>
          <w:color w:val="000000"/>
        </w:rPr>
        <w:t>pJIA I</w:t>
      </w:r>
    </w:p>
    <w:p w14:paraId="0ACB3A27" w14:textId="77777777" w:rsidR="00DA4438" w:rsidRPr="00DA4438" w:rsidRDefault="00DA4438" w:rsidP="00DA4438">
      <w:pPr>
        <w:keepNext/>
        <w:kinsoku w:val="0"/>
        <w:overflowPunct w:val="0"/>
        <w:rPr>
          <w:color w:val="000000"/>
        </w:rPr>
      </w:pPr>
    </w:p>
    <w:p w14:paraId="3182B193" w14:textId="77777777" w:rsidR="00DA4438" w:rsidRPr="00DA4438" w:rsidRDefault="00DA4438" w:rsidP="00DA4438">
      <w:pPr>
        <w:kinsoku w:val="0"/>
        <w:overflowPunct w:val="0"/>
        <w:rPr>
          <w:color w:val="000000"/>
        </w:rPr>
      </w:pPr>
      <w:r w:rsidRPr="00DA4438">
        <w:rPr>
          <w:color w:val="000000"/>
        </w:rPr>
        <w:t>Die Sicherheit und Wirksamkeit von Adalimumab wurden in einer multizentrischen, randomisierten, doppelblinden Parallelgruppenstudie an 171 Kindern und Jugendlichen (4 – 17 Jahre alt) mit polyartikulärer JIA untersucht. In der offenen Einleitungsphase (OL-LI) wurden die Patienten in zwei Gruppen stratifiziert: mit Methotrexat (MTX) behandelte oder nicht mit MTX behandelte Patienten. Patienten, die im Nicht-MTX-Arm waren, waren entweder MTX-naiv oder MTX war mindestens zwei Wochen vor Verabreichung der Studienmedikation abgesetzt worden. Die Patienten erhielten stabile Dosen eines nicht steroidalen Antirheumatikums (NSAR) und/oder Prednison (≤ 0,2 mg/kg/Tag oder maximal 10 mg/Tag). In der OL-LI-Phase erhielten alle Patienten 16 Wochen lang 24 mg/m</w:t>
      </w:r>
      <w:r w:rsidRPr="00DA4438">
        <w:rPr>
          <w:color w:val="000000"/>
          <w:vertAlign w:val="superscript"/>
        </w:rPr>
        <w:t>2</w:t>
      </w:r>
      <w:r w:rsidRPr="00DA4438">
        <w:rPr>
          <w:color w:val="000000"/>
        </w:rPr>
        <w:t xml:space="preserve"> bis zu einer Maximaldosis von 40 mg Adalimumab jede zweite Woche. Die Patientenverteilung nach Alter und minimaler, mittlerer und maximaler Dosis, wie sie während der OL-LI-Phase verabreicht wurde, ist in Tabelle </w:t>
      </w:r>
      <w:r>
        <w:rPr>
          <w:color w:val="000000"/>
        </w:rPr>
        <w:t>20</w:t>
      </w:r>
      <w:r w:rsidRPr="00DA4438">
        <w:rPr>
          <w:color w:val="000000"/>
        </w:rPr>
        <w:t xml:space="preserve"> dargestellt.</w:t>
      </w:r>
    </w:p>
    <w:p w14:paraId="7DE33236" w14:textId="77777777" w:rsidR="00DA4438" w:rsidRPr="00DA4438" w:rsidRDefault="00DA4438" w:rsidP="00DA4438">
      <w:pPr>
        <w:kinsoku w:val="0"/>
        <w:overflowPunct w:val="0"/>
        <w:rPr>
          <w:color w:val="000000"/>
        </w:rPr>
      </w:pPr>
    </w:p>
    <w:p w14:paraId="100A2B58" w14:textId="77777777" w:rsidR="00DA4438" w:rsidRPr="00DA4438" w:rsidRDefault="00DA4438" w:rsidP="008419B6">
      <w:pPr>
        <w:keepNext/>
        <w:kinsoku w:val="0"/>
        <w:overflowPunct w:val="0"/>
        <w:rPr>
          <w:b/>
          <w:color w:val="000000"/>
        </w:rPr>
      </w:pPr>
      <w:r>
        <w:rPr>
          <w:b/>
          <w:color w:val="000000"/>
        </w:rPr>
        <w:t>Tabelle 20</w:t>
      </w:r>
    </w:p>
    <w:p w14:paraId="712D8DD5" w14:textId="77777777" w:rsidR="00DA4438" w:rsidRPr="00DA4438" w:rsidRDefault="00DA4438" w:rsidP="008419B6">
      <w:pPr>
        <w:keepNext/>
        <w:kinsoku w:val="0"/>
        <w:overflowPunct w:val="0"/>
        <w:rPr>
          <w:b/>
          <w:color w:val="000000"/>
        </w:rPr>
      </w:pPr>
      <w:r w:rsidRPr="00DA4438">
        <w:rPr>
          <w:b/>
          <w:color w:val="000000"/>
        </w:rPr>
        <w:t>Patientenverteilung nach Alter und verabreichter Adalimumab-Dosis während der OL-LI-Phase</w:t>
      </w:r>
    </w:p>
    <w:p w14:paraId="7BA70D6D" w14:textId="77777777" w:rsidR="00DA4438" w:rsidRPr="00DA4438" w:rsidRDefault="00DA4438" w:rsidP="00E961EE">
      <w:pPr>
        <w:keepNext/>
        <w:keepLines/>
        <w:kinsoku w:val="0"/>
        <w:overflowPunct w:val="0"/>
        <w:rPr>
          <w:b/>
          <w:bCs/>
          <w:color w:val="000000"/>
          <w:szCs w:val="24"/>
        </w:rPr>
      </w:pPr>
    </w:p>
    <w:tbl>
      <w:tblPr>
        <w:tblW w:w="5000" w:type="pct"/>
        <w:tblInd w:w="5" w:type="dxa"/>
        <w:tblLayout w:type="fixed"/>
        <w:tblCellMar>
          <w:left w:w="0" w:type="dxa"/>
          <w:right w:w="0" w:type="dxa"/>
        </w:tblCellMar>
        <w:tblLook w:val="0000" w:firstRow="0" w:lastRow="0" w:firstColumn="0" w:lastColumn="0" w:noHBand="0" w:noVBand="0"/>
      </w:tblPr>
      <w:tblGrid>
        <w:gridCol w:w="2389"/>
        <w:gridCol w:w="3476"/>
        <w:gridCol w:w="3200"/>
      </w:tblGrid>
      <w:tr w:rsidR="00DA4438" w:rsidRPr="00DA4438" w14:paraId="75613B89" w14:textId="77777777" w:rsidTr="00E80F2E">
        <w:tc>
          <w:tcPr>
            <w:tcW w:w="2394" w:type="dxa"/>
            <w:tcBorders>
              <w:top w:val="single" w:sz="4" w:space="0" w:color="000000"/>
              <w:left w:val="single" w:sz="4" w:space="0" w:color="000000"/>
              <w:bottom w:val="single" w:sz="4" w:space="0" w:color="000000"/>
              <w:right w:val="single" w:sz="4" w:space="0" w:color="000000"/>
            </w:tcBorders>
          </w:tcPr>
          <w:p w14:paraId="52BB01E9" w14:textId="77777777" w:rsidR="00DA4438" w:rsidRPr="00DA4438" w:rsidRDefault="00DA4438" w:rsidP="008419B6">
            <w:pPr>
              <w:keepNext/>
              <w:keepLines/>
              <w:kinsoku w:val="0"/>
              <w:overflowPunct w:val="0"/>
              <w:ind w:left="102"/>
              <w:jc w:val="center"/>
              <w:rPr>
                <w:rFonts w:eastAsia="Calibri"/>
                <w:b/>
                <w:color w:val="000000"/>
              </w:rPr>
            </w:pPr>
            <w:r w:rsidRPr="00DA4438">
              <w:rPr>
                <w:rFonts w:eastAsia="Calibri"/>
                <w:b/>
                <w:color w:val="000000"/>
              </w:rPr>
              <w:t>Altersgruppe</w:t>
            </w:r>
          </w:p>
        </w:tc>
        <w:tc>
          <w:tcPr>
            <w:tcW w:w="3484" w:type="dxa"/>
            <w:tcBorders>
              <w:top w:val="single" w:sz="4" w:space="0" w:color="000000"/>
              <w:left w:val="single" w:sz="4" w:space="0" w:color="000000"/>
              <w:bottom w:val="single" w:sz="4" w:space="0" w:color="000000"/>
              <w:right w:val="single" w:sz="4" w:space="0" w:color="000000"/>
            </w:tcBorders>
          </w:tcPr>
          <w:p w14:paraId="6B453676" w14:textId="77777777" w:rsidR="00DA4438" w:rsidRPr="00DA4438" w:rsidRDefault="00DA4438" w:rsidP="008419B6">
            <w:pPr>
              <w:keepNext/>
              <w:keepLines/>
              <w:kinsoku w:val="0"/>
              <w:overflowPunct w:val="0"/>
              <w:ind w:left="101" w:right="66"/>
              <w:jc w:val="center"/>
              <w:rPr>
                <w:rFonts w:eastAsia="Calibri"/>
                <w:b/>
                <w:color w:val="000000"/>
              </w:rPr>
            </w:pPr>
            <w:r w:rsidRPr="00DA4438">
              <w:rPr>
                <w:rFonts w:eastAsia="Calibri"/>
                <w:b/>
                <w:color w:val="000000"/>
              </w:rPr>
              <w:t>Patientenanzahl zu Studienbeginn</w:t>
            </w:r>
          </w:p>
          <w:p w14:paraId="59473F82" w14:textId="77777777" w:rsidR="00DA4438" w:rsidRPr="00DA4438" w:rsidRDefault="00DA4438" w:rsidP="008419B6">
            <w:pPr>
              <w:keepNext/>
              <w:keepLines/>
              <w:kinsoku w:val="0"/>
              <w:overflowPunct w:val="0"/>
              <w:ind w:left="101" w:right="679"/>
              <w:jc w:val="center"/>
              <w:rPr>
                <w:rFonts w:eastAsia="Calibri"/>
                <w:b/>
                <w:color w:val="000000"/>
              </w:rPr>
            </w:pPr>
            <w:r w:rsidRPr="00DA4438">
              <w:rPr>
                <w:rFonts w:eastAsia="Calibri"/>
                <w:b/>
                <w:color w:val="000000"/>
              </w:rPr>
              <w:t>n (%)</w:t>
            </w:r>
          </w:p>
        </w:tc>
        <w:tc>
          <w:tcPr>
            <w:tcW w:w="3207" w:type="dxa"/>
            <w:tcBorders>
              <w:top w:val="single" w:sz="4" w:space="0" w:color="000000"/>
              <w:left w:val="single" w:sz="4" w:space="0" w:color="000000"/>
              <w:bottom w:val="single" w:sz="4" w:space="0" w:color="000000"/>
              <w:right w:val="single" w:sz="4" w:space="0" w:color="000000"/>
            </w:tcBorders>
          </w:tcPr>
          <w:p w14:paraId="1D5C34C5" w14:textId="77777777" w:rsidR="00DA4438" w:rsidRPr="00DA4438" w:rsidRDefault="00DA4438" w:rsidP="008419B6">
            <w:pPr>
              <w:keepNext/>
              <w:keepLines/>
              <w:kinsoku w:val="0"/>
              <w:overflowPunct w:val="0"/>
              <w:ind w:left="102" w:right="165"/>
              <w:jc w:val="center"/>
              <w:rPr>
                <w:rFonts w:eastAsia="Calibri"/>
                <w:b/>
                <w:color w:val="000000"/>
              </w:rPr>
            </w:pPr>
            <w:r w:rsidRPr="00DA4438">
              <w:rPr>
                <w:rFonts w:eastAsia="Calibri"/>
                <w:b/>
                <w:color w:val="000000"/>
              </w:rPr>
              <w:t>Minimale, mittlere und maximale Dosis</w:t>
            </w:r>
          </w:p>
        </w:tc>
      </w:tr>
      <w:tr w:rsidR="00DA4438" w:rsidRPr="00DA4438" w14:paraId="2E2942C0" w14:textId="77777777" w:rsidTr="00E80F2E">
        <w:tc>
          <w:tcPr>
            <w:tcW w:w="2394" w:type="dxa"/>
            <w:tcBorders>
              <w:top w:val="single" w:sz="4" w:space="0" w:color="000000"/>
              <w:left w:val="single" w:sz="4" w:space="0" w:color="000000"/>
              <w:bottom w:val="single" w:sz="4" w:space="0" w:color="000000"/>
              <w:right w:val="single" w:sz="4" w:space="0" w:color="000000"/>
            </w:tcBorders>
          </w:tcPr>
          <w:p w14:paraId="2E35EC09" w14:textId="77777777" w:rsidR="00DA4438" w:rsidRPr="00DA4438" w:rsidRDefault="00DA4438" w:rsidP="008419B6">
            <w:pPr>
              <w:keepNext/>
              <w:kinsoku w:val="0"/>
              <w:overflowPunct w:val="0"/>
              <w:ind w:left="102"/>
              <w:jc w:val="center"/>
              <w:rPr>
                <w:rFonts w:eastAsia="Calibri"/>
                <w:color w:val="000000"/>
              </w:rPr>
            </w:pPr>
            <w:r w:rsidRPr="00DA4438">
              <w:rPr>
                <w:rFonts w:eastAsia="Calibri"/>
                <w:color w:val="000000"/>
              </w:rPr>
              <w:t>4 bis 7 Jahre</w:t>
            </w:r>
          </w:p>
        </w:tc>
        <w:tc>
          <w:tcPr>
            <w:tcW w:w="3484" w:type="dxa"/>
            <w:tcBorders>
              <w:top w:val="single" w:sz="4" w:space="0" w:color="000000"/>
              <w:left w:val="single" w:sz="4" w:space="0" w:color="000000"/>
              <w:bottom w:val="single" w:sz="4" w:space="0" w:color="000000"/>
              <w:right w:val="single" w:sz="4" w:space="0" w:color="000000"/>
            </w:tcBorders>
          </w:tcPr>
          <w:p w14:paraId="65ACD315" w14:textId="77777777" w:rsidR="00DA4438" w:rsidRPr="00DA4438" w:rsidRDefault="00DA4438" w:rsidP="008419B6">
            <w:pPr>
              <w:keepNext/>
              <w:kinsoku w:val="0"/>
              <w:overflowPunct w:val="0"/>
              <w:ind w:left="101"/>
              <w:jc w:val="center"/>
              <w:rPr>
                <w:rFonts w:eastAsia="Calibri"/>
                <w:color w:val="000000"/>
              </w:rPr>
            </w:pPr>
            <w:r w:rsidRPr="00DA4438">
              <w:rPr>
                <w:rFonts w:eastAsia="Calibri"/>
                <w:color w:val="000000"/>
              </w:rPr>
              <w:t>31 (18,1)</w:t>
            </w:r>
          </w:p>
        </w:tc>
        <w:tc>
          <w:tcPr>
            <w:tcW w:w="3207" w:type="dxa"/>
            <w:tcBorders>
              <w:top w:val="single" w:sz="4" w:space="0" w:color="000000"/>
              <w:left w:val="single" w:sz="4" w:space="0" w:color="000000"/>
              <w:bottom w:val="single" w:sz="4" w:space="0" w:color="000000"/>
              <w:right w:val="single" w:sz="4" w:space="0" w:color="000000"/>
            </w:tcBorders>
          </w:tcPr>
          <w:p w14:paraId="322AC736" w14:textId="77777777" w:rsidR="00DA4438" w:rsidRPr="00DA4438" w:rsidRDefault="00DA4438" w:rsidP="008419B6">
            <w:pPr>
              <w:keepNext/>
              <w:kinsoku w:val="0"/>
              <w:overflowPunct w:val="0"/>
              <w:ind w:left="102"/>
              <w:jc w:val="center"/>
              <w:rPr>
                <w:rFonts w:eastAsia="Calibri"/>
                <w:color w:val="000000"/>
              </w:rPr>
            </w:pPr>
            <w:r w:rsidRPr="00DA4438">
              <w:rPr>
                <w:rFonts w:eastAsia="Calibri"/>
                <w:color w:val="000000"/>
              </w:rPr>
              <w:t>10, 20 und 25 mg</w:t>
            </w:r>
          </w:p>
        </w:tc>
      </w:tr>
      <w:tr w:rsidR="00DA4438" w:rsidRPr="00DA4438" w14:paraId="553B4815" w14:textId="77777777" w:rsidTr="00E80F2E">
        <w:tc>
          <w:tcPr>
            <w:tcW w:w="2394" w:type="dxa"/>
            <w:tcBorders>
              <w:top w:val="single" w:sz="4" w:space="0" w:color="000000"/>
              <w:left w:val="single" w:sz="4" w:space="0" w:color="000000"/>
              <w:bottom w:val="single" w:sz="4" w:space="0" w:color="000000"/>
              <w:right w:val="single" w:sz="4" w:space="0" w:color="000000"/>
            </w:tcBorders>
          </w:tcPr>
          <w:p w14:paraId="7FF29B4F" w14:textId="77777777" w:rsidR="00DA4438" w:rsidRPr="00DA4438" w:rsidRDefault="00DA4438" w:rsidP="008419B6">
            <w:pPr>
              <w:kinsoku w:val="0"/>
              <w:overflowPunct w:val="0"/>
              <w:ind w:left="102"/>
              <w:jc w:val="center"/>
              <w:rPr>
                <w:rFonts w:eastAsia="Calibri"/>
                <w:color w:val="000000"/>
              </w:rPr>
            </w:pPr>
            <w:r w:rsidRPr="00DA4438">
              <w:rPr>
                <w:rFonts w:eastAsia="Calibri"/>
                <w:color w:val="000000"/>
              </w:rPr>
              <w:t>8 bis 12 Jahre</w:t>
            </w:r>
          </w:p>
        </w:tc>
        <w:tc>
          <w:tcPr>
            <w:tcW w:w="3484" w:type="dxa"/>
            <w:tcBorders>
              <w:top w:val="single" w:sz="4" w:space="0" w:color="000000"/>
              <w:left w:val="single" w:sz="4" w:space="0" w:color="000000"/>
              <w:bottom w:val="single" w:sz="4" w:space="0" w:color="000000"/>
              <w:right w:val="single" w:sz="4" w:space="0" w:color="000000"/>
            </w:tcBorders>
          </w:tcPr>
          <w:p w14:paraId="193D248E" w14:textId="77777777" w:rsidR="00DA4438" w:rsidRPr="00DA4438" w:rsidRDefault="00DA4438" w:rsidP="008419B6">
            <w:pPr>
              <w:kinsoku w:val="0"/>
              <w:overflowPunct w:val="0"/>
              <w:ind w:left="101"/>
              <w:jc w:val="center"/>
              <w:rPr>
                <w:rFonts w:eastAsia="Calibri"/>
                <w:color w:val="000000"/>
              </w:rPr>
            </w:pPr>
            <w:r w:rsidRPr="00DA4438">
              <w:rPr>
                <w:rFonts w:eastAsia="Calibri"/>
                <w:color w:val="000000"/>
              </w:rPr>
              <w:t>71 (41,5)</w:t>
            </w:r>
          </w:p>
        </w:tc>
        <w:tc>
          <w:tcPr>
            <w:tcW w:w="3207" w:type="dxa"/>
            <w:tcBorders>
              <w:top w:val="single" w:sz="4" w:space="0" w:color="000000"/>
              <w:left w:val="single" w:sz="4" w:space="0" w:color="000000"/>
              <w:bottom w:val="single" w:sz="4" w:space="0" w:color="000000"/>
              <w:right w:val="single" w:sz="4" w:space="0" w:color="000000"/>
            </w:tcBorders>
          </w:tcPr>
          <w:p w14:paraId="59B022FE" w14:textId="77777777" w:rsidR="00DA4438" w:rsidRPr="00DA4438" w:rsidRDefault="00DA4438" w:rsidP="008419B6">
            <w:pPr>
              <w:kinsoku w:val="0"/>
              <w:overflowPunct w:val="0"/>
              <w:ind w:left="102"/>
              <w:jc w:val="center"/>
              <w:rPr>
                <w:rFonts w:eastAsia="Calibri"/>
                <w:color w:val="000000"/>
              </w:rPr>
            </w:pPr>
            <w:r w:rsidRPr="00DA4438">
              <w:rPr>
                <w:rFonts w:eastAsia="Calibri"/>
                <w:color w:val="000000"/>
              </w:rPr>
              <w:t>20, 25 und 40 mg</w:t>
            </w:r>
          </w:p>
        </w:tc>
      </w:tr>
      <w:tr w:rsidR="00DA4438" w:rsidRPr="00DA4438" w14:paraId="378B2BEE" w14:textId="77777777" w:rsidTr="00E80F2E">
        <w:tc>
          <w:tcPr>
            <w:tcW w:w="2394" w:type="dxa"/>
            <w:tcBorders>
              <w:top w:val="single" w:sz="4" w:space="0" w:color="000000"/>
              <w:left w:val="single" w:sz="4" w:space="0" w:color="000000"/>
              <w:bottom w:val="single" w:sz="4" w:space="0" w:color="000000"/>
              <w:right w:val="single" w:sz="4" w:space="0" w:color="000000"/>
            </w:tcBorders>
          </w:tcPr>
          <w:p w14:paraId="5E49375A" w14:textId="77777777" w:rsidR="00DA4438" w:rsidRPr="00DA4438" w:rsidRDefault="00DA4438" w:rsidP="008419B6">
            <w:pPr>
              <w:kinsoku w:val="0"/>
              <w:overflowPunct w:val="0"/>
              <w:ind w:left="102"/>
              <w:jc w:val="center"/>
              <w:rPr>
                <w:rFonts w:eastAsia="Calibri"/>
                <w:color w:val="000000"/>
              </w:rPr>
            </w:pPr>
            <w:r w:rsidRPr="00DA4438">
              <w:rPr>
                <w:rFonts w:eastAsia="Calibri"/>
                <w:color w:val="000000"/>
              </w:rPr>
              <w:t>13 bis 17 Jahre</w:t>
            </w:r>
          </w:p>
        </w:tc>
        <w:tc>
          <w:tcPr>
            <w:tcW w:w="3484" w:type="dxa"/>
            <w:tcBorders>
              <w:top w:val="single" w:sz="4" w:space="0" w:color="000000"/>
              <w:left w:val="single" w:sz="4" w:space="0" w:color="000000"/>
              <w:bottom w:val="single" w:sz="4" w:space="0" w:color="000000"/>
              <w:right w:val="single" w:sz="4" w:space="0" w:color="000000"/>
            </w:tcBorders>
          </w:tcPr>
          <w:p w14:paraId="39DD5CD9" w14:textId="77777777" w:rsidR="00DA4438" w:rsidRPr="00DA4438" w:rsidRDefault="00DA4438" w:rsidP="008419B6">
            <w:pPr>
              <w:kinsoku w:val="0"/>
              <w:overflowPunct w:val="0"/>
              <w:ind w:left="101"/>
              <w:jc w:val="center"/>
              <w:rPr>
                <w:rFonts w:eastAsia="Calibri"/>
                <w:color w:val="000000"/>
              </w:rPr>
            </w:pPr>
            <w:r w:rsidRPr="00DA4438">
              <w:rPr>
                <w:rFonts w:eastAsia="Calibri"/>
                <w:color w:val="000000"/>
              </w:rPr>
              <w:t>69 (40,4)</w:t>
            </w:r>
          </w:p>
        </w:tc>
        <w:tc>
          <w:tcPr>
            <w:tcW w:w="3207" w:type="dxa"/>
            <w:tcBorders>
              <w:top w:val="single" w:sz="4" w:space="0" w:color="000000"/>
              <w:left w:val="single" w:sz="4" w:space="0" w:color="000000"/>
              <w:bottom w:val="single" w:sz="4" w:space="0" w:color="000000"/>
              <w:right w:val="single" w:sz="4" w:space="0" w:color="000000"/>
            </w:tcBorders>
          </w:tcPr>
          <w:p w14:paraId="7C3FD2E9" w14:textId="77777777" w:rsidR="00DA4438" w:rsidRPr="00DA4438" w:rsidRDefault="00DA4438" w:rsidP="008419B6">
            <w:pPr>
              <w:kinsoku w:val="0"/>
              <w:overflowPunct w:val="0"/>
              <w:ind w:left="102"/>
              <w:jc w:val="center"/>
              <w:rPr>
                <w:rFonts w:eastAsia="Calibri"/>
                <w:color w:val="000000"/>
              </w:rPr>
            </w:pPr>
            <w:r w:rsidRPr="00DA4438">
              <w:rPr>
                <w:rFonts w:eastAsia="Calibri"/>
                <w:color w:val="000000"/>
              </w:rPr>
              <w:t>25, 40 und 40 mg</w:t>
            </w:r>
          </w:p>
        </w:tc>
      </w:tr>
    </w:tbl>
    <w:p w14:paraId="712129E4" w14:textId="77777777" w:rsidR="00DA4438" w:rsidRPr="00DA4438" w:rsidRDefault="00DA4438" w:rsidP="00DA4438">
      <w:pPr>
        <w:kinsoku w:val="0"/>
        <w:overflowPunct w:val="0"/>
        <w:rPr>
          <w:bCs/>
          <w:color w:val="000000"/>
          <w:lang w:val="en-GB"/>
        </w:rPr>
      </w:pPr>
    </w:p>
    <w:p w14:paraId="20510744" w14:textId="77777777" w:rsidR="00DA4438" w:rsidRPr="00DA4438" w:rsidRDefault="00DA4438" w:rsidP="00DA4438">
      <w:pPr>
        <w:kinsoku w:val="0"/>
        <w:overflowPunct w:val="0"/>
        <w:rPr>
          <w:color w:val="000000"/>
        </w:rPr>
      </w:pPr>
      <w:r w:rsidRPr="00DA4438">
        <w:rPr>
          <w:color w:val="000000"/>
        </w:rPr>
        <w:t>Die Patienten, die ein pädiatrisches ACR-30-Ansprechen in Woche 16 zeigten, waren für die Randomisierung in die doppelblinde (DB-)Studienphase geeignet und erhielten entweder Adalimumab (24 mg/m</w:t>
      </w:r>
      <w:r w:rsidRPr="00DA4438">
        <w:rPr>
          <w:color w:val="000000"/>
          <w:vertAlign w:val="superscript"/>
        </w:rPr>
        <w:t>2</w:t>
      </w:r>
      <w:r w:rsidRPr="00DA4438">
        <w:rPr>
          <w:color w:val="000000"/>
        </w:rPr>
        <w:t xml:space="preserve"> bis zu einer maximalen </w:t>
      </w:r>
      <w:r w:rsidR="00091B01">
        <w:rPr>
          <w:color w:val="000000"/>
        </w:rPr>
        <w:t>Einzeld</w:t>
      </w:r>
      <w:r w:rsidR="00874BBD">
        <w:rPr>
          <w:color w:val="000000"/>
        </w:rPr>
        <w:t>osis</w:t>
      </w:r>
      <w:r w:rsidRPr="00DA4438">
        <w:rPr>
          <w:color w:val="000000"/>
        </w:rPr>
        <w:t xml:space="preserve"> von 40 mg) oder Placebo jede zweite Woche für weitere 32 Wochen oder bis zu einem Wiederaufflammen der Erkrankung. Kriterien für ein Wiederaufflammen der Erkrankung waren definiert als eine Verschlechterung von ≥ 30 % im Vergleich zu Studienbeginn bei ≥ 3 von 6 pädiatrischen ACR-Core-Kriterien, ≥ 2 aktive Gelenke und eine Verbesserung von &gt; 30 % in nicht mehr als einem der 6 Kriterien. Nach 32 Wochen oder bei Wiederaufflammen der Erkrankung waren die Patienten für die Überführung in die offene Fortsetzungsphase (OLE) geeignet.</w:t>
      </w:r>
    </w:p>
    <w:p w14:paraId="5F9083DC" w14:textId="77777777" w:rsidR="00DA4438" w:rsidRPr="00DA4438" w:rsidRDefault="00DA4438" w:rsidP="00DA4438">
      <w:pPr>
        <w:rPr>
          <w:color w:val="000000"/>
        </w:rPr>
      </w:pPr>
    </w:p>
    <w:p w14:paraId="461F65B0" w14:textId="77777777" w:rsidR="00DA4438" w:rsidRPr="00DA4438" w:rsidRDefault="00DA4438" w:rsidP="00DA4438">
      <w:pPr>
        <w:keepNext/>
        <w:keepLines/>
        <w:kinsoku w:val="0"/>
        <w:overflowPunct w:val="0"/>
        <w:rPr>
          <w:b/>
          <w:color w:val="000000"/>
        </w:rPr>
      </w:pPr>
      <w:r w:rsidRPr="00DA4438">
        <w:rPr>
          <w:b/>
          <w:color w:val="000000"/>
        </w:rPr>
        <w:lastRenderedPageBreak/>
        <w:t>Tabelle</w:t>
      </w:r>
      <w:r w:rsidR="005F2C1D">
        <w:rPr>
          <w:b/>
          <w:color w:val="000000"/>
        </w:rPr>
        <w:t> 21</w:t>
      </w:r>
    </w:p>
    <w:p w14:paraId="3D8CF7D1" w14:textId="77777777" w:rsidR="00DA4438" w:rsidRPr="00DA4438" w:rsidRDefault="00DA4438" w:rsidP="00DA4438">
      <w:pPr>
        <w:keepNext/>
        <w:keepLines/>
        <w:kinsoku w:val="0"/>
        <w:overflowPunct w:val="0"/>
        <w:rPr>
          <w:b/>
          <w:color w:val="000000"/>
        </w:rPr>
      </w:pPr>
      <w:r w:rsidRPr="00DA4438">
        <w:rPr>
          <w:b/>
          <w:color w:val="000000"/>
        </w:rPr>
        <w:t>Pädiatrisches ACR-30-Ansprechen in der JIA-Studie</w:t>
      </w:r>
    </w:p>
    <w:p w14:paraId="640BCF76" w14:textId="77777777" w:rsidR="00DA4438" w:rsidRPr="00DA4438" w:rsidRDefault="00DA4438" w:rsidP="00DA4438">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1915"/>
        <w:gridCol w:w="1654"/>
        <w:gridCol w:w="1826"/>
        <w:gridCol w:w="1311"/>
      </w:tblGrid>
      <w:tr w:rsidR="00DA4438" w:rsidRPr="00DA4438" w14:paraId="24FEECF5" w14:textId="77777777" w:rsidTr="00E80F2E">
        <w:trPr>
          <w:tblHeader/>
        </w:trPr>
        <w:tc>
          <w:tcPr>
            <w:tcW w:w="1311" w:type="pct"/>
            <w:tcBorders>
              <w:top w:val="single" w:sz="4" w:space="0" w:color="auto"/>
              <w:left w:val="single" w:sz="4" w:space="0" w:color="auto"/>
              <w:bottom w:val="single" w:sz="4" w:space="0" w:color="auto"/>
              <w:right w:val="single" w:sz="4" w:space="0" w:color="auto"/>
            </w:tcBorders>
            <w:hideMark/>
          </w:tcPr>
          <w:p w14:paraId="3422C719" w14:textId="77777777" w:rsidR="00DA4438" w:rsidRPr="00DA4438" w:rsidRDefault="00DA4438" w:rsidP="00DA4438">
            <w:pPr>
              <w:keepNext/>
              <w:keepLines/>
              <w:rPr>
                <w:b/>
                <w:color w:val="000000"/>
              </w:rPr>
            </w:pPr>
            <w:r w:rsidRPr="00DA4438">
              <w:rPr>
                <w:b/>
                <w:color w:val="000000"/>
              </w:rPr>
              <w:t>Studienarm</w:t>
            </w:r>
          </w:p>
        </w:tc>
        <w:tc>
          <w:tcPr>
            <w:tcW w:w="1939" w:type="pct"/>
            <w:gridSpan w:val="2"/>
            <w:tcBorders>
              <w:top w:val="single" w:sz="4" w:space="0" w:color="auto"/>
              <w:left w:val="single" w:sz="4" w:space="0" w:color="auto"/>
              <w:bottom w:val="single" w:sz="4" w:space="0" w:color="auto"/>
              <w:right w:val="single" w:sz="4" w:space="0" w:color="auto"/>
            </w:tcBorders>
            <w:hideMark/>
          </w:tcPr>
          <w:p w14:paraId="353CCCC5" w14:textId="77777777" w:rsidR="00DA4438" w:rsidRPr="00DA4438" w:rsidRDefault="00DA4438" w:rsidP="00DA4438">
            <w:pPr>
              <w:keepNext/>
              <w:keepLines/>
              <w:jc w:val="center"/>
              <w:rPr>
                <w:b/>
                <w:color w:val="000000"/>
              </w:rPr>
            </w:pPr>
            <w:r w:rsidRPr="00DA4438">
              <w:rPr>
                <w:b/>
                <w:color w:val="000000"/>
              </w:rPr>
              <w:t>Methotrexat (MTX)</w:t>
            </w:r>
          </w:p>
        </w:tc>
        <w:tc>
          <w:tcPr>
            <w:tcW w:w="1750" w:type="pct"/>
            <w:gridSpan w:val="2"/>
            <w:tcBorders>
              <w:top w:val="single" w:sz="4" w:space="0" w:color="auto"/>
              <w:left w:val="single" w:sz="4" w:space="0" w:color="auto"/>
              <w:bottom w:val="single" w:sz="4" w:space="0" w:color="auto"/>
              <w:right w:val="single" w:sz="4" w:space="0" w:color="auto"/>
            </w:tcBorders>
            <w:hideMark/>
          </w:tcPr>
          <w:p w14:paraId="78886E5D" w14:textId="77777777" w:rsidR="00DA4438" w:rsidRPr="00DA4438" w:rsidRDefault="00DA4438" w:rsidP="00DA4438">
            <w:pPr>
              <w:keepNext/>
              <w:keepLines/>
              <w:jc w:val="center"/>
              <w:rPr>
                <w:b/>
                <w:color w:val="000000"/>
              </w:rPr>
            </w:pPr>
            <w:r w:rsidRPr="00DA4438">
              <w:rPr>
                <w:b/>
                <w:color w:val="000000"/>
              </w:rPr>
              <w:t>Ohne MTX</w:t>
            </w:r>
          </w:p>
        </w:tc>
      </w:tr>
      <w:tr w:rsidR="00DA4438" w:rsidRPr="00DA4438" w14:paraId="41851A91" w14:textId="77777777" w:rsidTr="00E80F2E">
        <w:trPr>
          <w:tblHeader/>
        </w:trPr>
        <w:tc>
          <w:tcPr>
            <w:tcW w:w="1311" w:type="pct"/>
            <w:tcBorders>
              <w:top w:val="single" w:sz="4" w:space="0" w:color="auto"/>
              <w:left w:val="single" w:sz="4" w:space="0" w:color="auto"/>
              <w:bottom w:val="single" w:sz="4" w:space="0" w:color="auto"/>
              <w:right w:val="single" w:sz="4" w:space="0" w:color="auto"/>
            </w:tcBorders>
            <w:hideMark/>
          </w:tcPr>
          <w:p w14:paraId="62D5408E" w14:textId="77777777" w:rsidR="00DA4438" w:rsidRPr="00DA4438" w:rsidRDefault="00DA4438" w:rsidP="00DA4438">
            <w:pPr>
              <w:keepNext/>
              <w:keepLines/>
              <w:rPr>
                <w:b/>
                <w:color w:val="000000"/>
              </w:rPr>
            </w:pPr>
            <w:r w:rsidRPr="00DA4438">
              <w:rPr>
                <w:b/>
                <w:color w:val="000000"/>
              </w:rPr>
              <w:t>Phase</w:t>
            </w:r>
          </w:p>
        </w:tc>
        <w:tc>
          <w:tcPr>
            <w:tcW w:w="1939" w:type="pct"/>
            <w:gridSpan w:val="2"/>
            <w:tcBorders>
              <w:top w:val="single" w:sz="4" w:space="0" w:color="auto"/>
              <w:left w:val="single" w:sz="4" w:space="0" w:color="auto"/>
              <w:bottom w:val="single" w:sz="4" w:space="0" w:color="auto"/>
              <w:right w:val="single" w:sz="4" w:space="0" w:color="auto"/>
            </w:tcBorders>
          </w:tcPr>
          <w:p w14:paraId="2A1A615A" w14:textId="77777777" w:rsidR="00DA4438" w:rsidRPr="00DA4438" w:rsidRDefault="00DA4438" w:rsidP="00DA4438">
            <w:pPr>
              <w:keepNext/>
              <w:keepLines/>
              <w:jc w:val="center"/>
              <w:rPr>
                <w:color w:val="000000"/>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51158466" w14:textId="77777777" w:rsidR="00DA4438" w:rsidRPr="00DA4438" w:rsidRDefault="00DA4438" w:rsidP="00DA4438">
            <w:pPr>
              <w:keepNext/>
              <w:keepLines/>
              <w:jc w:val="center"/>
              <w:rPr>
                <w:color w:val="000000"/>
                <w:lang w:val="en-GB"/>
              </w:rPr>
            </w:pPr>
          </w:p>
        </w:tc>
      </w:tr>
      <w:tr w:rsidR="00DA4438" w:rsidRPr="00DA4438" w14:paraId="361B5BBD" w14:textId="77777777" w:rsidTr="00E80F2E">
        <w:tc>
          <w:tcPr>
            <w:tcW w:w="1311" w:type="pct"/>
            <w:tcBorders>
              <w:top w:val="single" w:sz="4" w:space="0" w:color="auto"/>
              <w:left w:val="single" w:sz="4" w:space="0" w:color="auto"/>
              <w:bottom w:val="single" w:sz="4" w:space="0" w:color="auto"/>
              <w:right w:val="single" w:sz="4" w:space="0" w:color="auto"/>
            </w:tcBorders>
            <w:hideMark/>
          </w:tcPr>
          <w:p w14:paraId="2A58FA87" w14:textId="77777777" w:rsidR="00DA4438" w:rsidRPr="00DA4438" w:rsidRDefault="00DA4438" w:rsidP="00DA4438">
            <w:pPr>
              <w:keepNext/>
              <w:rPr>
                <w:color w:val="000000"/>
              </w:rPr>
            </w:pPr>
            <w:r w:rsidRPr="00DA4438">
              <w:rPr>
                <w:color w:val="000000"/>
              </w:rPr>
              <w:t>OL-LI 16 Wochen</w:t>
            </w:r>
          </w:p>
        </w:tc>
        <w:tc>
          <w:tcPr>
            <w:tcW w:w="1939" w:type="pct"/>
            <w:gridSpan w:val="2"/>
            <w:tcBorders>
              <w:top w:val="single" w:sz="4" w:space="0" w:color="auto"/>
              <w:left w:val="single" w:sz="4" w:space="0" w:color="auto"/>
              <w:bottom w:val="single" w:sz="4" w:space="0" w:color="auto"/>
              <w:right w:val="single" w:sz="4" w:space="0" w:color="auto"/>
            </w:tcBorders>
          </w:tcPr>
          <w:p w14:paraId="328FDC51" w14:textId="77777777" w:rsidR="00DA4438" w:rsidRPr="00DA4438" w:rsidRDefault="00DA4438" w:rsidP="00DA4438">
            <w:pPr>
              <w:keepNext/>
              <w:jc w:val="center"/>
              <w:rPr>
                <w:color w:val="000000"/>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5403F002" w14:textId="77777777" w:rsidR="00DA4438" w:rsidRPr="00DA4438" w:rsidRDefault="00DA4438" w:rsidP="00DA4438">
            <w:pPr>
              <w:keepNext/>
              <w:jc w:val="center"/>
              <w:rPr>
                <w:color w:val="000000"/>
                <w:lang w:val="en-GB"/>
              </w:rPr>
            </w:pPr>
          </w:p>
        </w:tc>
      </w:tr>
      <w:tr w:rsidR="00DA4438" w:rsidRPr="00DA4438" w14:paraId="48745E8A" w14:textId="77777777" w:rsidTr="00E80F2E">
        <w:tc>
          <w:tcPr>
            <w:tcW w:w="1311" w:type="pct"/>
            <w:tcBorders>
              <w:top w:val="single" w:sz="4" w:space="0" w:color="auto"/>
              <w:left w:val="single" w:sz="4" w:space="0" w:color="auto"/>
              <w:bottom w:val="single" w:sz="4" w:space="0" w:color="auto"/>
              <w:right w:val="single" w:sz="4" w:space="0" w:color="auto"/>
            </w:tcBorders>
            <w:hideMark/>
          </w:tcPr>
          <w:p w14:paraId="529B216C" w14:textId="77777777" w:rsidR="00DA4438" w:rsidRPr="00DA4438" w:rsidRDefault="00DA4438" w:rsidP="00DA4438">
            <w:pPr>
              <w:keepNext/>
              <w:ind w:left="180"/>
              <w:rPr>
                <w:color w:val="000000"/>
              </w:rPr>
            </w:pPr>
            <w:r w:rsidRPr="00DA4438">
              <w:rPr>
                <w:color w:val="000000"/>
              </w:rPr>
              <w:t>pädiatrisches ACR-30-Ansprechen (n/n)</w:t>
            </w:r>
          </w:p>
        </w:tc>
        <w:tc>
          <w:tcPr>
            <w:tcW w:w="1939" w:type="pct"/>
            <w:gridSpan w:val="2"/>
            <w:tcBorders>
              <w:top w:val="single" w:sz="4" w:space="0" w:color="auto"/>
              <w:left w:val="single" w:sz="4" w:space="0" w:color="auto"/>
              <w:bottom w:val="single" w:sz="4" w:space="0" w:color="auto"/>
              <w:right w:val="single" w:sz="4" w:space="0" w:color="auto"/>
            </w:tcBorders>
            <w:hideMark/>
          </w:tcPr>
          <w:p w14:paraId="245E1C2E" w14:textId="77777777" w:rsidR="00DA4438" w:rsidRPr="00DA4438" w:rsidRDefault="00DA4438" w:rsidP="00DA4438">
            <w:pPr>
              <w:keepNext/>
              <w:jc w:val="center"/>
              <w:rPr>
                <w:color w:val="000000"/>
              </w:rPr>
            </w:pPr>
            <w:r w:rsidRPr="00DA4438">
              <w:rPr>
                <w:color w:val="000000"/>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496BD26C" w14:textId="77777777" w:rsidR="00DA4438" w:rsidRPr="00DA4438" w:rsidRDefault="00DA4438" w:rsidP="00DA4438">
            <w:pPr>
              <w:keepNext/>
              <w:jc w:val="center"/>
              <w:rPr>
                <w:color w:val="000000"/>
              </w:rPr>
            </w:pPr>
            <w:r w:rsidRPr="00DA4438">
              <w:rPr>
                <w:color w:val="000000"/>
              </w:rPr>
              <w:t>74,4 % (64/86)</w:t>
            </w:r>
          </w:p>
        </w:tc>
      </w:tr>
      <w:tr w:rsidR="00DA4438" w:rsidRPr="00DA4438" w14:paraId="5CC11710" w14:textId="77777777" w:rsidTr="00E80F2E">
        <w:tc>
          <w:tcPr>
            <w:tcW w:w="5000" w:type="pct"/>
            <w:gridSpan w:val="5"/>
            <w:tcBorders>
              <w:top w:val="single" w:sz="4" w:space="0" w:color="auto"/>
              <w:left w:val="single" w:sz="4" w:space="0" w:color="auto"/>
              <w:bottom w:val="single" w:sz="4" w:space="0" w:color="auto"/>
              <w:right w:val="single" w:sz="4" w:space="0" w:color="auto"/>
            </w:tcBorders>
            <w:hideMark/>
          </w:tcPr>
          <w:p w14:paraId="335B9DCA" w14:textId="77777777" w:rsidR="00DA4438" w:rsidRPr="00DA4438" w:rsidRDefault="00DA4438" w:rsidP="00DA4438">
            <w:pPr>
              <w:jc w:val="center"/>
              <w:rPr>
                <w:color w:val="000000"/>
              </w:rPr>
            </w:pPr>
            <w:r w:rsidRPr="00DA4438">
              <w:rPr>
                <w:color w:val="000000"/>
              </w:rPr>
              <w:t>Ergebnisse zur Wirksamkeit</w:t>
            </w:r>
          </w:p>
        </w:tc>
      </w:tr>
      <w:tr w:rsidR="00DA4438" w:rsidRPr="00DA4438" w14:paraId="61C0CC9F" w14:textId="77777777" w:rsidTr="00E80F2E">
        <w:tc>
          <w:tcPr>
            <w:tcW w:w="1311" w:type="pct"/>
            <w:tcBorders>
              <w:top w:val="single" w:sz="4" w:space="0" w:color="auto"/>
              <w:left w:val="single" w:sz="4" w:space="0" w:color="auto"/>
              <w:bottom w:val="single" w:sz="4" w:space="0" w:color="auto"/>
              <w:right w:val="single" w:sz="4" w:space="0" w:color="auto"/>
            </w:tcBorders>
            <w:hideMark/>
          </w:tcPr>
          <w:p w14:paraId="769EA1FE" w14:textId="77777777" w:rsidR="00DA4438" w:rsidRPr="00DA4438" w:rsidRDefault="00DA4438" w:rsidP="00DA4438">
            <w:pPr>
              <w:rPr>
                <w:color w:val="000000"/>
              </w:rPr>
            </w:pPr>
            <w:r w:rsidRPr="00DA4438">
              <w:rPr>
                <w:color w:val="000000"/>
              </w:rPr>
              <w:t>Doppelblind 32 Wochen</w:t>
            </w:r>
          </w:p>
        </w:tc>
        <w:tc>
          <w:tcPr>
            <w:tcW w:w="1017" w:type="pct"/>
            <w:tcBorders>
              <w:top w:val="single" w:sz="4" w:space="0" w:color="auto"/>
              <w:left w:val="single" w:sz="4" w:space="0" w:color="auto"/>
              <w:bottom w:val="single" w:sz="4" w:space="0" w:color="auto"/>
              <w:right w:val="single" w:sz="4" w:space="0" w:color="auto"/>
            </w:tcBorders>
            <w:hideMark/>
          </w:tcPr>
          <w:p w14:paraId="3EB97DAB" w14:textId="77777777" w:rsidR="00DA4438" w:rsidRPr="00DA4438" w:rsidRDefault="00DA4438" w:rsidP="008419B6">
            <w:pPr>
              <w:jc w:val="center"/>
              <w:rPr>
                <w:color w:val="000000"/>
              </w:rPr>
            </w:pPr>
            <w:r w:rsidRPr="00DA4438">
              <w:rPr>
                <w:color w:val="000000"/>
              </w:rPr>
              <w:t>Adalimumab/MTX</w:t>
            </w:r>
          </w:p>
          <w:p w14:paraId="6D16CE47" w14:textId="77777777" w:rsidR="00DA4438" w:rsidRPr="00DA4438" w:rsidRDefault="00DA4438" w:rsidP="008419B6">
            <w:pPr>
              <w:jc w:val="center"/>
              <w:rPr>
                <w:color w:val="000000"/>
              </w:rPr>
            </w:pPr>
            <w:r w:rsidRPr="00DA4438">
              <w:rPr>
                <w:color w:val="000000"/>
              </w:rPr>
              <w:t>(n = 38)</w:t>
            </w:r>
          </w:p>
        </w:tc>
        <w:tc>
          <w:tcPr>
            <w:tcW w:w="922" w:type="pct"/>
            <w:tcBorders>
              <w:top w:val="single" w:sz="4" w:space="0" w:color="auto"/>
              <w:left w:val="single" w:sz="4" w:space="0" w:color="auto"/>
              <w:bottom w:val="single" w:sz="4" w:space="0" w:color="auto"/>
              <w:right w:val="single" w:sz="4" w:space="0" w:color="auto"/>
            </w:tcBorders>
            <w:hideMark/>
          </w:tcPr>
          <w:p w14:paraId="1EF46CBC" w14:textId="77777777" w:rsidR="00DA4438" w:rsidRPr="00DA4438" w:rsidRDefault="00DA4438" w:rsidP="008419B6">
            <w:pPr>
              <w:jc w:val="center"/>
              <w:rPr>
                <w:color w:val="000000"/>
              </w:rPr>
            </w:pPr>
            <w:r w:rsidRPr="00DA4438">
              <w:rPr>
                <w:color w:val="000000"/>
              </w:rPr>
              <w:t>Placebo/MTX</w:t>
            </w:r>
          </w:p>
          <w:p w14:paraId="21FC345A" w14:textId="77777777" w:rsidR="00DA4438" w:rsidRPr="00DA4438" w:rsidRDefault="00DA4438" w:rsidP="008419B6">
            <w:pPr>
              <w:jc w:val="center"/>
              <w:rPr>
                <w:color w:val="000000"/>
              </w:rPr>
            </w:pPr>
            <w:r w:rsidRPr="00DA4438">
              <w:rPr>
                <w:color w:val="000000"/>
              </w:rPr>
              <w:t>(n = 37)</w:t>
            </w:r>
          </w:p>
        </w:tc>
        <w:tc>
          <w:tcPr>
            <w:tcW w:w="1017" w:type="pct"/>
            <w:tcBorders>
              <w:top w:val="single" w:sz="4" w:space="0" w:color="auto"/>
              <w:left w:val="single" w:sz="4" w:space="0" w:color="auto"/>
              <w:bottom w:val="single" w:sz="4" w:space="0" w:color="auto"/>
              <w:right w:val="single" w:sz="4" w:space="0" w:color="auto"/>
            </w:tcBorders>
            <w:hideMark/>
          </w:tcPr>
          <w:p w14:paraId="6371222E" w14:textId="77777777" w:rsidR="00DA4438" w:rsidRPr="00DA4438" w:rsidRDefault="00DA4438" w:rsidP="008419B6">
            <w:pPr>
              <w:jc w:val="center"/>
              <w:rPr>
                <w:color w:val="000000"/>
              </w:rPr>
            </w:pPr>
            <w:r w:rsidRPr="00DA4438">
              <w:rPr>
                <w:color w:val="000000"/>
              </w:rPr>
              <w:t>Adalimumab</w:t>
            </w:r>
          </w:p>
          <w:p w14:paraId="0639357A" w14:textId="77777777" w:rsidR="00DA4438" w:rsidRPr="00DA4438" w:rsidRDefault="00DA4438" w:rsidP="008419B6">
            <w:pPr>
              <w:jc w:val="center"/>
              <w:rPr>
                <w:color w:val="000000"/>
              </w:rPr>
            </w:pPr>
            <w:r w:rsidRPr="00DA4438">
              <w:rPr>
                <w:color w:val="000000"/>
              </w:rPr>
              <w:t>(n = 30)</w:t>
            </w:r>
          </w:p>
        </w:tc>
        <w:tc>
          <w:tcPr>
            <w:tcW w:w="733" w:type="pct"/>
            <w:tcBorders>
              <w:top w:val="single" w:sz="4" w:space="0" w:color="auto"/>
              <w:left w:val="single" w:sz="4" w:space="0" w:color="auto"/>
              <w:bottom w:val="single" w:sz="4" w:space="0" w:color="auto"/>
              <w:right w:val="single" w:sz="4" w:space="0" w:color="auto"/>
            </w:tcBorders>
            <w:hideMark/>
          </w:tcPr>
          <w:p w14:paraId="5BC538F9" w14:textId="77777777" w:rsidR="00DA4438" w:rsidRPr="00DA4438" w:rsidRDefault="00DA4438" w:rsidP="008419B6">
            <w:pPr>
              <w:jc w:val="center"/>
              <w:rPr>
                <w:color w:val="000000"/>
              </w:rPr>
            </w:pPr>
            <w:r w:rsidRPr="00DA4438">
              <w:rPr>
                <w:color w:val="000000"/>
              </w:rPr>
              <w:t>Placebo</w:t>
            </w:r>
          </w:p>
          <w:p w14:paraId="38279661" w14:textId="77777777" w:rsidR="00DA4438" w:rsidRPr="00DA4438" w:rsidRDefault="00DA4438" w:rsidP="008419B6">
            <w:pPr>
              <w:jc w:val="center"/>
              <w:rPr>
                <w:color w:val="000000"/>
              </w:rPr>
            </w:pPr>
            <w:r w:rsidRPr="00DA4438">
              <w:rPr>
                <w:color w:val="000000"/>
              </w:rPr>
              <w:t>(n = 28)</w:t>
            </w:r>
          </w:p>
        </w:tc>
      </w:tr>
      <w:tr w:rsidR="00DA4438" w:rsidRPr="00DA4438" w14:paraId="0CCC5909" w14:textId="77777777" w:rsidTr="00E80F2E">
        <w:tc>
          <w:tcPr>
            <w:tcW w:w="1311" w:type="pct"/>
            <w:tcBorders>
              <w:top w:val="single" w:sz="4" w:space="0" w:color="auto"/>
              <w:left w:val="single" w:sz="4" w:space="0" w:color="auto"/>
              <w:bottom w:val="single" w:sz="4" w:space="0" w:color="auto"/>
              <w:right w:val="single" w:sz="4" w:space="0" w:color="auto"/>
            </w:tcBorders>
            <w:hideMark/>
          </w:tcPr>
          <w:p w14:paraId="3C76D13E" w14:textId="77777777" w:rsidR="00DA4438" w:rsidRPr="00DA4438" w:rsidRDefault="00DA4438" w:rsidP="00DA4438">
            <w:pPr>
              <w:ind w:left="180"/>
              <w:rPr>
                <w:color w:val="000000"/>
              </w:rPr>
            </w:pPr>
            <w:r w:rsidRPr="00DA4438">
              <w:rPr>
                <w:color w:val="000000"/>
              </w:rPr>
              <w:t>Wiederaufflammen der Erkrankung nach 32 Wochen</w:t>
            </w:r>
            <w:r w:rsidRPr="00DA4438">
              <w:rPr>
                <w:color w:val="000000"/>
                <w:vertAlign w:val="superscript"/>
              </w:rPr>
              <w:t>a</w:t>
            </w:r>
            <w:r w:rsidRPr="00DA4438">
              <w:rPr>
                <w:color w:val="000000"/>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35461D6D" w14:textId="77777777" w:rsidR="00DA4438" w:rsidRPr="00DA4438" w:rsidRDefault="00DA4438" w:rsidP="008419B6">
            <w:pPr>
              <w:jc w:val="center"/>
              <w:rPr>
                <w:color w:val="000000"/>
              </w:rPr>
            </w:pPr>
            <w:r w:rsidRPr="00DA4438">
              <w:rPr>
                <w:color w:val="000000"/>
              </w:rPr>
              <w:t>36,8 % (14/38)</w:t>
            </w:r>
          </w:p>
        </w:tc>
        <w:tc>
          <w:tcPr>
            <w:tcW w:w="922" w:type="pct"/>
            <w:tcBorders>
              <w:top w:val="single" w:sz="4" w:space="0" w:color="auto"/>
              <w:left w:val="single" w:sz="4" w:space="0" w:color="auto"/>
              <w:bottom w:val="single" w:sz="4" w:space="0" w:color="auto"/>
              <w:right w:val="single" w:sz="4" w:space="0" w:color="auto"/>
            </w:tcBorders>
            <w:hideMark/>
          </w:tcPr>
          <w:p w14:paraId="5DE3B9A2" w14:textId="77777777" w:rsidR="00DA4438" w:rsidRPr="00DA4438" w:rsidRDefault="00DA4438" w:rsidP="008419B6">
            <w:pPr>
              <w:jc w:val="center"/>
              <w:rPr>
                <w:color w:val="000000"/>
              </w:rPr>
            </w:pPr>
            <w:r w:rsidRPr="00DA4438">
              <w:rPr>
                <w:color w:val="000000"/>
              </w:rPr>
              <w:t>64,9 % (24/37)</w:t>
            </w:r>
            <w:r w:rsidRPr="00DA4438">
              <w:rPr>
                <w:color w:val="000000"/>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0455704B" w14:textId="77777777" w:rsidR="00DA4438" w:rsidRPr="00DA4438" w:rsidRDefault="00DA4438" w:rsidP="008419B6">
            <w:pPr>
              <w:jc w:val="center"/>
              <w:rPr>
                <w:color w:val="000000"/>
              </w:rPr>
            </w:pPr>
            <w:r w:rsidRPr="00DA4438">
              <w:rPr>
                <w:color w:val="000000"/>
              </w:rPr>
              <w:t>43,3 % (13/30)</w:t>
            </w:r>
          </w:p>
        </w:tc>
        <w:tc>
          <w:tcPr>
            <w:tcW w:w="733" w:type="pct"/>
            <w:tcBorders>
              <w:top w:val="single" w:sz="4" w:space="0" w:color="auto"/>
              <w:left w:val="single" w:sz="4" w:space="0" w:color="auto"/>
              <w:bottom w:val="single" w:sz="4" w:space="0" w:color="auto"/>
              <w:right w:val="single" w:sz="4" w:space="0" w:color="auto"/>
            </w:tcBorders>
            <w:hideMark/>
          </w:tcPr>
          <w:p w14:paraId="5CC1AB0F" w14:textId="77777777" w:rsidR="00DA4438" w:rsidRPr="00DA4438" w:rsidRDefault="00DA4438" w:rsidP="008419B6">
            <w:pPr>
              <w:jc w:val="center"/>
              <w:rPr>
                <w:color w:val="000000"/>
              </w:rPr>
            </w:pPr>
            <w:r w:rsidRPr="00DA4438">
              <w:rPr>
                <w:color w:val="000000"/>
              </w:rPr>
              <w:t>71,4 % (20/28)</w:t>
            </w:r>
            <w:r w:rsidRPr="00DA4438">
              <w:rPr>
                <w:color w:val="000000"/>
                <w:vertAlign w:val="superscript"/>
              </w:rPr>
              <w:t>c</w:t>
            </w:r>
          </w:p>
        </w:tc>
      </w:tr>
      <w:tr w:rsidR="00DA4438" w:rsidRPr="00DA4438" w14:paraId="2A5EAAF9" w14:textId="77777777" w:rsidTr="00E80F2E">
        <w:tc>
          <w:tcPr>
            <w:tcW w:w="1311" w:type="pct"/>
            <w:tcBorders>
              <w:top w:val="single" w:sz="4" w:space="0" w:color="auto"/>
              <w:left w:val="single" w:sz="4" w:space="0" w:color="auto"/>
              <w:bottom w:val="single" w:sz="4" w:space="0" w:color="auto"/>
              <w:right w:val="single" w:sz="4" w:space="0" w:color="auto"/>
            </w:tcBorders>
            <w:hideMark/>
          </w:tcPr>
          <w:p w14:paraId="1680680B" w14:textId="77777777" w:rsidR="00DA4438" w:rsidRPr="00DA4438" w:rsidRDefault="00DA4438" w:rsidP="00DA4438">
            <w:pPr>
              <w:ind w:left="180"/>
              <w:rPr>
                <w:color w:val="000000"/>
              </w:rPr>
            </w:pPr>
            <w:r w:rsidRPr="00DA4438">
              <w:rPr>
                <w:color w:val="000000"/>
              </w:rPr>
              <w:t>Mittlere Zeit bis zum Wiederaufflammen der Erkrankung</w:t>
            </w:r>
          </w:p>
        </w:tc>
        <w:tc>
          <w:tcPr>
            <w:tcW w:w="1017" w:type="pct"/>
            <w:tcBorders>
              <w:top w:val="single" w:sz="4" w:space="0" w:color="auto"/>
              <w:left w:val="single" w:sz="4" w:space="0" w:color="auto"/>
              <w:bottom w:val="single" w:sz="4" w:space="0" w:color="auto"/>
              <w:right w:val="single" w:sz="4" w:space="0" w:color="auto"/>
            </w:tcBorders>
            <w:hideMark/>
          </w:tcPr>
          <w:p w14:paraId="57242332" w14:textId="77777777" w:rsidR="00DA4438" w:rsidRPr="00DA4438" w:rsidRDefault="00DA4438" w:rsidP="008419B6">
            <w:pPr>
              <w:jc w:val="center"/>
              <w:rPr>
                <w:color w:val="000000"/>
              </w:rPr>
            </w:pPr>
            <w:r w:rsidRPr="00DA4438">
              <w:rPr>
                <w:color w:val="000000"/>
              </w:rPr>
              <w:t>&gt;</w:t>
            </w:r>
            <w:r w:rsidR="005F2C1D">
              <w:rPr>
                <w:color w:val="000000"/>
              </w:rPr>
              <w:t> </w:t>
            </w:r>
            <w:r w:rsidRPr="00DA4438">
              <w:rPr>
                <w:color w:val="000000"/>
              </w:rPr>
              <w:t>32 Wochen</w:t>
            </w:r>
          </w:p>
        </w:tc>
        <w:tc>
          <w:tcPr>
            <w:tcW w:w="922" w:type="pct"/>
            <w:tcBorders>
              <w:top w:val="single" w:sz="4" w:space="0" w:color="auto"/>
              <w:left w:val="single" w:sz="4" w:space="0" w:color="auto"/>
              <w:bottom w:val="single" w:sz="4" w:space="0" w:color="auto"/>
              <w:right w:val="single" w:sz="4" w:space="0" w:color="auto"/>
            </w:tcBorders>
            <w:hideMark/>
          </w:tcPr>
          <w:p w14:paraId="20670DA8" w14:textId="77777777" w:rsidR="00DA4438" w:rsidRPr="00DA4438" w:rsidRDefault="00DA4438" w:rsidP="008419B6">
            <w:pPr>
              <w:jc w:val="center"/>
              <w:rPr>
                <w:color w:val="000000"/>
              </w:rPr>
            </w:pPr>
            <w:r w:rsidRPr="00DA4438">
              <w:rPr>
                <w:color w:val="000000"/>
              </w:rPr>
              <w:t>20 Wochen</w:t>
            </w:r>
          </w:p>
        </w:tc>
        <w:tc>
          <w:tcPr>
            <w:tcW w:w="1017" w:type="pct"/>
            <w:tcBorders>
              <w:top w:val="single" w:sz="4" w:space="0" w:color="auto"/>
              <w:left w:val="single" w:sz="4" w:space="0" w:color="auto"/>
              <w:bottom w:val="single" w:sz="4" w:space="0" w:color="auto"/>
              <w:right w:val="single" w:sz="4" w:space="0" w:color="auto"/>
            </w:tcBorders>
            <w:hideMark/>
          </w:tcPr>
          <w:p w14:paraId="2C83AD5D" w14:textId="77777777" w:rsidR="00DA4438" w:rsidRPr="00DA4438" w:rsidRDefault="00DA4438" w:rsidP="008419B6">
            <w:pPr>
              <w:jc w:val="center"/>
              <w:rPr>
                <w:color w:val="000000"/>
              </w:rPr>
            </w:pPr>
            <w:r w:rsidRPr="00DA4438">
              <w:rPr>
                <w:color w:val="000000"/>
              </w:rPr>
              <w:t>&gt;</w:t>
            </w:r>
            <w:r w:rsidR="005F2C1D">
              <w:rPr>
                <w:color w:val="000000"/>
              </w:rPr>
              <w:t> </w:t>
            </w:r>
            <w:r w:rsidRPr="00DA4438">
              <w:rPr>
                <w:color w:val="000000"/>
              </w:rPr>
              <w:t>32 Wochen</w:t>
            </w:r>
          </w:p>
        </w:tc>
        <w:tc>
          <w:tcPr>
            <w:tcW w:w="733" w:type="pct"/>
            <w:tcBorders>
              <w:top w:val="single" w:sz="4" w:space="0" w:color="auto"/>
              <w:left w:val="single" w:sz="4" w:space="0" w:color="auto"/>
              <w:bottom w:val="single" w:sz="4" w:space="0" w:color="auto"/>
              <w:right w:val="single" w:sz="4" w:space="0" w:color="auto"/>
            </w:tcBorders>
            <w:hideMark/>
          </w:tcPr>
          <w:p w14:paraId="529E9FA0" w14:textId="77777777" w:rsidR="00DA4438" w:rsidRPr="00DA4438" w:rsidRDefault="00DA4438" w:rsidP="008419B6">
            <w:pPr>
              <w:jc w:val="center"/>
              <w:rPr>
                <w:color w:val="000000"/>
              </w:rPr>
            </w:pPr>
            <w:r w:rsidRPr="00DA4438">
              <w:rPr>
                <w:color w:val="000000"/>
              </w:rPr>
              <w:t>14 Wochen</w:t>
            </w:r>
          </w:p>
        </w:tc>
      </w:tr>
      <w:tr w:rsidR="00DA4438" w:rsidRPr="00DA4438" w14:paraId="326B8EE0" w14:textId="77777777" w:rsidTr="00E80F2E">
        <w:tc>
          <w:tcPr>
            <w:tcW w:w="5000" w:type="pct"/>
            <w:gridSpan w:val="5"/>
            <w:tcBorders>
              <w:top w:val="single" w:sz="4" w:space="0" w:color="auto"/>
              <w:left w:val="nil"/>
              <w:bottom w:val="nil"/>
              <w:right w:val="nil"/>
            </w:tcBorders>
          </w:tcPr>
          <w:p w14:paraId="0CD1D0E0" w14:textId="77777777" w:rsidR="00DA4438" w:rsidRPr="00206AEA" w:rsidRDefault="00DA4438" w:rsidP="00DA4438">
            <w:pPr>
              <w:kinsoku w:val="0"/>
              <w:overflowPunct w:val="0"/>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pädiatrisches ACR-30/50/70-Ansprechen in Woche 48 war signifikant größer als bei mit Placebo behandelten Patienten</w:t>
            </w:r>
          </w:p>
          <w:p w14:paraId="6846E09D" w14:textId="77777777" w:rsidR="00DA4438" w:rsidRPr="00206AEA" w:rsidRDefault="00DA4438" w:rsidP="00DA4438">
            <w:pPr>
              <w:kinsoku w:val="0"/>
              <w:overflowPunct w:val="0"/>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p = 0,015</w:t>
            </w:r>
          </w:p>
          <w:p w14:paraId="0223CC91" w14:textId="77777777" w:rsidR="00DA4438" w:rsidRPr="00206AEA" w:rsidRDefault="00DA4438" w:rsidP="00DA4438">
            <w:pPr>
              <w:kinsoku w:val="0"/>
              <w:overflowPunct w:val="0"/>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 p = 0,031</w:t>
            </w:r>
          </w:p>
        </w:tc>
      </w:tr>
    </w:tbl>
    <w:p w14:paraId="6354E3B1" w14:textId="77777777" w:rsidR="00DA4438" w:rsidRPr="00DA4438" w:rsidRDefault="00DA4438" w:rsidP="00DA4438">
      <w:pPr>
        <w:kinsoku w:val="0"/>
        <w:overflowPunct w:val="0"/>
        <w:rPr>
          <w:color w:val="000000"/>
          <w:lang w:val="en-GB"/>
        </w:rPr>
      </w:pPr>
    </w:p>
    <w:p w14:paraId="4AAFF69C" w14:textId="77777777" w:rsidR="00DA4438" w:rsidRPr="00DA4438" w:rsidRDefault="00DA4438" w:rsidP="00DA4438">
      <w:pPr>
        <w:kinsoku w:val="0"/>
        <w:overflowPunct w:val="0"/>
        <w:rPr>
          <w:color w:val="000000"/>
        </w:rPr>
      </w:pPr>
      <w:r w:rsidRPr="00DA4438">
        <w:rPr>
          <w:color w:val="000000"/>
        </w:rPr>
        <w:t>Unter den Patienten, die in Woche 16 (n = 144) ansprachen, wurde das pädiatrische ACR-30/50/70/90-Ansprechen für bis zu sechs Jahre in der OLE-Phase bei denjenigen aufrechterhalten, die Adalimumab während der ganzen Studie über erhielten. Insgesamt wurden 19 Patienten (11 zu Studienbeginn in der Altersgruppe von 4 bis 12 Jahren und 8 zu Studienbeginn in der Altersgruppe von 13 bis 17 Jahren) 6 Jahre oder länger behandelt.</w:t>
      </w:r>
    </w:p>
    <w:p w14:paraId="5B949B6F" w14:textId="77777777" w:rsidR="00DA4438" w:rsidRPr="00DA4438" w:rsidRDefault="00DA4438" w:rsidP="00DA4438">
      <w:pPr>
        <w:kinsoku w:val="0"/>
        <w:overflowPunct w:val="0"/>
        <w:rPr>
          <w:color w:val="000000"/>
        </w:rPr>
      </w:pPr>
    </w:p>
    <w:p w14:paraId="6F1BC637" w14:textId="77777777" w:rsidR="00DA4438" w:rsidRPr="00DA4438" w:rsidRDefault="00DA4438" w:rsidP="00DA4438">
      <w:pPr>
        <w:kinsoku w:val="0"/>
        <w:overflowPunct w:val="0"/>
        <w:rPr>
          <w:color w:val="000000"/>
        </w:rPr>
      </w:pPr>
      <w:r w:rsidRPr="00DA4438">
        <w:rPr>
          <w:color w:val="000000"/>
        </w:rPr>
        <w:t>Das Gesamtansprechen bei der Kombinationstherapie von Adalimumab und MTX war allgemein besser und weniger Patienten entwickelten Antikörper im Vergleich zur Adalimumab-Monotherapie. Unter Berücksichtigung dieser Ergebnisse wird der Einsatz von Adalimumab in Kombination mit MTX empfohlen. Bei Patienten, bei denen der MTX-Einsatz nicht geeignet ist, wird eine Monotherapie mit Adalimumab empfohlen (siehe Abschnitt 4.2).</w:t>
      </w:r>
    </w:p>
    <w:p w14:paraId="17902478" w14:textId="77777777" w:rsidR="00DA4438" w:rsidRPr="00DA4438" w:rsidRDefault="00DA4438" w:rsidP="00DA4438">
      <w:pPr>
        <w:rPr>
          <w:color w:val="000000"/>
        </w:rPr>
      </w:pPr>
    </w:p>
    <w:p w14:paraId="0FD3C612" w14:textId="77777777" w:rsidR="00DA4438" w:rsidRPr="00DA4438" w:rsidRDefault="00DA4438" w:rsidP="00DA4438">
      <w:pPr>
        <w:keepNext/>
        <w:kinsoku w:val="0"/>
        <w:overflowPunct w:val="0"/>
        <w:rPr>
          <w:color w:val="000000"/>
        </w:rPr>
      </w:pPr>
      <w:r w:rsidRPr="00DA4438">
        <w:rPr>
          <w:color w:val="000000"/>
        </w:rPr>
        <w:t>pJIA II</w:t>
      </w:r>
    </w:p>
    <w:p w14:paraId="4A62560A" w14:textId="77777777" w:rsidR="00DA4438" w:rsidRPr="00DA4438" w:rsidRDefault="00DA4438" w:rsidP="00DA4438">
      <w:pPr>
        <w:keepNext/>
        <w:kinsoku w:val="0"/>
        <w:overflowPunct w:val="0"/>
        <w:rPr>
          <w:color w:val="000000"/>
        </w:rPr>
      </w:pPr>
    </w:p>
    <w:p w14:paraId="398B8BA2" w14:textId="77777777" w:rsidR="00DA4438" w:rsidRPr="00DA4438" w:rsidRDefault="00DA4438" w:rsidP="00DA4438">
      <w:pPr>
        <w:kinsoku w:val="0"/>
        <w:overflowPunct w:val="0"/>
        <w:rPr>
          <w:color w:val="000000"/>
        </w:rPr>
      </w:pPr>
      <w:r w:rsidRPr="00DA4438">
        <w:rPr>
          <w:color w:val="000000"/>
        </w:rPr>
        <w:t>Die Sicherheit und Wirksamkeit von Adalimumab wurden in einer offenen, multizentrischen Studie an 32 Kleinkindern/Kindern (im Alter von 2 – &lt; 4 Jahren oder im Alter von 4 Jahren und älter mit einem Körpergewicht &lt; 15 kg) mit mittelschwerer bis schwerer aktiver polyartikulärer JIA untersucht. Die Patienten erhielten als Einzeldosis mittels subkutaner Injektion mindestens 24 Wochen lang jede zweite Woche 24 mg Adalimumab/m</w:t>
      </w:r>
      <w:r w:rsidRPr="00DA4438">
        <w:rPr>
          <w:color w:val="000000"/>
          <w:vertAlign w:val="superscript"/>
        </w:rPr>
        <w:t>2</w:t>
      </w:r>
      <w:r w:rsidRPr="00DA4438">
        <w:rPr>
          <w:color w:val="000000"/>
        </w:rPr>
        <w:t xml:space="preserve"> Körperoberfläche bis zu einer maximalen Dosis von 20 mg. Während der Studie verwendeten die meisten Patienten eine MTX-Begleittherapie, die Anwendung von </w:t>
      </w:r>
      <w:r w:rsidR="00091B01">
        <w:rPr>
          <w:color w:val="000000"/>
        </w:rPr>
        <w:t>K</w:t>
      </w:r>
      <w:r w:rsidRPr="00DA4438">
        <w:rPr>
          <w:color w:val="000000"/>
        </w:rPr>
        <w:t>ortiko</w:t>
      </w:r>
      <w:r w:rsidR="00091B01">
        <w:rPr>
          <w:color w:val="000000"/>
        </w:rPr>
        <w:t>stero</w:t>
      </w:r>
      <w:r w:rsidRPr="00DA4438">
        <w:rPr>
          <w:color w:val="000000"/>
        </w:rPr>
        <w:t>iden oder NSARs wurde seltener berichtet.</w:t>
      </w:r>
    </w:p>
    <w:p w14:paraId="3978A310" w14:textId="77777777" w:rsidR="00DA4438" w:rsidRPr="00DA4438" w:rsidRDefault="00DA4438" w:rsidP="00DA4438">
      <w:pPr>
        <w:kinsoku w:val="0"/>
        <w:overflowPunct w:val="0"/>
        <w:rPr>
          <w:color w:val="000000"/>
          <w:szCs w:val="21"/>
        </w:rPr>
      </w:pPr>
    </w:p>
    <w:p w14:paraId="64147527" w14:textId="77777777" w:rsidR="00DA4438" w:rsidRPr="00DA4438" w:rsidRDefault="00DA4438" w:rsidP="00DA4438">
      <w:pPr>
        <w:kinsoku w:val="0"/>
        <w:overflowPunct w:val="0"/>
        <w:rPr>
          <w:color w:val="000000"/>
        </w:rPr>
      </w:pPr>
      <w:r w:rsidRPr="00DA4438">
        <w:rPr>
          <w:color w:val="000000"/>
        </w:rPr>
        <w:t>In Woche 12 und Woche 24 betrug unter Auswertung der beobachteten Daten das pädiatrische ACR-30-Ansprechen 93,5 % bzw. 90,0 %. Die Anteile an Patienten mit pädiatrischem ACR-50/70/90-Ansprechen betrugen 90,3 %/61,3 %/38,7 % bzw. 83,3 %/73,3 %/36,7 % in Woche 12 und Woche 24. Von den Patienten, die in Woche 24 ein pädiatrisches ACR-30-Ansprechen zeigten (n = 27 von 30 Patienten), wurde das pädiatrische ACR-30-Ansprechen bis zu 60 Wochen in der OLE-Phase bei den Patienten aufrechterhalten, die Adalimumab über diesen Zeitraum erhielten. Insgesamt wurden 20 Patienten 60 Wochen oder länger behandelt.</w:t>
      </w:r>
    </w:p>
    <w:p w14:paraId="7FDF38EC" w14:textId="77777777" w:rsidR="00DA4438" w:rsidRPr="00DA4438" w:rsidRDefault="00DA4438" w:rsidP="00DA4438">
      <w:pPr>
        <w:kinsoku w:val="0"/>
        <w:overflowPunct w:val="0"/>
        <w:rPr>
          <w:color w:val="000000"/>
        </w:rPr>
      </w:pPr>
    </w:p>
    <w:p w14:paraId="3197BB2F" w14:textId="77777777" w:rsidR="00DA4438" w:rsidRPr="00DA4438" w:rsidRDefault="00DA4438" w:rsidP="00DA4438">
      <w:pPr>
        <w:keepNext/>
        <w:kinsoku w:val="0"/>
        <w:overflowPunct w:val="0"/>
        <w:rPr>
          <w:color w:val="000000"/>
        </w:rPr>
      </w:pPr>
      <w:r w:rsidRPr="00DA4438">
        <w:rPr>
          <w:i/>
          <w:iCs/>
          <w:color w:val="000000"/>
          <w:u w:val="single"/>
        </w:rPr>
        <w:t>Enthesitis-assoziierte Arthritis</w:t>
      </w:r>
    </w:p>
    <w:p w14:paraId="24F4C0E2" w14:textId="77777777" w:rsidR="00DA4438" w:rsidRPr="00DA4438" w:rsidRDefault="00DA4438" w:rsidP="00DA4438">
      <w:pPr>
        <w:keepNext/>
        <w:kinsoku w:val="0"/>
        <w:overflowPunct w:val="0"/>
        <w:rPr>
          <w:i/>
          <w:iCs/>
          <w:color w:val="000000"/>
        </w:rPr>
      </w:pPr>
    </w:p>
    <w:p w14:paraId="5C986A87" w14:textId="77777777" w:rsidR="00DA4438" w:rsidRPr="00DA4438" w:rsidRDefault="00DA4438" w:rsidP="00DA4438">
      <w:pPr>
        <w:kinsoku w:val="0"/>
        <w:overflowPunct w:val="0"/>
        <w:rPr>
          <w:color w:val="000000"/>
        </w:rPr>
      </w:pPr>
      <w:r w:rsidRPr="00DA4438">
        <w:rPr>
          <w:color w:val="000000"/>
        </w:rPr>
        <w:t xml:space="preserve">Die Sicherheit und Wirksamkeit von Adalimumab wurden in einer multizentrischen, randomisierten, doppelblinden Studie bei 46 Kindern und Jugendlichen (im Alter von 6 bis 17 Jahren) mit mittelschwerer Enthesitis-assoziierter Arthritis untersucht. Die Patienten wurden randomisiert und </w:t>
      </w:r>
      <w:r w:rsidRPr="00DA4438">
        <w:rPr>
          <w:color w:val="000000"/>
        </w:rPr>
        <w:lastRenderedPageBreak/>
        <w:t>erhielten 12 Wochen lang entweder 24 mg Adalimumab/m</w:t>
      </w:r>
      <w:r w:rsidRPr="00DA4438">
        <w:rPr>
          <w:color w:val="000000"/>
          <w:vertAlign w:val="superscript"/>
        </w:rPr>
        <w:t>2</w:t>
      </w:r>
      <w:r w:rsidRPr="00DA4438">
        <w:rPr>
          <w:color w:val="000000"/>
        </w:rPr>
        <w:t xml:space="preserve"> Körperoberfläche (KOF) bis zu maximal 40 mg Adalimumab oder Placebo jede zweite Woche. Der doppelblinden Phase folgte eine offene Fortsetzungsphase</w:t>
      </w:r>
      <w:r w:rsidR="00091B01">
        <w:rPr>
          <w:color w:val="000000"/>
        </w:rPr>
        <w:t xml:space="preserve"> </w:t>
      </w:r>
      <w:r w:rsidR="00091B01" w:rsidRPr="00DA4438">
        <w:rPr>
          <w:color w:val="000000"/>
        </w:rPr>
        <w:t>(OL)</w:t>
      </w:r>
      <w:r w:rsidRPr="00DA4438">
        <w:rPr>
          <w:color w:val="000000"/>
        </w:rPr>
        <w:t>. Während dieser Zeit erhielten die Patienten subkutan bis zu weitere</w:t>
      </w:r>
      <w:r w:rsidR="00091B01">
        <w:rPr>
          <w:color w:val="000000"/>
        </w:rPr>
        <w:t>n</w:t>
      </w:r>
      <w:r w:rsidRPr="00DA4438">
        <w:rPr>
          <w:color w:val="000000"/>
        </w:rPr>
        <w:t xml:space="preserve"> 192 Wochen jede zweite Woche 24 mg Adalimumab/m</w:t>
      </w:r>
      <w:r w:rsidRPr="00DA4438">
        <w:rPr>
          <w:color w:val="000000"/>
          <w:vertAlign w:val="superscript"/>
        </w:rPr>
        <w:t>2</w:t>
      </w:r>
      <w:r w:rsidRPr="00DA4438">
        <w:rPr>
          <w:color w:val="000000"/>
        </w:rPr>
        <w:t xml:space="preserve"> KOF bis zu maximal 40 mg Adalimumab. Der primäre Endpunkt war die prozentuale Veränderung in der Anzahl der aktiven Gelenke mit Arthritis (Schwellung nicht als Folge von Deformierung oder Gelenke mit Bewegungsverlust plus Schmerzen und/ oder Druckschmerzempfindlichkeit) zu Woche 12 gegenüber dem Therapiebeginn. Er wurde mit einer durchschnittlichen prozentualen Abnahme von -62,6 % (Median der prozentualen Abnahme -88,9 %) bei Patienten in der Adalimumab-Gruppe im Vergleich zu -11,6 % (Median der prozentualen Abnahme -50 %) bei Patienten in der Placebogruppe erreicht. Die Verbesserung in der Anzahl der aktiven Gelenke mit Arthritis wurde während der OL-Phase bis Woche 156 für 26 von 31 (84 %) Patienten der Adalimumab-Gruppe, die in der Studie verblieben sind, aufrechterhalten. Obwohl statistisch nicht signifikant, zeigte die Mehrheit der Patienten eine klinische Verbesserung bei den sekundären Endpunkten, wie z. B. Anzahl der Stellen mit Enthesitis, Anzahl schmerzempfindlicher Gelenke (TJC), Anzahl geschwollener Gelenke (SJC), pädiatrisches ACR-50-Ansprechen und pädiatrisches ACR-70-Ansprechen.</w:t>
      </w:r>
    </w:p>
    <w:p w14:paraId="5E3BA15F" w14:textId="77777777" w:rsidR="00DA4438" w:rsidRDefault="00DA4438" w:rsidP="00982118">
      <w:pPr>
        <w:rPr>
          <w:color w:val="000000"/>
        </w:rPr>
      </w:pPr>
    </w:p>
    <w:p w14:paraId="30AA9BAB" w14:textId="77777777" w:rsidR="007A0B49" w:rsidRPr="007A0B49" w:rsidRDefault="007A0B49" w:rsidP="007A0B49">
      <w:pPr>
        <w:keepNext/>
        <w:kinsoku w:val="0"/>
        <w:overflowPunct w:val="0"/>
        <w:rPr>
          <w:color w:val="000000"/>
        </w:rPr>
      </w:pPr>
      <w:r w:rsidRPr="007A0B49">
        <w:rPr>
          <w:i/>
          <w:iCs/>
          <w:color w:val="000000"/>
        </w:rPr>
        <w:t>Plaque-Psoriasis bei Kindern und Jugendlichen</w:t>
      </w:r>
    </w:p>
    <w:p w14:paraId="1C22C704" w14:textId="77777777" w:rsidR="007A0B49" w:rsidRPr="007A0B49" w:rsidRDefault="007A0B49" w:rsidP="007A0B49">
      <w:pPr>
        <w:keepNext/>
        <w:kinsoku w:val="0"/>
        <w:overflowPunct w:val="0"/>
        <w:rPr>
          <w:i/>
          <w:iCs/>
          <w:color w:val="000000"/>
        </w:rPr>
      </w:pPr>
    </w:p>
    <w:p w14:paraId="7D399A66" w14:textId="77777777" w:rsidR="007A0B49" w:rsidRPr="007A0B49" w:rsidRDefault="007A0B49" w:rsidP="007A0B49">
      <w:pPr>
        <w:kinsoku w:val="0"/>
        <w:overflowPunct w:val="0"/>
        <w:rPr>
          <w:color w:val="000000"/>
        </w:rPr>
      </w:pPr>
      <w:r w:rsidRPr="007A0B49">
        <w:rPr>
          <w:color w:val="000000"/>
        </w:rPr>
        <w:t>Die Wirksamkeit von Adalimumab wurde in einer randomisierten, doppelblinden, kontrollierten Studie mit 114 Kindern und Jugendlichen ab 4 Jahren mit schwerer chronischer Plaque-Psoriasis untersucht, deren topische Therapie und Heliotherapie oder Phototherapie unzureichend war (schwere chronische Plaque-Psoriasis ist definiert durch einen Wert im Physician’s Global Assessment [PGA] ≥ 4 oder &gt; 20 % KOF-Beteiligung oder &gt; 10 % KOF-Beteiligung mit sehr dicken Läsionen oder Psoriasis Area and Severity Index [PASI] ≥ 20 oder ≥ 10 mit klinisch relevanter Beteiligung von Gesicht, Genitalbereich oder Händen/Füßen).</w:t>
      </w:r>
    </w:p>
    <w:p w14:paraId="25E532DE" w14:textId="77777777" w:rsidR="007A0B49" w:rsidRPr="007A0B49" w:rsidRDefault="007A0B49" w:rsidP="007A0B49">
      <w:pPr>
        <w:kinsoku w:val="0"/>
        <w:overflowPunct w:val="0"/>
        <w:rPr>
          <w:color w:val="000000"/>
        </w:rPr>
      </w:pPr>
    </w:p>
    <w:p w14:paraId="64DD3335" w14:textId="77777777" w:rsidR="007A0B49" w:rsidRPr="007A0B49" w:rsidRDefault="007A0B49" w:rsidP="007A0B49">
      <w:pPr>
        <w:kinsoku w:val="0"/>
        <w:overflowPunct w:val="0"/>
        <w:rPr>
          <w:color w:val="000000"/>
        </w:rPr>
      </w:pPr>
      <w:r w:rsidRPr="007A0B49">
        <w:rPr>
          <w:color w:val="000000"/>
        </w:rPr>
        <w:t>Patienten erhielten Adalimumab 0,8 mg/kg jede zweite Woche (bis zu 40 mg), 0,4 mg/kg jede zweite Woche (bis zu 20 mg) oder Methotrexat 0,1 – 0,4 mg/kg wöchentlich (bis zu 25 mg). In Woche 16 hatten mehr Patienten, die in die Adalimumab-Gruppe mit 0,8 mg/kg randomisiert waren, positive Wirksamkeitsnachweise (z. B. PASI-75) als jene, die in die Gruppe mit 0,4 mg/kg jede zweite Woche oder in die MTX-Gruppe randomisiert waren.</w:t>
      </w:r>
    </w:p>
    <w:p w14:paraId="150259D0" w14:textId="77777777" w:rsidR="007A0B49" w:rsidRPr="007A0B49" w:rsidRDefault="007A0B49" w:rsidP="007A0B49">
      <w:pPr>
        <w:kinsoku w:val="0"/>
        <w:overflowPunct w:val="0"/>
        <w:rPr>
          <w:color w:val="000000"/>
          <w:szCs w:val="23"/>
        </w:rPr>
      </w:pPr>
    </w:p>
    <w:p w14:paraId="163C4713" w14:textId="77777777" w:rsidR="007A0B49" w:rsidRPr="007A0B49" w:rsidRDefault="007A0B49" w:rsidP="008419B6">
      <w:pPr>
        <w:keepNext/>
        <w:kinsoku w:val="0"/>
        <w:overflowPunct w:val="0"/>
        <w:rPr>
          <w:b/>
          <w:color w:val="000000"/>
        </w:rPr>
      </w:pPr>
      <w:r w:rsidRPr="007A0B49">
        <w:rPr>
          <w:b/>
          <w:color w:val="000000"/>
        </w:rPr>
        <w:t>Tabelle </w:t>
      </w:r>
      <w:r w:rsidR="00E52B5E">
        <w:rPr>
          <w:b/>
          <w:color w:val="000000"/>
        </w:rPr>
        <w:t>22</w:t>
      </w:r>
    </w:p>
    <w:p w14:paraId="217F5475" w14:textId="77777777" w:rsidR="007A0B49" w:rsidRPr="007A0B49" w:rsidRDefault="007A0B49" w:rsidP="008419B6">
      <w:pPr>
        <w:keepNext/>
        <w:kinsoku w:val="0"/>
        <w:overflowPunct w:val="0"/>
        <w:rPr>
          <w:b/>
          <w:color w:val="000000"/>
        </w:rPr>
      </w:pPr>
      <w:r w:rsidRPr="007A0B49">
        <w:rPr>
          <w:b/>
          <w:color w:val="000000"/>
        </w:rPr>
        <w:t>Wirksamkeitsergebnisse bei pädiatrischer Plaque-Psoriasis in Woche 16</w:t>
      </w:r>
    </w:p>
    <w:p w14:paraId="2CD7DAF5" w14:textId="77777777" w:rsidR="007A0B49" w:rsidRPr="007A0B49" w:rsidRDefault="007A0B49" w:rsidP="005104A5">
      <w:pPr>
        <w:keepNext/>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2980"/>
        <w:gridCol w:w="3031"/>
      </w:tblGrid>
      <w:tr w:rsidR="007A0B49" w:rsidRPr="007A0B49" w14:paraId="32C23F91" w14:textId="77777777" w:rsidTr="004363C9">
        <w:trPr>
          <w:cantSplit/>
          <w:tblHeader/>
        </w:trPr>
        <w:tc>
          <w:tcPr>
            <w:tcW w:w="3118" w:type="dxa"/>
            <w:tcBorders>
              <w:top w:val="single" w:sz="4" w:space="0" w:color="auto"/>
              <w:left w:val="single" w:sz="4" w:space="0" w:color="auto"/>
              <w:bottom w:val="single" w:sz="4" w:space="0" w:color="auto"/>
              <w:right w:val="single" w:sz="4" w:space="0" w:color="auto"/>
            </w:tcBorders>
          </w:tcPr>
          <w:p w14:paraId="6FF7A34C" w14:textId="77777777" w:rsidR="007A0B49" w:rsidRPr="007A0B49" w:rsidRDefault="007A0B49" w:rsidP="007A0B49">
            <w:pPr>
              <w:keepNext/>
              <w:jc w:val="center"/>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0A408097" w14:textId="77777777" w:rsidR="007A0B49" w:rsidRPr="007A0B49" w:rsidRDefault="007A0B49" w:rsidP="007A0B49">
            <w:pPr>
              <w:keepNext/>
              <w:jc w:val="center"/>
              <w:rPr>
                <w:b/>
                <w:color w:val="000000"/>
                <w:vertAlign w:val="superscript"/>
              </w:rPr>
            </w:pPr>
            <w:r w:rsidRPr="007A0B49">
              <w:rPr>
                <w:b/>
                <w:color w:val="000000"/>
              </w:rPr>
              <w:t>MTX</w:t>
            </w:r>
            <w:r w:rsidRPr="007A0B49">
              <w:rPr>
                <w:b/>
                <w:color w:val="000000"/>
                <w:vertAlign w:val="superscript"/>
              </w:rPr>
              <w:t>a</w:t>
            </w:r>
          </w:p>
          <w:p w14:paraId="6791DC92" w14:textId="77777777" w:rsidR="007A0B49" w:rsidRPr="007A0B49" w:rsidRDefault="007A0B49" w:rsidP="007A0B49">
            <w:pPr>
              <w:keepNext/>
              <w:jc w:val="center"/>
              <w:rPr>
                <w:b/>
                <w:color w:val="000000"/>
              </w:rPr>
            </w:pPr>
            <w:r w:rsidRPr="007A0B49">
              <w:rPr>
                <w:b/>
                <w:color w:val="000000"/>
              </w:rPr>
              <w:t>n = 37</w:t>
            </w:r>
          </w:p>
        </w:tc>
        <w:tc>
          <w:tcPr>
            <w:tcW w:w="3108" w:type="dxa"/>
            <w:tcBorders>
              <w:top w:val="single" w:sz="4" w:space="0" w:color="auto"/>
              <w:left w:val="single" w:sz="4" w:space="0" w:color="auto"/>
              <w:bottom w:val="single" w:sz="4" w:space="0" w:color="auto"/>
              <w:right w:val="single" w:sz="4" w:space="0" w:color="auto"/>
            </w:tcBorders>
            <w:hideMark/>
          </w:tcPr>
          <w:p w14:paraId="61C7C453" w14:textId="77777777" w:rsidR="007A0B49" w:rsidRPr="007A0B49" w:rsidRDefault="007A0B49" w:rsidP="007A0B49">
            <w:pPr>
              <w:keepNext/>
              <w:jc w:val="center"/>
              <w:rPr>
                <w:b/>
                <w:color w:val="000000"/>
              </w:rPr>
            </w:pPr>
            <w:r w:rsidRPr="007A0B49">
              <w:rPr>
                <w:b/>
                <w:color w:val="000000"/>
              </w:rPr>
              <w:t>Adalimumab 0,8 mg/kg jede zweite Woche</w:t>
            </w:r>
          </w:p>
          <w:p w14:paraId="47C38496" w14:textId="77777777" w:rsidR="007A0B49" w:rsidRPr="007A0B49" w:rsidRDefault="007A0B49" w:rsidP="007A0B49">
            <w:pPr>
              <w:keepNext/>
              <w:jc w:val="center"/>
              <w:rPr>
                <w:b/>
                <w:color w:val="000000"/>
              </w:rPr>
            </w:pPr>
            <w:r w:rsidRPr="007A0B49">
              <w:rPr>
                <w:b/>
                <w:color w:val="000000"/>
              </w:rPr>
              <w:t>n = 38</w:t>
            </w:r>
          </w:p>
        </w:tc>
      </w:tr>
      <w:tr w:rsidR="007A0B49" w:rsidRPr="007A0B49" w14:paraId="61A920EB" w14:textId="77777777" w:rsidTr="004363C9">
        <w:trPr>
          <w:cantSplit/>
        </w:trPr>
        <w:tc>
          <w:tcPr>
            <w:tcW w:w="3118" w:type="dxa"/>
            <w:tcBorders>
              <w:top w:val="single" w:sz="4" w:space="0" w:color="auto"/>
              <w:left w:val="single" w:sz="4" w:space="0" w:color="auto"/>
              <w:bottom w:val="single" w:sz="4" w:space="0" w:color="auto"/>
              <w:right w:val="single" w:sz="4" w:space="0" w:color="auto"/>
            </w:tcBorders>
            <w:hideMark/>
          </w:tcPr>
          <w:p w14:paraId="610D65AE" w14:textId="77777777" w:rsidR="007A0B49" w:rsidRPr="007A0B49" w:rsidRDefault="007A0B49" w:rsidP="007A0B49">
            <w:pPr>
              <w:keepNext/>
              <w:rPr>
                <w:color w:val="000000"/>
              </w:rPr>
            </w:pPr>
            <w:r w:rsidRPr="007A0B49">
              <w:rPr>
                <w:color w:val="000000"/>
              </w:rPr>
              <w:t>PASI 75</w:t>
            </w:r>
            <w:r w:rsidRPr="007A0B49">
              <w:rPr>
                <w:color w:val="000000"/>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5A02B367" w14:textId="77777777" w:rsidR="007A0B49" w:rsidRPr="007A0B49" w:rsidRDefault="007A0B49" w:rsidP="007A0B49">
            <w:pPr>
              <w:keepNext/>
              <w:jc w:val="center"/>
              <w:rPr>
                <w:color w:val="000000"/>
              </w:rPr>
            </w:pPr>
            <w:r w:rsidRPr="007A0B49">
              <w:rPr>
                <w:color w:val="000000"/>
              </w:rPr>
              <w:t>12 (32,4 %)</w:t>
            </w:r>
          </w:p>
        </w:tc>
        <w:tc>
          <w:tcPr>
            <w:tcW w:w="3108" w:type="dxa"/>
            <w:tcBorders>
              <w:top w:val="single" w:sz="4" w:space="0" w:color="auto"/>
              <w:left w:val="single" w:sz="4" w:space="0" w:color="auto"/>
              <w:bottom w:val="single" w:sz="4" w:space="0" w:color="auto"/>
              <w:right w:val="single" w:sz="4" w:space="0" w:color="auto"/>
            </w:tcBorders>
            <w:hideMark/>
          </w:tcPr>
          <w:p w14:paraId="34A9658A" w14:textId="77777777" w:rsidR="007A0B49" w:rsidRPr="007A0B49" w:rsidRDefault="007A0B49" w:rsidP="007A0B49">
            <w:pPr>
              <w:keepNext/>
              <w:jc w:val="center"/>
              <w:rPr>
                <w:color w:val="000000"/>
              </w:rPr>
            </w:pPr>
            <w:r w:rsidRPr="007A0B49">
              <w:rPr>
                <w:color w:val="000000"/>
              </w:rPr>
              <w:t>22 (57,9 %)</w:t>
            </w:r>
          </w:p>
        </w:tc>
      </w:tr>
      <w:tr w:rsidR="007A0B49" w:rsidRPr="007A0B49" w14:paraId="1559F38A" w14:textId="77777777" w:rsidTr="004363C9">
        <w:trPr>
          <w:cantSplit/>
        </w:trPr>
        <w:tc>
          <w:tcPr>
            <w:tcW w:w="3118" w:type="dxa"/>
            <w:tcBorders>
              <w:top w:val="single" w:sz="4" w:space="0" w:color="auto"/>
              <w:left w:val="single" w:sz="4" w:space="0" w:color="auto"/>
              <w:bottom w:val="single" w:sz="4" w:space="0" w:color="auto"/>
              <w:right w:val="single" w:sz="4" w:space="0" w:color="auto"/>
            </w:tcBorders>
            <w:hideMark/>
          </w:tcPr>
          <w:p w14:paraId="3060C3A5" w14:textId="77777777" w:rsidR="007A0B49" w:rsidRPr="007A0B49" w:rsidRDefault="007A0B49" w:rsidP="007A0B49">
            <w:pPr>
              <w:keepNext/>
              <w:rPr>
                <w:color w:val="000000"/>
              </w:rPr>
            </w:pPr>
            <w:r w:rsidRPr="007A0B49">
              <w:rPr>
                <w:color w:val="000000"/>
              </w:rPr>
              <w:t>PGA: erscheinungsfrei/ minimal</w:t>
            </w:r>
            <w:r w:rsidRPr="007A0B49">
              <w:rPr>
                <w:color w:val="000000"/>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0B3E567A" w14:textId="77777777" w:rsidR="007A0B49" w:rsidRPr="007A0B49" w:rsidRDefault="007A0B49" w:rsidP="007A0B49">
            <w:pPr>
              <w:keepNext/>
              <w:jc w:val="center"/>
              <w:rPr>
                <w:color w:val="000000"/>
              </w:rPr>
            </w:pPr>
            <w:r w:rsidRPr="007A0B49">
              <w:rPr>
                <w:color w:val="000000"/>
              </w:rPr>
              <w:t>15 (40,5 %)</w:t>
            </w:r>
          </w:p>
        </w:tc>
        <w:tc>
          <w:tcPr>
            <w:tcW w:w="3108" w:type="dxa"/>
            <w:tcBorders>
              <w:top w:val="single" w:sz="4" w:space="0" w:color="auto"/>
              <w:left w:val="single" w:sz="4" w:space="0" w:color="auto"/>
              <w:bottom w:val="single" w:sz="4" w:space="0" w:color="auto"/>
              <w:right w:val="single" w:sz="4" w:space="0" w:color="auto"/>
            </w:tcBorders>
            <w:hideMark/>
          </w:tcPr>
          <w:p w14:paraId="71884F5F" w14:textId="77777777" w:rsidR="007A0B49" w:rsidRPr="007A0B49" w:rsidRDefault="007A0B49" w:rsidP="007A0B49">
            <w:pPr>
              <w:keepNext/>
              <w:jc w:val="center"/>
              <w:rPr>
                <w:color w:val="000000"/>
              </w:rPr>
            </w:pPr>
            <w:r w:rsidRPr="007A0B49">
              <w:rPr>
                <w:color w:val="000000"/>
              </w:rPr>
              <w:t>23 (60,5 %)</w:t>
            </w:r>
          </w:p>
        </w:tc>
      </w:tr>
      <w:tr w:rsidR="007A0B49" w:rsidRPr="00D42C63" w14:paraId="11372C54" w14:textId="77777777" w:rsidTr="004363C9">
        <w:trPr>
          <w:cantSplit/>
        </w:trPr>
        <w:tc>
          <w:tcPr>
            <w:tcW w:w="9303" w:type="dxa"/>
            <w:gridSpan w:val="3"/>
            <w:tcBorders>
              <w:top w:val="single" w:sz="4" w:space="0" w:color="auto"/>
              <w:left w:val="nil"/>
              <w:bottom w:val="nil"/>
              <w:right w:val="nil"/>
            </w:tcBorders>
          </w:tcPr>
          <w:p w14:paraId="36E0AAB5" w14:textId="77777777" w:rsidR="007A0B49" w:rsidRPr="00CB30D8" w:rsidRDefault="007A0B49" w:rsidP="007A0B49">
            <w:pPr>
              <w:ind w:left="270" w:hanging="270"/>
              <w:rPr>
                <w:color w:val="000000"/>
                <w:sz w:val="20"/>
              </w:rPr>
            </w:pPr>
            <w:r w:rsidRPr="00CB30D8">
              <w:rPr>
                <w:color w:val="000000"/>
                <w:sz w:val="20"/>
                <w:vertAlign w:val="superscript"/>
              </w:rPr>
              <w:t>a</w:t>
            </w:r>
            <w:r w:rsidRPr="00CB30D8">
              <w:rPr>
                <w:color w:val="000000"/>
                <w:sz w:val="20"/>
              </w:rPr>
              <w:t xml:space="preserve"> </w:t>
            </w:r>
            <w:r w:rsidRPr="00CB30D8">
              <w:rPr>
                <w:color w:val="000000"/>
                <w:sz w:val="20"/>
              </w:rPr>
              <w:tab/>
              <w:t>MTX = Methotrexat</w:t>
            </w:r>
          </w:p>
          <w:p w14:paraId="6401B6B9" w14:textId="77777777" w:rsidR="007A0B49" w:rsidRPr="00CB30D8" w:rsidRDefault="007A0B49" w:rsidP="007A0B49">
            <w:pPr>
              <w:ind w:left="270" w:hanging="270"/>
              <w:rPr>
                <w:color w:val="000000"/>
                <w:sz w:val="20"/>
              </w:rPr>
            </w:pPr>
            <w:r w:rsidRPr="00CB30D8">
              <w:rPr>
                <w:color w:val="000000"/>
                <w:sz w:val="20"/>
                <w:vertAlign w:val="superscript"/>
              </w:rPr>
              <w:t>b</w:t>
            </w:r>
            <w:r w:rsidRPr="00CB30D8">
              <w:rPr>
                <w:color w:val="000000"/>
                <w:sz w:val="20"/>
              </w:rPr>
              <w:t xml:space="preserve"> </w:t>
            </w:r>
            <w:r w:rsidRPr="00CB30D8">
              <w:rPr>
                <w:color w:val="000000"/>
                <w:sz w:val="20"/>
              </w:rPr>
              <w:tab/>
              <w:t xml:space="preserve">p = 0,027; Adalimumab 0,8 mg/kg </w:t>
            </w:r>
            <w:r w:rsidRPr="00CB30D8">
              <w:rPr>
                <w:i/>
                <w:iCs/>
                <w:color w:val="000000"/>
                <w:sz w:val="20"/>
              </w:rPr>
              <w:t>versus</w:t>
            </w:r>
            <w:r w:rsidRPr="00CB30D8">
              <w:rPr>
                <w:color w:val="000000"/>
                <w:sz w:val="20"/>
              </w:rPr>
              <w:t xml:space="preserve"> MTX</w:t>
            </w:r>
          </w:p>
          <w:p w14:paraId="30CBB04C" w14:textId="77777777" w:rsidR="007A0B49" w:rsidRPr="00206AEA" w:rsidRDefault="007A0B49" w:rsidP="007A0B49">
            <w:pPr>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p = 0,083; Adalimumab 0,8 mg/kg </w:t>
            </w:r>
            <w:r w:rsidRPr="00206AEA">
              <w:rPr>
                <w:i/>
                <w:iCs/>
                <w:color w:val="000000"/>
                <w:sz w:val="20"/>
              </w:rPr>
              <w:t>versus</w:t>
            </w:r>
            <w:r w:rsidRPr="00206AEA">
              <w:rPr>
                <w:color w:val="000000"/>
                <w:sz w:val="20"/>
              </w:rPr>
              <w:t xml:space="preserve"> MTX</w:t>
            </w:r>
          </w:p>
        </w:tc>
      </w:tr>
    </w:tbl>
    <w:p w14:paraId="0CAC4864" w14:textId="77777777" w:rsidR="007A0B49" w:rsidRPr="00D42C63" w:rsidRDefault="007A0B49" w:rsidP="007A0B49">
      <w:pPr>
        <w:rPr>
          <w:color w:val="000000"/>
        </w:rPr>
      </w:pPr>
    </w:p>
    <w:p w14:paraId="4861EECF" w14:textId="77777777" w:rsidR="007A0B49" w:rsidRPr="007A0B49" w:rsidRDefault="007A0B49" w:rsidP="007A0B49">
      <w:pPr>
        <w:kinsoku w:val="0"/>
        <w:overflowPunct w:val="0"/>
        <w:rPr>
          <w:color w:val="000000"/>
        </w:rPr>
      </w:pPr>
      <w:r w:rsidRPr="007A0B49">
        <w:rPr>
          <w:color w:val="000000"/>
        </w:rPr>
        <w:t>Bei Patienten, die PASI-75 und einen PGA, definiert als „erscheinungsfrei“ oder „minimal“, erreichten, wurde die Behandlung bis zu 36 Wochen lang abgesetzt. Diese Patienten wurden dahingehend beobachtet, ob sie einen Rückfall erlitten (z. B. Verschlechterung des PGA um mindestens zwei Grade). Die Behandlung der Patienten wurde dann wieder mit 0,8 mg Adalimumab/kg jede zweite Woche für weitere 16 Wochen aufgenommen. Die Ansprechraten, die während der erneuten Behandlung beobachtet wurden, waren vergleichbar mit denen in der vorherigen doppelblinden Phase: PASI-75-Ansprechen von 78,9 % (15 von 19 Patienten) und PGA (definiert als „erscheinungsfrei“ oder „minimal“) von 52,6 % (10 von 19 Patienten).</w:t>
      </w:r>
    </w:p>
    <w:p w14:paraId="701343CD" w14:textId="77777777" w:rsidR="007A0B49" w:rsidRPr="007A0B49" w:rsidRDefault="007A0B49" w:rsidP="007A0B49">
      <w:pPr>
        <w:kinsoku w:val="0"/>
        <w:overflowPunct w:val="0"/>
        <w:rPr>
          <w:color w:val="000000"/>
        </w:rPr>
      </w:pPr>
    </w:p>
    <w:p w14:paraId="2E1D100D" w14:textId="77777777" w:rsidR="007A0B49" w:rsidRPr="007A0B49" w:rsidRDefault="007A0B49" w:rsidP="007A0B49">
      <w:pPr>
        <w:kinsoku w:val="0"/>
        <w:overflowPunct w:val="0"/>
        <w:rPr>
          <w:color w:val="000000"/>
        </w:rPr>
      </w:pPr>
      <w:r w:rsidRPr="007A0B49">
        <w:rPr>
          <w:color w:val="000000"/>
        </w:rPr>
        <w:lastRenderedPageBreak/>
        <w:t>In der offenen Fortsetzungsphase der Studie wurden für bis zu weitere</w:t>
      </w:r>
      <w:r w:rsidR="00091B01">
        <w:rPr>
          <w:color w:val="000000"/>
        </w:rPr>
        <w:t>n</w:t>
      </w:r>
      <w:r w:rsidRPr="007A0B49">
        <w:rPr>
          <w:color w:val="000000"/>
        </w:rPr>
        <w:t xml:space="preserve"> 52 Wochen ein PASI-75-Ansprechen und PGA, definiert als „erscheinungsfrei“ oder „minimal“, aufrechterhalten; es gab keine neuen Erkenntnisse zur Sicherheit.</w:t>
      </w:r>
    </w:p>
    <w:p w14:paraId="2BFD90E0" w14:textId="77777777" w:rsidR="007A0B49" w:rsidRDefault="007A0B49" w:rsidP="007A0B49">
      <w:pPr>
        <w:kinsoku w:val="0"/>
        <w:overflowPunct w:val="0"/>
        <w:rPr>
          <w:color w:val="000000"/>
        </w:rPr>
      </w:pPr>
    </w:p>
    <w:p w14:paraId="39ABA629" w14:textId="77777777" w:rsidR="008E5C0E" w:rsidRDefault="008E5C0E" w:rsidP="008E5C0E">
      <w:pPr>
        <w:kinsoku w:val="0"/>
        <w:overflowPunct w:val="0"/>
        <w:rPr>
          <w:i/>
          <w:iCs/>
          <w:color w:val="000000"/>
        </w:rPr>
      </w:pPr>
      <w:r w:rsidRPr="008E5C0E">
        <w:rPr>
          <w:i/>
          <w:iCs/>
          <w:color w:val="000000"/>
        </w:rPr>
        <w:t>Hidradenitis suppurativa (Acne inversa) bei Jugendlichen</w:t>
      </w:r>
    </w:p>
    <w:p w14:paraId="091242FF" w14:textId="77777777" w:rsidR="008E5C0E" w:rsidRPr="008E5C0E" w:rsidRDefault="008E5C0E" w:rsidP="008E5C0E">
      <w:pPr>
        <w:kinsoku w:val="0"/>
        <w:overflowPunct w:val="0"/>
        <w:rPr>
          <w:i/>
          <w:iCs/>
          <w:color w:val="000000"/>
        </w:rPr>
      </w:pPr>
    </w:p>
    <w:p w14:paraId="1CA0EAC9" w14:textId="77777777" w:rsidR="008E5C0E" w:rsidRDefault="008E5C0E" w:rsidP="008E5C0E">
      <w:pPr>
        <w:kinsoku w:val="0"/>
        <w:overflowPunct w:val="0"/>
        <w:rPr>
          <w:color w:val="000000"/>
        </w:rPr>
      </w:pPr>
      <w:r w:rsidRPr="008E5C0E">
        <w:rPr>
          <w:color w:val="000000"/>
        </w:rPr>
        <w:t xml:space="preserve">Es gibt keine klinischen Studien mit </w:t>
      </w:r>
      <w:r>
        <w:rPr>
          <w:color w:val="000000"/>
        </w:rPr>
        <w:t>Adalimumab</w:t>
      </w:r>
      <w:r w:rsidRPr="008E5C0E">
        <w:rPr>
          <w:color w:val="000000"/>
        </w:rPr>
        <w:t xml:space="preserve"> bei jugendlichen Patienten mit Hidradenitis suppurativa</w:t>
      </w:r>
      <w:r>
        <w:rPr>
          <w:color w:val="000000"/>
        </w:rPr>
        <w:t xml:space="preserve"> </w:t>
      </w:r>
      <w:r w:rsidRPr="008E5C0E">
        <w:rPr>
          <w:color w:val="000000"/>
        </w:rPr>
        <w:t>(HS). Es ist zu erwarten,</w:t>
      </w:r>
      <w:r>
        <w:rPr>
          <w:color w:val="000000"/>
        </w:rPr>
        <w:t xml:space="preserve"> </w:t>
      </w:r>
      <w:r w:rsidRPr="008E5C0E">
        <w:rPr>
          <w:color w:val="000000"/>
        </w:rPr>
        <w:t>dass Adalimumab bei der Behandlung von jugendlichen Patienten mit HS wirksam ist, da die</w:t>
      </w:r>
      <w:r>
        <w:rPr>
          <w:color w:val="000000"/>
        </w:rPr>
        <w:t xml:space="preserve"> </w:t>
      </w:r>
      <w:r w:rsidRPr="008E5C0E">
        <w:rPr>
          <w:color w:val="000000"/>
        </w:rPr>
        <w:t>Wirksamkeit und die Dosis-Wirkungsbeziehung bei erwachsenen HS-Patienten nachgewiesen wurde</w:t>
      </w:r>
      <w:r>
        <w:rPr>
          <w:color w:val="000000"/>
        </w:rPr>
        <w:t xml:space="preserve"> </w:t>
      </w:r>
      <w:r w:rsidRPr="008E5C0E">
        <w:rPr>
          <w:color w:val="000000"/>
        </w:rPr>
        <w:t>und es wahrscheinlich ist, dass Krankheitsverlauf, Pathophysiologie und Arzneimittelwirkungen bei</w:t>
      </w:r>
      <w:r>
        <w:rPr>
          <w:color w:val="000000"/>
        </w:rPr>
        <w:t xml:space="preserve"> </w:t>
      </w:r>
      <w:r w:rsidRPr="008E5C0E">
        <w:rPr>
          <w:color w:val="000000"/>
        </w:rPr>
        <w:t>gleicher Exposition im Wesentlichen ähnlich sind wie bei Erwachsenen. Die Sicherheit der</w:t>
      </w:r>
      <w:r>
        <w:rPr>
          <w:color w:val="000000"/>
        </w:rPr>
        <w:t xml:space="preserve"> </w:t>
      </w:r>
      <w:r w:rsidRPr="008E5C0E">
        <w:rPr>
          <w:color w:val="000000"/>
        </w:rPr>
        <w:t xml:space="preserve">empfohlenen </w:t>
      </w:r>
      <w:r>
        <w:rPr>
          <w:color w:val="000000"/>
        </w:rPr>
        <w:t>Adalimumab</w:t>
      </w:r>
      <w:r w:rsidRPr="008E5C0E">
        <w:rPr>
          <w:color w:val="000000"/>
        </w:rPr>
        <w:t>-Dosis bei Jugendlichen mit HS basiert auf dem indikationsübergreifenden</w:t>
      </w:r>
      <w:r>
        <w:rPr>
          <w:color w:val="000000"/>
        </w:rPr>
        <w:t xml:space="preserve"> </w:t>
      </w:r>
      <w:r w:rsidRPr="008E5C0E">
        <w:rPr>
          <w:color w:val="000000"/>
        </w:rPr>
        <w:t>Sicherheitsprofil von Adalimumab bei Erwachsenen sowie Kindern und Jugendlichen bei ähnlicher</w:t>
      </w:r>
      <w:r>
        <w:rPr>
          <w:color w:val="000000"/>
        </w:rPr>
        <w:t xml:space="preserve"> </w:t>
      </w:r>
      <w:r w:rsidRPr="008E5C0E">
        <w:rPr>
          <w:color w:val="000000"/>
        </w:rPr>
        <w:t>Dosierung oder häufigerer Gabe (siehe Abschnitt</w:t>
      </w:r>
      <w:r>
        <w:rPr>
          <w:color w:val="000000"/>
        </w:rPr>
        <w:t> </w:t>
      </w:r>
      <w:r w:rsidRPr="008E5C0E">
        <w:rPr>
          <w:color w:val="000000"/>
        </w:rPr>
        <w:t>5.2).</w:t>
      </w:r>
    </w:p>
    <w:p w14:paraId="645BD2B2" w14:textId="77777777" w:rsidR="008E5C0E" w:rsidRDefault="008E5C0E" w:rsidP="008E5C0E">
      <w:pPr>
        <w:kinsoku w:val="0"/>
        <w:overflowPunct w:val="0"/>
        <w:rPr>
          <w:color w:val="000000"/>
        </w:rPr>
      </w:pPr>
    </w:p>
    <w:p w14:paraId="31AEE0EA" w14:textId="77777777" w:rsidR="007A0B49" w:rsidRPr="007A0B49" w:rsidRDefault="007A0B49" w:rsidP="007A0B49">
      <w:pPr>
        <w:keepNext/>
        <w:kinsoku w:val="0"/>
        <w:overflowPunct w:val="0"/>
        <w:rPr>
          <w:i/>
          <w:iCs/>
          <w:color w:val="000000"/>
        </w:rPr>
      </w:pPr>
      <w:r w:rsidRPr="007A0B49">
        <w:rPr>
          <w:i/>
          <w:iCs/>
          <w:color w:val="000000"/>
        </w:rPr>
        <w:t>Morbus Crohn bei Kindern und Jugendlichen</w:t>
      </w:r>
    </w:p>
    <w:p w14:paraId="1CF73A37" w14:textId="77777777" w:rsidR="007A0B49" w:rsidRPr="007A0B49" w:rsidRDefault="007A0B49" w:rsidP="007A0B49">
      <w:pPr>
        <w:keepNext/>
        <w:kinsoku w:val="0"/>
        <w:overflowPunct w:val="0"/>
        <w:rPr>
          <w:color w:val="000000"/>
        </w:rPr>
      </w:pPr>
    </w:p>
    <w:p w14:paraId="53811537" w14:textId="77777777" w:rsidR="007A0B49" w:rsidRPr="007A0B49" w:rsidRDefault="007A0B49" w:rsidP="007A0B49">
      <w:pPr>
        <w:kinsoku w:val="0"/>
        <w:overflowPunct w:val="0"/>
        <w:rPr>
          <w:color w:val="000000"/>
        </w:rPr>
      </w:pPr>
      <w:r w:rsidRPr="007A0B49">
        <w:rPr>
          <w:color w:val="000000"/>
        </w:rPr>
        <w:t xml:space="preserve">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Morbus-Crohn-Aktivitätsindex(PCDAI)-Score &gt; 30, eingeschlossen. Die Dosis war abhängig vom Körpergewicht (&lt; 40 kg oder ≥ 40 kg). Eingeschlossen wurden Patienten, bei denen eine konventionelle MC-Therapie (einschließlich eines </w:t>
      </w:r>
      <w:r w:rsidR="00091B01">
        <w:rPr>
          <w:color w:val="000000"/>
        </w:rPr>
        <w:t>K</w:t>
      </w:r>
      <w:r w:rsidRPr="007A0B49">
        <w:rPr>
          <w:color w:val="000000"/>
        </w:rPr>
        <w:t>ortiko</w:t>
      </w:r>
      <w:r w:rsidR="00091B01">
        <w:rPr>
          <w:color w:val="000000"/>
        </w:rPr>
        <w:t>stro</w:t>
      </w:r>
      <w:r w:rsidRPr="007A0B49">
        <w:rPr>
          <w:color w:val="000000"/>
        </w:rPr>
        <w:t xml:space="preserve">ids und/oder eines Immunsuppressivums) versagt hatte. Es wurden auch Patienten eingeschlossen, die unter Infliximab-Therapie einen Verlust des klinischen Ansprechens oder eine Unverträglichkeit </w:t>
      </w:r>
      <w:r w:rsidR="00091B01">
        <w:rPr>
          <w:color w:val="000000"/>
        </w:rPr>
        <w:t>entwickelt</w:t>
      </w:r>
      <w:r w:rsidRPr="007A0B49">
        <w:rPr>
          <w:color w:val="000000"/>
        </w:rPr>
        <w:t xml:space="preserve"> hatten.</w:t>
      </w:r>
    </w:p>
    <w:p w14:paraId="1A17B287" w14:textId="77777777" w:rsidR="007A0B49" w:rsidRPr="007A0B49" w:rsidRDefault="007A0B49" w:rsidP="007A0B49">
      <w:pPr>
        <w:kinsoku w:val="0"/>
        <w:overflowPunct w:val="0"/>
        <w:rPr>
          <w:color w:val="000000"/>
        </w:rPr>
      </w:pPr>
    </w:p>
    <w:p w14:paraId="1A28ACD4" w14:textId="77777777" w:rsidR="007A0B49" w:rsidRPr="007A0B49" w:rsidRDefault="007A0B49" w:rsidP="007A0B49">
      <w:pPr>
        <w:kinsoku w:val="0"/>
        <w:overflowPunct w:val="0"/>
        <w:rPr>
          <w:color w:val="000000"/>
        </w:rPr>
      </w:pPr>
      <w:r w:rsidRPr="007A0B49">
        <w:rPr>
          <w:color w:val="000000"/>
        </w:rPr>
        <w:t>Alle Patienten erhielten eine offene Induktionstherapie mit einer Dosis auf Basis des Körpergewichts zu Studienbeginn: 160 mg zu Woche 0 und 80 mg zu Woche 2 für Patienten ≥ 40 kg bzw. 80 mg und 40 mg für Patienten &lt; 40 kg.</w:t>
      </w:r>
    </w:p>
    <w:p w14:paraId="257AF4F1" w14:textId="77777777" w:rsidR="007A0B49" w:rsidRPr="007A0B49" w:rsidRDefault="007A0B49" w:rsidP="007A0B49">
      <w:pPr>
        <w:kinsoku w:val="0"/>
        <w:overflowPunct w:val="0"/>
        <w:rPr>
          <w:color w:val="000000"/>
        </w:rPr>
      </w:pPr>
    </w:p>
    <w:p w14:paraId="791396AB" w14:textId="77777777" w:rsidR="007A0B49" w:rsidRPr="007A0B49" w:rsidRDefault="007A0B49" w:rsidP="007A0B49">
      <w:pPr>
        <w:kinsoku w:val="0"/>
        <w:overflowPunct w:val="0"/>
        <w:rPr>
          <w:color w:val="000000"/>
        </w:rPr>
      </w:pPr>
      <w:r w:rsidRPr="007A0B49">
        <w:rPr>
          <w:color w:val="000000"/>
        </w:rPr>
        <w:t>Zu Woche 4 wurden die Patienten 1:1 auf Basis des derzeitigen Körpergewichts</w:t>
      </w:r>
      <w:r w:rsidR="00091B01">
        <w:rPr>
          <w:color w:val="000000"/>
        </w:rPr>
        <w:t xml:space="preserve"> entweder</w:t>
      </w:r>
      <w:r w:rsidRPr="007A0B49">
        <w:rPr>
          <w:color w:val="000000"/>
        </w:rPr>
        <w:t xml:space="preserve"> einem Behandlungsschema mit niedriger Dosis oder Standarddosis nach dem Zufallsprinzip zugeteilt (siehe Tabelle 2</w:t>
      </w:r>
      <w:r w:rsidR="00215D48">
        <w:rPr>
          <w:color w:val="000000"/>
        </w:rPr>
        <w:t>3</w:t>
      </w:r>
      <w:r w:rsidRPr="007A0B49">
        <w:rPr>
          <w:color w:val="000000"/>
        </w:rPr>
        <w:t>).</w:t>
      </w:r>
    </w:p>
    <w:p w14:paraId="7F880525" w14:textId="77777777" w:rsidR="007A0B49" w:rsidRPr="007A0B49" w:rsidRDefault="007A0B49" w:rsidP="007A0B49">
      <w:pPr>
        <w:kinsoku w:val="0"/>
        <w:overflowPunct w:val="0"/>
        <w:rPr>
          <w:color w:val="000000"/>
        </w:rPr>
      </w:pPr>
    </w:p>
    <w:p w14:paraId="203A535B" w14:textId="77777777" w:rsidR="007A0B49" w:rsidRPr="007A0B49" w:rsidRDefault="007A0B49" w:rsidP="008419B6">
      <w:pPr>
        <w:keepNext/>
        <w:kinsoku w:val="0"/>
        <w:overflowPunct w:val="0"/>
        <w:rPr>
          <w:b/>
          <w:color w:val="000000"/>
        </w:rPr>
      </w:pPr>
      <w:r w:rsidRPr="007A0B49">
        <w:rPr>
          <w:b/>
          <w:color w:val="000000"/>
        </w:rPr>
        <w:t>Tabelle 2</w:t>
      </w:r>
      <w:r w:rsidR="00215D48">
        <w:rPr>
          <w:b/>
          <w:color w:val="000000"/>
        </w:rPr>
        <w:t>3</w:t>
      </w:r>
    </w:p>
    <w:p w14:paraId="789C87B9" w14:textId="77777777" w:rsidR="007A0B49" w:rsidRPr="007A0B49" w:rsidRDefault="007A0B49" w:rsidP="008419B6">
      <w:pPr>
        <w:keepNext/>
        <w:kinsoku w:val="0"/>
        <w:overflowPunct w:val="0"/>
        <w:rPr>
          <w:b/>
          <w:color w:val="000000"/>
        </w:rPr>
      </w:pPr>
      <w:r w:rsidRPr="007A0B49">
        <w:rPr>
          <w:b/>
          <w:color w:val="000000"/>
        </w:rPr>
        <w:t>Erhaltungsdosis</w:t>
      </w:r>
    </w:p>
    <w:p w14:paraId="280FB0DB" w14:textId="77777777" w:rsidR="007A0B49" w:rsidRPr="007A0B49" w:rsidRDefault="007A0B49" w:rsidP="008419B6">
      <w:pPr>
        <w:keepNext/>
        <w:kinsoku w:val="0"/>
        <w:overflowPunct w:val="0"/>
        <w:rPr>
          <w:b/>
          <w:color w:val="000000"/>
        </w:rPr>
      </w:pPr>
    </w:p>
    <w:tbl>
      <w:tblPr>
        <w:tblW w:w="4684" w:type="pct"/>
        <w:tblLayout w:type="fixed"/>
        <w:tblCellMar>
          <w:left w:w="0" w:type="dxa"/>
          <w:right w:w="0" w:type="dxa"/>
        </w:tblCellMar>
        <w:tblLook w:val="0000" w:firstRow="0" w:lastRow="0" w:firstColumn="0" w:lastColumn="0" w:noHBand="0" w:noVBand="0"/>
      </w:tblPr>
      <w:tblGrid>
        <w:gridCol w:w="3117"/>
        <w:gridCol w:w="2405"/>
        <w:gridCol w:w="2970"/>
      </w:tblGrid>
      <w:tr w:rsidR="007A0B49" w:rsidRPr="007A0B49" w14:paraId="0B7CB443" w14:textId="77777777" w:rsidTr="004363C9">
        <w:trPr>
          <w:cantSplit/>
          <w:tblHeader/>
        </w:trPr>
        <w:tc>
          <w:tcPr>
            <w:tcW w:w="3124" w:type="dxa"/>
            <w:tcBorders>
              <w:top w:val="single" w:sz="4" w:space="0" w:color="000000"/>
              <w:left w:val="single" w:sz="4" w:space="0" w:color="000000"/>
              <w:bottom w:val="single" w:sz="4" w:space="0" w:color="000000"/>
              <w:right w:val="single" w:sz="4" w:space="0" w:color="000000"/>
            </w:tcBorders>
          </w:tcPr>
          <w:p w14:paraId="7D0083B8" w14:textId="77777777" w:rsidR="007A0B49" w:rsidRPr="007A0B49" w:rsidRDefault="007A0B49" w:rsidP="00215D48">
            <w:pPr>
              <w:keepNext/>
              <w:kinsoku w:val="0"/>
              <w:overflowPunct w:val="0"/>
              <w:ind w:left="102" w:right="188"/>
              <w:jc w:val="center"/>
              <w:rPr>
                <w:rFonts w:eastAsia="Calibri"/>
                <w:color w:val="000000"/>
              </w:rPr>
            </w:pPr>
            <w:r w:rsidRPr="007A0B49">
              <w:rPr>
                <w:rFonts w:eastAsia="Calibri"/>
                <w:b/>
                <w:bCs/>
                <w:color w:val="000000"/>
              </w:rPr>
              <w:t>Patienten</w:t>
            </w:r>
            <w:r w:rsidR="006E02C3">
              <w:rPr>
                <w:rFonts w:eastAsia="Calibri"/>
                <w:b/>
                <w:bCs/>
                <w:color w:val="000000"/>
              </w:rPr>
              <w:t>gewicht</w:t>
            </w:r>
          </w:p>
        </w:tc>
        <w:tc>
          <w:tcPr>
            <w:tcW w:w="2410" w:type="dxa"/>
            <w:tcBorders>
              <w:top w:val="single" w:sz="4" w:space="0" w:color="000000"/>
              <w:left w:val="single" w:sz="4" w:space="0" w:color="000000"/>
              <w:bottom w:val="single" w:sz="4" w:space="0" w:color="000000"/>
              <w:right w:val="single" w:sz="4" w:space="0" w:color="000000"/>
            </w:tcBorders>
          </w:tcPr>
          <w:p w14:paraId="17CA1299" w14:textId="77777777" w:rsidR="007A0B49" w:rsidRPr="007A0B49" w:rsidRDefault="007A0B49" w:rsidP="00AB75EC">
            <w:pPr>
              <w:keepNext/>
              <w:kinsoku w:val="0"/>
              <w:overflowPunct w:val="0"/>
              <w:spacing w:line="251" w:lineRule="exact"/>
              <w:ind w:left="100"/>
              <w:jc w:val="center"/>
              <w:rPr>
                <w:rFonts w:eastAsia="Calibri"/>
                <w:color w:val="000000"/>
              </w:rPr>
            </w:pPr>
            <w:r w:rsidRPr="007A0B49">
              <w:rPr>
                <w:rFonts w:eastAsia="Calibri"/>
                <w:b/>
                <w:bCs/>
                <w:color w:val="000000"/>
              </w:rPr>
              <w:t>Niedrige Dosis</w:t>
            </w:r>
          </w:p>
        </w:tc>
        <w:tc>
          <w:tcPr>
            <w:tcW w:w="2976" w:type="dxa"/>
            <w:tcBorders>
              <w:top w:val="single" w:sz="4" w:space="0" w:color="000000"/>
              <w:left w:val="single" w:sz="4" w:space="0" w:color="000000"/>
              <w:bottom w:val="single" w:sz="4" w:space="0" w:color="000000"/>
              <w:right w:val="single" w:sz="4" w:space="0" w:color="000000"/>
            </w:tcBorders>
          </w:tcPr>
          <w:p w14:paraId="3E3828A9" w14:textId="77777777" w:rsidR="007A0B49" w:rsidRPr="007A0B49" w:rsidRDefault="007A0B49" w:rsidP="00672048">
            <w:pPr>
              <w:keepNext/>
              <w:kinsoku w:val="0"/>
              <w:overflowPunct w:val="0"/>
              <w:ind w:left="102" w:right="213"/>
              <w:jc w:val="center"/>
              <w:rPr>
                <w:rFonts w:eastAsia="Calibri"/>
                <w:color w:val="000000"/>
              </w:rPr>
            </w:pPr>
            <w:r w:rsidRPr="007A0B49">
              <w:rPr>
                <w:rFonts w:eastAsia="Calibri"/>
                <w:b/>
                <w:bCs/>
                <w:color w:val="000000"/>
              </w:rPr>
              <w:t>Standarddosis</w:t>
            </w:r>
          </w:p>
        </w:tc>
      </w:tr>
      <w:tr w:rsidR="007A0B49" w:rsidRPr="007A0B49" w14:paraId="3D6478E3" w14:textId="77777777" w:rsidTr="004363C9">
        <w:trPr>
          <w:cantSplit/>
        </w:trPr>
        <w:tc>
          <w:tcPr>
            <w:tcW w:w="3124" w:type="dxa"/>
            <w:tcBorders>
              <w:top w:val="single" w:sz="4" w:space="0" w:color="000000"/>
              <w:left w:val="single" w:sz="4" w:space="0" w:color="000000"/>
              <w:bottom w:val="single" w:sz="4" w:space="0" w:color="000000"/>
              <w:right w:val="single" w:sz="4" w:space="0" w:color="000000"/>
            </w:tcBorders>
          </w:tcPr>
          <w:p w14:paraId="4A1C3226" w14:textId="77777777" w:rsidR="007A0B49" w:rsidRPr="007A0B49" w:rsidRDefault="007A0B49" w:rsidP="007A0B49">
            <w:pPr>
              <w:kinsoku w:val="0"/>
              <w:overflowPunct w:val="0"/>
              <w:spacing w:line="249" w:lineRule="exact"/>
              <w:ind w:left="102"/>
              <w:jc w:val="center"/>
              <w:rPr>
                <w:rFonts w:eastAsia="Calibri"/>
                <w:color w:val="000000"/>
              </w:rPr>
            </w:pPr>
            <w:r w:rsidRPr="007A0B49">
              <w:rPr>
                <w:rFonts w:eastAsia="Calibri"/>
                <w:color w:val="000000"/>
              </w:rPr>
              <w:t>&lt; 40 kg</w:t>
            </w:r>
          </w:p>
        </w:tc>
        <w:tc>
          <w:tcPr>
            <w:tcW w:w="2410" w:type="dxa"/>
            <w:tcBorders>
              <w:top w:val="single" w:sz="4" w:space="0" w:color="000000"/>
              <w:left w:val="single" w:sz="4" w:space="0" w:color="000000"/>
              <w:bottom w:val="single" w:sz="4" w:space="0" w:color="000000"/>
              <w:right w:val="single" w:sz="4" w:space="0" w:color="000000"/>
            </w:tcBorders>
          </w:tcPr>
          <w:p w14:paraId="36BCC468" w14:textId="77777777" w:rsidR="007A0B49" w:rsidRPr="007A0B49" w:rsidRDefault="007A0B49" w:rsidP="007A0B49">
            <w:pPr>
              <w:kinsoku w:val="0"/>
              <w:overflowPunct w:val="0"/>
              <w:spacing w:line="249" w:lineRule="exact"/>
              <w:ind w:left="100"/>
              <w:jc w:val="center"/>
              <w:rPr>
                <w:rFonts w:eastAsia="Calibri"/>
                <w:color w:val="000000"/>
              </w:rPr>
            </w:pPr>
            <w:r w:rsidRPr="007A0B49">
              <w:rPr>
                <w:rFonts w:eastAsia="Calibri"/>
                <w:color w:val="000000"/>
              </w:rPr>
              <w:t xml:space="preserve">10 mg </w:t>
            </w:r>
            <w:r w:rsidR="006E02C3">
              <w:rPr>
                <w:rFonts w:eastAsia="Calibri"/>
                <w:color w:val="000000"/>
              </w:rPr>
              <w:t>jede zweite Woche</w:t>
            </w:r>
          </w:p>
        </w:tc>
        <w:tc>
          <w:tcPr>
            <w:tcW w:w="2976" w:type="dxa"/>
            <w:tcBorders>
              <w:top w:val="single" w:sz="4" w:space="0" w:color="000000"/>
              <w:left w:val="single" w:sz="4" w:space="0" w:color="000000"/>
              <w:bottom w:val="single" w:sz="4" w:space="0" w:color="000000"/>
              <w:right w:val="single" w:sz="4" w:space="0" w:color="000000"/>
            </w:tcBorders>
          </w:tcPr>
          <w:p w14:paraId="02C79324" w14:textId="77777777" w:rsidR="007A0B49" w:rsidRPr="007A0B49" w:rsidRDefault="007A0B49" w:rsidP="007A0B49">
            <w:pPr>
              <w:kinsoku w:val="0"/>
              <w:overflowPunct w:val="0"/>
              <w:spacing w:line="249" w:lineRule="exact"/>
              <w:ind w:left="102"/>
              <w:jc w:val="center"/>
              <w:rPr>
                <w:rFonts w:eastAsia="Calibri"/>
                <w:color w:val="000000"/>
              </w:rPr>
            </w:pPr>
            <w:r w:rsidRPr="007A0B49">
              <w:rPr>
                <w:rFonts w:eastAsia="Calibri"/>
                <w:color w:val="000000"/>
              </w:rPr>
              <w:t xml:space="preserve">20 mg </w:t>
            </w:r>
            <w:r w:rsidR="006E02C3">
              <w:rPr>
                <w:rFonts w:eastAsia="Calibri"/>
                <w:color w:val="000000"/>
              </w:rPr>
              <w:t>jede zweite Woche</w:t>
            </w:r>
          </w:p>
        </w:tc>
      </w:tr>
      <w:tr w:rsidR="007A0B49" w:rsidRPr="007A0B49" w14:paraId="27F8B039" w14:textId="77777777" w:rsidTr="004363C9">
        <w:trPr>
          <w:cantSplit/>
        </w:trPr>
        <w:tc>
          <w:tcPr>
            <w:tcW w:w="3124" w:type="dxa"/>
            <w:tcBorders>
              <w:top w:val="single" w:sz="4" w:space="0" w:color="000000"/>
              <w:left w:val="single" w:sz="4" w:space="0" w:color="000000"/>
              <w:bottom w:val="single" w:sz="4" w:space="0" w:color="000000"/>
              <w:right w:val="single" w:sz="4" w:space="0" w:color="000000"/>
            </w:tcBorders>
          </w:tcPr>
          <w:p w14:paraId="527E67C5" w14:textId="77777777" w:rsidR="007A0B49" w:rsidRPr="007A0B49" w:rsidRDefault="007A0B49" w:rsidP="007A0B49">
            <w:pPr>
              <w:kinsoku w:val="0"/>
              <w:overflowPunct w:val="0"/>
              <w:spacing w:line="251" w:lineRule="exact"/>
              <w:ind w:left="102"/>
              <w:jc w:val="center"/>
              <w:rPr>
                <w:rFonts w:eastAsia="Calibri"/>
                <w:color w:val="000000"/>
              </w:rPr>
            </w:pPr>
            <w:r w:rsidRPr="007A0B49">
              <w:rPr>
                <w:rFonts w:eastAsia="Calibri"/>
                <w:color w:val="000000"/>
              </w:rPr>
              <w:t>≥ 40 kg</w:t>
            </w:r>
          </w:p>
        </w:tc>
        <w:tc>
          <w:tcPr>
            <w:tcW w:w="2410" w:type="dxa"/>
            <w:tcBorders>
              <w:top w:val="single" w:sz="4" w:space="0" w:color="000000"/>
              <w:left w:val="single" w:sz="4" w:space="0" w:color="000000"/>
              <w:bottom w:val="single" w:sz="4" w:space="0" w:color="000000"/>
              <w:right w:val="single" w:sz="4" w:space="0" w:color="000000"/>
            </w:tcBorders>
          </w:tcPr>
          <w:p w14:paraId="565FD019" w14:textId="77777777" w:rsidR="007A0B49" w:rsidRPr="007A0B49" w:rsidRDefault="007A0B49" w:rsidP="007A0B49">
            <w:pPr>
              <w:kinsoku w:val="0"/>
              <w:overflowPunct w:val="0"/>
              <w:spacing w:line="251" w:lineRule="exact"/>
              <w:ind w:left="100"/>
              <w:jc w:val="center"/>
              <w:rPr>
                <w:rFonts w:eastAsia="Calibri"/>
                <w:color w:val="000000"/>
              </w:rPr>
            </w:pPr>
            <w:r w:rsidRPr="007A0B49">
              <w:rPr>
                <w:rFonts w:eastAsia="Calibri"/>
                <w:color w:val="000000"/>
              </w:rPr>
              <w:t xml:space="preserve">20 mg </w:t>
            </w:r>
            <w:r w:rsidR="006E02C3">
              <w:rPr>
                <w:rFonts w:eastAsia="Calibri"/>
                <w:color w:val="000000"/>
              </w:rPr>
              <w:t>jede zweite Woche</w:t>
            </w:r>
          </w:p>
        </w:tc>
        <w:tc>
          <w:tcPr>
            <w:tcW w:w="2976" w:type="dxa"/>
            <w:tcBorders>
              <w:top w:val="single" w:sz="4" w:space="0" w:color="000000"/>
              <w:left w:val="single" w:sz="4" w:space="0" w:color="000000"/>
              <w:bottom w:val="single" w:sz="4" w:space="0" w:color="000000"/>
              <w:right w:val="single" w:sz="4" w:space="0" w:color="000000"/>
            </w:tcBorders>
          </w:tcPr>
          <w:p w14:paraId="34BF3FA0" w14:textId="77777777" w:rsidR="007A0B49" w:rsidRPr="007A0B49" w:rsidRDefault="007A0B49" w:rsidP="007A0B49">
            <w:pPr>
              <w:kinsoku w:val="0"/>
              <w:overflowPunct w:val="0"/>
              <w:spacing w:line="251" w:lineRule="exact"/>
              <w:ind w:left="102"/>
              <w:jc w:val="center"/>
              <w:rPr>
                <w:rFonts w:eastAsia="Calibri"/>
                <w:color w:val="000000"/>
              </w:rPr>
            </w:pPr>
            <w:r w:rsidRPr="007A0B49">
              <w:rPr>
                <w:rFonts w:eastAsia="Calibri"/>
                <w:color w:val="000000"/>
              </w:rPr>
              <w:t xml:space="preserve">40 mg </w:t>
            </w:r>
            <w:r w:rsidR="006E02C3">
              <w:rPr>
                <w:rFonts w:eastAsia="Calibri"/>
                <w:color w:val="000000"/>
              </w:rPr>
              <w:t>jede zweite Woche</w:t>
            </w:r>
          </w:p>
        </w:tc>
      </w:tr>
    </w:tbl>
    <w:p w14:paraId="0A8D3F0C" w14:textId="77777777" w:rsidR="007A0B49" w:rsidRPr="006E02C3" w:rsidRDefault="007A0B49" w:rsidP="007A0B49">
      <w:pPr>
        <w:kinsoku w:val="0"/>
        <w:overflowPunct w:val="0"/>
        <w:rPr>
          <w:bCs/>
          <w:color w:val="000000"/>
        </w:rPr>
      </w:pPr>
    </w:p>
    <w:p w14:paraId="67B855A5" w14:textId="77777777" w:rsidR="007A0B49" w:rsidRPr="007A0B49" w:rsidRDefault="007A0B49" w:rsidP="007A0B49">
      <w:pPr>
        <w:keepNext/>
        <w:kinsoku w:val="0"/>
        <w:overflowPunct w:val="0"/>
        <w:rPr>
          <w:color w:val="000000"/>
        </w:rPr>
      </w:pPr>
      <w:r w:rsidRPr="007A0B49">
        <w:rPr>
          <w:i/>
          <w:iCs/>
          <w:color w:val="000000"/>
          <w:u w:val="single"/>
        </w:rPr>
        <w:t>Ergebnisse zur Wirksamkeit</w:t>
      </w:r>
    </w:p>
    <w:p w14:paraId="25BA942D" w14:textId="77777777" w:rsidR="007A0B49" w:rsidRPr="007A0B49" w:rsidRDefault="007A0B49" w:rsidP="007A0B49">
      <w:pPr>
        <w:keepNext/>
        <w:kinsoku w:val="0"/>
        <w:overflowPunct w:val="0"/>
        <w:rPr>
          <w:i/>
          <w:iCs/>
          <w:color w:val="000000"/>
          <w:lang w:val="en-GB"/>
        </w:rPr>
      </w:pPr>
    </w:p>
    <w:p w14:paraId="01D35825" w14:textId="77777777" w:rsidR="007A0B49" w:rsidRPr="007A0B49" w:rsidRDefault="007A0B49" w:rsidP="007A0B49">
      <w:pPr>
        <w:kinsoku w:val="0"/>
        <w:overflowPunct w:val="0"/>
        <w:rPr>
          <w:color w:val="000000"/>
        </w:rPr>
      </w:pPr>
      <w:r w:rsidRPr="007A0B49">
        <w:rPr>
          <w:color w:val="000000"/>
        </w:rPr>
        <w:t xml:space="preserve">Der primäre Endpunkt der Studie war die klinische Remission </w:t>
      </w:r>
      <w:r w:rsidR="006E02C3">
        <w:rPr>
          <w:color w:val="000000"/>
        </w:rPr>
        <w:t>in</w:t>
      </w:r>
      <w:r w:rsidRPr="007A0B49">
        <w:rPr>
          <w:color w:val="000000"/>
        </w:rPr>
        <w:t xml:space="preserve"> Woche 26, definiert als PCDAI-Score ≤ 10.</w:t>
      </w:r>
    </w:p>
    <w:p w14:paraId="23E93618" w14:textId="77777777" w:rsidR="007A0B49" w:rsidRPr="007A0B49" w:rsidRDefault="007A0B49" w:rsidP="007A0B49">
      <w:pPr>
        <w:kinsoku w:val="0"/>
        <w:overflowPunct w:val="0"/>
        <w:rPr>
          <w:color w:val="000000"/>
        </w:rPr>
      </w:pPr>
    </w:p>
    <w:p w14:paraId="44CD0878" w14:textId="77777777" w:rsidR="007A0B49" w:rsidRPr="007A0B49" w:rsidRDefault="007A0B49" w:rsidP="007A0B49">
      <w:pPr>
        <w:kinsoku w:val="0"/>
        <w:overflowPunct w:val="0"/>
        <w:rPr>
          <w:color w:val="000000"/>
        </w:rPr>
      </w:pPr>
      <w:r w:rsidRPr="007A0B49">
        <w:rPr>
          <w:color w:val="000000"/>
        </w:rPr>
        <w:t>Die Raten zur klinischen Remission und zum klinischen Ansprechen (definiert als Verringerung im PCDAI-Score um mindestens 15 Punkte im Vergleich zu Studienbeginn) sind in Tabelle 2</w:t>
      </w:r>
      <w:r w:rsidR="00215D48">
        <w:rPr>
          <w:color w:val="000000"/>
        </w:rPr>
        <w:t>4</w:t>
      </w:r>
      <w:r w:rsidRPr="007A0B49">
        <w:rPr>
          <w:color w:val="000000"/>
        </w:rPr>
        <w:t xml:space="preserve"> dargestellt. Die Raten zum Absetzen von </w:t>
      </w:r>
      <w:r w:rsidR="006E02C3">
        <w:rPr>
          <w:color w:val="000000"/>
        </w:rPr>
        <w:t>K</w:t>
      </w:r>
      <w:r w:rsidRPr="007A0B49">
        <w:rPr>
          <w:color w:val="000000"/>
        </w:rPr>
        <w:t>ortiko</w:t>
      </w:r>
      <w:r w:rsidR="006E02C3">
        <w:rPr>
          <w:color w:val="000000"/>
        </w:rPr>
        <w:t>stero</w:t>
      </w:r>
      <w:r w:rsidRPr="007A0B49">
        <w:rPr>
          <w:color w:val="000000"/>
        </w:rPr>
        <w:t>iden oder Immunsuppressiva zeigt Tabelle 2</w:t>
      </w:r>
      <w:r w:rsidR="00215D48">
        <w:rPr>
          <w:color w:val="000000"/>
        </w:rPr>
        <w:t>5</w:t>
      </w:r>
      <w:r w:rsidRPr="007A0B49">
        <w:rPr>
          <w:color w:val="000000"/>
        </w:rPr>
        <w:t>.</w:t>
      </w:r>
    </w:p>
    <w:p w14:paraId="08CAB498" w14:textId="77777777" w:rsidR="007A0B49" w:rsidRPr="007A0B49" w:rsidRDefault="007A0B49" w:rsidP="007A0B49">
      <w:pPr>
        <w:kinsoku w:val="0"/>
        <w:overflowPunct w:val="0"/>
        <w:rPr>
          <w:color w:val="000000"/>
        </w:rPr>
      </w:pPr>
    </w:p>
    <w:p w14:paraId="637EEC41" w14:textId="77777777" w:rsidR="007A0B49" w:rsidRPr="007A0B49" w:rsidRDefault="007A0B49" w:rsidP="007A0B49">
      <w:pPr>
        <w:keepNext/>
        <w:kinsoku w:val="0"/>
        <w:overflowPunct w:val="0"/>
        <w:rPr>
          <w:b/>
          <w:color w:val="000000"/>
        </w:rPr>
      </w:pPr>
      <w:r w:rsidRPr="007A0B49">
        <w:rPr>
          <w:b/>
          <w:color w:val="000000"/>
        </w:rPr>
        <w:lastRenderedPageBreak/>
        <w:t>Tabelle 2</w:t>
      </w:r>
      <w:r w:rsidR="00215D48">
        <w:rPr>
          <w:b/>
          <w:color w:val="000000"/>
        </w:rPr>
        <w:t>4</w:t>
      </w:r>
    </w:p>
    <w:p w14:paraId="173A6CEE" w14:textId="77777777" w:rsidR="007A0B49" w:rsidRPr="007A0B49" w:rsidRDefault="007A0B49" w:rsidP="007A0B49">
      <w:pPr>
        <w:keepNext/>
        <w:kinsoku w:val="0"/>
        <w:overflowPunct w:val="0"/>
        <w:rPr>
          <w:b/>
          <w:color w:val="000000"/>
        </w:rPr>
      </w:pPr>
      <w:r w:rsidRPr="007A0B49">
        <w:rPr>
          <w:b/>
          <w:color w:val="000000"/>
        </w:rPr>
        <w:t>Morbus-Crohn-Studie bei Kindern und Jugendlichen – Klinische Remission und Ansprechen nach PCDAI</w:t>
      </w:r>
    </w:p>
    <w:p w14:paraId="3771AED8" w14:textId="77777777" w:rsidR="007A0B49" w:rsidRPr="007A0B49" w:rsidRDefault="007A0B49" w:rsidP="007A0B49">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285"/>
        <w:gridCol w:w="2258"/>
        <w:gridCol w:w="2245"/>
      </w:tblGrid>
      <w:tr w:rsidR="007A0B49" w:rsidRPr="007A0B49" w14:paraId="123F1A6A" w14:textId="77777777" w:rsidTr="004363C9">
        <w:trPr>
          <w:tblHeader/>
        </w:trPr>
        <w:tc>
          <w:tcPr>
            <w:tcW w:w="2325" w:type="dxa"/>
            <w:tcBorders>
              <w:top w:val="single" w:sz="4" w:space="0" w:color="auto"/>
              <w:left w:val="single" w:sz="4" w:space="0" w:color="auto"/>
              <w:bottom w:val="single" w:sz="4" w:space="0" w:color="auto"/>
              <w:right w:val="single" w:sz="4" w:space="0" w:color="auto"/>
            </w:tcBorders>
          </w:tcPr>
          <w:p w14:paraId="1F4D59C8" w14:textId="77777777" w:rsidR="007A0B49" w:rsidRPr="007A0B49" w:rsidRDefault="007A0B49" w:rsidP="007A0B49">
            <w:pPr>
              <w:keepNext/>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757A01CE" w14:textId="77777777" w:rsidR="007A0B49" w:rsidRPr="007A0B49" w:rsidRDefault="007A0B49" w:rsidP="007A0B49">
            <w:pPr>
              <w:keepNext/>
              <w:jc w:val="center"/>
              <w:rPr>
                <w:b/>
                <w:color w:val="000000"/>
              </w:rPr>
            </w:pPr>
            <w:r w:rsidRPr="007A0B49">
              <w:rPr>
                <w:b/>
                <w:color w:val="000000"/>
              </w:rPr>
              <w:t>Standarddosis</w:t>
            </w:r>
          </w:p>
          <w:p w14:paraId="64A425DC" w14:textId="77777777" w:rsidR="007A0B49" w:rsidRPr="007A0B49" w:rsidRDefault="007A0B49" w:rsidP="007A0B49">
            <w:pPr>
              <w:keepNext/>
              <w:jc w:val="center"/>
              <w:rPr>
                <w:b/>
                <w:color w:val="000000"/>
              </w:rPr>
            </w:pPr>
            <w:r w:rsidRPr="007A0B49">
              <w:rPr>
                <w:b/>
                <w:color w:val="000000"/>
              </w:rPr>
              <w:t>40/20 mg jede zweite Woche</w:t>
            </w:r>
          </w:p>
          <w:p w14:paraId="084D43AA" w14:textId="77777777" w:rsidR="007A0B49" w:rsidRPr="007A0B49" w:rsidRDefault="007A0B49" w:rsidP="007A0B49">
            <w:pPr>
              <w:keepNext/>
              <w:jc w:val="center"/>
              <w:rPr>
                <w:b/>
                <w:color w:val="000000"/>
              </w:rPr>
            </w:pPr>
            <w:r w:rsidRPr="007A0B49">
              <w:rPr>
                <w:b/>
                <w:color w:val="000000"/>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72982F6" w14:textId="77777777" w:rsidR="007A0B49" w:rsidRPr="007A0B49" w:rsidRDefault="007A0B49" w:rsidP="007A0B49">
            <w:pPr>
              <w:keepNext/>
              <w:jc w:val="center"/>
              <w:rPr>
                <w:b/>
                <w:color w:val="000000"/>
              </w:rPr>
            </w:pPr>
            <w:r w:rsidRPr="007A0B49">
              <w:rPr>
                <w:b/>
                <w:color w:val="000000"/>
              </w:rPr>
              <w:t>Niedrige Dosis</w:t>
            </w:r>
          </w:p>
          <w:p w14:paraId="2E91E5AB" w14:textId="77777777" w:rsidR="007A0B49" w:rsidRPr="007A0B49" w:rsidRDefault="007A0B49" w:rsidP="007A0B49">
            <w:pPr>
              <w:keepNext/>
              <w:jc w:val="center"/>
              <w:rPr>
                <w:b/>
                <w:color w:val="000000"/>
              </w:rPr>
            </w:pPr>
            <w:r w:rsidRPr="007A0B49">
              <w:rPr>
                <w:b/>
                <w:color w:val="000000"/>
              </w:rPr>
              <w:t>20/10 mg jede zweite Woche</w:t>
            </w:r>
          </w:p>
          <w:p w14:paraId="2E24A3D8" w14:textId="77777777" w:rsidR="007A0B49" w:rsidRPr="007A0B49" w:rsidRDefault="007A0B49" w:rsidP="007A0B49">
            <w:pPr>
              <w:keepNext/>
              <w:jc w:val="center"/>
              <w:rPr>
                <w:b/>
                <w:color w:val="000000"/>
              </w:rPr>
            </w:pPr>
            <w:r w:rsidRPr="007A0B49">
              <w:rPr>
                <w:b/>
                <w:color w:val="000000"/>
              </w:rPr>
              <w:t>n = 95</w:t>
            </w:r>
          </w:p>
        </w:tc>
        <w:tc>
          <w:tcPr>
            <w:tcW w:w="2326" w:type="dxa"/>
            <w:tcBorders>
              <w:top w:val="single" w:sz="4" w:space="0" w:color="auto"/>
              <w:left w:val="single" w:sz="4" w:space="0" w:color="auto"/>
              <w:bottom w:val="single" w:sz="4" w:space="0" w:color="auto"/>
              <w:right w:val="single" w:sz="4" w:space="0" w:color="auto"/>
            </w:tcBorders>
            <w:hideMark/>
          </w:tcPr>
          <w:p w14:paraId="4EAE5D53" w14:textId="77777777" w:rsidR="007A0B49" w:rsidRPr="007A0B49" w:rsidRDefault="007A0B49" w:rsidP="007A0B49">
            <w:pPr>
              <w:keepNext/>
              <w:jc w:val="center"/>
              <w:rPr>
                <w:b/>
                <w:color w:val="000000"/>
              </w:rPr>
            </w:pPr>
            <w:r w:rsidRPr="007A0B49">
              <w:rPr>
                <w:b/>
                <w:color w:val="000000"/>
              </w:rPr>
              <w:t>p-Wert*</w:t>
            </w:r>
          </w:p>
        </w:tc>
      </w:tr>
      <w:tr w:rsidR="007A0B49" w:rsidRPr="007A0B49" w14:paraId="79E2FD5A" w14:textId="77777777" w:rsidTr="004363C9">
        <w:tc>
          <w:tcPr>
            <w:tcW w:w="2325" w:type="dxa"/>
            <w:tcBorders>
              <w:top w:val="single" w:sz="4" w:space="0" w:color="auto"/>
              <w:left w:val="single" w:sz="4" w:space="0" w:color="auto"/>
              <w:bottom w:val="single" w:sz="4" w:space="0" w:color="auto"/>
              <w:right w:val="single" w:sz="4" w:space="0" w:color="auto"/>
            </w:tcBorders>
            <w:hideMark/>
          </w:tcPr>
          <w:p w14:paraId="19E4FF25" w14:textId="77777777" w:rsidR="007A0B49" w:rsidRPr="007A0B49" w:rsidRDefault="007A0B49" w:rsidP="007A0B49">
            <w:pPr>
              <w:keepNext/>
              <w:rPr>
                <w:b/>
                <w:color w:val="000000"/>
              </w:rPr>
            </w:pPr>
            <w:r w:rsidRPr="007A0B49">
              <w:rPr>
                <w:b/>
                <w:color w:val="000000"/>
              </w:rPr>
              <w:t>Woche 26</w:t>
            </w:r>
          </w:p>
        </w:tc>
        <w:tc>
          <w:tcPr>
            <w:tcW w:w="2326" w:type="dxa"/>
            <w:tcBorders>
              <w:top w:val="single" w:sz="4" w:space="0" w:color="auto"/>
              <w:left w:val="single" w:sz="4" w:space="0" w:color="auto"/>
              <w:bottom w:val="single" w:sz="4" w:space="0" w:color="auto"/>
              <w:right w:val="single" w:sz="4" w:space="0" w:color="auto"/>
            </w:tcBorders>
            <w:vAlign w:val="center"/>
          </w:tcPr>
          <w:p w14:paraId="011CEF7C" w14:textId="77777777" w:rsidR="007A0B49" w:rsidRPr="007A0B49" w:rsidRDefault="007A0B49" w:rsidP="007A0B49">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4E1C0EA2" w14:textId="77777777" w:rsidR="007A0B49" w:rsidRPr="007A0B49" w:rsidRDefault="007A0B49" w:rsidP="007A0B49">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256A4B99" w14:textId="77777777" w:rsidR="007A0B49" w:rsidRPr="007A0B49" w:rsidRDefault="007A0B49" w:rsidP="007A0B49">
            <w:pPr>
              <w:keepNext/>
              <w:jc w:val="center"/>
              <w:rPr>
                <w:color w:val="000000"/>
                <w:lang w:val="en-GB"/>
              </w:rPr>
            </w:pPr>
          </w:p>
        </w:tc>
      </w:tr>
      <w:tr w:rsidR="007A0B49" w:rsidRPr="007A0B49" w14:paraId="019EE784" w14:textId="77777777" w:rsidTr="004363C9">
        <w:tc>
          <w:tcPr>
            <w:tcW w:w="2325" w:type="dxa"/>
            <w:tcBorders>
              <w:top w:val="single" w:sz="4" w:space="0" w:color="auto"/>
              <w:left w:val="single" w:sz="4" w:space="0" w:color="auto"/>
              <w:bottom w:val="single" w:sz="4" w:space="0" w:color="auto"/>
              <w:right w:val="single" w:sz="4" w:space="0" w:color="auto"/>
            </w:tcBorders>
            <w:hideMark/>
          </w:tcPr>
          <w:p w14:paraId="141E5E8F" w14:textId="77777777" w:rsidR="007A0B49" w:rsidRPr="007A0B49" w:rsidRDefault="007A0B49" w:rsidP="007A0B49">
            <w:pPr>
              <w:keepNext/>
              <w:ind w:left="180"/>
              <w:rPr>
                <w:color w:val="000000"/>
              </w:rPr>
            </w:pPr>
            <w:r w:rsidRPr="007A0B49">
              <w:rPr>
                <w:color w:val="000000"/>
              </w:rPr>
              <w:t>Klinische Remission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C1E46F9" w14:textId="77777777" w:rsidR="007A0B49" w:rsidRPr="007A0B49" w:rsidRDefault="007A0B49" w:rsidP="007A0B49">
            <w:pPr>
              <w:keepNext/>
              <w:jc w:val="center"/>
              <w:rPr>
                <w:color w:val="000000"/>
              </w:rPr>
            </w:pPr>
            <w:r w:rsidRPr="007A0B49">
              <w:rPr>
                <w:color w:val="000000"/>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095B30B" w14:textId="77777777" w:rsidR="007A0B49" w:rsidRPr="007A0B49" w:rsidRDefault="007A0B49" w:rsidP="007A0B49">
            <w:pPr>
              <w:keepNext/>
              <w:jc w:val="center"/>
              <w:rPr>
                <w:color w:val="000000"/>
              </w:rPr>
            </w:pPr>
            <w:r w:rsidRPr="007A0B49">
              <w:rPr>
                <w:color w:val="000000"/>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A029F1C" w14:textId="77777777" w:rsidR="007A0B49" w:rsidRPr="007A0B49" w:rsidRDefault="007A0B49" w:rsidP="007A0B49">
            <w:pPr>
              <w:keepNext/>
              <w:jc w:val="center"/>
              <w:rPr>
                <w:color w:val="000000"/>
              </w:rPr>
            </w:pPr>
            <w:r w:rsidRPr="007A0B49">
              <w:rPr>
                <w:color w:val="000000"/>
              </w:rPr>
              <w:t>0,075</w:t>
            </w:r>
          </w:p>
        </w:tc>
      </w:tr>
      <w:tr w:rsidR="007A0B49" w:rsidRPr="007A0B49" w14:paraId="57268E75" w14:textId="77777777" w:rsidTr="004363C9">
        <w:tc>
          <w:tcPr>
            <w:tcW w:w="2325" w:type="dxa"/>
            <w:tcBorders>
              <w:top w:val="single" w:sz="4" w:space="0" w:color="auto"/>
              <w:left w:val="single" w:sz="4" w:space="0" w:color="auto"/>
              <w:bottom w:val="single" w:sz="4" w:space="0" w:color="auto"/>
              <w:right w:val="single" w:sz="4" w:space="0" w:color="auto"/>
            </w:tcBorders>
            <w:hideMark/>
          </w:tcPr>
          <w:p w14:paraId="48246D79" w14:textId="77777777" w:rsidR="007A0B49" w:rsidRPr="007A0B49" w:rsidRDefault="007A0B49" w:rsidP="007A0B49">
            <w:pPr>
              <w:ind w:left="180"/>
              <w:rPr>
                <w:color w:val="000000"/>
              </w:rPr>
            </w:pPr>
            <w:r w:rsidRPr="007A0B49">
              <w:rPr>
                <w:color w:val="000000"/>
              </w:rPr>
              <w:t>Klinisches Ansprechen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8888F7A" w14:textId="77777777" w:rsidR="007A0B49" w:rsidRPr="007A0B49" w:rsidRDefault="007A0B49" w:rsidP="007A0B49">
            <w:pPr>
              <w:jc w:val="center"/>
              <w:rPr>
                <w:color w:val="000000"/>
              </w:rPr>
            </w:pPr>
            <w:r w:rsidRPr="007A0B49">
              <w:rPr>
                <w:color w:val="000000"/>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9F51C6D" w14:textId="77777777" w:rsidR="007A0B49" w:rsidRPr="007A0B49" w:rsidRDefault="007A0B49" w:rsidP="007A0B49">
            <w:pPr>
              <w:jc w:val="center"/>
              <w:rPr>
                <w:color w:val="000000"/>
              </w:rPr>
            </w:pPr>
            <w:r w:rsidRPr="007A0B49">
              <w:rPr>
                <w:color w:val="000000"/>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B506B05" w14:textId="77777777" w:rsidR="007A0B49" w:rsidRPr="007A0B49" w:rsidRDefault="007A0B49" w:rsidP="007A0B49">
            <w:pPr>
              <w:jc w:val="center"/>
              <w:rPr>
                <w:color w:val="000000"/>
              </w:rPr>
            </w:pPr>
            <w:r w:rsidRPr="007A0B49">
              <w:rPr>
                <w:color w:val="000000"/>
              </w:rPr>
              <w:t>0,073</w:t>
            </w:r>
          </w:p>
        </w:tc>
      </w:tr>
      <w:tr w:rsidR="007A0B49" w:rsidRPr="007A0B49" w14:paraId="2CD198D5" w14:textId="77777777" w:rsidTr="004363C9">
        <w:tc>
          <w:tcPr>
            <w:tcW w:w="2325" w:type="dxa"/>
            <w:tcBorders>
              <w:top w:val="single" w:sz="4" w:space="0" w:color="auto"/>
              <w:left w:val="single" w:sz="4" w:space="0" w:color="auto"/>
              <w:bottom w:val="single" w:sz="4" w:space="0" w:color="auto"/>
              <w:right w:val="single" w:sz="4" w:space="0" w:color="auto"/>
            </w:tcBorders>
            <w:hideMark/>
          </w:tcPr>
          <w:p w14:paraId="7D341137" w14:textId="77777777" w:rsidR="007A0B49" w:rsidRPr="007A0B49" w:rsidRDefault="007A0B49" w:rsidP="007A0B49">
            <w:pPr>
              <w:keepNext/>
              <w:rPr>
                <w:b/>
                <w:color w:val="000000"/>
              </w:rPr>
            </w:pPr>
            <w:r w:rsidRPr="007A0B49">
              <w:rPr>
                <w:b/>
                <w:color w:val="000000"/>
              </w:rPr>
              <w:t>Woche 52</w:t>
            </w:r>
          </w:p>
        </w:tc>
        <w:tc>
          <w:tcPr>
            <w:tcW w:w="2326" w:type="dxa"/>
            <w:tcBorders>
              <w:top w:val="single" w:sz="4" w:space="0" w:color="auto"/>
              <w:left w:val="single" w:sz="4" w:space="0" w:color="auto"/>
              <w:bottom w:val="single" w:sz="4" w:space="0" w:color="auto"/>
              <w:right w:val="single" w:sz="4" w:space="0" w:color="auto"/>
            </w:tcBorders>
            <w:vAlign w:val="center"/>
          </w:tcPr>
          <w:p w14:paraId="51856EB4" w14:textId="77777777" w:rsidR="007A0B49" w:rsidRPr="007A0B49" w:rsidRDefault="007A0B49" w:rsidP="007A0B49">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6F4D5D2" w14:textId="77777777" w:rsidR="007A0B49" w:rsidRPr="007A0B49" w:rsidRDefault="007A0B49" w:rsidP="007A0B49">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79BB9860" w14:textId="77777777" w:rsidR="007A0B49" w:rsidRPr="007A0B49" w:rsidRDefault="007A0B49" w:rsidP="007A0B49">
            <w:pPr>
              <w:keepNext/>
              <w:jc w:val="center"/>
              <w:rPr>
                <w:color w:val="000000"/>
                <w:lang w:val="en-GB"/>
              </w:rPr>
            </w:pPr>
          </w:p>
        </w:tc>
      </w:tr>
      <w:tr w:rsidR="007A0B49" w:rsidRPr="007A0B49" w14:paraId="4F8B1691" w14:textId="77777777" w:rsidTr="004363C9">
        <w:tc>
          <w:tcPr>
            <w:tcW w:w="2325" w:type="dxa"/>
            <w:tcBorders>
              <w:top w:val="single" w:sz="4" w:space="0" w:color="auto"/>
              <w:left w:val="single" w:sz="4" w:space="0" w:color="auto"/>
              <w:bottom w:val="single" w:sz="4" w:space="0" w:color="auto"/>
              <w:right w:val="single" w:sz="4" w:space="0" w:color="auto"/>
            </w:tcBorders>
            <w:hideMark/>
          </w:tcPr>
          <w:p w14:paraId="7FE0E3E3" w14:textId="77777777" w:rsidR="007A0B49" w:rsidRPr="007A0B49" w:rsidRDefault="007A0B49" w:rsidP="007A0B49">
            <w:pPr>
              <w:keepNext/>
              <w:ind w:left="180"/>
              <w:rPr>
                <w:color w:val="000000"/>
              </w:rPr>
            </w:pPr>
            <w:r w:rsidRPr="007A0B49">
              <w:rPr>
                <w:color w:val="000000"/>
              </w:rPr>
              <w:t>Klinische Remission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1938ABA" w14:textId="77777777" w:rsidR="007A0B49" w:rsidRPr="007A0B49" w:rsidRDefault="007A0B49" w:rsidP="007A0B49">
            <w:pPr>
              <w:keepNext/>
              <w:jc w:val="center"/>
              <w:rPr>
                <w:color w:val="000000"/>
              </w:rPr>
            </w:pPr>
            <w:r w:rsidRPr="007A0B49">
              <w:rPr>
                <w:color w:val="000000"/>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43DE6CC" w14:textId="77777777" w:rsidR="007A0B49" w:rsidRPr="007A0B49" w:rsidRDefault="007A0B49" w:rsidP="007A0B49">
            <w:pPr>
              <w:keepNext/>
              <w:jc w:val="center"/>
              <w:rPr>
                <w:color w:val="000000"/>
              </w:rPr>
            </w:pPr>
            <w:r w:rsidRPr="007A0B49">
              <w:rPr>
                <w:color w:val="000000"/>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5CC093D" w14:textId="77777777" w:rsidR="007A0B49" w:rsidRPr="007A0B49" w:rsidRDefault="007A0B49" w:rsidP="007A0B49">
            <w:pPr>
              <w:keepNext/>
              <w:jc w:val="center"/>
              <w:rPr>
                <w:color w:val="000000"/>
              </w:rPr>
            </w:pPr>
            <w:r w:rsidRPr="007A0B49">
              <w:rPr>
                <w:color w:val="000000"/>
              </w:rPr>
              <w:t>0,100</w:t>
            </w:r>
          </w:p>
        </w:tc>
      </w:tr>
      <w:tr w:rsidR="007A0B49" w:rsidRPr="007A0B49" w14:paraId="1B9C007D" w14:textId="77777777" w:rsidTr="004363C9">
        <w:tc>
          <w:tcPr>
            <w:tcW w:w="2325" w:type="dxa"/>
            <w:tcBorders>
              <w:top w:val="single" w:sz="4" w:space="0" w:color="auto"/>
              <w:left w:val="single" w:sz="4" w:space="0" w:color="auto"/>
              <w:bottom w:val="single" w:sz="4" w:space="0" w:color="auto"/>
              <w:right w:val="single" w:sz="4" w:space="0" w:color="auto"/>
            </w:tcBorders>
            <w:hideMark/>
          </w:tcPr>
          <w:p w14:paraId="25ED955D" w14:textId="77777777" w:rsidR="007A0B49" w:rsidRPr="007A0B49" w:rsidRDefault="007A0B49" w:rsidP="007A0B49">
            <w:pPr>
              <w:keepNext/>
              <w:ind w:left="180"/>
              <w:rPr>
                <w:color w:val="000000"/>
              </w:rPr>
            </w:pPr>
            <w:r w:rsidRPr="007A0B49">
              <w:rPr>
                <w:color w:val="000000"/>
              </w:rPr>
              <w:t>Klinisches Ansprechen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87DEB6" w14:textId="77777777" w:rsidR="007A0B49" w:rsidRPr="007A0B49" w:rsidRDefault="007A0B49" w:rsidP="007A0B49">
            <w:pPr>
              <w:keepNext/>
              <w:jc w:val="center"/>
              <w:rPr>
                <w:color w:val="000000"/>
              </w:rPr>
            </w:pPr>
            <w:r w:rsidRPr="007A0B49">
              <w:rPr>
                <w:color w:val="000000"/>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577C25C" w14:textId="77777777" w:rsidR="007A0B49" w:rsidRPr="007A0B49" w:rsidRDefault="007A0B49" w:rsidP="007A0B49">
            <w:pPr>
              <w:keepNext/>
              <w:jc w:val="center"/>
              <w:rPr>
                <w:color w:val="000000"/>
              </w:rPr>
            </w:pPr>
            <w:r w:rsidRPr="007A0B49">
              <w:rPr>
                <w:color w:val="000000"/>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E681FE3" w14:textId="77777777" w:rsidR="007A0B49" w:rsidRPr="007A0B49" w:rsidRDefault="007A0B49" w:rsidP="007A0B49">
            <w:pPr>
              <w:keepNext/>
              <w:jc w:val="center"/>
              <w:rPr>
                <w:color w:val="000000"/>
              </w:rPr>
            </w:pPr>
            <w:r w:rsidRPr="007A0B49">
              <w:rPr>
                <w:color w:val="000000"/>
              </w:rPr>
              <w:t>0,038</w:t>
            </w:r>
          </w:p>
        </w:tc>
      </w:tr>
      <w:tr w:rsidR="007A0B49" w:rsidRPr="007A0B49" w14:paraId="7ABA1D01" w14:textId="77777777" w:rsidTr="004363C9">
        <w:tc>
          <w:tcPr>
            <w:tcW w:w="9303" w:type="dxa"/>
            <w:gridSpan w:val="4"/>
            <w:tcBorders>
              <w:top w:val="single" w:sz="4" w:space="0" w:color="auto"/>
              <w:left w:val="nil"/>
              <w:bottom w:val="nil"/>
              <w:right w:val="nil"/>
            </w:tcBorders>
          </w:tcPr>
          <w:p w14:paraId="4ACB77A7" w14:textId="77777777" w:rsidR="007A0B49" w:rsidRPr="00206AEA" w:rsidRDefault="007A0B49" w:rsidP="007A0B49">
            <w:pPr>
              <w:ind w:left="274" w:hanging="274"/>
              <w:rPr>
                <w:color w:val="000000"/>
                <w:sz w:val="20"/>
              </w:rPr>
            </w:pPr>
            <w:r w:rsidRPr="00206AEA">
              <w:rPr>
                <w:color w:val="000000"/>
                <w:sz w:val="20"/>
              </w:rPr>
              <w:t>* p-Wert für Vergleich von Standarddosis gegenüber Niedrigdosis</w:t>
            </w:r>
          </w:p>
        </w:tc>
      </w:tr>
    </w:tbl>
    <w:p w14:paraId="50F79950" w14:textId="77777777" w:rsidR="007A0B49" w:rsidRPr="007A0B49" w:rsidRDefault="007A0B49" w:rsidP="007A0B49">
      <w:pPr>
        <w:rPr>
          <w:color w:val="000000"/>
        </w:rPr>
      </w:pPr>
    </w:p>
    <w:p w14:paraId="45C165E8" w14:textId="77777777" w:rsidR="007A0B49" w:rsidRPr="007A0B49" w:rsidRDefault="007A0B49" w:rsidP="007A0B49">
      <w:pPr>
        <w:keepNext/>
        <w:keepLines/>
        <w:rPr>
          <w:b/>
          <w:color w:val="000000"/>
        </w:rPr>
      </w:pPr>
      <w:r w:rsidRPr="007A0B49">
        <w:rPr>
          <w:b/>
          <w:color w:val="000000"/>
        </w:rPr>
        <w:t>Tabelle 2</w:t>
      </w:r>
      <w:r w:rsidR="00215D48">
        <w:rPr>
          <w:b/>
          <w:color w:val="000000"/>
        </w:rPr>
        <w:t>5</w:t>
      </w:r>
    </w:p>
    <w:p w14:paraId="276F58F0" w14:textId="77777777" w:rsidR="007A0B49" w:rsidRPr="007A0B49" w:rsidRDefault="007A0B49" w:rsidP="007A0B49">
      <w:pPr>
        <w:keepNext/>
        <w:keepLines/>
        <w:rPr>
          <w:b/>
          <w:color w:val="000000"/>
        </w:rPr>
      </w:pPr>
      <w:r w:rsidRPr="007A0B49">
        <w:rPr>
          <w:b/>
          <w:color w:val="000000"/>
        </w:rPr>
        <w:t xml:space="preserve">Morbus-Crohn-Studie bei Kindern und Jugendlichen – Absetzen von </w:t>
      </w:r>
      <w:r w:rsidR="006E02C3">
        <w:rPr>
          <w:b/>
          <w:color w:val="000000"/>
        </w:rPr>
        <w:t>K</w:t>
      </w:r>
      <w:r w:rsidRPr="007A0B49">
        <w:rPr>
          <w:b/>
          <w:color w:val="000000"/>
        </w:rPr>
        <w:t>ortiko</w:t>
      </w:r>
      <w:r w:rsidR="006E02C3">
        <w:rPr>
          <w:b/>
          <w:color w:val="000000"/>
        </w:rPr>
        <w:t>stero</w:t>
      </w:r>
      <w:r w:rsidRPr="007A0B49">
        <w:rPr>
          <w:b/>
          <w:color w:val="000000"/>
        </w:rPr>
        <w:t>iden oder Immunsuppressiva und Remission von Fisteln</w:t>
      </w:r>
    </w:p>
    <w:p w14:paraId="75B3B8FD" w14:textId="77777777" w:rsidR="007A0B49" w:rsidRPr="007A0B49" w:rsidRDefault="007A0B49" w:rsidP="007A0B49">
      <w:pPr>
        <w:keepNext/>
        <w:keepLines/>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1705"/>
        <w:gridCol w:w="1675"/>
        <w:gridCol w:w="1656"/>
      </w:tblGrid>
      <w:tr w:rsidR="007A0B49" w:rsidRPr="007A0B49" w14:paraId="66B6E6D7" w14:textId="77777777" w:rsidTr="004363C9">
        <w:tc>
          <w:tcPr>
            <w:tcW w:w="4158" w:type="dxa"/>
            <w:tcBorders>
              <w:top w:val="single" w:sz="4" w:space="0" w:color="auto"/>
              <w:left w:val="single" w:sz="4" w:space="0" w:color="auto"/>
              <w:bottom w:val="single" w:sz="4" w:space="0" w:color="auto"/>
              <w:right w:val="single" w:sz="4" w:space="0" w:color="auto"/>
            </w:tcBorders>
          </w:tcPr>
          <w:p w14:paraId="0ACCBEE5" w14:textId="77777777" w:rsidR="007A0B49" w:rsidRPr="007A0B49" w:rsidRDefault="007A0B49" w:rsidP="007A0B49">
            <w:pPr>
              <w:keepNext/>
              <w:keepLines/>
              <w:rPr>
                <w:color w:val="000000"/>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6BC409C4" w14:textId="77777777" w:rsidR="007A0B49" w:rsidRPr="007A0B49" w:rsidRDefault="007A0B49" w:rsidP="007A0B49">
            <w:pPr>
              <w:keepNext/>
              <w:keepLines/>
              <w:jc w:val="center"/>
              <w:rPr>
                <w:b/>
                <w:color w:val="000000"/>
              </w:rPr>
            </w:pPr>
            <w:r w:rsidRPr="007A0B49">
              <w:rPr>
                <w:b/>
                <w:color w:val="000000"/>
              </w:rPr>
              <w:t>Standarddosis</w:t>
            </w:r>
          </w:p>
          <w:p w14:paraId="5AB79558" w14:textId="77777777" w:rsidR="007A0B49" w:rsidRPr="007A0B49" w:rsidRDefault="007A0B49" w:rsidP="007A0B49">
            <w:pPr>
              <w:keepNext/>
              <w:keepLines/>
              <w:jc w:val="center"/>
              <w:rPr>
                <w:b/>
                <w:color w:val="000000"/>
              </w:rPr>
            </w:pPr>
            <w:r w:rsidRPr="007A0B49">
              <w:rPr>
                <w:b/>
                <w:color w:val="000000"/>
              </w:rPr>
              <w:t>40/20 mg jede zweite Woche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FE93599" w14:textId="77777777" w:rsidR="007A0B49" w:rsidRPr="007A0B49" w:rsidRDefault="007A0B49" w:rsidP="007A0B49">
            <w:pPr>
              <w:keepNext/>
              <w:keepLines/>
              <w:jc w:val="center"/>
              <w:rPr>
                <w:b/>
                <w:color w:val="000000"/>
              </w:rPr>
            </w:pPr>
            <w:r w:rsidRPr="007A0B49">
              <w:rPr>
                <w:b/>
                <w:color w:val="000000"/>
              </w:rPr>
              <w:t>Niedrige Dosis</w:t>
            </w:r>
          </w:p>
          <w:p w14:paraId="40BA0640" w14:textId="77777777" w:rsidR="007A0B49" w:rsidRPr="007A0B49" w:rsidRDefault="007A0B49" w:rsidP="007A0B49">
            <w:pPr>
              <w:keepNext/>
              <w:keepLines/>
              <w:jc w:val="center"/>
              <w:rPr>
                <w:b/>
                <w:color w:val="000000"/>
              </w:rPr>
            </w:pPr>
            <w:r w:rsidRPr="007A0B49">
              <w:rPr>
                <w:b/>
                <w:color w:val="000000"/>
              </w:rPr>
              <w:t>20/10 mg jede zweite Woche</w:t>
            </w:r>
          </w:p>
        </w:tc>
        <w:tc>
          <w:tcPr>
            <w:tcW w:w="1715" w:type="dxa"/>
            <w:tcBorders>
              <w:top w:val="single" w:sz="4" w:space="0" w:color="auto"/>
              <w:left w:val="single" w:sz="4" w:space="0" w:color="auto"/>
              <w:bottom w:val="single" w:sz="4" w:space="0" w:color="auto"/>
              <w:right w:val="single" w:sz="4" w:space="0" w:color="auto"/>
            </w:tcBorders>
            <w:hideMark/>
          </w:tcPr>
          <w:p w14:paraId="3B8E8CA8" w14:textId="77777777" w:rsidR="007A0B49" w:rsidRPr="007A0B49" w:rsidRDefault="007A0B49" w:rsidP="007A0B49">
            <w:pPr>
              <w:keepNext/>
              <w:keepLines/>
              <w:jc w:val="center"/>
              <w:rPr>
                <w:b/>
                <w:color w:val="000000"/>
              </w:rPr>
            </w:pPr>
            <w:r w:rsidRPr="007A0B49">
              <w:rPr>
                <w:b/>
                <w:color w:val="000000"/>
              </w:rPr>
              <w:t>p-Wert</w:t>
            </w:r>
            <w:r w:rsidRPr="007A0B49">
              <w:rPr>
                <w:b/>
                <w:color w:val="000000"/>
                <w:vertAlign w:val="superscript"/>
              </w:rPr>
              <w:t>1</w:t>
            </w:r>
          </w:p>
        </w:tc>
      </w:tr>
      <w:tr w:rsidR="007A0B49" w:rsidRPr="007A0B49" w14:paraId="13087B5E"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11C2AFD5" w14:textId="77777777" w:rsidR="007A0B49" w:rsidRPr="007A0B49" w:rsidRDefault="007A0B49" w:rsidP="007A0B49">
            <w:pPr>
              <w:keepNext/>
              <w:keepLines/>
              <w:rPr>
                <w:b/>
                <w:color w:val="000000"/>
              </w:rPr>
            </w:pPr>
            <w:r w:rsidRPr="007A0B49">
              <w:rPr>
                <w:b/>
                <w:color w:val="000000"/>
              </w:rPr>
              <w:t xml:space="preserve">Abgesetzte </w:t>
            </w:r>
            <w:r w:rsidR="006E02C3">
              <w:rPr>
                <w:b/>
                <w:color w:val="000000"/>
              </w:rPr>
              <w:t>K</w:t>
            </w:r>
            <w:r w:rsidRPr="007A0B49">
              <w:rPr>
                <w:b/>
                <w:color w:val="000000"/>
              </w:rPr>
              <w:t>ortiko</w:t>
            </w:r>
            <w:r w:rsidR="006E02C3">
              <w:rPr>
                <w:b/>
                <w:color w:val="000000"/>
              </w:rPr>
              <w:t>stero</w:t>
            </w:r>
            <w:r w:rsidRPr="007A0B49">
              <w:rPr>
                <w:b/>
                <w:color w:val="000000"/>
              </w:rPr>
              <w:t>ide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4E03D2A" w14:textId="77777777" w:rsidR="007A0B49" w:rsidRPr="007A0B49" w:rsidRDefault="007A0B49" w:rsidP="007A0B49">
            <w:pPr>
              <w:keepNext/>
              <w:keepLines/>
              <w:jc w:val="center"/>
              <w:rPr>
                <w:b/>
                <w:color w:val="000000"/>
              </w:rPr>
            </w:pPr>
            <w:r w:rsidRPr="007A0B49">
              <w:rPr>
                <w:b/>
                <w:color w:val="000000"/>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9977CB3" w14:textId="77777777" w:rsidR="007A0B49" w:rsidRPr="007A0B49" w:rsidRDefault="007A0B49" w:rsidP="007A0B49">
            <w:pPr>
              <w:keepNext/>
              <w:keepLines/>
              <w:jc w:val="center"/>
              <w:rPr>
                <w:b/>
                <w:color w:val="000000"/>
              </w:rPr>
            </w:pPr>
            <w:r w:rsidRPr="007A0B49">
              <w:rPr>
                <w:b/>
                <w:color w:val="000000"/>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2397D664" w14:textId="77777777" w:rsidR="007A0B49" w:rsidRPr="007A0B49" w:rsidRDefault="007A0B49" w:rsidP="007A0B49">
            <w:pPr>
              <w:keepNext/>
              <w:keepLines/>
              <w:jc w:val="center"/>
              <w:rPr>
                <w:b/>
                <w:color w:val="000000"/>
                <w:lang w:val="en-GB"/>
              </w:rPr>
            </w:pPr>
          </w:p>
        </w:tc>
      </w:tr>
      <w:tr w:rsidR="007A0B49" w:rsidRPr="007A0B49" w14:paraId="4D2112A7"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4771921A" w14:textId="77777777" w:rsidR="007A0B49" w:rsidRPr="007A0B49" w:rsidRDefault="007A0B49" w:rsidP="007A0B49">
            <w:pPr>
              <w:keepNext/>
              <w:keepLines/>
              <w:rPr>
                <w:color w:val="000000"/>
              </w:rPr>
            </w:pPr>
            <w:r w:rsidRPr="007A0B49">
              <w:rPr>
                <w:color w:val="000000"/>
              </w:rPr>
              <w:t>Woche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AFEB7D3" w14:textId="77777777" w:rsidR="007A0B49" w:rsidRPr="007A0B49" w:rsidRDefault="007A0B49" w:rsidP="007A0B49">
            <w:pPr>
              <w:keepNext/>
              <w:keepLines/>
              <w:jc w:val="center"/>
              <w:rPr>
                <w:color w:val="000000"/>
              </w:rPr>
            </w:pPr>
            <w:r w:rsidRPr="007A0B49">
              <w:rPr>
                <w:color w:val="000000"/>
              </w:rP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8DF0553" w14:textId="77777777" w:rsidR="007A0B49" w:rsidRPr="007A0B49" w:rsidRDefault="007A0B49" w:rsidP="007A0B49">
            <w:pPr>
              <w:keepNext/>
              <w:keepLines/>
              <w:jc w:val="center"/>
              <w:rPr>
                <w:color w:val="000000"/>
              </w:rPr>
            </w:pPr>
            <w:r w:rsidRPr="007A0B49">
              <w:rPr>
                <w:color w:val="000000"/>
              </w:rP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EDC1BBE" w14:textId="77777777" w:rsidR="007A0B49" w:rsidRPr="007A0B49" w:rsidRDefault="007A0B49" w:rsidP="007A0B49">
            <w:pPr>
              <w:keepNext/>
              <w:keepLines/>
              <w:jc w:val="center"/>
              <w:rPr>
                <w:color w:val="000000"/>
              </w:rPr>
            </w:pPr>
            <w:r w:rsidRPr="007A0B49">
              <w:rPr>
                <w:color w:val="000000"/>
              </w:rPr>
              <w:t>0,066</w:t>
            </w:r>
          </w:p>
        </w:tc>
      </w:tr>
      <w:tr w:rsidR="007A0B49" w:rsidRPr="007A0B49" w14:paraId="52086C77"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08D56737" w14:textId="77777777" w:rsidR="007A0B49" w:rsidRPr="007A0B49" w:rsidRDefault="007A0B49" w:rsidP="007A0B49">
            <w:pPr>
              <w:keepNext/>
              <w:keepLines/>
              <w:rPr>
                <w:color w:val="000000"/>
              </w:rPr>
            </w:pPr>
            <w:r w:rsidRPr="007A0B49">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DE55496" w14:textId="77777777" w:rsidR="007A0B49" w:rsidRPr="007A0B49" w:rsidRDefault="007A0B49" w:rsidP="007A0B49">
            <w:pPr>
              <w:keepNext/>
              <w:keepLines/>
              <w:jc w:val="center"/>
              <w:rPr>
                <w:color w:val="000000"/>
              </w:rPr>
            </w:pPr>
            <w:r w:rsidRPr="007A0B49">
              <w:rPr>
                <w:color w:val="000000"/>
              </w:rP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1EAF3C1" w14:textId="77777777" w:rsidR="007A0B49" w:rsidRPr="007A0B49" w:rsidRDefault="007A0B49" w:rsidP="007A0B49">
            <w:pPr>
              <w:keepNext/>
              <w:keepLines/>
              <w:jc w:val="center"/>
              <w:rPr>
                <w:color w:val="000000"/>
              </w:rPr>
            </w:pPr>
            <w:r w:rsidRPr="007A0B49">
              <w:rPr>
                <w:color w:val="000000"/>
              </w:rP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D96174C" w14:textId="77777777" w:rsidR="007A0B49" w:rsidRPr="007A0B49" w:rsidRDefault="007A0B49" w:rsidP="007A0B49">
            <w:pPr>
              <w:keepNext/>
              <w:keepLines/>
              <w:jc w:val="center"/>
              <w:rPr>
                <w:color w:val="000000"/>
              </w:rPr>
            </w:pPr>
            <w:r w:rsidRPr="007A0B49">
              <w:rPr>
                <w:color w:val="000000"/>
              </w:rPr>
              <w:t>0,420</w:t>
            </w:r>
          </w:p>
        </w:tc>
      </w:tr>
      <w:tr w:rsidR="007A0B49" w:rsidRPr="007A0B49" w14:paraId="6DF42163"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2835F15E" w14:textId="77777777" w:rsidR="007A0B49" w:rsidRPr="007A0B49" w:rsidRDefault="007A0B49" w:rsidP="007A0B49">
            <w:pPr>
              <w:keepNext/>
              <w:keepLines/>
              <w:rPr>
                <w:b/>
                <w:color w:val="000000"/>
              </w:rPr>
            </w:pPr>
            <w:r w:rsidRPr="007A0B49">
              <w:rPr>
                <w:b/>
                <w:color w:val="000000"/>
              </w:rPr>
              <w:t>Absetzen von Immunsuppressiva</w:t>
            </w:r>
            <w:r w:rsidRPr="007A0B49">
              <w:rPr>
                <w:b/>
                <w:color w:val="000000"/>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8795859" w14:textId="77777777" w:rsidR="007A0B49" w:rsidRPr="007A0B49" w:rsidRDefault="007A0B49" w:rsidP="007A0B49">
            <w:pPr>
              <w:keepNext/>
              <w:keepLines/>
              <w:jc w:val="center"/>
              <w:rPr>
                <w:b/>
                <w:color w:val="000000"/>
              </w:rPr>
            </w:pPr>
            <w:r w:rsidRPr="007A0B49">
              <w:rPr>
                <w:b/>
                <w:color w:val="000000"/>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23F26D3" w14:textId="77777777" w:rsidR="007A0B49" w:rsidRPr="007A0B49" w:rsidRDefault="007A0B49" w:rsidP="007A0B49">
            <w:pPr>
              <w:keepNext/>
              <w:keepLines/>
              <w:jc w:val="center"/>
              <w:rPr>
                <w:b/>
                <w:color w:val="000000"/>
              </w:rPr>
            </w:pPr>
            <w:r w:rsidRPr="007A0B49">
              <w:rPr>
                <w:b/>
                <w:color w:val="000000"/>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6BC133FB" w14:textId="77777777" w:rsidR="007A0B49" w:rsidRPr="007A0B49" w:rsidRDefault="007A0B49" w:rsidP="007A0B49">
            <w:pPr>
              <w:keepNext/>
              <w:keepLines/>
              <w:jc w:val="center"/>
              <w:rPr>
                <w:b/>
                <w:color w:val="000000"/>
                <w:lang w:val="en-GB"/>
              </w:rPr>
            </w:pPr>
          </w:p>
        </w:tc>
      </w:tr>
      <w:tr w:rsidR="007A0B49" w:rsidRPr="007A0B49" w14:paraId="0B570BFA"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49B1C0E2" w14:textId="77777777" w:rsidR="007A0B49" w:rsidRPr="007A0B49" w:rsidRDefault="007A0B49" w:rsidP="007A0B49">
            <w:pPr>
              <w:keepNext/>
              <w:keepLines/>
              <w:rPr>
                <w:color w:val="000000"/>
              </w:rPr>
            </w:pPr>
            <w:r w:rsidRPr="007A0B49">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34189EC" w14:textId="77777777" w:rsidR="007A0B49" w:rsidRPr="007A0B49" w:rsidRDefault="007A0B49" w:rsidP="007A0B49">
            <w:pPr>
              <w:keepNext/>
              <w:keepLines/>
              <w:jc w:val="center"/>
              <w:rPr>
                <w:color w:val="000000"/>
              </w:rPr>
            </w:pPr>
            <w:r w:rsidRPr="007A0B49">
              <w:rPr>
                <w:color w:val="000000"/>
              </w:rP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4550B2F" w14:textId="77777777" w:rsidR="007A0B49" w:rsidRPr="007A0B49" w:rsidRDefault="007A0B49" w:rsidP="007A0B49">
            <w:pPr>
              <w:keepNext/>
              <w:keepLines/>
              <w:jc w:val="center"/>
              <w:rPr>
                <w:color w:val="000000"/>
              </w:rPr>
            </w:pPr>
            <w:r w:rsidRPr="007A0B49">
              <w:rPr>
                <w:color w:val="000000"/>
              </w:rP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D9AEBDC" w14:textId="77777777" w:rsidR="007A0B49" w:rsidRPr="007A0B49" w:rsidRDefault="007A0B49" w:rsidP="007A0B49">
            <w:pPr>
              <w:keepNext/>
              <w:keepLines/>
              <w:jc w:val="center"/>
              <w:rPr>
                <w:color w:val="000000"/>
              </w:rPr>
            </w:pPr>
            <w:r w:rsidRPr="007A0B49">
              <w:rPr>
                <w:color w:val="000000"/>
              </w:rPr>
              <w:t>0,983</w:t>
            </w:r>
          </w:p>
        </w:tc>
      </w:tr>
      <w:tr w:rsidR="007A0B49" w:rsidRPr="007A0B49" w14:paraId="304AFA79"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25731A03" w14:textId="77777777" w:rsidR="007A0B49" w:rsidRPr="007A0B49" w:rsidRDefault="007A0B49" w:rsidP="007A0B49">
            <w:pPr>
              <w:keepNext/>
              <w:keepLines/>
              <w:rPr>
                <w:b/>
                <w:color w:val="000000"/>
              </w:rPr>
            </w:pPr>
            <w:r w:rsidRPr="007A0B49">
              <w:rPr>
                <w:b/>
                <w:color w:val="000000"/>
              </w:rPr>
              <w:t>Fistelremission</w:t>
            </w:r>
            <w:r w:rsidRPr="007A0B49">
              <w:rPr>
                <w:b/>
                <w:color w:val="000000"/>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BB9B4AA" w14:textId="77777777" w:rsidR="007A0B49" w:rsidRPr="007A0B49" w:rsidRDefault="007A0B49" w:rsidP="007A0B49">
            <w:pPr>
              <w:keepNext/>
              <w:keepLines/>
              <w:jc w:val="center"/>
              <w:rPr>
                <w:b/>
                <w:color w:val="000000"/>
              </w:rPr>
            </w:pPr>
            <w:r w:rsidRPr="007A0B49">
              <w:rPr>
                <w:b/>
                <w:color w:val="000000"/>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E54B3DA" w14:textId="77777777" w:rsidR="007A0B49" w:rsidRPr="007A0B49" w:rsidRDefault="007A0B49" w:rsidP="007A0B49">
            <w:pPr>
              <w:keepNext/>
              <w:keepLines/>
              <w:jc w:val="center"/>
              <w:rPr>
                <w:b/>
                <w:color w:val="000000"/>
              </w:rPr>
            </w:pPr>
            <w:r w:rsidRPr="007A0B49">
              <w:rPr>
                <w:b/>
                <w:color w:val="000000"/>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028480B9" w14:textId="77777777" w:rsidR="007A0B49" w:rsidRPr="007A0B49" w:rsidRDefault="007A0B49" w:rsidP="007A0B49">
            <w:pPr>
              <w:keepNext/>
              <w:keepLines/>
              <w:jc w:val="center"/>
              <w:rPr>
                <w:b/>
                <w:color w:val="000000"/>
                <w:lang w:val="en-GB"/>
              </w:rPr>
            </w:pPr>
          </w:p>
        </w:tc>
      </w:tr>
      <w:tr w:rsidR="007A0B49" w:rsidRPr="007A0B49" w14:paraId="647FDC33"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4777AF74" w14:textId="77777777" w:rsidR="007A0B49" w:rsidRPr="007A0B49" w:rsidRDefault="007A0B49" w:rsidP="007A0B49">
            <w:pPr>
              <w:rPr>
                <w:color w:val="000000"/>
              </w:rPr>
            </w:pPr>
            <w:r w:rsidRPr="007A0B49">
              <w:rPr>
                <w:color w:val="000000"/>
              </w:rPr>
              <w:t>Woche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592C829" w14:textId="77777777" w:rsidR="007A0B49" w:rsidRPr="007A0B49" w:rsidRDefault="007A0B49" w:rsidP="007A0B49">
            <w:pPr>
              <w:jc w:val="center"/>
              <w:rPr>
                <w:color w:val="000000"/>
              </w:rPr>
            </w:pPr>
            <w:r w:rsidRPr="007A0B49">
              <w:rPr>
                <w:color w:val="000000"/>
              </w:rP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B15B09F" w14:textId="77777777" w:rsidR="007A0B49" w:rsidRPr="007A0B49" w:rsidRDefault="007A0B49" w:rsidP="007A0B49">
            <w:pPr>
              <w:jc w:val="center"/>
              <w:rPr>
                <w:color w:val="000000"/>
              </w:rPr>
            </w:pPr>
            <w:r w:rsidRPr="007A0B49">
              <w:rPr>
                <w:color w:val="000000"/>
              </w:rP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A25BAE7" w14:textId="77777777" w:rsidR="007A0B49" w:rsidRPr="007A0B49" w:rsidRDefault="007A0B49" w:rsidP="007A0B49">
            <w:pPr>
              <w:jc w:val="center"/>
              <w:rPr>
                <w:color w:val="000000"/>
              </w:rPr>
            </w:pPr>
            <w:r w:rsidRPr="007A0B49">
              <w:rPr>
                <w:color w:val="000000"/>
              </w:rPr>
              <w:t>0,608</w:t>
            </w:r>
          </w:p>
        </w:tc>
      </w:tr>
      <w:tr w:rsidR="007A0B49" w:rsidRPr="007A0B49" w14:paraId="600C8E7D" w14:textId="77777777" w:rsidTr="004363C9">
        <w:tc>
          <w:tcPr>
            <w:tcW w:w="4158" w:type="dxa"/>
            <w:tcBorders>
              <w:top w:val="single" w:sz="4" w:space="0" w:color="auto"/>
              <w:left w:val="single" w:sz="4" w:space="0" w:color="auto"/>
              <w:bottom w:val="single" w:sz="4" w:space="0" w:color="auto"/>
              <w:right w:val="single" w:sz="4" w:space="0" w:color="auto"/>
            </w:tcBorders>
            <w:hideMark/>
          </w:tcPr>
          <w:p w14:paraId="182F77C8" w14:textId="77777777" w:rsidR="007A0B49" w:rsidRPr="007A0B49" w:rsidRDefault="007A0B49" w:rsidP="007A0B49">
            <w:pPr>
              <w:rPr>
                <w:color w:val="000000"/>
              </w:rPr>
            </w:pPr>
            <w:r w:rsidRPr="007A0B49">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012F2AB" w14:textId="77777777" w:rsidR="007A0B49" w:rsidRPr="007A0B49" w:rsidRDefault="007A0B49" w:rsidP="007A0B49">
            <w:pPr>
              <w:jc w:val="center"/>
              <w:rPr>
                <w:color w:val="000000"/>
              </w:rPr>
            </w:pPr>
            <w:r w:rsidRPr="007A0B49">
              <w:rPr>
                <w:color w:val="000000"/>
              </w:rP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1F4811C" w14:textId="77777777" w:rsidR="007A0B49" w:rsidRPr="007A0B49" w:rsidRDefault="007A0B49" w:rsidP="007A0B49">
            <w:pPr>
              <w:jc w:val="center"/>
              <w:rPr>
                <w:color w:val="000000"/>
              </w:rPr>
            </w:pPr>
            <w:r w:rsidRPr="007A0B49">
              <w:rPr>
                <w:color w:val="000000"/>
              </w:rP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C09D3BB" w14:textId="77777777" w:rsidR="007A0B49" w:rsidRPr="007A0B49" w:rsidRDefault="007A0B49" w:rsidP="007A0B49">
            <w:pPr>
              <w:jc w:val="center"/>
              <w:rPr>
                <w:color w:val="000000"/>
              </w:rPr>
            </w:pPr>
            <w:r w:rsidRPr="007A0B49">
              <w:rPr>
                <w:color w:val="000000"/>
              </w:rPr>
              <w:t>0,303</w:t>
            </w:r>
          </w:p>
        </w:tc>
      </w:tr>
      <w:tr w:rsidR="007A0B49" w:rsidRPr="007A0B49" w14:paraId="0B3EA75B" w14:textId="77777777" w:rsidTr="004363C9">
        <w:tc>
          <w:tcPr>
            <w:tcW w:w="9303" w:type="dxa"/>
            <w:gridSpan w:val="4"/>
            <w:tcBorders>
              <w:top w:val="single" w:sz="4" w:space="0" w:color="auto"/>
              <w:left w:val="nil"/>
              <w:bottom w:val="nil"/>
              <w:right w:val="nil"/>
            </w:tcBorders>
          </w:tcPr>
          <w:p w14:paraId="5CC33E48" w14:textId="77777777" w:rsidR="007A0B49" w:rsidRPr="00206AEA" w:rsidRDefault="007A0B49" w:rsidP="007A0B49">
            <w:pPr>
              <w:ind w:left="270" w:hanging="270"/>
              <w:rPr>
                <w:color w:val="000000"/>
                <w:sz w:val="20"/>
              </w:rPr>
            </w:pPr>
            <w:r w:rsidRPr="00206AEA">
              <w:rPr>
                <w:color w:val="000000"/>
                <w:sz w:val="20"/>
                <w:vertAlign w:val="superscript"/>
              </w:rPr>
              <w:t>1</w:t>
            </w:r>
            <w:r w:rsidRPr="00206AEA">
              <w:rPr>
                <w:color w:val="000000"/>
                <w:sz w:val="20"/>
              </w:rPr>
              <w:tab/>
              <w:t xml:space="preserve">p-Wert für Vergleich von Standarddosis gegenüber Niedrigdosis </w:t>
            </w:r>
          </w:p>
          <w:p w14:paraId="49392713" w14:textId="77777777" w:rsidR="007A0B49" w:rsidRPr="00206AEA" w:rsidRDefault="007A0B49" w:rsidP="007A0B49">
            <w:pPr>
              <w:ind w:left="270" w:hanging="270"/>
              <w:rPr>
                <w:color w:val="000000"/>
                <w:sz w:val="20"/>
              </w:rPr>
            </w:pPr>
            <w:r w:rsidRPr="00206AEA">
              <w:rPr>
                <w:color w:val="000000"/>
                <w:sz w:val="20"/>
                <w:vertAlign w:val="superscript"/>
              </w:rPr>
              <w:t>2</w:t>
            </w:r>
            <w:r w:rsidRPr="00206AEA">
              <w:rPr>
                <w:color w:val="000000"/>
                <w:sz w:val="20"/>
              </w:rPr>
              <w:tab/>
              <w:t xml:space="preserve">Behandlung mit Immunsuppressiva konnte nach Ermessen des Prüfers erst zu oder nach </w:t>
            </w:r>
            <w:r w:rsidRPr="007A0B49">
              <w:rPr>
                <w:color w:val="000000"/>
              </w:rPr>
              <w:t>Woche 26</w:t>
            </w:r>
            <w:r w:rsidRPr="00206AEA">
              <w:rPr>
                <w:color w:val="000000"/>
                <w:sz w:val="20"/>
              </w:rPr>
              <w:t xml:space="preserve"> beendet werden, wenn der Patient das Kriterium für ein</w:t>
            </w:r>
            <w:r w:rsidR="00664432" w:rsidRPr="00206AEA">
              <w:rPr>
                <w:color w:val="000000"/>
                <w:sz w:val="20"/>
              </w:rPr>
              <w:t xml:space="preserve"> klinisches Ansprechen erfüllte.</w:t>
            </w:r>
          </w:p>
          <w:p w14:paraId="309CD25B" w14:textId="77777777" w:rsidR="007A0B49" w:rsidRPr="00206AEA" w:rsidRDefault="007A0B49" w:rsidP="007A0B49">
            <w:pPr>
              <w:ind w:left="270" w:hanging="270"/>
              <w:rPr>
                <w:color w:val="000000"/>
                <w:sz w:val="20"/>
              </w:rPr>
            </w:pPr>
            <w:r w:rsidRPr="00206AEA">
              <w:rPr>
                <w:color w:val="000000"/>
                <w:sz w:val="20"/>
                <w:vertAlign w:val="superscript"/>
              </w:rPr>
              <w:t>3</w:t>
            </w:r>
            <w:r w:rsidRPr="00206AEA">
              <w:rPr>
                <w:color w:val="000000"/>
                <w:sz w:val="20"/>
              </w:rPr>
              <w:tab/>
              <w:t>definiert als Verschluss aller zum Zeitpunkt des Studienbeginns drainierender Fisteln, nachgewiesen an mindestens zwei aufeinanderfolgenden Visiten im Studienverlauf</w:t>
            </w:r>
            <w:r w:rsidR="00664432" w:rsidRPr="00206AEA">
              <w:rPr>
                <w:color w:val="000000"/>
                <w:sz w:val="20"/>
              </w:rPr>
              <w:t>.</w:t>
            </w:r>
          </w:p>
        </w:tc>
      </w:tr>
    </w:tbl>
    <w:p w14:paraId="7DA70DAB" w14:textId="77777777" w:rsidR="007A0B49" w:rsidRPr="007A0B49" w:rsidRDefault="007A0B49" w:rsidP="007A0B49">
      <w:pPr>
        <w:rPr>
          <w:color w:val="000000"/>
        </w:rPr>
      </w:pPr>
    </w:p>
    <w:p w14:paraId="0CC4617E" w14:textId="77777777" w:rsidR="007A0B49" w:rsidRPr="007A0B49" w:rsidRDefault="007A0B49" w:rsidP="007A0B49">
      <w:pPr>
        <w:kinsoku w:val="0"/>
        <w:overflowPunct w:val="0"/>
        <w:rPr>
          <w:color w:val="000000"/>
        </w:rPr>
      </w:pPr>
      <w:r w:rsidRPr="007A0B49">
        <w:rPr>
          <w:color w:val="000000"/>
        </w:rPr>
        <w:t>Statistisch signifikante Zunahmen (Verbesserungen) im Vergleich zum Studienbeginn wurden im Body-Mass-Index und der Körpergröße zu Woche 26 und Woche 52 für beide Behandlungsgruppen beobachtet.</w:t>
      </w:r>
    </w:p>
    <w:p w14:paraId="64DCE8BA" w14:textId="77777777" w:rsidR="007A0B49" w:rsidRPr="007A0B49" w:rsidRDefault="007A0B49" w:rsidP="007A0B49">
      <w:pPr>
        <w:kinsoku w:val="0"/>
        <w:overflowPunct w:val="0"/>
        <w:rPr>
          <w:color w:val="000000"/>
        </w:rPr>
      </w:pPr>
    </w:p>
    <w:p w14:paraId="09D90C21" w14:textId="77777777" w:rsidR="007A0B49" w:rsidRPr="007A0B49" w:rsidRDefault="007A0B49" w:rsidP="007A0B49">
      <w:pPr>
        <w:kinsoku w:val="0"/>
        <w:overflowPunct w:val="0"/>
        <w:rPr>
          <w:color w:val="000000"/>
        </w:rPr>
      </w:pPr>
      <w:r w:rsidRPr="007A0B49">
        <w:rPr>
          <w:color w:val="000000"/>
        </w:rPr>
        <w:t>Statistisch und klinisch signifikante Verbesserungen im Vergleich zum Studienbeginn wurden auch in beiden Behandlungsgruppen für die Parameter zur Lebensqualität (einschließlich IMPACT III) beobachtet.</w:t>
      </w:r>
    </w:p>
    <w:p w14:paraId="66B2F852" w14:textId="77777777" w:rsidR="007A0B49" w:rsidRPr="007A0B49" w:rsidRDefault="007A0B49" w:rsidP="007A0B49">
      <w:pPr>
        <w:kinsoku w:val="0"/>
        <w:overflowPunct w:val="0"/>
        <w:rPr>
          <w:color w:val="000000"/>
          <w:szCs w:val="21"/>
        </w:rPr>
      </w:pPr>
    </w:p>
    <w:p w14:paraId="7AED53AD" w14:textId="77777777" w:rsidR="007A0B49" w:rsidRPr="007A0B49" w:rsidRDefault="007A0B49" w:rsidP="007A0B49">
      <w:pPr>
        <w:kinsoku w:val="0"/>
        <w:overflowPunct w:val="0"/>
        <w:rPr>
          <w:color w:val="000000"/>
        </w:rPr>
      </w:pPr>
      <w:r w:rsidRPr="007A0B49">
        <w:rPr>
          <w:color w:val="000000"/>
        </w:rPr>
        <w:t xml:space="preserve">Einhundert Patienten (n = 100) der Studie zu pädiatrischem Morbus Crohn setzten diese in einer offenen </w:t>
      </w:r>
      <w:r w:rsidR="006E02C3">
        <w:rPr>
          <w:color w:val="000000"/>
        </w:rPr>
        <w:t>Fortsetzungsphase</w:t>
      </w:r>
      <w:r w:rsidRPr="007A0B49">
        <w:rPr>
          <w:color w:val="000000"/>
        </w:rPr>
        <w:t xml:space="preserve"> zur Langzeitanwendung fort. Nach fünf Jahren unter Adalimumab-Therapie wiesen 74,0 % (37/50) der 50 in der Studie verbliebenen Patienten weiterhin eine klinische Remission und 92,0 % (46/50) ein klinisches Ansprechen nach PCDAI auf.</w:t>
      </w:r>
    </w:p>
    <w:p w14:paraId="7DB017A5" w14:textId="77777777" w:rsidR="007A0B49" w:rsidRDefault="007A0B49" w:rsidP="007A0B49">
      <w:pPr>
        <w:kinsoku w:val="0"/>
        <w:overflowPunct w:val="0"/>
        <w:rPr>
          <w:color w:val="000000"/>
        </w:rPr>
      </w:pPr>
    </w:p>
    <w:p w14:paraId="67880242" w14:textId="77777777" w:rsidR="00215D48" w:rsidRPr="008419B6" w:rsidRDefault="00215D48" w:rsidP="008419B6">
      <w:pPr>
        <w:rPr>
          <w:i/>
          <w:iCs/>
          <w:color w:val="000000"/>
        </w:rPr>
      </w:pPr>
      <w:r w:rsidRPr="008419B6">
        <w:rPr>
          <w:i/>
          <w:iCs/>
          <w:color w:val="000000"/>
        </w:rPr>
        <w:t>Colitis ulcerosa bei Kindern und Jugendlichen</w:t>
      </w:r>
    </w:p>
    <w:p w14:paraId="67CB9EC7" w14:textId="77777777" w:rsidR="00215D48" w:rsidRDefault="00215D48" w:rsidP="007A0B49">
      <w:pPr>
        <w:kinsoku w:val="0"/>
        <w:overflowPunct w:val="0"/>
        <w:rPr>
          <w:color w:val="000000"/>
        </w:rPr>
      </w:pPr>
    </w:p>
    <w:p w14:paraId="09971B5A" w14:textId="77777777" w:rsidR="00215D48" w:rsidRDefault="00215D48" w:rsidP="00215D48">
      <w:pPr>
        <w:kinsoku w:val="0"/>
        <w:overflowPunct w:val="0"/>
        <w:rPr>
          <w:color w:val="000000"/>
        </w:rPr>
      </w:pPr>
      <w:r w:rsidRPr="00215D48">
        <w:rPr>
          <w:color w:val="000000"/>
        </w:rPr>
        <w:t xml:space="preserve">Die Sicherheit und Wirksamkeit von </w:t>
      </w:r>
      <w:r>
        <w:rPr>
          <w:color w:val="000000"/>
        </w:rPr>
        <w:t>Adalimumab</w:t>
      </w:r>
      <w:r w:rsidRPr="00215D48">
        <w:rPr>
          <w:color w:val="000000"/>
        </w:rPr>
        <w:t xml:space="preserve"> wurden in einer multizentrischen, randomisierten</w:t>
      </w:r>
      <w:r>
        <w:rPr>
          <w:color w:val="000000"/>
        </w:rPr>
        <w:t xml:space="preserve"> </w:t>
      </w:r>
      <w:r w:rsidRPr="00215D48">
        <w:rPr>
          <w:color w:val="000000"/>
        </w:rPr>
        <w:t>doppelblinden Studie bei 93</w:t>
      </w:r>
      <w:r>
        <w:rPr>
          <w:color w:val="000000"/>
        </w:rPr>
        <w:t> </w:t>
      </w:r>
      <w:r w:rsidRPr="00215D48">
        <w:rPr>
          <w:color w:val="000000"/>
        </w:rPr>
        <w:t>Kindern und Jug</w:t>
      </w:r>
      <w:r>
        <w:rPr>
          <w:color w:val="000000"/>
        </w:rPr>
        <w:t>endlichen im Alter von 5 bis 17 </w:t>
      </w:r>
      <w:r w:rsidRPr="00215D48">
        <w:rPr>
          <w:color w:val="000000"/>
        </w:rPr>
        <w:t>Jahren mit</w:t>
      </w:r>
      <w:r>
        <w:rPr>
          <w:color w:val="000000"/>
        </w:rPr>
        <w:t xml:space="preserve"> </w:t>
      </w:r>
      <w:r w:rsidRPr="00215D48">
        <w:rPr>
          <w:color w:val="000000"/>
        </w:rPr>
        <w:t>mittelschwerer bis schwerer Colitis ulcerosa (Mayo-Score 6 bis 12 mit Endoskopie-Subscore 2 bis 3,</w:t>
      </w:r>
      <w:r>
        <w:rPr>
          <w:color w:val="000000"/>
        </w:rPr>
        <w:t xml:space="preserve"> </w:t>
      </w:r>
      <w:r w:rsidRPr="00215D48">
        <w:rPr>
          <w:color w:val="000000"/>
        </w:rPr>
        <w:lastRenderedPageBreak/>
        <w:t>bestätigt durch zentral ausgewertete endoskopische Aufnahmen) und unzureichendem Ansprechen auf</w:t>
      </w:r>
      <w:r>
        <w:rPr>
          <w:color w:val="000000"/>
        </w:rPr>
        <w:t xml:space="preserve"> </w:t>
      </w:r>
      <w:r w:rsidRPr="00215D48">
        <w:rPr>
          <w:color w:val="000000"/>
        </w:rPr>
        <w:t>oder Unverträglichkeit gegenüber konventionellen Therapien untersucht. Bei etwa 16</w:t>
      </w:r>
      <w:r>
        <w:rPr>
          <w:color w:val="000000"/>
        </w:rPr>
        <w:t> </w:t>
      </w:r>
      <w:r w:rsidRPr="00215D48">
        <w:rPr>
          <w:color w:val="000000"/>
        </w:rPr>
        <w:t>% der Patienten</w:t>
      </w:r>
      <w:r>
        <w:rPr>
          <w:color w:val="000000"/>
        </w:rPr>
        <w:t xml:space="preserve"> </w:t>
      </w:r>
      <w:r w:rsidRPr="00215D48">
        <w:rPr>
          <w:color w:val="000000"/>
        </w:rPr>
        <w:t>der Studie hatte zuvor eine Anti-TNF-Behandlung versagt. Bei Patienten, die bei Aufnahme in die</w:t>
      </w:r>
      <w:r>
        <w:rPr>
          <w:color w:val="000000"/>
        </w:rPr>
        <w:t xml:space="preserve"> </w:t>
      </w:r>
      <w:r w:rsidRPr="00215D48">
        <w:rPr>
          <w:color w:val="000000"/>
        </w:rPr>
        <w:t>Studie Kortikosteroide erhielten, w</w:t>
      </w:r>
      <w:r>
        <w:rPr>
          <w:color w:val="000000"/>
        </w:rPr>
        <w:t>ar ein Ausschleichen nach Woche </w:t>
      </w:r>
      <w:r w:rsidRPr="00215D48">
        <w:rPr>
          <w:color w:val="000000"/>
        </w:rPr>
        <w:t>4 erlaubt.</w:t>
      </w:r>
    </w:p>
    <w:p w14:paraId="0501041F" w14:textId="77777777" w:rsidR="00215D48" w:rsidRPr="00215D48" w:rsidRDefault="00215D48" w:rsidP="00215D48">
      <w:pPr>
        <w:kinsoku w:val="0"/>
        <w:overflowPunct w:val="0"/>
        <w:rPr>
          <w:color w:val="000000"/>
        </w:rPr>
      </w:pPr>
    </w:p>
    <w:p w14:paraId="1307C420" w14:textId="77777777" w:rsidR="00215D48" w:rsidRDefault="00215D48" w:rsidP="00215D48">
      <w:pPr>
        <w:kinsoku w:val="0"/>
        <w:overflowPunct w:val="0"/>
        <w:rPr>
          <w:color w:val="000000"/>
        </w:rPr>
      </w:pPr>
      <w:r w:rsidRPr="00215D48">
        <w:rPr>
          <w:color w:val="000000"/>
        </w:rPr>
        <w:t>In der Induktionsphase der Studie wurden 77</w:t>
      </w:r>
      <w:r>
        <w:rPr>
          <w:color w:val="000000"/>
        </w:rPr>
        <w:t> </w:t>
      </w:r>
      <w:r w:rsidRPr="00215D48">
        <w:rPr>
          <w:color w:val="000000"/>
        </w:rPr>
        <w:t>Patienten im Verhältnis 3:2 randomisiert und erhielten</w:t>
      </w:r>
      <w:r>
        <w:rPr>
          <w:color w:val="000000"/>
        </w:rPr>
        <w:t xml:space="preserve"> </w:t>
      </w:r>
      <w:r w:rsidRPr="00215D48">
        <w:rPr>
          <w:color w:val="000000"/>
        </w:rPr>
        <w:t xml:space="preserve">eine doppelblinde Behandlung mit </w:t>
      </w:r>
      <w:r>
        <w:rPr>
          <w:color w:val="000000"/>
        </w:rPr>
        <w:t>Adalimumab: eine Induktionsdosis von 2,4 </w:t>
      </w:r>
      <w:r w:rsidRPr="00215D48">
        <w:rPr>
          <w:color w:val="000000"/>
        </w:rPr>
        <w:t>mg/kg (maximal 160</w:t>
      </w:r>
      <w:r>
        <w:rPr>
          <w:color w:val="000000"/>
        </w:rPr>
        <w:t> </w:t>
      </w:r>
      <w:r w:rsidRPr="00215D48">
        <w:rPr>
          <w:color w:val="000000"/>
        </w:rPr>
        <w:t>mg) in</w:t>
      </w:r>
      <w:r>
        <w:rPr>
          <w:color w:val="000000"/>
        </w:rPr>
        <w:t xml:space="preserve"> </w:t>
      </w:r>
      <w:r w:rsidRPr="00215D48">
        <w:rPr>
          <w:color w:val="000000"/>
        </w:rPr>
        <w:t>Woche</w:t>
      </w:r>
      <w:r>
        <w:rPr>
          <w:color w:val="000000"/>
        </w:rPr>
        <w:t> </w:t>
      </w:r>
      <w:r w:rsidRPr="00215D48">
        <w:rPr>
          <w:color w:val="000000"/>
        </w:rPr>
        <w:t>0 und Woche</w:t>
      </w:r>
      <w:r>
        <w:rPr>
          <w:color w:val="000000"/>
        </w:rPr>
        <w:t> </w:t>
      </w:r>
      <w:r w:rsidRPr="00215D48">
        <w:rPr>
          <w:color w:val="000000"/>
        </w:rPr>
        <w:t>1 und 1,2</w:t>
      </w:r>
      <w:r>
        <w:rPr>
          <w:color w:val="000000"/>
        </w:rPr>
        <w:t> </w:t>
      </w:r>
      <w:r w:rsidRPr="00215D48">
        <w:rPr>
          <w:color w:val="000000"/>
        </w:rPr>
        <w:t>mg/kg (maximal 80</w:t>
      </w:r>
      <w:r>
        <w:rPr>
          <w:color w:val="000000"/>
        </w:rPr>
        <w:t> </w:t>
      </w:r>
      <w:r w:rsidRPr="00215D48">
        <w:rPr>
          <w:color w:val="000000"/>
        </w:rPr>
        <w:t>mg) in Woche</w:t>
      </w:r>
      <w:r>
        <w:rPr>
          <w:color w:val="000000"/>
        </w:rPr>
        <w:t> </w:t>
      </w:r>
      <w:r w:rsidRPr="00215D48">
        <w:rPr>
          <w:color w:val="000000"/>
        </w:rPr>
        <w:t>2 bzw. 2,4</w:t>
      </w:r>
      <w:r>
        <w:rPr>
          <w:color w:val="000000"/>
        </w:rPr>
        <w:t> </w:t>
      </w:r>
      <w:r w:rsidRPr="00215D48">
        <w:rPr>
          <w:color w:val="000000"/>
        </w:rPr>
        <w:t>mg/kg (maximal</w:t>
      </w:r>
      <w:r>
        <w:rPr>
          <w:color w:val="000000"/>
        </w:rPr>
        <w:t xml:space="preserve"> </w:t>
      </w:r>
      <w:r w:rsidRPr="00215D48">
        <w:rPr>
          <w:color w:val="000000"/>
        </w:rPr>
        <w:t>160</w:t>
      </w:r>
      <w:r>
        <w:rPr>
          <w:color w:val="000000"/>
        </w:rPr>
        <w:t> </w:t>
      </w:r>
      <w:r w:rsidRPr="00215D48">
        <w:rPr>
          <w:color w:val="000000"/>
        </w:rPr>
        <w:t>mg) in Woche</w:t>
      </w:r>
      <w:r>
        <w:rPr>
          <w:color w:val="000000"/>
        </w:rPr>
        <w:t> </w:t>
      </w:r>
      <w:r w:rsidRPr="00215D48">
        <w:rPr>
          <w:color w:val="000000"/>
        </w:rPr>
        <w:t>0, Placebo in Woche</w:t>
      </w:r>
      <w:r>
        <w:rPr>
          <w:color w:val="000000"/>
        </w:rPr>
        <w:t> </w:t>
      </w:r>
      <w:r w:rsidRPr="00215D48">
        <w:rPr>
          <w:color w:val="000000"/>
        </w:rPr>
        <w:t>1 und 1,2</w:t>
      </w:r>
      <w:r>
        <w:rPr>
          <w:color w:val="000000"/>
        </w:rPr>
        <w:t> </w:t>
      </w:r>
      <w:r w:rsidRPr="00215D48">
        <w:rPr>
          <w:color w:val="000000"/>
        </w:rPr>
        <w:t>mg/kg (maximal 80</w:t>
      </w:r>
      <w:r>
        <w:rPr>
          <w:color w:val="000000"/>
        </w:rPr>
        <w:t> </w:t>
      </w:r>
      <w:r w:rsidRPr="00215D48">
        <w:rPr>
          <w:color w:val="000000"/>
        </w:rPr>
        <w:t>mg) in Woche</w:t>
      </w:r>
      <w:r>
        <w:rPr>
          <w:color w:val="000000"/>
        </w:rPr>
        <w:t> </w:t>
      </w:r>
      <w:r w:rsidRPr="00215D48">
        <w:rPr>
          <w:color w:val="000000"/>
        </w:rPr>
        <w:t>2. Beide</w:t>
      </w:r>
      <w:r>
        <w:rPr>
          <w:color w:val="000000"/>
        </w:rPr>
        <w:t xml:space="preserve"> </w:t>
      </w:r>
      <w:r w:rsidRPr="00215D48">
        <w:rPr>
          <w:color w:val="000000"/>
        </w:rPr>
        <w:t>Behandlungsarme erhielten 0,6</w:t>
      </w:r>
      <w:r>
        <w:rPr>
          <w:color w:val="000000"/>
        </w:rPr>
        <w:t> </w:t>
      </w:r>
      <w:r w:rsidRPr="00215D48">
        <w:rPr>
          <w:color w:val="000000"/>
        </w:rPr>
        <w:t>mg/kg (maximal 40</w:t>
      </w:r>
      <w:r>
        <w:rPr>
          <w:color w:val="000000"/>
        </w:rPr>
        <w:t> </w:t>
      </w:r>
      <w:r w:rsidRPr="00215D48">
        <w:rPr>
          <w:color w:val="000000"/>
        </w:rPr>
        <w:t>mg) in Woche</w:t>
      </w:r>
      <w:r>
        <w:rPr>
          <w:color w:val="000000"/>
        </w:rPr>
        <w:t> </w:t>
      </w:r>
      <w:r w:rsidRPr="00215D48">
        <w:rPr>
          <w:color w:val="000000"/>
        </w:rPr>
        <w:t>4 und Woche</w:t>
      </w:r>
      <w:r>
        <w:rPr>
          <w:color w:val="000000"/>
        </w:rPr>
        <w:t> </w:t>
      </w:r>
      <w:r w:rsidRPr="00215D48">
        <w:rPr>
          <w:color w:val="000000"/>
        </w:rPr>
        <w:t>6. Nach einer</w:t>
      </w:r>
      <w:r>
        <w:rPr>
          <w:color w:val="000000"/>
        </w:rPr>
        <w:t xml:space="preserve"> </w:t>
      </w:r>
      <w:r w:rsidRPr="00215D48">
        <w:rPr>
          <w:color w:val="000000"/>
        </w:rPr>
        <w:t>Änderung des Studiendesigns erhielten die verbleibenden 16</w:t>
      </w:r>
      <w:r>
        <w:rPr>
          <w:color w:val="000000"/>
        </w:rPr>
        <w:t> </w:t>
      </w:r>
      <w:r w:rsidRPr="00215D48">
        <w:rPr>
          <w:color w:val="000000"/>
        </w:rPr>
        <w:t>Patienten, die in die Induktionsphase</w:t>
      </w:r>
      <w:r>
        <w:rPr>
          <w:color w:val="000000"/>
        </w:rPr>
        <w:t xml:space="preserve"> </w:t>
      </w:r>
      <w:r w:rsidRPr="00215D48">
        <w:rPr>
          <w:color w:val="000000"/>
        </w:rPr>
        <w:t xml:space="preserve">aufgenommen wurden, eine offene Behandlung mit </w:t>
      </w:r>
      <w:r>
        <w:rPr>
          <w:color w:val="000000"/>
        </w:rPr>
        <w:t>Adalimumab</w:t>
      </w:r>
      <w:r w:rsidRPr="00215D48">
        <w:rPr>
          <w:color w:val="000000"/>
        </w:rPr>
        <w:t xml:space="preserve"> in der Induktionsdosis von 2,4</w:t>
      </w:r>
      <w:r>
        <w:rPr>
          <w:color w:val="000000"/>
        </w:rPr>
        <w:t> </w:t>
      </w:r>
      <w:r w:rsidRPr="00215D48">
        <w:rPr>
          <w:color w:val="000000"/>
        </w:rPr>
        <w:t>mg/kg</w:t>
      </w:r>
      <w:r>
        <w:rPr>
          <w:color w:val="000000"/>
        </w:rPr>
        <w:t xml:space="preserve"> </w:t>
      </w:r>
      <w:r w:rsidRPr="00215D48">
        <w:rPr>
          <w:color w:val="000000"/>
        </w:rPr>
        <w:t>(maximal 160</w:t>
      </w:r>
      <w:r>
        <w:rPr>
          <w:color w:val="000000"/>
        </w:rPr>
        <w:t> </w:t>
      </w:r>
      <w:r w:rsidRPr="00215D48">
        <w:rPr>
          <w:color w:val="000000"/>
        </w:rPr>
        <w:t>mg) in Woch</w:t>
      </w:r>
      <w:r>
        <w:rPr>
          <w:color w:val="000000"/>
        </w:rPr>
        <w:t>e </w:t>
      </w:r>
      <w:r w:rsidRPr="00215D48">
        <w:rPr>
          <w:color w:val="000000"/>
        </w:rPr>
        <w:t>0 und Woche</w:t>
      </w:r>
      <w:r>
        <w:rPr>
          <w:color w:val="000000"/>
        </w:rPr>
        <w:t> </w:t>
      </w:r>
      <w:r w:rsidRPr="00215D48">
        <w:rPr>
          <w:color w:val="000000"/>
        </w:rPr>
        <w:t>1 und 1,2</w:t>
      </w:r>
      <w:r>
        <w:rPr>
          <w:color w:val="000000"/>
        </w:rPr>
        <w:t> </w:t>
      </w:r>
      <w:r w:rsidRPr="00215D48">
        <w:rPr>
          <w:color w:val="000000"/>
        </w:rPr>
        <w:t>mg/kg (maximal 80</w:t>
      </w:r>
      <w:r>
        <w:rPr>
          <w:color w:val="000000"/>
        </w:rPr>
        <w:t> </w:t>
      </w:r>
      <w:r w:rsidRPr="00215D48">
        <w:rPr>
          <w:color w:val="000000"/>
        </w:rPr>
        <w:t>mg) in Woche</w:t>
      </w:r>
      <w:r>
        <w:rPr>
          <w:color w:val="000000"/>
        </w:rPr>
        <w:t> </w:t>
      </w:r>
      <w:r w:rsidRPr="00215D48">
        <w:rPr>
          <w:color w:val="000000"/>
        </w:rPr>
        <w:t>2.</w:t>
      </w:r>
    </w:p>
    <w:p w14:paraId="2BFBAF35" w14:textId="77777777" w:rsidR="00215D48" w:rsidRPr="00215D48" w:rsidRDefault="00215D48" w:rsidP="00215D48">
      <w:pPr>
        <w:kinsoku w:val="0"/>
        <w:overflowPunct w:val="0"/>
        <w:rPr>
          <w:color w:val="000000"/>
        </w:rPr>
      </w:pPr>
    </w:p>
    <w:p w14:paraId="717D44D7" w14:textId="77777777" w:rsidR="00215D48" w:rsidRDefault="00215D48" w:rsidP="00215D48">
      <w:pPr>
        <w:kinsoku w:val="0"/>
        <w:overflowPunct w:val="0"/>
        <w:rPr>
          <w:color w:val="000000"/>
        </w:rPr>
      </w:pPr>
      <w:r>
        <w:rPr>
          <w:color w:val="000000"/>
        </w:rPr>
        <w:t>In Woche </w:t>
      </w:r>
      <w:r w:rsidRPr="00215D48">
        <w:rPr>
          <w:color w:val="000000"/>
        </w:rPr>
        <w:t>8 wurden 62</w:t>
      </w:r>
      <w:r>
        <w:rPr>
          <w:color w:val="000000"/>
        </w:rPr>
        <w:t> </w:t>
      </w:r>
      <w:r w:rsidRPr="00215D48">
        <w:rPr>
          <w:color w:val="000000"/>
        </w:rPr>
        <w:t>Patienten, die nach Partial-Mayo-Score (PMS, definiert als Abnahme um</w:t>
      </w:r>
      <w:r>
        <w:rPr>
          <w:color w:val="000000"/>
        </w:rPr>
        <w:t xml:space="preserve"> </w:t>
      </w:r>
      <w:r w:rsidRPr="00215D48">
        <w:rPr>
          <w:color w:val="000000"/>
        </w:rPr>
        <w:t>≥</w:t>
      </w:r>
      <w:r>
        <w:rPr>
          <w:color w:val="000000"/>
        </w:rPr>
        <w:t> </w:t>
      </w:r>
      <w:r w:rsidRPr="00215D48">
        <w:rPr>
          <w:color w:val="000000"/>
        </w:rPr>
        <w:t>2</w:t>
      </w:r>
      <w:r>
        <w:rPr>
          <w:color w:val="000000"/>
        </w:rPr>
        <w:t> </w:t>
      </w:r>
      <w:r w:rsidRPr="00215D48">
        <w:rPr>
          <w:color w:val="000000"/>
        </w:rPr>
        <w:t>Punkte und ≥</w:t>
      </w:r>
      <w:r>
        <w:rPr>
          <w:color w:val="000000"/>
        </w:rPr>
        <w:t> </w:t>
      </w:r>
      <w:r w:rsidRPr="00215D48">
        <w:rPr>
          <w:color w:val="000000"/>
        </w:rPr>
        <w:t>30</w:t>
      </w:r>
      <w:r>
        <w:rPr>
          <w:color w:val="000000"/>
        </w:rPr>
        <w:t> </w:t>
      </w:r>
      <w:r w:rsidRPr="00215D48">
        <w:rPr>
          <w:color w:val="000000"/>
        </w:rPr>
        <w:t>% gegenüber Baseline) ein klinisches Ansprechen aufwiesen, im Verhältnis 1:1</w:t>
      </w:r>
      <w:r>
        <w:rPr>
          <w:color w:val="000000"/>
        </w:rPr>
        <w:t xml:space="preserve"> </w:t>
      </w:r>
      <w:r w:rsidRPr="00215D48">
        <w:rPr>
          <w:color w:val="000000"/>
        </w:rPr>
        <w:t xml:space="preserve">randomisiert und erhielten eine doppelblinde Erhaltungstherapie mit </w:t>
      </w:r>
      <w:r>
        <w:rPr>
          <w:color w:val="000000"/>
        </w:rPr>
        <w:t>Adalimumab</w:t>
      </w:r>
      <w:r w:rsidRPr="00215D48">
        <w:rPr>
          <w:color w:val="000000"/>
        </w:rPr>
        <w:t xml:space="preserve"> in einer Dosis von</w:t>
      </w:r>
      <w:r>
        <w:rPr>
          <w:color w:val="000000"/>
        </w:rPr>
        <w:t xml:space="preserve"> </w:t>
      </w:r>
      <w:r w:rsidRPr="00215D48">
        <w:rPr>
          <w:color w:val="000000"/>
        </w:rPr>
        <w:t>0,6</w:t>
      </w:r>
      <w:r>
        <w:rPr>
          <w:color w:val="000000"/>
        </w:rPr>
        <w:t> </w:t>
      </w:r>
      <w:r w:rsidRPr="00215D48">
        <w:rPr>
          <w:color w:val="000000"/>
        </w:rPr>
        <w:t>mg/kg (maximal 40</w:t>
      </w:r>
      <w:r>
        <w:rPr>
          <w:color w:val="000000"/>
        </w:rPr>
        <w:t> </w:t>
      </w:r>
      <w:r w:rsidRPr="00215D48">
        <w:rPr>
          <w:color w:val="000000"/>
        </w:rPr>
        <w:t>mg) wöchentlich oder jede zweite Woche. Vor der Änderung des</w:t>
      </w:r>
      <w:r>
        <w:rPr>
          <w:color w:val="000000"/>
        </w:rPr>
        <w:t xml:space="preserve"> </w:t>
      </w:r>
      <w:r w:rsidRPr="00215D48">
        <w:rPr>
          <w:color w:val="000000"/>
        </w:rPr>
        <w:t>Studiendesigns wurden 12</w:t>
      </w:r>
      <w:r>
        <w:rPr>
          <w:color w:val="000000"/>
        </w:rPr>
        <w:t> </w:t>
      </w:r>
      <w:r w:rsidRPr="00215D48">
        <w:rPr>
          <w:color w:val="000000"/>
        </w:rPr>
        <w:t>weitere Patienten, die nach PMS ein klinisches Ansprechen aufwiesen,</w:t>
      </w:r>
      <w:r>
        <w:rPr>
          <w:color w:val="000000"/>
        </w:rPr>
        <w:t xml:space="preserve"> </w:t>
      </w:r>
      <w:r w:rsidRPr="00215D48">
        <w:rPr>
          <w:color w:val="000000"/>
        </w:rPr>
        <w:t>randomisiert und erhielten Placebo, wurden aber nicht in die konfirmatorische Auswertung zur</w:t>
      </w:r>
      <w:r>
        <w:rPr>
          <w:color w:val="000000"/>
        </w:rPr>
        <w:t xml:space="preserve"> </w:t>
      </w:r>
      <w:r w:rsidRPr="00215D48">
        <w:rPr>
          <w:color w:val="000000"/>
        </w:rPr>
        <w:t>Wirksamkeit einbezogen.</w:t>
      </w:r>
    </w:p>
    <w:p w14:paraId="6DC6DBF9" w14:textId="77777777" w:rsidR="00215D48" w:rsidRPr="00215D48" w:rsidRDefault="00215D48" w:rsidP="00215D48">
      <w:pPr>
        <w:kinsoku w:val="0"/>
        <w:overflowPunct w:val="0"/>
        <w:rPr>
          <w:color w:val="000000"/>
        </w:rPr>
      </w:pPr>
    </w:p>
    <w:p w14:paraId="00F1C0A5" w14:textId="77777777" w:rsidR="00215D48" w:rsidRDefault="00215D48" w:rsidP="00215D48">
      <w:pPr>
        <w:kinsoku w:val="0"/>
        <w:overflowPunct w:val="0"/>
        <w:rPr>
          <w:color w:val="000000"/>
        </w:rPr>
      </w:pPr>
      <w:r w:rsidRPr="00215D48">
        <w:rPr>
          <w:color w:val="000000"/>
        </w:rPr>
        <w:t>Ein Krankheitsschub wurde definiert als Zunahme des PMS um mindestens 3</w:t>
      </w:r>
      <w:r>
        <w:rPr>
          <w:color w:val="000000"/>
        </w:rPr>
        <w:t> </w:t>
      </w:r>
      <w:r w:rsidRPr="00215D48">
        <w:rPr>
          <w:color w:val="000000"/>
        </w:rPr>
        <w:t>Punkte (bei Patienten</w:t>
      </w:r>
      <w:r>
        <w:rPr>
          <w:color w:val="000000"/>
        </w:rPr>
        <w:t xml:space="preserve"> </w:t>
      </w:r>
      <w:r w:rsidRPr="00215D48">
        <w:rPr>
          <w:color w:val="000000"/>
        </w:rPr>
        <w:t>mit einem PMS von 0–2 in Woche</w:t>
      </w:r>
      <w:r>
        <w:rPr>
          <w:color w:val="000000"/>
        </w:rPr>
        <w:t> </w:t>
      </w:r>
      <w:r w:rsidRPr="00215D48">
        <w:rPr>
          <w:color w:val="000000"/>
        </w:rPr>
        <w:t>8), mindestens 2</w:t>
      </w:r>
      <w:r>
        <w:rPr>
          <w:color w:val="000000"/>
        </w:rPr>
        <w:t> </w:t>
      </w:r>
      <w:r w:rsidRPr="00215D48">
        <w:rPr>
          <w:color w:val="000000"/>
        </w:rPr>
        <w:t>Punkte (bei Patienten mit einem PMS von 3–4 in</w:t>
      </w:r>
      <w:r>
        <w:rPr>
          <w:color w:val="000000"/>
        </w:rPr>
        <w:t xml:space="preserve"> </w:t>
      </w:r>
      <w:r w:rsidRPr="00215D48">
        <w:rPr>
          <w:color w:val="000000"/>
        </w:rPr>
        <w:t>Woche</w:t>
      </w:r>
      <w:r>
        <w:rPr>
          <w:color w:val="000000"/>
        </w:rPr>
        <w:t> </w:t>
      </w:r>
      <w:r w:rsidRPr="00215D48">
        <w:rPr>
          <w:color w:val="000000"/>
        </w:rPr>
        <w:t>8) oder mindestens 1</w:t>
      </w:r>
      <w:r>
        <w:rPr>
          <w:color w:val="000000"/>
        </w:rPr>
        <w:t> </w:t>
      </w:r>
      <w:r w:rsidRPr="00215D48">
        <w:rPr>
          <w:color w:val="000000"/>
        </w:rPr>
        <w:t>Punkt (bei Patienten</w:t>
      </w:r>
      <w:r>
        <w:rPr>
          <w:color w:val="000000"/>
        </w:rPr>
        <w:t xml:space="preserve"> mit einem PMS von 5–6 in Woche </w:t>
      </w:r>
      <w:r w:rsidRPr="00215D48">
        <w:rPr>
          <w:color w:val="000000"/>
        </w:rPr>
        <w:t>8).</w:t>
      </w:r>
    </w:p>
    <w:p w14:paraId="55781DAE" w14:textId="77777777" w:rsidR="00215D48" w:rsidRPr="00215D48" w:rsidRDefault="00215D48" w:rsidP="00215D48">
      <w:pPr>
        <w:kinsoku w:val="0"/>
        <w:overflowPunct w:val="0"/>
        <w:rPr>
          <w:color w:val="000000"/>
        </w:rPr>
      </w:pPr>
    </w:p>
    <w:p w14:paraId="7C178EB3" w14:textId="77777777" w:rsidR="00215D48" w:rsidRDefault="00215D48" w:rsidP="00215D48">
      <w:pPr>
        <w:kinsoku w:val="0"/>
        <w:overflowPunct w:val="0"/>
        <w:rPr>
          <w:color w:val="000000"/>
        </w:rPr>
      </w:pPr>
      <w:r w:rsidRPr="00215D48">
        <w:rPr>
          <w:color w:val="000000"/>
        </w:rPr>
        <w:t>Patienten, die in oder nach Woche</w:t>
      </w:r>
      <w:r>
        <w:rPr>
          <w:color w:val="000000"/>
        </w:rPr>
        <w:t> </w:t>
      </w:r>
      <w:r w:rsidRPr="00215D48">
        <w:rPr>
          <w:color w:val="000000"/>
        </w:rPr>
        <w:t>12 die Kriterien für einen Krankheitsschub erfüllten, wurden</w:t>
      </w:r>
      <w:r>
        <w:rPr>
          <w:color w:val="000000"/>
        </w:rPr>
        <w:t xml:space="preserve"> </w:t>
      </w:r>
      <w:r w:rsidRPr="00215D48">
        <w:rPr>
          <w:color w:val="000000"/>
        </w:rPr>
        <w:t xml:space="preserve">randomisiert und erhielten entweder eine erneute Induktionsdosis von </w:t>
      </w:r>
      <w:r>
        <w:rPr>
          <w:color w:val="000000"/>
        </w:rPr>
        <w:t>2,4 mg/kg (maximal 160 </w:t>
      </w:r>
      <w:r w:rsidRPr="00215D48">
        <w:rPr>
          <w:color w:val="000000"/>
        </w:rPr>
        <w:t>mg)</w:t>
      </w:r>
      <w:r>
        <w:rPr>
          <w:color w:val="000000"/>
        </w:rPr>
        <w:t xml:space="preserve"> </w:t>
      </w:r>
      <w:r w:rsidRPr="00215D48">
        <w:rPr>
          <w:color w:val="000000"/>
        </w:rPr>
        <w:t>oder eine Dosis von 0,6</w:t>
      </w:r>
      <w:r>
        <w:rPr>
          <w:color w:val="000000"/>
        </w:rPr>
        <w:t> </w:t>
      </w:r>
      <w:r w:rsidRPr="00215D48">
        <w:rPr>
          <w:color w:val="000000"/>
        </w:rPr>
        <w:t>mg/kg (maximal 40</w:t>
      </w:r>
      <w:r>
        <w:rPr>
          <w:color w:val="000000"/>
        </w:rPr>
        <w:t> </w:t>
      </w:r>
      <w:r w:rsidRPr="00215D48">
        <w:rPr>
          <w:color w:val="000000"/>
        </w:rPr>
        <w:t>mg) und führten anschließend die Behandlung in ihrer</w:t>
      </w:r>
      <w:r>
        <w:rPr>
          <w:color w:val="000000"/>
        </w:rPr>
        <w:t xml:space="preserve"> </w:t>
      </w:r>
      <w:r w:rsidRPr="00215D48">
        <w:rPr>
          <w:color w:val="000000"/>
        </w:rPr>
        <w:t>jeweiligen Erhaltungsdosis fort.</w:t>
      </w:r>
    </w:p>
    <w:p w14:paraId="2ECA6350" w14:textId="77777777" w:rsidR="00215D48" w:rsidRDefault="00215D48" w:rsidP="007A0B49">
      <w:pPr>
        <w:kinsoku w:val="0"/>
        <w:overflowPunct w:val="0"/>
        <w:rPr>
          <w:color w:val="000000"/>
        </w:rPr>
      </w:pPr>
    </w:p>
    <w:p w14:paraId="2550B853" w14:textId="77777777" w:rsidR="00AB75EC" w:rsidRPr="008419B6" w:rsidRDefault="00AB75EC" w:rsidP="00AB75EC">
      <w:pPr>
        <w:kinsoku w:val="0"/>
        <w:overflowPunct w:val="0"/>
        <w:rPr>
          <w:i/>
          <w:iCs/>
          <w:color w:val="000000"/>
          <w:u w:val="single"/>
        </w:rPr>
      </w:pPr>
      <w:r w:rsidRPr="008419B6">
        <w:rPr>
          <w:i/>
          <w:iCs/>
          <w:color w:val="000000"/>
          <w:u w:val="single"/>
        </w:rPr>
        <w:t>Ergebnisse zur Wirksamkeit</w:t>
      </w:r>
    </w:p>
    <w:p w14:paraId="24BC0DD6" w14:textId="77777777" w:rsidR="00AB75EC" w:rsidRDefault="00AB75EC" w:rsidP="00AB75EC">
      <w:pPr>
        <w:kinsoku w:val="0"/>
        <w:overflowPunct w:val="0"/>
        <w:rPr>
          <w:color w:val="000000"/>
        </w:rPr>
      </w:pPr>
    </w:p>
    <w:p w14:paraId="5D6BA1BC" w14:textId="77777777" w:rsidR="00AB75EC" w:rsidRDefault="00AB75EC" w:rsidP="00AB75EC">
      <w:pPr>
        <w:kinsoku w:val="0"/>
        <w:overflowPunct w:val="0"/>
        <w:rPr>
          <w:color w:val="000000"/>
        </w:rPr>
      </w:pPr>
      <w:r w:rsidRPr="00AB75EC">
        <w:rPr>
          <w:color w:val="000000"/>
        </w:rPr>
        <w:t>Die koprimären Endpunkte der Studie waren die klinische Remission nach PMS (definiert als PMS</w:t>
      </w:r>
      <w:r>
        <w:rPr>
          <w:color w:val="000000"/>
        </w:rPr>
        <w:t xml:space="preserve"> </w:t>
      </w:r>
      <w:r w:rsidRPr="00AB75EC">
        <w:rPr>
          <w:color w:val="000000"/>
        </w:rPr>
        <w:t>≤</w:t>
      </w:r>
      <w:r>
        <w:rPr>
          <w:color w:val="000000"/>
        </w:rPr>
        <w:t> </w:t>
      </w:r>
      <w:r w:rsidRPr="00AB75EC">
        <w:rPr>
          <w:color w:val="000000"/>
        </w:rPr>
        <w:t>2</w:t>
      </w:r>
      <w:r>
        <w:rPr>
          <w:color w:val="000000"/>
        </w:rPr>
        <w:t> </w:t>
      </w:r>
      <w:r w:rsidRPr="00AB75EC">
        <w:rPr>
          <w:color w:val="000000"/>
        </w:rPr>
        <w:t>und kein einzelner Subscore &gt;</w:t>
      </w:r>
      <w:r>
        <w:rPr>
          <w:color w:val="000000"/>
        </w:rPr>
        <w:t> </w:t>
      </w:r>
      <w:r w:rsidRPr="00AB75EC">
        <w:rPr>
          <w:color w:val="000000"/>
        </w:rPr>
        <w:t>1) in Woche</w:t>
      </w:r>
      <w:r>
        <w:rPr>
          <w:color w:val="000000"/>
        </w:rPr>
        <w:t> </w:t>
      </w:r>
      <w:r w:rsidRPr="00AB75EC">
        <w:rPr>
          <w:color w:val="000000"/>
        </w:rPr>
        <w:t>8 und die klinische Remission nach vollständigem</w:t>
      </w:r>
      <w:r>
        <w:rPr>
          <w:color w:val="000000"/>
        </w:rPr>
        <w:t xml:space="preserve"> </w:t>
      </w:r>
      <w:r w:rsidRPr="00AB75EC">
        <w:rPr>
          <w:color w:val="000000"/>
        </w:rPr>
        <w:t>Mayo-Score (Full Mayo Score, FMS,</w:t>
      </w:r>
      <w:r>
        <w:rPr>
          <w:color w:val="000000"/>
        </w:rPr>
        <w:t xml:space="preserve"> definiert als Mayo-Score von ≤ </w:t>
      </w:r>
      <w:r w:rsidRPr="00AB75EC">
        <w:rPr>
          <w:color w:val="000000"/>
        </w:rPr>
        <w:t>2 und kein einzelner Subscore</w:t>
      </w:r>
      <w:r>
        <w:rPr>
          <w:color w:val="000000"/>
        </w:rPr>
        <w:t xml:space="preserve"> </w:t>
      </w:r>
      <w:r w:rsidRPr="00AB75EC">
        <w:rPr>
          <w:color w:val="000000"/>
        </w:rPr>
        <w:t>&gt;</w:t>
      </w:r>
      <w:r>
        <w:rPr>
          <w:color w:val="000000"/>
        </w:rPr>
        <w:t> </w:t>
      </w:r>
      <w:r w:rsidRPr="00AB75EC">
        <w:rPr>
          <w:color w:val="000000"/>
        </w:rPr>
        <w:t>1) in Woche</w:t>
      </w:r>
      <w:r>
        <w:rPr>
          <w:color w:val="000000"/>
        </w:rPr>
        <w:t> </w:t>
      </w:r>
      <w:r w:rsidRPr="00AB75EC">
        <w:rPr>
          <w:color w:val="000000"/>
        </w:rPr>
        <w:t>52 bei Patienten, die in Woche</w:t>
      </w:r>
      <w:r>
        <w:rPr>
          <w:color w:val="000000"/>
        </w:rPr>
        <w:t> </w:t>
      </w:r>
      <w:r w:rsidRPr="00AB75EC">
        <w:rPr>
          <w:color w:val="000000"/>
        </w:rPr>
        <w:t>8 ein klinisches Ansprechen nach PMS erreichten.</w:t>
      </w:r>
    </w:p>
    <w:p w14:paraId="05287EB8" w14:textId="77777777" w:rsidR="00AB75EC" w:rsidRPr="00AB75EC" w:rsidRDefault="00AB75EC" w:rsidP="00AB75EC">
      <w:pPr>
        <w:kinsoku w:val="0"/>
        <w:overflowPunct w:val="0"/>
        <w:rPr>
          <w:color w:val="000000"/>
        </w:rPr>
      </w:pPr>
    </w:p>
    <w:p w14:paraId="7D920F03" w14:textId="77777777" w:rsidR="00215D48" w:rsidRDefault="00AB75EC" w:rsidP="00AB75EC">
      <w:pPr>
        <w:kinsoku w:val="0"/>
        <w:overflowPunct w:val="0"/>
        <w:rPr>
          <w:color w:val="000000"/>
        </w:rPr>
      </w:pPr>
      <w:r w:rsidRPr="00AB75EC">
        <w:rPr>
          <w:color w:val="000000"/>
        </w:rPr>
        <w:t>Die Raten der klinischen Remission nach PMS in Woche</w:t>
      </w:r>
      <w:r>
        <w:rPr>
          <w:color w:val="000000"/>
        </w:rPr>
        <w:t> </w:t>
      </w:r>
      <w:r w:rsidRPr="00AB75EC">
        <w:rPr>
          <w:color w:val="000000"/>
        </w:rPr>
        <w:t>8 für Patienten in jedem der</w:t>
      </w:r>
      <w:r>
        <w:rPr>
          <w:color w:val="000000"/>
        </w:rPr>
        <w:t xml:space="preserve"> </w:t>
      </w:r>
      <w:r w:rsidRPr="00AB75EC">
        <w:rPr>
          <w:color w:val="000000"/>
        </w:rPr>
        <w:t xml:space="preserve">Behandlungsarme mit doppelblinder </w:t>
      </w:r>
      <w:r>
        <w:rPr>
          <w:color w:val="000000"/>
        </w:rPr>
        <w:t>Adalimumab</w:t>
      </w:r>
      <w:r w:rsidRPr="00AB75EC">
        <w:rPr>
          <w:color w:val="000000"/>
        </w:rPr>
        <w:t>-Induktionstherapie sind in Tabelle</w:t>
      </w:r>
      <w:r>
        <w:rPr>
          <w:color w:val="000000"/>
        </w:rPr>
        <w:t> </w:t>
      </w:r>
      <w:r w:rsidRPr="00AB75EC">
        <w:rPr>
          <w:color w:val="000000"/>
        </w:rPr>
        <w:t>26 dargestellt.</w:t>
      </w:r>
    </w:p>
    <w:p w14:paraId="6756F2CE" w14:textId="77777777" w:rsidR="00215D48" w:rsidRDefault="00215D48" w:rsidP="007A0B49">
      <w:pPr>
        <w:kinsoku w:val="0"/>
        <w:overflowPunct w:val="0"/>
        <w:rPr>
          <w:color w:val="000000"/>
        </w:rPr>
      </w:pPr>
    </w:p>
    <w:p w14:paraId="0DADA779" w14:textId="77777777" w:rsidR="00534861" w:rsidRPr="00C325BF" w:rsidRDefault="00AB75EC" w:rsidP="00AB75EC">
      <w:pPr>
        <w:keepNext/>
        <w:rPr>
          <w:b/>
        </w:rPr>
      </w:pPr>
      <w:r w:rsidRPr="00C325BF">
        <w:rPr>
          <w:b/>
        </w:rPr>
        <w:t>Tabelle 26</w:t>
      </w:r>
    </w:p>
    <w:p w14:paraId="59FE903E" w14:textId="77777777" w:rsidR="00AB75EC" w:rsidRPr="00C325BF" w:rsidRDefault="00AB75EC" w:rsidP="00AB75EC">
      <w:pPr>
        <w:keepNext/>
        <w:rPr>
          <w:b/>
          <w:bCs/>
        </w:rPr>
      </w:pPr>
      <w:r w:rsidRPr="00C325BF">
        <w:rPr>
          <w:b/>
        </w:rPr>
        <w:t>Klinische Remission nach PMS in Woche 8</w:t>
      </w:r>
    </w:p>
    <w:p w14:paraId="15F078B6" w14:textId="77777777" w:rsidR="00AB75EC" w:rsidRPr="00C325BF" w:rsidRDefault="00AB75EC" w:rsidP="00AB75EC">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04"/>
        <w:gridCol w:w="3037"/>
      </w:tblGrid>
      <w:tr w:rsidR="00AB75EC" w:rsidRPr="000E0085" w14:paraId="58D37B2F" w14:textId="77777777" w:rsidTr="00201902">
        <w:trPr>
          <w:cantSplit/>
        </w:trPr>
        <w:tc>
          <w:tcPr>
            <w:tcW w:w="3118" w:type="dxa"/>
            <w:tcBorders>
              <w:top w:val="single" w:sz="4" w:space="0" w:color="auto"/>
              <w:left w:val="single" w:sz="4" w:space="0" w:color="auto"/>
              <w:bottom w:val="single" w:sz="4" w:space="0" w:color="auto"/>
              <w:right w:val="single" w:sz="4" w:space="0" w:color="auto"/>
            </w:tcBorders>
          </w:tcPr>
          <w:p w14:paraId="45539DF5" w14:textId="77777777" w:rsidR="00AB75EC" w:rsidRPr="00C325BF" w:rsidRDefault="00AB75EC" w:rsidP="002E641F">
            <w:pPr>
              <w:keepNext/>
              <w:jc w:val="center"/>
              <w:rPr>
                <w:b/>
              </w:rPr>
            </w:pPr>
          </w:p>
        </w:tc>
        <w:tc>
          <w:tcPr>
            <w:tcW w:w="3077" w:type="dxa"/>
            <w:tcBorders>
              <w:top w:val="single" w:sz="4" w:space="0" w:color="auto"/>
              <w:left w:val="single" w:sz="4" w:space="0" w:color="auto"/>
              <w:bottom w:val="single" w:sz="4" w:space="0" w:color="auto"/>
              <w:right w:val="single" w:sz="4" w:space="0" w:color="auto"/>
            </w:tcBorders>
            <w:hideMark/>
          </w:tcPr>
          <w:p w14:paraId="33DF908E" w14:textId="77777777" w:rsidR="00AB75EC" w:rsidRPr="00C325BF" w:rsidRDefault="00AB75EC" w:rsidP="002E641F">
            <w:pPr>
              <w:keepNext/>
              <w:jc w:val="center"/>
              <w:rPr>
                <w:b/>
              </w:rPr>
            </w:pPr>
            <w:r w:rsidRPr="00C325BF">
              <w:rPr>
                <w:b/>
              </w:rPr>
              <w:t>Adalimumab</w:t>
            </w:r>
            <w:r w:rsidRPr="00C325BF">
              <w:rPr>
                <w:b/>
                <w:vertAlign w:val="superscript"/>
              </w:rPr>
              <w:t>a</w:t>
            </w:r>
          </w:p>
          <w:p w14:paraId="22B9552E" w14:textId="77777777" w:rsidR="00AB75EC" w:rsidRPr="00C325BF" w:rsidRDefault="00AB75EC" w:rsidP="002E641F">
            <w:pPr>
              <w:keepNext/>
              <w:jc w:val="center"/>
              <w:rPr>
                <w:b/>
              </w:rPr>
            </w:pPr>
            <w:r w:rsidRPr="00C325BF">
              <w:rPr>
                <w:b/>
              </w:rPr>
              <w:t>Maximal 160 mg in Woche 0/ Placebo in Woche 1</w:t>
            </w:r>
          </w:p>
          <w:p w14:paraId="3B058507" w14:textId="77777777" w:rsidR="00AB75EC" w:rsidRPr="000E0085" w:rsidRDefault="00AB75EC" w:rsidP="002E641F">
            <w:pPr>
              <w:keepNext/>
              <w:jc w:val="center"/>
              <w:rPr>
                <w:b/>
                <w:lang w:val="en-GB"/>
              </w:rPr>
            </w:pPr>
            <w:r>
              <w:rPr>
                <w:lang w:val="en-GB"/>
              </w:rPr>
              <w:t>n </w:t>
            </w:r>
            <w:r w:rsidRPr="000E0085">
              <w:rPr>
                <w:b/>
                <w:lang w:val="en-GB"/>
              </w:rPr>
              <w:t>=</w:t>
            </w:r>
            <w:r>
              <w:rPr>
                <w:lang w:val="en-GB"/>
              </w:rPr>
              <w:t> </w:t>
            </w:r>
            <w:r w:rsidRPr="000E0085">
              <w:rPr>
                <w:b/>
                <w:lang w:val="en-GB"/>
              </w:rPr>
              <w:t>3</w:t>
            </w:r>
            <w:r>
              <w:rPr>
                <w:b/>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5DCD23AD" w14:textId="77777777" w:rsidR="00AB75EC" w:rsidRPr="00C325BF" w:rsidRDefault="00AB75EC" w:rsidP="002E641F">
            <w:pPr>
              <w:keepNext/>
              <w:jc w:val="center"/>
              <w:rPr>
                <w:b/>
              </w:rPr>
            </w:pPr>
            <w:r w:rsidRPr="00C325BF">
              <w:rPr>
                <w:b/>
              </w:rPr>
              <w:t>Adalimumab</w:t>
            </w:r>
            <w:r w:rsidRPr="00C325BF">
              <w:rPr>
                <w:b/>
                <w:vertAlign w:val="superscript"/>
              </w:rPr>
              <w:t>b,c</w:t>
            </w:r>
          </w:p>
          <w:p w14:paraId="21DE7E4A" w14:textId="77777777" w:rsidR="00AB75EC" w:rsidRPr="00C325BF" w:rsidRDefault="00AB75EC" w:rsidP="002E641F">
            <w:pPr>
              <w:keepNext/>
              <w:jc w:val="center"/>
              <w:rPr>
                <w:b/>
              </w:rPr>
            </w:pPr>
            <w:r w:rsidRPr="00C325BF">
              <w:rPr>
                <w:b/>
              </w:rPr>
              <w:t>Maximal 160 mg in Woche 0 und Woche 1</w:t>
            </w:r>
          </w:p>
          <w:p w14:paraId="6F9F9992" w14:textId="77777777" w:rsidR="00AB75EC" w:rsidRPr="000E0085" w:rsidRDefault="00AB75EC" w:rsidP="002E641F">
            <w:pPr>
              <w:keepNext/>
              <w:jc w:val="center"/>
              <w:rPr>
                <w:b/>
                <w:lang w:val="en-GB"/>
              </w:rPr>
            </w:pPr>
            <w:r>
              <w:rPr>
                <w:b/>
                <w:lang w:val="en-GB"/>
              </w:rPr>
              <w:t>n</w:t>
            </w:r>
            <w:r>
              <w:rPr>
                <w:lang w:val="en-GB"/>
              </w:rPr>
              <w:t> </w:t>
            </w:r>
            <w:r w:rsidRPr="000E0085">
              <w:rPr>
                <w:b/>
                <w:lang w:val="en-GB"/>
              </w:rPr>
              <w:t>=</w:t>
            </w:r>
            <w:r>
              <w:rPr>
                <w:lang w:val="en-GB"/>
              </w:rPr>
              <w:t> </w:t>
            </w:r>
            <w:r w:rsidRPr="00FA66CF">
              <w:rPr>
                <w:b/>
                <w:bCs/>
                <w:lang w:val="en-GB"/>
              </w:rPr>
              <w:t>47</w:t>
            </w:r>
          </w:p>
        </w:tc>
      </w:tr>
      <w:tr w:rsidR="00AB75EC" w:rsidRPr="000E0085" w14:paraId="290E9FE0" w14:textId="77777777" w:rsidTr="00201902">
        <w:trPr>
          <w:cantSplit/>
        </w:trPr>
        <w:tc>
          <w:tcPr>
            <w:tcW w:w="3118" w:type="dxa"/>
            <w:tcBorders>
              <w:top w:val="single" w:sz="4" w:space="0" w:color="auto"/>
              <w:left w:val="single" w:sz="4" w:space="0" w:color="auto"/>
              <w:bottom w:val="single" w:sz="4" w:space="0" w:color="auto"/>
              <w:right w:val="single" w:sz="4" w:space="0" w:color="auto"/>
            </w:tcBorders>
            <w:hideMark/>
          </w:tcPr>
          <w:p w14:paraId="4429B1BC" w14:textId="77777777" w:rsidR="00AB75EC" w:rsidRPr="000E0085" w:rsidRDefault="00AB75EC" w:rsidP="002E641F">
            <w:pPr>
              <w:rPr>
                <w:lang w:val="en-GB"/>
              </w:rPr>
            </w:pPr>
            <w:proofErr w:type="spellStart"/>
            <w:r>
              <w:rPr>
                <w:lang w:val="en-GB"/>
              </w:rPr>
              <w:t>Klinische</w:t>
            </w:r>
            <w:proofErr w:type="spellEnd"/>
            <w:r>
              <w:rPr>
                <w:lang w:val="en-GB"/>
              </w:rPr>
              <w:t xml:space="preserve"> Remission</w:t>
            </w:r>
          </w:p>
        </w:tc>
        <w:tc>
          <w:tcPr>
            <w:tcW w:w="3077" w:type="dxa"/>
            <w:tcBorders>
              <w:top w:val="single" w:sz="4" w:space="0" w:color="auto"/>
              <w:left w:val="single" w:sz="4" w:space="0" w:color="auto"/>
              <w:bottom w:val="single" w:sz="4" w:space="0" w:color="auto"/>
              <w:right w:val="single" w:sz="4" w:space="0" w:color="auto"/>
            </w:tcBorders>
            <w:hideMark/>
          </w:tcPr>
          <w:p w14:paraId="0E945636" w14:textId="77777777" w:rsidR="00AB75EC" w:rsidRPr="000E0085" w:rsidRDefault="00AB75EC" w:rsidP="00AB75EC">
            <w:pPr>
              <w:jc w:val="center"/>
              <w:rPr>
                <w:lang w:val="en-GB"/>
              </w:rPr>
            </w:pPr>
            <w:r w:rsidRPr="000E0085">
              <w:rPr>
                <w:lang w:val="en-GB"/>
              </w:rPr>
              <w:t>1</w:t>
            </w:r>
            <w:r>
              <w:rPr>
                <w:lang w:val="en-GB"/>
              </w:rPr>
              <w:t>3/30</w:t>
            </w:r>
            <w:r w:rsidRPr="000E0085">
              <w:rPr>
                <w:lang w:val="en-GB"/>
              </w:rPr>
              <w:t> (</w:t>
            </w:r>
            <w:r>
              <w:rPr>
                <w:lang w:val="en-GB"/>
              </w:rPr>
              <w:t>43,3 </w:t>
            </w:r>
            <w:r w:rsidRPr="000E0085">
              <w:rPr>
                <w:lang w:val="en-GB"/>
              </w:rPr>
              <w:t>%)</w:t>
            </w:r>
          </w:p>
        </w:tc>
        <w:tc>
          <w:tcPr>
            <w:tcW w:w="3108" w:type="dxa"/>
            <w:tcBorders>
              <w:top w:val="single" w:sz="4" w:space="0" w:color="auto"/>
              <w:left w:val="single" w:sz="4" w:space="0" w:color="auto"/>
              <w:bottom w:val="single" w:sz="4" w:space="0" w:color="auto"/>
              <w:right w:val="single" w:sz="4" w:space="0" w:color="auto"/>
            </w:tcBorders>
            <w:hideMark/>
          </w:tcPr>
          <w:p w14:paraId="6BBC1215" w14:textId="77777777" w:rsidR="00AB75EC" w:rsidRPr="000E0085" w:rsidRDefault="00AB75EC" w:rsidP="00AB75EC">
            <w:pPr>
              <w:jc w:val="center"/>
              <w:rPr>
                <w:lang w:val="en-GB"/>
              </w:rPr>
            </w:pPr>
            <w:r w:rsidRPr="000E0085">
              <w:rPr>
                <w:lang w:val="en-GB"/>
              </w:rPr>
              <w:t>2</w:t>
            </w:r>
            <w:r>
              <w:rPr>
                <w:lang w:val="en-GB"/>
              </w:rPr>
              <w:t>8/47</w:t>
            </w:r>
            <w:r w:rsidRPr="000E0085">
              <w:rPr>
                <w:lang w:val="en-GB"/>
              </w:rPr>
              <w:t> (5</w:t>
            </w:r>
            <w:r>
              <w:rPr>
                <w:lang w:val="en-GB"/>
              </w:rPr>
              <w:t>9,6 </w:t>
            </w:r>
            <w:r w:rsidRPr="000E0085">
              <w:rPr>
                <w:lang w:val="en-GB"/>
              </w:rPr>
              <w:t>%)</w:t>
            </w:r>
          </w:p>
        </w:tc>
      </w:tr>
      <w:tr w:rsidR="00AB75EC" w:rsidRPr="00D556E1" w14:paraId="5EC36168" w14:textId="77777777" w:rsidTr="00201902">
        <w:trPr>
          <w:cantSplit/>
        </w:trPr>
        <w:tc>
          <w:tcPr>
            <w:tcW w:w="9303" w:type="dxa"/>
            <w:gridSpan w:val="3"/>
            <w:tcBorders>
              <w:top w:val="single" w:sz="4" w:space="0" w:color="auto"/>
              <w:left w:val="nil"/>
              <w:bottom w:val="nil"/>
              <w:right w:val="nil"/>
            </w:tcBorders>
          </w:tcPr>
          <w:p w14:paraId="31180BC0" w14:textId="77777777" w:rsidR="00AB75EC" w:rsidRPr="00206AEA" w:rsidRDefault="00AB75EC" w:rsidP="002E641F">
            <w:pPr>
              <w:autoSpaceDE w:val="0"/>
              <w:autoSpaceDN w:val="0"/>
              <w:adjustRightInd w:val="0"/>
              <w:ind w:left="270" w:hanging="270"/>
              <w:rPr>
                <w:sz w:val="20"/>
                <w:szCs w:val="20"/>
              </w:rPr>
            </w:pPr>
            <w:r w:rsidRPr="00206AEA">
              <w:rPr>
                <w:sz w:val="20"/>
                <w:szCs w:val="20"/>
                <w:vertAlign w:val="superscript"/>
              </w:rPr>
              <w:lastRenderedPageBreak/>
              <w:t>a</w:t>
            </w:r>
            <w:r w:rsidRPr="00206AEA">
              <w:rPr>
                <w:sz w:val="20"/>
                <w:szCs w:val="20"/>
              </w:rPr>
              <w:t xml:space="preserve"> </w:t>
            </w:r>
            <w:r w:rsidRPr="00206AEA">
              <w:rPr>
                <w:sz w:val="20"/>
                <w:szCs w:val="20"/>
              </w:rPr>
              <w:tab/>
              <w:t>Adalimumab 2,4</w:t>
            </w:r>
            <w:r w:rsidRPr="00D556E1">
              <w:rPr>
                <w:iCs/>
              </w:rPr>
              <w:t> </w:t>
            </w:r>
            <w:r w:rsidRPr="00206AEA">
              <w:rPr>
                <w:sz w:val="20"/>
                <w:szCs w:val="20"/>
              </w:rPr>
              <w:t>mg/kg (maximal 160</w:t>
            </w:r>
            <w:r w:rsidRPr="00D556E1">
              <w:rPr>
                <w:iCs/>
              </w:rPr>
              <w:t> </w:t>
            </w:r>
            <w:r w:rsidRPr="00206AEA">
              <w:rPr>
                <w:sz w:val="20"/>
                <w:szCs w:val="20"/>
              </w:rPr>
              <w:t>mg) in Woche 0, Placebo in Woche 1 und 1,2 mg/kg (maximal 80 mg) in Woche 2</w:t>
            </w:r>
          </w:p>
          <w:p w14:paraId="02878125" w14:textId="77777777" w:rsidR="00AB75EC" w:rsidRPr="00206AEA" w:rsidRDefault="00AB75EC" w:rsidP="002E641F">
            <w:pPr>
              <w:autoSpaceDE w:val="0"/>
              <w:autoSpaceDN w:val="0"/>
              <w:adjustRightInd w:val="0"/>
              <w:ind w:left="270" w:hanging="270"/>
              <w:rPr>
                <w:sz w:val="20"/>
                <w:szCs w:val="20"/>
              </w:rPr>
            </w:pPr>
            <w:r w:rsidRPr="00206AEA">
              <w:rPr>
                <w:sz w:val="20"/>
                <w:szCs w:val="20"/>
                <w:vertAlign w:val="superscript"/>
              </w:rPr>
              <w:t>b</w:t>
            </w:r>
            <w:r w:rsidRPr="00206AEA">
              <w:rPr>
                <w:sz w:val="20"/>
                <w:szCs w:val="20"/>
              </w:rPr>
              <w:t xml:space="preserve"> </w:t>
            </w:r>
            <w:r w:rsidRPr="00206AEA">
              <w:rPr>
                <w:sz w:val="20"/>
                <w:szCs w:val="20"/>
              </w:rPr>
              <w:tab/>
              <w:t>Adalimumab 2,4 mg/kg (maximal 160 mg) in</w:t>
            </w:r>
            <w:r w:rsidR="00362C89" w:rsidRPr="00206AEA">
              <w:rPr>
                <w:sz w:val="20"/>
                <w:szCs w:val="20"/>
              </w:rPr>
              <w:t xml:space="preserve"> </w:t>
            </w:r>
            <w:r w:rsidRPr="00206AEA">
              <w:rPr>
                <w:sz w:val="20"/>
                <w:szCs w:val="20"/>
              </w:rPr>
              <w:t>Woche 0 und Woche 1 und 1,2 mg/kg (maximal 80 mg) in Woche 2</w:t>
            </w:r>
          </w:p>
          <w:p w14:paraId="23722B5B" w14:textId="77777777" w:rsidR="00AB75EC" w:rsidRPr="00206AEA" w:rsidRDefault="00AB75EC" w:rsidP="002E641F">
            <w:pPr>
              <w:autoSpaceDE w:val="0"/>
              <w:autoSpaceDN w:val="0"/>
              <w:adjustRightInd w:val="0"/>
              <w:ind w:left="270" w:hanging="270"/>
              <w:rPr>
                <w:sz w:val="20"/>
                <w:szCs w:val="20"/>
              </w:rPr>
            </w:pPr>
            <w:r w:rsidRPr="00206AEA">
              <w:rPr>
                <w:sz w:val="20"/>
                <w:szCs w:val="20"/>
                <w:vertAlign w:val="superscript"/>
              </w:rPr>
              <w:t>c</w:t>
            </w:r>
            <w:r w:rsidRPr="00206AEA">
              <w:rPr>
                <w:sz w:val="20"/>
                <w:szCs w:val="20"/>
              </w:rPr>
              <w:t xml:space="preserve"> </w:t>
            </w:r>
            <w:r w:rsidRPr="00206AEA">
              <w:rPr>
                <w:sz w:val="20"/>
                <w:szCs w:val="20"/>
              </w:rPr>
              <w:tab/>
              <w:t>Ohne Patienten unter offener Adalimumab</w:t>
            </w:r>
            <w:r w:rsidR="002E641F" w:rsidRPr="00206AEA">
              <w:rPr>
                <w:sz w:val="20"/>
                <w:szCs w:val="20"/>
              </w:rPr>
              <w:t>-Induktionsdosis von</w:t>
            </w:r>
            <w:r w:rsidRPr="00206AEA">
              <w:rPr>
                <w:sz w:val="20"/>
                <w:szCs w:val="20"/>
              </w:rPr>
              <w:t xml:space="preserve"> 2</w:t>
            </w:r>
            <w:r w:rsidR="002E641F" w:rsidRPr="00206AEA">
              <w:rPr>
                <w:sz w:val="20"/>
                <w:szCs w:val="20"/>
              </w:rPr>
              <w:t>,</w:t>
            </w:r>
            <w:r w:rsidRPr="00206AEA">
              <w:rPr>
                <w:sz w:val="20"/>
                <w:szCs w:val="20"/>
              </w:rPr>
              <w:t>4 mg/kg (maxim</w:t>
            </w:r>
            <w:r w:rsidR="002E641F" w:rsidRPr="00206AEA">
              <w:rPr>
                <w:sz w:val="20"/>
                <w:szCs w:val="20"/>
              </w:rPr>
              <w:t xml:space="preserve">al </w:t>
            </w:r>
            <w:r w:rsidRPr="00206AEA">
              <w:rPr>
                <w:sz w:val="20"/>
                <w:szCs w:val="20"/>
              </w:rPr>
              <w:t xml:space="preserve">160 mg) </w:t>
            </w:r>
            <w:r w:rsidR="002E641F" w:rsidRPr="00206AEA">
              <w:rPr>
                <w:sz w:val="20"/>
                <w:szCs w:val="20"/>
              </w:rPr>
              <w:t>in Woche</w:t>
            </w:r>
            <w:r w:rsidRPr="00206AEA">
              <w:rPr>
                <w:sz w:val="20"/>
                <w:szCs w:val="20"/>
              </w:rPr>
              <w:t xml:space="preserve"> 0 </w:t>
            </w:r>
            <w:r w:rsidR="002E641F" w:rsidRPr="00206AEA">
              <w:rPr>
                <w:sz w:val="20"/>
                <w:szCs w:val="20"/>
              </w:rPr>
              <w:t>u</w:t>
            </w:r>
            <w:r w:rsidRPr="00206AEA">
              <w:rPr>
                <w:sz w:val="20"/>
                <w:szCs w:val="20"/>
              </w:rPr>
              <w:t>nd W</w:t>
            </w:r>
            <w:r w:rsidR="002E641F" w:rsidRPr="00206AEA">
              <w:rPr>
                <w:sz w:val="20"/>
                <w:szCs w:val="20"/>
              </w:rPr>
              <w:t>oche</w:t>
            </w:r>
            <w:r w:rsidRPr="00206AEA">
              <w:rPr>
                <w:sz w:val="20"/>
                <w:szCs w:val="20"/>
              </w:rPr>
              <w:t> </w:t>
            </w:r>
            <w:r w:rsidR="002E641F" w:rsidRPr="00206AEA">
              <w:rPr>
                <w:sz w:val="20"/>
                <w:szCs w:val="20"/>
              </w:rPr>
              <w:t>1 und</w:t>
            </w:r>
            <w:r w:rsidRPr="00206AEA">
              <w:rPr>
                <w:sz w:val="20"/>
                <w:szCs w:val="20"/>
              </w:rPr>
              <w:t xml:space="preserve"> 1</w:t>
            </w:r>
            <w:r w:rsidR="002E641F" w:rsidRPr="00206AEA">
              <w:rPr>
                <w:sz w:val="20"/>
                <w:szCs w:val="20"/>
              </w:rPr>
              <w:t>,</w:t>
            </w:r>
            <w:r w:rsidRPr="00206AEA">
              <w:rPr>
                <w:sz w:val="20"/>
                <w:szCs w:val="20"/>
              </w:rPr>
              <w:t>2 mg/kg (maxim</w:t>
            </w:r>
            <w:r w:rsidR="002E641F" w:rsidRPr="00206AEA">
              <w:rPr>
                <w:sz w:val="20"/>
                <w:szCs w:val="20"/>
              </w:rPr>
              <w:t>al</w:t>
            </w:r>
            <w:r w:rsidRPr="00206AEA">
              <w:rPr>
                <w:sz w:val="20"/>
                <w:szCs w:val="20"/>
              </w:rPr>
              <w:t xml:space="preserve"> 80 mg) </w:t>
            </w:r>
            <w:r w:rsidR="002E641F" w:rsidRPr="00206AEA">
              <w:rPr>
                <w:sz w:val="20"/>
                <w:szCs w:val="20"/>
              </w:rPr>
              <w:t>in Woche</w:t>
            </w:r>
            <w:r w:rsidRPr="00206AEA">
              <w:rPr>
                <w:sz w:val="20"/>
                <w:szCs w:val="20"/>
              </w:rPr>
              <w:t> 2</w:t>
            </w:r>
          </w:p>
          <w:p w14:paraId="6DF5FD67" w14:textId="77777777" w:rsidR="00AB75EC" w:rsidRPr="00206AEA" w:rsidRDefault="002E641F" w:rsidP="002E641F">
            <w:pPr>
              <w:autoSpaceDE w:val="0"/>
              <w:autoSpaceDN w:val="0"/>
              <w:adjustRightInd w:val="0"/>
              <w:rPr>
                <w:sz w:val="20"/>
                <w:szCs w:val="20"/>
              </w:rPr>
            </w:pPr>
            <w:r w:rsidRPr="00206AEA">
              <w:rPr>
                <w:sz w:val="20"/>
                <w:szCs w:val="20"/>
              </w:rPr>
              <w:t>Hinweis</w:t>
            </w:r>
            <w:r w:rsidR="00AB75EC" w:rsidRPr="00206AEA">
              <w:rPr>
                <w:sz w:val="20"/>
                <w:szCs w:val="20"/>
              </w:rPr>
              <w:t xml:space="preserve"> 1: B</w:t>
            </w:r>
            <w:r w:rsidRPr="00206AEA">
              <w:rPr>
                <w:sz w:val="20"/>
                <w:szCs w:val="20"/>
              </w:rPr>
              <w:t>eide Behandlungsarme mit Induktionsphase erhielten</w:t>
            </w:r>
            <w:r w:rsidR="00AB75EC" w:rsidRPr="00206AEA">
              <w:rPr>
                <w:sz w:val="20"/>
                <w:szCs w:val="20"/>
              </w:rPr>
              <w:t xml:space="preserve"> 0</w:t>
            </w:r>
            <w:r w:rsidRPr="00206AEA">
              <w:rPr>
                <w:sz w:val="20"/>
                <w:szCs w:val="20"/>
              </w:rPr>
              <w:t>,</w:t>
            </w:r>
            <w:r w:rsidR="00AB75EC" w:rsidRPr="00206AEA">
              <w:rPr>
                <w:sz w:val="20"/>
                <w:szCs w:val="20"/>
              </w:rPr>
              <w:t>6 mg/kg (maxim</w:t>
            </w:r>
            <w:r w:rsidRPr="00206AEA">
              <w:rPr>
                <w:sz w:val="20"/>
                <w:szCs w:val="20"/>
              </w:rPr>
              <w:t>al</w:t>
            </w:r>
            <w:r w:rsidR="00AB75EC" w:rsidRPr="00206AEA">
              <w:rPr>
                <w:sz w:val="20"/>
                <w:szCs w:val="20"/>
              </w:rPr>
              <w:t xml:space="preserve"> 40 mg) </w:t>
            </w:r>
            <w:r w:rsidRPr="00206AEA">
              <w:rPr>
                <w:sz w:val="20"/>
                <w:szCs w:val="20"/>
              </w:rPr>
              <w:t>in Woche</w:t>
            </w:r>
            <w:r w:rsidR="00AB75EC" w:rsidRPr="00206AEA">
              <w:rPr>
                <w:sz w:val="20"/>
                <w:szCs w:val="20"/>
              </w:rPr>
              <w:t xml:space="preserve"> 4 </w:t>
            </w:r>
            <w:r w:rsidRPr="00206AEA">
              <w:rPr>
                <w:sz w:val="20"/>
                <w:szCs w:val="20"/>
              </w:rPr>
              <w:t>u</w:t>
            </w:r>
            <w:r w:rsidR="00AB75EC" w:rsidRPr="00206AEA">
              <w:rPr>
                <w:sz w:val="20"/>
                <w:szCs w:val="20"/>
              </w:rPr>
              <w:t>nd W</w:t>
            </w:r>
            <w:r w:rsidRPr="00206AEA">
              <w:rPr>
                <w:sz w:val="20"/>
                <w:szCs w:val="20"/>
              </w:rPr>
              <w:t>oche</w:t>
            </w:r>
            <w:r w:rsidR="00AB75EC" w:rsidRPr="00206AEA">
              <w:rPr>
                <w:sz w:val="20"/>
                <w:szCs w:val="20"/>
              </w:rPr>
              <w:t> 6</w:t>
            </w:r>
            <w:r w:rsidR="00664432" w:rsidRPr="00206AEA">
              <w:rPr>
                <w:sz w:val="20"/>
                <w:szCs w:val="20"/>
              </w:rPr>
              <w:t>.</w:t>
            </w:r>
          </w:p>
          <w:p w14:paraId="110743DE" w14:textId="77777777" w:rsidR="00AB75EC" w:rsidRPr="00206AEA" w:rsidRDefault="002E641F" w:rsidP="002E641F">
            <w:pPr>
              <w:autoSpaceDE w:val="0"/>
              <w:autoSpaceDN w:val="0"/>
              <w:adjustRightInd w:val="0"/>
              <w:rPr>
                <w:sz w:val="20"/>
                <w:szCs w:val="20"/>
              </w:rPr>
            </w:pPr>
            <w:r w:rsidRPr="00206AEA">
              <w:rPr>
                <w:sz w:val="20"/>
                <w:szCs w:val="20"/>
              </w:rPr>
              <w:t>Hinweis</w:t>
            </w:r>
            <w:r w:rsidR="00AB75EC" w:rsidRPr="00206AEA">
              <w:rPr>
                <w:sz w:val="20"/>
                <w:szCs w:val="20"/>
              </w:rPr>
              <w:t xml:space="preserve"> 2: </w:t>
            </w:r>
            <w:r w:rsidRPr="00206AEA">
              <w:rPr>
                <w:sz w:val="20"/>
                <w:szCs w:val="20"/>
              </w:rPr>
              <w:t>Patienten mit fehlenden Werten in Woche 8 wurden als Patienten gewertet,</w:t>
            </w:r>
            <w:r w:rsidR="00177B3E" w:rsidRPr="00206AEA">
              <w:rPr>
                <w:sz w:val="20"/>
                <w:szCs w:val="20"/>
              </w:rPr>
              <w:t xml:space="preserve"> </w:t>
            </w:r>
            <w:r w:rsidRPr="00206AEA">
              <w:rPr>
                <w:sz w:val="20"/>
                <w:szCs w:val="20"/>
              </w:rPr>
              <w:t>die den Endpunkt nicht erreichten.</w:t>
            </w:r>
          </w:p>
        </w:tc>
      </w:tr>
    </w:tbl>
    <w:p w14:paraId="087CB0BF" w14:textId="77777777" w:rsidR="00215D48" w:rsidRPr="00D556E1" w:rsidRDefault="00215D48" w:rsidP="007A0B49">
      <w:pPr>
        <w:kinsoku w:val="0"/>
        <w:overflowPunct w:val="0"/>
        <w:rPr>
          <w:color w:val="000000"/>
        </w:rPr>
      </w:pPr>
    </w:p>
    <w:p w14:paraId="32953A52" w14:textId="77777777" w:rsidR="00AB75EC" w:rsidRDefault="002E641F" w:rsidP="002E641F">
      <w:pPr>
        <w:kinsoku w:val="0"/>
        <w:overflowPunct w:val="0"/>
        <w:rPr>
          <w:color w:val="000000"/>
        </w:rPr>
      </w:pPr>
      <w:r w:rsidRPr="00D556E1">
        <w:rPr>
          <w:color w:val="000000"/>
        </w:rPr>
        <w:t>In Woche 52 wurden bei den Patienten, die Adalimumab doppelblind in der Erhaltungsdosis von maximal 40 mg (0,6 mg/kg) jede zweite Woche bzw. maximal 40 mg (0,6 mg/kg) wöchentlich erhielten</w:t>
      </w:r>
      <w:r w:rsidRPr="002E641F">
        <w:rPr>
          <w:color w:val="000000"/>
        </w:rPr>
        <w:t>, die</w:t>
      </w:r>
      <w:r>
        <w:rPr>
          <w:color w:val="000000"/>
        </w:rPr>
        <w:t xml:space="preserve"> </w:t>
      </w:r>
      <w:r w:rsidRPr="002E641F">
        <w:rPr>
          <w:color w:val="000000"/>
        </w:rPr>
        <w:t>klinische Remission nach FMS bei Respondern in Woche</w:t>
      </w:r>
      <w:r>
        <w:rPr>
          <w:color w:val="000000"/>
        </w:rPr>
        <w:t> </w:t>
      </w:r>
      <w:r w:rsidRPr="002E641F">
        <w:rPr>
          <w:color w:val="000000"/>
        </w:rPr>
        <w:t>8, das klinische Ansprechen nach FMS</w:t>
      </w:r>
      <w:r>
        <w:rPr>
          <w:color w:val="000000"/>
        </w:rPr>
        <w:t xml:space="preserve"> </w:t>
      </w:r>
      <w:r w:rsidRPr="002E641F">
        <w:rPr>
          <w:color w:val="000000"/>
        </w:rPr>
        <w:t>(definiert als Abnahme d</w:t>
      </w:r>
      <w:r>
        <w:rPr>
          <w:color w:val="000000"/>
        </w:rPr>
        <w:t>es Mayo-Score um ≥ </w:t>
      </w:r>
      <w:r w:rsidRPr="002E641F">
        <w:rPr>
          <w:color w:val="000000"/>
        </w:rPr>
        <w:t>3</w:t>
      </w:r>
      <w:r>
        <w:rPr>
          <w:color w:val="000000"/>
        </w:rPr>
        <w:t> Punkte und ≥ </w:t>
      </w:r>
      <w:r w:rsidRPr="002E641F">
        <w:rPr>
          <w:color w:val="000000"/>
        </w:rPr>
        <w:t>30</w:t>
      </w:r>
      <w:r>
        <w:rPr>
          <w:color w:val="000000"/>
        </w:rPr>
        <w:t> </w:t>
      </w:r>
      <w:r w:rsidRPr="002E641F">
        <w:rPr>
          <w:color w:val="000000"/>
        </w:rPr>
        <w:t>% gegenüber Baseline) bei</w:t>
      </w:r>
      <w:r>
        <w:rPr>
          <w:color w:val="000000"/>
        </w:rPr>
        <w:t xml:space="preserve"> </w:t>
      </w:r>
      <w:r w:rsidRPr="002E641F">
        <w:rPr>
          <w:color w:val="000000"/>
        </w:rPr>
        <w:t>Respondern in Woche</w:t>
      </w:r>
      <w:r>
        <w:rPr>
          <w:color w:val="000000"/>
        </w:rPr>
        <w:t> </w:t>
      </w:r>
      <w:r w:rsidRPr="002E641F">
        <w:rPr>
          <w:color w:val="000000"/>
        </w:rPr>
        <w:t>8, die Mukosaheilung</w:t>
      </w:r>
      <w:r w:rsidR="00D8246D">
        <w:rPr>
          <w:color w:val="000000"/>
        </w:rPr>
        <w:t xml:space="preserve"> </w:t>
      </w:r>
      <w:r w:rsidRPr="002E641F">
        <w:rPr>
          <w:color w:val="000000"/>
        </w:rPr>
        <w:t>(definiert als endoskopischer Mayo-Subscore von ≤</w:t>
      </w:r>
      <w:r>
        <w:rPr>
          <w:color w:val="000000"/>
        </w:rPr>
        <w:t> </w:t>
      </w:r>
      <w:r w:rsidRPr="002E641F">
        <w:rPr>
          <w:color w:val="000000"/>
        </w:rPr>
        <w:t>1)</w:t>
      </w:r>
      <w:r>
        <w:rPr>
          <w:color w:val="000000"/>
        </w:rPr>
        <w:t xml:space="preserve"> </w:t>
      </w:r>
      <w:r w:rsidRPr="002E641F">
        <w:rPr>
          <w:color w:val="000000"/>
        </w:rPr>
        <w:t>bei Respondern in Woche</w:t>
      </w:r>
      <w:r>
        <w:rPr>
          <w:color w:val="000000"/>
        </w:rPr>
        <w:t> </w:t>
      </w:r>
      <w:r w:rsidRPr="002E641F">
        <w:rPr>
          <w:color w:val="000000"/>
        </w:rPr>
        <w:t>8, die klinische Remission nach FMS bei Patienten in Remission in</w:t>
      </w:r>
      <w:r>
        <w:rPr>
          <w:color w:val="000000"/>
        </w:rPr>
        <w:t xml:space="preserve"> </w:t>
      </w:r>
      <w:r w:rsidRPr="002E641F">
        <w:rPr>
          <w:color w:val="000000"/>
        </w:rPr>
        <w:t>Woche</w:t>
      </w:r>
      <w:r>
        <w:rPr>
          <w:color w:val="000000"/>
        </w:rPr>
        <w:t> </w:t>
      </w:r>
      <w:r w:rsidRPr="002E641F">
        <w:rPr>
          <w:color w:val="000000"/>
        </w:rPr>
        <w:t>8 sowie der Anteil der Studienteilnehmer in kortikosteroidfreier Remission nach FMS bei</w:t>
      </w:r>
      <w:r>
        <w:rPr>
          <w:color w:val="000000"/>
        </w:rPr>
        <w:t xml:space="preserve"> </w:t>
      </w:r>
      <w:r w:rsidRPr="002E641F">
        <w:rPr>
          <w:color w:val="000000"/>
        </w:rPr>
        <w:t>Respondern in Woche</w:t>
      </w:r>
      <w:r>
        <w:rPr>
          <w:color w:val="000000"/>
        </w:rPr>
        <w:t> </w:t>
      </w:r>
      <w:r w:rsidRPr="002E641F">
        <w:rPr>
          <w:color w:val="000000"/>
        </w:rPr>
        <w:t>8 beurteilt (Tabelle</w:t>
      </w:r>
      <w:r>
        <w:rPr>
          <w:color w:val="000000"/>
        </w:rPr>
        <w:t> </w:t>
      </w:r>
      <w:r w:rsidRPr="002E641F">
        <w:rPr>
          <w:color w:val="000000"/>
        </w:rPr>
        <w:t>27).</w:t>
      </w:r>
    </w:p>
    <w:p w14:paraId="21EB38B4" w14:textId="77777777" w:rsidR="00AB75EC" w:rsidRDefault="00AB75EC" w:rsidP="007A0B49">
      <w:pPr>
        <w:kinsoku w:val="0"/>
        <w:overflowPunct w:val="0"/>
        <w:rPr>
          <w:color w:val="000000"/>
        </w:rPr>
      </w:pPr>
    </w:p>
    <w:p w14:paraId="57EB0DDB" w14:textId="77777777" w:rsidR="00534861" w:rsidRPr="00C325BF" w:rsidRDefault="002E641F" w:rsidP="002E641F">
      <w:pPr>
        <w:kinsoku w:val="0"/>
        <w:overflowPunct w:val="0"/>
        <w:rPr>
          <w:b/>
          <w:color w:val="000000"/>
        </w:rPr>
      </w:pPr>
      <w:r w:rsidRPr="00C325BF">
        <w:rPr>
          <w:b/>
          <w:color w:val="000000"/>
        </w:rPr>
        <w:t>Tabelle 27</w:t>
      </w:r>
    </w:p>
    <w:p w14:paraId="6F7F7ACC" w14:textId="77777777" w:rsidR="002E641F" w:rsidRPr="00C325BF" w:rsidRDefault="002E641F" w:rsidP="002E641F">
      <w:pPr>
        <w:kinsoku w:val="0"/>
        <w:overflowPunct w:val="0"/>
        <w:rPr>
          <w:b/>
          <w:bCs/>
          <w:color w:val="000000"/>
        </w:rPr>
      </w:pPr>
      <w:r w:rsidRPr="00C325BF">
        <w:rPr>
          <w:b/>
          <w:color w:val="000000"/>
        </w:rPr>
        <w:t>Ergebnisse zur Wirksamkeit in Woche 52</w:t>
      </w:r>
    </w:p>
    <w:p w14:paraId="0896E810" w14:textId="77777777" w:rsidR="002E641F" w:rsidRPr="00C325BF" w:rsidRDefault="002E641F" w:rsidP="002E641F">
      <w:pPr>
        <w:kinsoku w:val="0"/>
        <w:overflowPunct w:val="0"/>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992"/>
        <w:gridCol w:w="3022"/>
      </w:tblGrid>
      <w:tr w:rsidR="002E641F" w:rsidRPr="00C325BF" w14:paraId="493940EC" w14:textId="77777777" w:rsidTr="002E641F">
        <w:trPr>
          <w:cantSplit/>
          <w:tblHeader/>
        </w:trPr>
        <w:tc>
          <w:tcPr>
            <w:tcW w:w="3118" w:type="dxa"/>
            <w:tcBorders>
              <w:top w:val="single" w:sz="4" w:space="0" w:color="auto"/>
              <w:left w:val="single" w:sz="4" w:space="0" w:color="auto"/>
              <w:bottom w:val="single" w:sz="4" w:space="0" w:color="auto"/>
              <w:right w:val="single" w:sz="4" w:space="0" w:color="auto"/>
            </w:tcBorders>
          </w:tcPr>
          <w:p w14:paraId="20515C58" w14:textId="77777777" w:rsidR="002E641F" w:rsidRPr="00C325BF" w:rsidRDefault="002E641F" w:rsidP="002E641F">
            <w:pPr>
              <w:kinsoku w:val="0"/>
              <w:overflowPunct w:val="0"/>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6C506E16" w14:textId="77777777" w:rsidR="002E641F" w:rsidRPr="00C325BF" w:rsidRDefault="002E641F" w:rsidP="008419B6">
            <w:pPr>
              <w:kinsoku w:val="0"/>
              <w:overflowPunct w:val="0"/>
              <w:jc w:val="center"/>
              <w:rPr>
                <w:b/>
                <w:color w:val="000000"/>
              </w:rPr>
            </w:pPr>
            <w:r w:rsidRPr="00C325BF">
              <w:rPr>
                <w:b/>
                <w:color w:val="000000"/>
              </w:rPr>
              <w:t>Adalimumab</w:t>
            </w:r>
            <w:r w:rsidRPr="00C325BF">
              <w:rPr>
                <w:b/>
                <w:color w:val="000000"/>
                <w:vertAlign w:val="superscript"/>
              </w:rPr>
              <w:t>a</w:t>
            </w:r>
          </w:p>
          <w:p w14:paraId="649C4531" w14:textId="77777777" w:rsidR="002E641F" w:rsidRPr="00C325BF" w:rsidRDefault="002E641F" w:rsidP="008419B6">
            <w:pPr>
              <w:kinsoku w:val="0"/>
              <w:overflowPunct w:val="0"/>
              <w:jc w:val="center"/>
              <w:rPr>
                <w:b/>
                <w:color w:val="000000"/>
              </w:rPr>
            </w:pPr>
            <w:r w:rsidRPr="00C325BF">
              <w:rPr>
                <w:b/>
                <w:color w:val="000000"/>
              </w:rPr>
              <w:t>Maximal 40</w:t>
            </w:r>
            <w:r w:rsidRPr="00C325BF">
              <w:rPr>
                <w:color w:val="000000"/>
              </w:rPr>
              <w:t> </w:t>
            </w:r>
            <w:r w:rsidRPr="00C325BF">
              <w:rPr>
                <w:b/>
                <w:color w:val="000000"/>
              </w:rPr>
              <w:t>mg jede zweite Woche</w:t>
            </w:r>
          </w:p>
          <w:p w14:paraId="5A1744BD" w14:textId="77777777" w:rsidR="002E641F" w:rsidRPr="002E641F" w:rsidRDefault="002E641F" w:rsidP="008419B6">
            <w:pPr>
              <w:kinsoku w:val="0"/>
              <w:overflowPunct w:val="0"/>
              <w:jc w:val="center"/>
              <w:rPr>
                <w:b/>
                <w:color w:val="000000"/>
                <w:lang w:val="en-GB"/>
              </w:rPr>
            </w:pPr>
            <w:r>
              <w:rPr>
                <w:color w:val="000000"/>
                <w:lang w:val="en-GB"/>
              </w:rPr>
              <w:t>n</w:t>
            </w:r>
            <w:r w:rsidRPr="002E641F">
              <w:rPr>
                <w:color w:val="000000"/>
                <w:lang w:val="en-GB"/>
              </w:rPr>
              <w:t> </w:t>
            </w:r>
            <w:r w:rsidRPr="002E641F">
              <w:rPr>
                <w:b/>
                <w:color w:val="000000"/>
                <w:lang w:val="en-GB"/>
              </w:rPr>
              <w:t>=</w:t>
            </w:r>
            <w:r w:rsidRPr="002E641F">
              <w:rPr>
                <w:color w:val="000000"/>
                <w:lang w:val="en-GB"/>
              </w:rPr>
              <w:t> </w:t>
            </w:r>
            <w:r w:rsidRPr="002E641F">
              <w:rPr>
                <w:b/>
                <w:color w:val="000000"/>
                <w:lang w:val="en-GB"/>
              </w:rPr>
              <w:t>31</w:t>
            </w:r>
          </w:p>
        </w:tc>
        <w:tc>
          <w:tcPr>
            <w:tcW w:w="3108" w:type="dxa"/>
            <w:tcBorders>
              <w:top w:val="single" w:sz="4" w:space="0" w:color="auto"/>
              <w:left w:val="single" w:sz="4" w:space="0" w:color="auto"/>
              <w:bottom w:val="single" w:sz="4" w:space="0" w:color="auto"/>
              <w:right w:val="single" w:sz="4" w:space="0" w:color="auto"/>
            </w:tcBorders>
            <w:hideMark/>
          </w:tcPr>
          <w:p w14:paraId="49B4DBA1" w14:textId="77777777" w:rsidR="002E641F" w:rsidRPr="00C325BF" w:rsidRDefault="002E641F" w:rsidP="008419B6">
            <w:pPr>
              <w:kinsoku w:val="0"/>
              <w:overflowPunct w:val="0"/>
              <w:jc w:val="center"/>
              <w:rPr>
                <w:b/>
                <w:color w:val="000000"/>
                <w:vertAlign w:val="superscript"/>
              </w:rPr>
            </w:pPr>
            <w:r w:rsidRPr="00C325BF">
              <w:rPr>
                <w:b/>
                <w:color w:val="000000"/>
              </w:rPr>
              <w:t>Adalimumab</w:t>
            </w:r>
            <w:r w:rsidRPr="00C325BF">
              <w:rPr>
                <w:b/>
                <w:color w:val="000000"/>
                <w:vertAlign w:val="superscript"/>
              </w:rPr>
              <w:t>b</w:t>
            </w:r>
          </w:p>
          <w:p w14:paraId="3A5A8894" w14:textId="77777777" w:rsidR="002E641F" w:rsidRPr="00C325BF" w:rsidRDefault="002E641F" w:rsidP="008419B6">
            <w:pPr>
              <w:kinsoku w:val="0"/>
              <w:overflowPunct w:val="0"/>
              <w:jc w:val="center"/>
              <w:rPr>
                <w:b/>
                <w:color w:val="000000"/>
              </w:rPr>
            </w:pPr>
            <w:r w:rsidRPr="00C325BF">
              <w:rPr>
                <w:b/>
                <w:color w:val="000000"/>
              </w:rPr>
              <w:t>Maximal 40</w:t>
            </w:r>
            <w:r w:rsidRPr="00C325BF">
              <w:rPr>
                <w:color w:val="000000"/>
              </w:rPr>
              <w:t> </w:t>
            </w:r>
            <w:r w:rsidRPr="00C325BF">
              <w:rPr>
                <w:b/>
                <w:color w:val="000000"/>
              </w:rPr>
              <w:t xml:space="preserve">mg </w:t>
            </w:r>
            <w:r w:rsidR="00497EF9" w:rsidRPr="00C325BF">
              <w:rPr>
                <w:b/>
                <w:color w:val="000000"/>
              </w:rPr>
              <w:t>wöchentlich</w:t>
            </w:r>
          </w:p>
          <w:p w14:paraId="3E366E7B" w14:textId="77777777" w:rsidR="002E641F" w:rsidRPr="00C325BF" w:rsidRDefault="002E641F" w:rsidP="008419B6">
            <w:pPr>
              <w:kinsoku w:val="0"/>
              <w:overflowPunct w:val="0"/>
              <w:jc w:val="center"/>
              <w:rPr>
                <w:b/>
                <w:color w:val="000000"/>
              </w:rPr>
            </w:pPr>
            <w:r w:rsidRPr="00C325BF">
              <w:rPr>
                <w:b/>
                <w:color w:val="000000"/>
              </w:rPr>
              <w:t>n</w:t>
            </w:r>
            <w:r w:rsidRPr="00C325BF">
              <w:rPr>
                <w:color w:val="000000"/>
              </w:rPr>
              <w:t> </w:t>
            </w:r>
            <w:r w:rsidRPr="00C325BF">
              <w:rPr>
                <w:b/>
                <w:color w:val="000000"/>
              </w:rPr>
              <w:t>=</w:t>
            </w:r>
            <w:r w:rsidRPr="00C325BF">
              <w:rPr>
                <w:color w:val="000000"/>
              </w:rPr>
              <w:t> </w:t>
            </w:r>
            <w:r w:rsidRPr="00C325BF">
              <w:rPr>
                <w:b/>
                <w:bCs/>
                <w:color w:val="000000"/>
              </w:rPr>
              <w:t>31</w:t>
            </w:r>
          </w:p>
        </w:tc>
      </w:tr>
      <w:tr w:rsidR="002E641F" w:rsidRPr="002E641F" w14:paraId="68132FE7" w14:textId="77777777" w:rsidTr="002E641F">
        <w:trPr>
          <w:cantSplit/>
        </w:trPr>
        <w:tc>
          <w:tcPr>
            <w:tcW w:w="3118" w:type="dxa"/>
            <w:tcBorders>
              <w:top w:val="single" w:sz="4" w:space="0" w:color="auto"/>
              <w:left w:val="single" w:sz="4" w:space="0" w:color="auto"/>
              <w:bottom w:val="single" w:sz="4" w:space="0" w:color="auto"/>
              <w:right w:val="single" w:sz="4" w:space="0" w:color="auto"/>
            </w:tcBorders>
            <w:hideMark/>
          </w:tcPr>
          <w:p w14:paraId="347C6837" w14:textId="77777777" w:rsidR="002E641F" w:rsidRPr="00C325BF" w:rsidRDefault="002E641F" w:rsidP="002E641F">
            <w:pPr>
              <w:kinsoku w:val="0"/>
              <w:overflowPunct w:val="0"/>
              <w:rPr>
                <w:color w:val="000000"/>
              </w:rPr>
            </w:pPr>
            <w:r w:rsidRPr="00C325BF">
              <w:rPr>
                <w:color w:val="000000"/>
              </w:rPr>
              <w:t>Klinische Remission bei PMS-Respondern in Woche 8</w:t>
            </w:r>
          </w:p>
        </w:tc>
        <w:tc>
          <w:tcPr>
            <w:tcW w:w="3077" w:type="dxa"/>
            <w:tcBorders>
              <w:top w:val="single" w:sz="4" w:space="0" w:color="auto"/>
              <w:left w:val="single" w:sz="4" w:space="0" w:color="auto"/>
              <w:bottom w:val="single" w:sz="4" w:space="0" w:color="auto"/>
              <w:right w:val="single" w:sz="4" w:space="0" w:color="auto"/>
            </w:tcBorders>
            <w:hideMark/>
          </w:tcPr>
          <w:p w14:paraId="23B6CE97" w14:textId="77777777" w:rsidR="002E641F" w:rsidRPr="002E641F" w:rsidRDefault="002E641F" w:rsidP="008419B6">
            <w:pPr>
              <w:kinsoku w:val="0"/>
              <w:overflowPunct w:val="0"/>
              <w:jc w:val="center"/>
              <w:rPr>
                <w:color w:val="000000"/>
                <w:lang w:val="en-GB"/>
              </w:rPr>
            </w:pPr>
            <w:r w:rsidRPr="002E641F">
              <w:rPr>
                <w:color w:val="000000"/>
                <w:lang w:val="en-GB"/>
              </w:rPr>
              <w:t>9/31 (29</w:t>
            </w:r>
            <w:r>
              <w:rPr>
                <w:color w:val="000000"/>
                <w:lang w:val="en-GB"/>
              </w:rPr>
              <w:t>,</w:t>
            </w:r>
            <w:r w:rsidRPr="002E641F">
              <w:rPr>
                <w:color w:val="000000"/>
                <w:lang w:val="en-GB"/>
              </w:rPr>
              <w:t>0</w:t>
            </w:r>
            <w:r>
              <w:rPr>
                <w:color w:val="000000"/>
                <w:lang w:val="en-GB"/>
              </w:rPr>
              <w:t> </w:t>
            </w:r>
            <w:r w:rsidRPr="002E641F">
              <w:rPr>
                <w:color w:val="000000"/>
                <w:lang w:val="en-GB"/>
              </w:rPr>
              <w:t>%)</w:t>
            </w:r>
          </w:p>
        </w:tc>
        <w:tc>
          <w:tcPr>
            <w:tcW w:w="3108" w:type="dxa"/>
            <w:tcBorders>
              <w:top w:val="single" w:sz="4" w:space="0" w:color="auto"/>
              <w:left w:val="single" w:sz="4" w:space="0" w:color="auto"/>
              <w:bottom w:val="single" w:sz="4" w:space="0" w:color="auto"/>
              <w:right w:val="single" w:sz="4" w:space="0" w:color="auto"/>
            </w:tcBorders>
            <w:hideMark/>
          </w:tcPr>
          <w:p w14:paraId="37202AB5" w14:textId="77777777" w:rsidR="002E641F" w:rsidRPr="002E641F" w:rsidRDefault="002E641F" w:rsidP="008419B6">
            <w:pPr>
              <w:kinsoku w:val="0"/>
              <w:overflowPunct w:val="0"/>
              <w:jc w:val="center"/>
              <w:rPr>
                <w:color w:val="000000"/>
                <w:lang w:val="en-GB"/>
              </w:rPr>
            </w:pPr>
            <w:r w:rsidRPr="002E641F">
              <w:rPr>
                <w:color w:val="000000"/>
                <w:lang w:val="en-GB"/>
              </w:rPr>
              <w:t>14/31 (45</w:t>
            </w:r>
            <w:r>
              <w:rPr>
                <w:color w:val="000000"/>
                <w:lang w:val="en-GB"/>
              </w:rPr>
              <w:t>,</w:t>
            </w:r>
            <w:r w:rsidRPr="002E641F">
              <w:rPr>
                <w:color w:val="000000"/>
                <w:lang w:val="en-GB"/>
              </w:rPr>
              <w:t>2</w:t>
            </w:r>
            <w:r>
              <w:rPr>
                <w:color w:val="000000"/>
                <w:lang w:val="en-GB"/>
              </w:rPr>
              <w:t> </w:t>
            </w:r>
            <w:r w:rsidRPr="002E641F">
              <w:rPr>
                <w:color w:val="000000"/>
                <w:lang w:val="en-GB"/>
              </w:rPr>
              <w:t>%)</w:t>
            </w:r>
          </w:p>
        </w:tc>
      </w:tr>
      <w:tr w:rsidR="002E641F" w:rsidRPr="002E641F" w14:paraId="49FEE03A" w14:textId="77777777" w:rsidTr="002E641F">
        <w:trPr>
          <w:cantSplit/>
        </w:trPr>
        <w:tc>
          <w:tcPr>
            <w:tcW w:w="3118" w:type="dxa"/>
            <w:tcBorders>
              <w:top w:val="single" w:sz="4" w:space="0" w:color="auto"/>
              <w:left w:val="single" w:sz="4" w:space="0" w:color="auto"/>
              <w:bottom w:val="single" w:sz="4" w:space="0" w:color="auto"/>
              <w:right w:val="single" w:sz="4" w:space="0" w:color="auto"/>
            </w:tcBorders>
          </w:tcPr>
          <w:p w14:paraId="43219C11" w14:textId="77777777" w:rsidR="002E641F" w:rsidRPr="00C325BF" w:rsidRDefault="002E641F" w:rsidP="002E641F">
            <w:pPr>
              <w:kinsoku w:val="0"/>
              <w:overflowPunct w:val="0"/>
              <w:rPr>
                <w:color w:val="000000"/>
              </w:rPr>
            </w:pPr>
            <w:r w:rsidRPr="00C325BF">
              <w:rPr>
                <w:color w:val="000000"/>
              </w:rPr>
              <w:t>Klinische</w:t>
            </w:r>
            <w:r w:rsidR="00D8246D" w:rsidRPr="00C325BF">
              <w:rPr>
                <w:color w:val="000000"/>
              </w:rPr>
              <w:t>s</w:t>
            </w:r>
            <w:r w:rsidRPr="00C325BF">
              <w:rPr>
                <w:color w:val="000000"/>
              </w:rPr>
              <w:t xml:space="preserve"> </w:t>
            </w:r>
            <w:r w:rsidR="00D8246D" w:rsidRPr="00C325BF">
              <w:rPr>
                <w:color w:val="000000"/>
              </w:rPr>
              <w:t>Ansprechen</w:t>
            </w:r>
            <w:r w:rsidRPr="00C325BF">
              <w:rPr>
                <w:color w:val="000000"/>
              </w:rPr>
              <w:t xml:space="preserve"> bei PMS-Respondern in Woche 8</w:t>
            </w:r>
          </w:p>
        </w:tc>
        <w:tc>
          <w:tcPr>
            <w:tcW w:w="3077" w:type="dxa"/>
            <w:tcBorders>
              <w:top w:val="single" w:sz="4" w:space="0" w:color="auto"/>
              <w:left w:val="single" w:sz="4" w:space="0" w:color="auto"/>
              <w:bottom w:val="single" w:sz="4" w:space="0" w:color="auto"/>
              <w:right w:val="single" w:sz="4" w:space="0" w:color="auto"/>
            </w:tcBorders>
          </w:tcPr>
          <w:p w14:paraId="7B6D0845" w14:textId="77777777" w:rsidR="002E641F" w:rsidRPr="002E641F" w:rsidRDefault="002E641F" w:rsidP="008419B6">
            <w:pPr>
              <w:kinsoku w:val="0"/>
              <w:overflowPunct w:val="0"/>
              <w:jc w:val="center"/>
              <w:rPr>
                <w:color w:val="000000"/>
                <w:lang w:val="en-GB"/>
              </w:rPr>
            </w:pPr>
            <w:r w:rsidRPr="002E641F">
              <w:rPr>
                <w:color w:val="000000"/>
                <w:lang w:val="en-US"/>
              </w:rPr>
              <w:t>19/31 (61</w:t>
            </w:r>
            <w:r>
              <w:rPr>
                <w:color w:val="000000"/>
                <w:lang w:val="en-US"/>
              </w:rPr>
              <w:t>,</w:t>
            </w:r>
            <w:r w:rsidRPr="002E641F">
              <w:rPr>
                <w:color w:val="000000"/>
                <w:lang w:val="en-US"/>
              </w:rPr>
              <w:t>3</w:t>
            </w:r>
            <w:r>
              <w:rPr>
                <w:color w:val="000000"/>
                <w:lang w:val="en-US"/>
              </w:rPr>
              <w:t> </w:t>
            </w:r>
            <w:r w:rsidRPr="002E641F">
              <w:rPr>
                <w:color w:val="000000"/>
                <w:lang w:val="en-US"/>
              </w:rPr>
              <w:t>%)</w:t>
            </w:r>
          </w:p>
        </w:tc>
        <w:tc>
          <w:tcPr>
            <w:tcW w:w="3108" w:type="dxa"/>
            <w:tcBorders>
              <w:top w:val="single" w:sz="4" w:space="0" w:color="auto"/>
              <w:left w:val="single" w:sz="4" w:space="0" w:color="auto"/>
              <w:bottom w:val="single" w:sz="4" w:space="0" w:color="auto"/>
              <w:right w:val="single" w:sz="4" w:space="0" w:color="auto"/>
            </w:tcBorders>
          </w:tcPr>
          <w:p w14:paraId="20E345F1" w14:textId="77777777" w:rsidR="002E641F" w:rsidRPr="002E641F" w:rsidRDefault="002E641F" w:rsidP="008419B6">
            <w:pPr>
              <w:kinsoku w:val="0"/>
              <w:overflowPunct w:val="0"/>
              <w:jc w:val="center"/>
              <w:rPr>
                <w:color w:val="000000"/>
                <w:lang w:val="en-GB"/>
              </w:rPr>
            </w:pPr>
            <w:r w:rsidRPr="002E641F">
              <w:rPr>
                <w:color w:val="000000"/>
                <w:lang w:val="en-US"/>
              </w:rPr>
              <w:t>21/31 (67</w:t>
            </w:r>
            <w:r>
              <w:rPr>
                <w:color w:val="000000"/>
                <w:lang w:val="en-US"/>
              </w:rPr>
              <w:t>,</w:t>
            </w:r>
            <w:r w:rsidRPr="002E641F">
              <w:rPr>
                <w:color w:val="000000"/>
                <w:lang w:val="en-US"/>
              </w:rPr>
              <w:t>7</w:t>
            </w:r>
            <w:r>
              <w:rPr>
                <w:color w:val="000000"/>
                <w:lang w:val="en-US"/>
              </w:rPr>
              <w:t> </w:t>
            </w:r>
            <w:r w:rsidRPr="002E641F">
              <w:rPr>
                <w:color w:val="000000"/>
                <w:lang w:val="en-US"/>
              </w:rPr>
              <w:t>%)</w:t>
            </w:r>
          </w:p>
        </w:tc>
      </w:tr>
      <w:tr w:rsidR="002E641F" w:rsidRPr="002E641F" w14:paraId="63A7768E" w14:textId="77777777" w:rsidTr="002E641F">
        <w:trPr>
          <w:cantSplit/>
        </w:trPr>
        <w:tc>
          <w:tcPr>
            <w:tcW w:w="3118" w:type="dxa"/>
            <w:tcBorders>
              <w:top w:val="single" w:sz="4" w:space="0" w:color="auto"/>
              <w:left w:val="single" w:sz="4" w:space="0" w:color="auto"/>
              <w:bottom w:val="single" w:sz="4" w:space="0" w:color="auto"/>
              <w:right w:val="single" w:sz="4" w:space="0" w:color="auto"/>
            </w:tcBorders>
          </w:tcPr>
          <w:p w14:paraId="51ECFB51" w14:textId="77777777" w:rsidR="002E641F" w:rsidRPr="00C325BF" w:rsidRDefault="002E641F" w:rsidP="002E641F">
            <w:pPr>
              <w:kinsoku w:val="0"/>
              <w:overflowPunct w:val="0"/>
              <w:rPr>
                <w:color w:val="000000"/>
              </w:rPr>
            </w:pPr>
            <w:r w:rsidRPr="00C325BF">
              <w:rPr>
                <w:color w:val="000000"/>
              </w:rPr>
              <w:t>Mukosaheilung bei PMS-Respondern in Woche 8</w:t>
            </w:r>
          </w:p>
        </w:tc>
        <w:tc>
          <w:tcPr>
            <w:tcW w:w="3077" w:type="dxa"/>
            <w:tcBorders>
              <w:top w:val="single" w:sz="4" w:space="0" w:color="auto"/>
              <w:left w:val="single" w:sz="4" w:space="0" w:color="auto"/>
              <w:bottom w:val="single" w:sz="4" w:space="0" w:color="auto"/>
              <w:right w:val="single" w:sz="4" w:space="0" w:color="auto"/>
            </w:tcBorders>
          </w:tcPr>
          <w:p w14:paraId="0B7241FF" w14:textId="77777777" w:rsidR="002E641F" w:rsidRPr="002E641F" w:rsidRDefault="002E641F" w:rsidP="008419B6">
            <w:pPr>
              <w:kinsoku w:val="0"/>
              <w:overflowPunct w:val="0"/>
              <w:jc w:val="center"/>
              <w:rPr>
                <w:color w:val="000000"/>
                <w:lang w:val="en-GB"/>
              </w:rPr>
            </w:pPr>
            <w:r w:rsidRPr="002E641F">
              <w:rPr>
                <w:color w:val="000000"/>
                <w:lang w:val="en-US"/>
              </w:rPr>
              <w:t>12/31 (38</w:t>
            </w:r>
            <w:r>
              <w:rPr>
                <w:color w:val="000000"/>
                <w:lang w:val="en-US"/>
              </w:rPr>
              <w:t>,</w:t>
            </w:r>
            <w:r w:rsidRPr="002E641F">
              <w:rPr>
                <w:color w:val="000000"/>
                <w:lang w:val="en-US"/>
              </w:rPr>
              <w:t>7</w:t>
            </w:r>
            <w:r>
              <w:rPr>
                <w:color w:val="000000"/>
                <w:lang w:val="en-US"/>
              </w:rPr>
              <w:t> </w:t>
            </w:r>
            <w:r w:rsidRPr="002E641F">
              <w:rPr>
                <w:color w:val="000000"/>
                <w:lang w:val="en-US"/>
              </w:rPr>
              <w:t>%)</w:t>
            </w:r>
          </w:p>
        </w:tc>
        <w:tc>
          <w:tcPr>
            <w:tcW w:w="3108" w:type="dxa"/>
            <w:tcBorders>
              <w:top w:val="single" w:sz="4" w:space="0" w:color="auto"/>
              <w:left w:val="single" w:sz="4" w:space="0" w:color="auto"/>
              <w:bottom w:val="single" w:sz="4" w:space="0" w:color="auto"/>
              <w:right w:val="single" w:sz="4" w:space="0" w:color="auto"/>
            </w:tcBorders>
          </w:tcPr>
          <w:p w14:paraId="395A98DF" w14:textId="77777777" w:rsidR="002E641F" w:rsidRPr="002E641F" w:rsidRDefault="002E641F" w:rsidP="008419B6">
            <w:pPr>
              <w:kinsoku w:val="0"/>
              <w:overflowPunct w:val="0"/>
              <w:jc w:val="center"/>
              <w:rPr>
                <w:color w:val="000000"/>
                <w:lang w:val="en-GB"/>
              </w:rPr>
            </w:pPr>
            <w:r w:rsidRPr="002E641F">
              <w:rPr>
                <w:color w:val="000000"/>
                <w:lang w:val="en-US"/>
              </w:rPr>
              <w:t>16/31 (51</w:t>
            </w:r>
            <w:r>
              <w:rPr>
                <w:color w:val="000000"/>
                <w:lang w:val="en-US"/>
              </w:rPr>
              <w:t>,</w:t>
            </w:r>
            <w:r w:rsidRPr="002E641F">
              <w:rPr>
                <w:color w:val="000000"/>
                <w:lang w:val="en-US"/>
              </w:rPr>
              <w:t>6</w:t>
            </w:r>
            <w:r>
              <w:rPr>
                <w:color w:val="000000"/>
                <w:lang w:val="en-US"/>
              </w:rPr>
              <w:t> </w:t>
            </w:r>
            <w:r w:rsidRPr="002E641F">
              <w:rPr>
                <w:color w:val="000000"/>
                <w:lang w:val="en-US"/>
              </w:rPr>
              <w:t>%)</w:t>
            </w:r>
          </w:p>
        </w:tc>
      </w:tr>
      <w:tr w:rsidR="002E641F" w:rsidRPr="002E641F" w14:paraId="2AC647AE" w14:textId="77777777" w:rsidTr="002E641F">
        <w:trPr>
          <w:cantSplit/>
        </w:trPr>
        <w:tc>
          <w:tcPr>
            <w:tcW w:w="3118" w:type="dxa"/>
            <w:tcBorders>
              <w:top w:val="single" w:sz="4" w:space="0" w:color="auto"/>
              <w:left w:val="single" w:sz="4" w:space="0" w:color="auto"/>
              <w:bottom w:val="single" w:sz="4" w:space="0" w:color="auto"/>
              <w:right w:val="single" w:sz="4" w:space="0" w:color="auto"/>
            </w:tcBorders>
          </w:tcPr>
          <w:p w14:paraId="2A7C13BB" w14:textId="77777777" w:rsidR="002E641F" w:rsidRPr="00C325BF" w:rsidRDefault="002E641F" w:rsidP="002E641F">
            <w:pPr>
              <w:kinsoku w:val="0"/>
              <w:overflowPunct w:val="0"/>
              <w:rPr>
                <w:color w:val="000000"/>
              </w:rPr>
            </w:pPr>
            <w:r w:rsidRPr="00C325BF">
              <w:rPr>
                <w:color w:val="000000"/>
              </w:rPr>
              <w:t>Klinische Remission bei Patienten in PMS-Remission in Woche 8</w:t>
            </w:r>
          </w:p>
        </w:tc>
        <w:tc>
          <w:tcPr>
            <w:tcW w:w="3077" w:type="dxa"/>
            <w:tcBorders>
              <w:top w:val="single" w:sz="4" w:space="0" w:color="auto"/>
              <w:left w:val="single" w:sz="4" w:space="0" w:color="auto"/>
              <w:bottom w:val="single" w:sz="4" w:space="0" w:color="auto"/>
              <w:right w:val="single" w:sz="4" w:space="0" w:color="auto"/>
            </w:tcBorders>
          </w:tcPr>
          <w:p w14:paraId="750DC738" w14:textId="77777777" w:rsidR="002E641F" w:rsidRPr="002E641F" w:rsidRDefault="002E641F" w:rsidP="008419B6">
            <w:pPr>
              <w:kinsoku w:val="0"/>
              <w:overflowPunct w:val="0"/>
              <w:jc w:val="center"/>
              <w:rPr>
                <w:color w:val="000000"/>
                <w:lang w:val="en-GB"/>
              </w:rPr>
            </w:pPr>
            <w:r w:rsidRPr="002E641F">
              <w:rPr>
                <w:color w:val="000000"/>
                <w:lang w:val="en-US"/>
              </w:rPr>
              <w:t>9/21 (42</w:t>
            </w:r>
            <w:r>
              <w:rPr>
                <w:color w:val="000000"/>
                <w:lang w:val="en-US"/>
              </w:rPr>
              <w:t>,</w:t>
            </w:r>
            <w:r w:rsidRPr="002E641F">
              <w:rPr>
                <w:color w:val="000000"/>
                <w:lang w:val="en-US"/>
              </w:rPr>
              <w:t>9</w:t>
            </w:r>
            <w:r>
              <w:rPr>
                <w:color w:val="000000"/>
                <w:lang w:val="en-US"/>
              </w:rPr>
              <w:t> </w:t>
            </w:r>
            <w:r w:rsidRPr="002E641F">
              <w:rPr>
                <w:color w:val="000000"/>
                <w:lang w:val="en-US"/>
              </w:rPr>
              <w:t>%)</w:t>
            </w:r>
          </w:p>
        </w:tc>
        <w:tc>
          <w:tcPr>
            <w:tcW w:w="3108" w:type="dxa"/>
            <w:tcBorders>
              <w:top w:val="single" w:sz="4" w:space="0" w:color="auto"/>
              <w:left w:val="single" w:sz="4" w:space="0" w:color="auto"/>
              <w:bottom w:val="single" w:sz="4" w:space="0" w:color="auto"/>
              <w:right w:val="single" w:sz="4" w:space="0" w:color="auto"/>
            </w:tcBorders>
          </w:tcPr>
          <w:p w14:paraId="2CA0AAD4" w14:textId="77777777" w:rsidR="002E641F" w:rsidRPr="002E641F" w:rsidRDefault="002E641F" w:rsidP="008419B6">
            <w:pPr>
              <w:kinsoku w:val="0"/>
              <w:overflowPunct w:val="0"/>
              <w:jc w:val="center"/>
              <w:rPr>
                <w:color w:val="000000"/>
                <w:lang w:val="en-GB"/>
              </w:rPr>
            </w:pPr>
            <w:r w:rsidRPr="002E641F">
              <w:rPr>
                <w:color w:val="000000"/>
                <w:lang w:val="en-US"/>
              </w:rPr>
              <w:t>10/22 (45</w:t>
            </w:r>
            <w:r>
              <w:rPr>
                <w:color w:val="000000"/>
                <w:lang w:val="en-US"/>
              </w:rPr>
              <w:t>,</w:t>
            </w:r>
            <w:r w:rsidRPr="002E641F">
              <w:rPr>
                <w:color w:val="000000"/>
                <w:lang w:val="en-US"/>
              </w:rPr>
              <w:t>5</w:t>
            </w:r>
            <w:r>
              <w:rPr>
                <w:color w:val="000000"/>
                <w:lang w:val="en-US"/>
              </w:rPr>
              <w:t> </w:t>
            </w:r>
            <w:r w:rsidRPr="002E641F">
              <w:rPr>
                <w:color w:val="000000"/>
                <w:lang w:val="en-US"/>
              </w:rPr>
              <w:t>%)</w:t>
            </w:r>
          </w:p>
        </w:tc>
      </w:tr>
      <w:tr w:rsidR="002E641F" w:rsidRPr="002E641F" w14:paraId="3B06D282" w14:textId="77777777" w:rsidTr="002E641F">
        <w:trPr>
          <w:cantSplit/>
        </w:trPr>
        <w:tc>
          <w:tcPr>
            <w:tcW w:w="3118" w:type="dxa"/>
            <w:tcBorders>
              <w:top w:val="single" w:sz="4" w:space="0" w:color="auto"/>
              <w:left w:val="single" w:sz="4" w:space="0" w:color="auto"/>
              <w:bottom w:val="single" w:sz="4" w:space="0" w:color="auto"/>
              <w:right w:val="single" w:sz="4" w:space="0" w:color="auto"/>
            </w:tcBorders>
          </w:tcPr>
          <w:p w14:paraId="13B8AEB0" w14:textId="77777777" w:rsidR="002E641F" w:rsidRPr="00C325BF" w:rsidRDefault="002E641F" w:rsidP="002E641F">
            <w:pPr>
              <w:kinsoku w:val="0"/>
              <w:overflowPunct w:val="0"/>
              <w:rPr>
                <w:color w:val="000000"/>
              </w:rPr>
            </w:pPr>
            <w:r w:rsidRPr="00C325BF">
              <w:rPr>
                <w:color w:val="000000"/>
              </w:rPr>
              <w:t>Kortikosteroidfreie Remission bei PMS-Respondern in Woche 8</w:t>
            </w:r>
          </w:p>
        </w:tc>
        <w:tc>
          <w:tcPr>
            <w:tcW w:w="3077" w:type="dxa"/>
            <w:tcBorders>
              <w:top w:val="single" w:sz="4" w:space="0" w:color="auto"/>
              <w:left w:val="single" w:sz="4" w:space="0" w:color="auto"/>
              <w:bottom w:val="single" w:sz="4" w:space="0" w:color="auto"/>
              <w:right w:val="single" w:sz="4" w:space="0" w:color="auto"/>
            </w:tcBorders>
          </w:tcPr>
          <w:p w14:paraId="2F124C90" w14:textId="77777777" w:rsidR="002E641F" w:rsidRPr="002E641F" w:rsidRDefault="002E641F" w:rsidP="008419B6">
            <w:pPr>
              <w:kinsoku w:val="0"/>
              <w:overflowPunct w:val="0"/>
              <w:jc w:val="center"/>
              <w:rPr>
                <w:color w:val="000000"/>
                <w:lang w:val="en-GB"/>
              </w:rPr>
            </w:pPr>
            <w:r w:rsidRPr="002E641F">
              <w:rPr>
                <w:color w:val="000000"/>
                <w:lang w:val="en-US"/>
              </w:rPr>
              <w:t>4/13 (30</w:t>
            </w:r>
            <w:r>
              <w:rPr>
                <w:color w:val="000000"/>
                <w:lang w:val="en-US"/>
              </w:rPr>
              <w:t>,</w:t>
            </w:r>
            <w:r w:rsidRPr="002E641F">
              <w:rPr>
                <w:color w:val="000000"/>
                <w:lang w:val="en-US"/>
              </w:rPr>
              <w:t>8</w:t>
            </w:r>
            <w:r>
              <w:rPr>
                <w:color w:val="000000"/>
                <w:lang w:val="en-US"/>
              </w:rPr>
              <w:t> </w:t>
            </w:r>
            <w:r w:rsidRPr="002E641F">
              <w:rPr>
                <w:color w:val="000000"/>
                <w:lang w:val="en-US"/>
              </w:rPr>
              <w:t>%)</w:t>
            </w:r>
          </w:p>
        </w:tc>
        <w:tc>
          <w:tcPr>
            <w:tcW w:w="3108" w:type="dxa"/>
            <w:tcBorders>
              <w:top w:val="single" w:sz="4" w:space="0" w:color="auto"/>
              <w:left w:val="single" w:sz="4" w:space="0" w:color="auto"/>
              <w:bottom w:val="single" w:sz="4" w:space="0" w:color="auto"/>
              <w:right w:val="single" w:sz="4" w:space="0" w:color="auto"/>
            </w:tcBorders>
          </w:tcPr>
          <w:p w14:paraId="6C0FF3BF" w14:textId="77777777" w:rsidR="002E641F" w:rsidRPr="002E641F" w:rsidRDefault="002E641F" w:rsidP="008419B6">
            <w:pPr>
              <w:kinsoku w:val="0"/>
              <w:overflowPunct w:val="0"/>
              <w:jc w:val="center"/>
              <w:rPr>
                <w:color w:val="000000"/>
                <w:lang w:val="en-GB"/>
              </w:rPr>
            </w:pPr>
            <w:r w:rsidRPr="002E641F">
              <w:rPr>
                <w:color w:val="000000"/>
                <w:lang w:val="en-US"/>
              </w:rPr>
              <w:t>5/16 (31</w:t>
            </w:r>
            <w:r>
              <w:rPr>
                <w:color w:val="000000"/>
                <w:lang w:val="en-US"/>
              </w:rPr>
              <w:t>,</w:t>
            </w:r>
            <w:r w:rsidRPr="002E641F">
              <w:rPr>
                <w:color w:val="000000"/>
                <w:lang w:val="en-US"/>
              </w:rPr>
              <w:t>3</w:t>
            </w:r>
            <w:r>
              <w:rPr>
                <w:color w:val="000000"/>
                <w:lang w:val="en-US"/>
              </w:rPr>
              <w:t> </w:t>
            </w:r>
            <w:r w:rsidRPr="002E641F">
              <w:rPr>
                <w:color w:val="000000"/>
                <w:lang w:val="en-US"/>
              </w:rPr>
              <w:t>%)</w:t>
            </w:r>
          </w:p>
        </w:tc>
      </w:tr>
    </w:tbl>
    <w:p w14:paraId="0FC6A344" w14:textId="77777777" w:rsidR="002E641F" w:rsidRPr="00206AEA" w:rsidRDefault="002E641F" w:rsidP="002E641F">
      <w:pPr>
        <w:kinsoku w:val="0"/>
        <w:overflowPunct w:val="0"/>
        <w:rPr>
          <w:color w:val="000000"/>
          <w:sz w:val="20"/>
          <w:szCs w:val="20"/>
        </w:rPr>
      </w:pPr>
      <w:r w:rsidRPr="00C325BF">
        <w:rPr>
          <w:color w:val="000000"/>
          <w:vertAlign w:val="superscript"/>
        </w:rPr>
        <w:t>a</w:t>
      </w:r>
      <w:r w:rsidRPr="00C325BF">
        <w:rPr>
          <w:color w:val="000000"/>
        </w:rPr>
        <w:tab/>
      </w:r>
      <w:r w:rsidRPr="00206AEA">
        <w:rPr>
          <w:color w:val="000000"/>
          <w:sz w:val="20"/>
          <w:szCs w:val="20"/>
        </w:rPr>
        <w:t>Adalimumab 0,6 mg/kg (maximal 40 mg) jede zweite Woche</w:t>
      </w:r>
    </w:p>
    <w:p w14:paraId="5272199B" w14:textId="77777777" w:rsidR="002E641F" w:rsidRPr="00C325BF" w:rsidRDefault="002E641F" w:rsidP="002E641F">
      <w:pPr>
        <w:kinsoku w:val="0"/>
        <w:overflowPunct w:val="0"/>
        <w:rPr>
          <w:color w:val="000000"/>
        </w:rPr>
      </w:pPr>
      <w:r w:rsidRPr="00C325BF">
        <w:rPr>
          <w:color w:val="000000"/>
          <w:vertAlign w:val="superscript"/>
        </w:rPr>
        <w:t>b</w:t>
      </w:r>
      <w:r w:rsidRPr="00C325BF">
        <w:rPr>
          <w:color w:val="000000"/>
        </w:rPr>
        <w:tab/>
      </w:r>
      <w:r w:rsidRPr="00206AEA">
        <w:rPr>
          <w:color w:val="000000"/>
          <w:sz w:val="20"/>
          <w:szCs w:val="20"/>
        </w:rPr>
        <w:t>Adalimumab 0,6 mg/kg (maximal 40 mg) wöchentlich</w:t>
      </w:r>
    </w:p>
    <w:p w14:paraId="7E4D2818" w14:textId="77777777" w:rsidR="002E641F" w:rsidRPr="00206AEA" w:rsidRDefault="002E641F" w:rsidP="002E641F">
      <w:pPr>
        <w:kinsoku w:val="0"/>
        <w:overflowPunct w:val="0"/>
        <w:rPr>
          <w:color w:val="000000"/>
          <w:sz w:val="20"/>
          <w:szCs w:val="20"/>
        </w:rPr>
      </w:pPr>
      <w:r w:rsidRPr="00C325BF">
        <w:rPr>
          <w:color w:val="000000"/>
          <w:vertAlign w:val="superscript"/>
        </w:rPr>
        <w:t>c</w:t>
      </w:r>
      <w:r w:rsidRPr="00C325BF">
        <w:rPr>
          <w:color w:val="000000"/>
        </w:rPr>
        <w:tab/>
      </w:r>
      <w:r w:rsidRPr="00206AEA">
        <w:rPr>
          <w:color w:val="000000"/>
          <w:sz w:val="20"/>
          <w:szCs w:val="20"/>
        </w:rPr>
        <w:t>Bei Patienten, die bei Baseline begleitend Kortikosteroide erhielten</w:t>
      </w:r>
    </w:p>
    <w:p w14:paraId="71082A49" w14:textId="77777777" w:rsidR="002E641F" w:rsidRPr="00206AEA" w:rsidRDefault="002E641F" w:rsidP="002E641F">
      <w:pPr>
        <w:kinsoku w:val="0"/>
        <w:overflowPunct w:val="0"/>
        <w:rPr>
          <w:color w:val="000000"/>
          <w:sz w:val="20"/>
          <w:szCs w:val="20"/>
        </w:rPr>
      </w:pPr>
      <w:r w:rsidRPr="00206AEA">
        <w:rPr>
          <w:color w:val="000000"/>
          <w:sz w:val="20"/>
          <w:szCs w:val="20"/>
        </w:rPr>
        <w:t>Hinweis: Patienten mit fehlenden Werten in Woche</w:t>
      </w:r>
      <w:r w:rsidR="00672048" w:rsidRPr="00206AEA">
        <w:rPr>
          <w:color w:val="000000"/>
          <w:sz w:val="20"/>
          <w:szCs w:val="20"/>
        </w:rPr>
        <w:t> </w:t>
      </w:r>
      <w:r w:rsidRPr="00206AEA">
        <w:rPr>
          <w:color w:val="000000"/>
          <w:sz w:val="20"/>
          <w:szCs w:val="20"/>
        </w:rPr>
        <w:t>52 oder die randomisiert einer erneuten Induktionstherapie oder der Erhaltungstherapie zugeteilt wurden, wurden hinsichtlich der Endpunkte in Woche</w:t>
      </w:r>
      <w:r w:rsidR="00672048" w:rsidRPr="00206AEA">
        <w:rPr>
          <w:color w:val="000000"/>
          <w:sz w:val="20"/>
          <w:szCs w:val="20"/>
        </w:rPr>
        <w:t> </w:t>
      </w:r>
      <w:r w:rsidR="00664432" w:rsidRPr="00206AEA">
        <w:rPr>
          <w:color w:val="000000"/>
          <w:sz w:val="20"/>
          <w:szCs w:val="20"/>
        </w:rPr>
        <w:t>52 als Non-Responder gewertet.</w:t>
      </w:r>
    </w:p>
    <w:p w14:paraId="614B1F3D" w14:textId="77777777" w:rsidR="00AB75EC" w:rsidRDefault="00AB75EC" w:rsidP="007A0B49">
      <w:pPr>
        <w:kinsoku w:val="0"/>
        <w:overflowPunct w:val="0"/>
        <w:rPr>
          <w:color w:val="000000"/>
        </w:rPr>
      </w:pPr>
    </w:p>
    <w:p w14:paraId="19FA5695" w14:textId="77777777" w:rsidR="00AB75EC" w:rsidRDefault="00672048" w:rsidP="00672048">
      <w:pPr>
        <w:kinsoku w:val="0"/>
        <w:overflowPunct w:val="0"/>
        <w:rPr>
          <w:color w:val="000000"/>
        </w:rPr>
      </w:pPr>
      <w:r w:rsidRPr="00672048">
        <w:rPr>
          <w:color w:val="000000"/>
        </w:rPr>
        <w:t>Weitere explorative Wirksamkeitsendpunkte umfassten das klinische Ansprechen nach Paediatric</w:t>
      </w:r>
      <w:r>
        <w:rPr>
          <w:color w:val="000000"/>
        </w:rPr>
        <w:t xml:space="preserve"> </w:t>
      </w:r>
      <w:r w:rsidRPr="00672048">
        <w:rPr>
          <w:color w:val="000000"/>
        </w:rPr>
        <w:t>Ulcerative Colitis Activity Index (PUCAI) (definiert als Abnahme des PUCAI um ≥</w:t>
      </w:r>
      <w:r>
        <w:rPr>
          <w:color w:val="000000"/>
        </w:rPr>
        <w:t> </w:t>
      </w:r>
      <w:r w:rsidRPr="00672048">
        <w:rPr>
          <w:color w:val="000000"/>
        </w:rPr>
        <w:t>20</w:t>
      </w:r>
      <w:r>
        <w:rPr>
          <w:color w:val="000000"/>
        </w:rPr>
        <w:t> </w:t>
      </w:r>
      <w:r w:rsidRPr="00672048">
        <w:rPr>
          <w:color w:val="000000"/>
        </w:rPr>
        <w:t>Punkte</w:t>
      </w:r>
      <w:r>
        <w:rPr>
          <w:color w:val="000000"/>
        </w:rPr>
        <w:t xml:space="preserve"> </w:t>
      </w:r>
      <w:r w:rsidRPr="00672048">
        <w:rPr>
          <w:color w:val="000000"/>
        </w:rPr>
        <w:t>gegenüber Baseline) und die klinische Remission nach PUCAI (definiert als PUCAI &lt;</w:t>
      </w:r>
      <w:r>
        <w:rPr>
          <w:color w:val="000000"/>
        </w:rPr>
        <w:t> </w:t>
      </w:r>
      <w:r w:rsidRPr="00672048">
        <w:rPr>
          <w:color w:val="000000"/>
        </w:rPr>
        <w:t>10) in Woche</w:t>
      </w:r>
      <w:r>
        <w:rPr>
          <w:color w:val="000000"/>
        </w:rPr>
        <w:t> </w:t>
      </w:r>
      <w:r w:rsidRPr="00672048">
        <w:rPr>
          <w:color w:val="000000"/>
        </w:rPr>
        <w:t>8</w:t>
      </w:r>
      <w:r>
        <w:rPr>
          <w:color w:val="000000"/>
        </w:rPr>
        <w:t xml:space="preserve"> </w:t>
      </w:r>
      <w:r w:rsidRPr="00672048">
        <w:rPr>
          <w:color w:val="000000"/>
        </w:rPr>
        <w:t>und Woche</w:t>
      </w:r>
      <w:r>
        <w:rPr>
          <w:color w:val="000000"/>
        </w:rPr>
        <w:t> </w:t>
      </w:r>
      <w:r w:rsidRPr="00672048">
        <w:rPr>
          <w:color w:val="000000"/>
        </w:rPr>
        <w:t>52 (Tabelle</w:t>
      </w:r>
      <w:r>
        <w:rPr>
          <w:color w:val="000000"/>
        </w:rPr>
        <w:t> </w:t>
      </w:r>
      <w:r w:rsidRPr="00672048">
        <w:rPr>
          <w:color w:val="000000"/>
        </w:rPr>
        <w:t>28).</w:t>
      </w:r>
    </w:p>
    <w:p w14:paraId="33D8496D" w14:textId="77777777" w:rsidR="00672048" w:rsidRDefault="00672048" w:rsidP="00672048">
      <w:pPr>
        <w:kinsoku w:val="0"/>
        <w:overflowPunct w:val="0"/>
        <w:rPr>
          <w:color w:val="000000"/>
        </w:rPr>
      </w:pPr>
    </w:p>
    <w:p w14:paraId="0B85B663" w14:textId="77777777" w:rsidR="00534861" w:rsidRPr="00C325BF" w:rsidRDefault="00672048" w:rsidP="00672048">
      <w:pPr>
        <w:keepNext/>
        <w:rPr>
          <w:b/>
        </w:rPr>
      </w:pPr>
      <w:r w:rsidRPr="00C325BF">
        <w:rPr>
          <w:b/>
        </w:rPr>
        <w:lastRenderedPageBreak/>
        <w:t>Tabelle 28</w:t>
      </w:r>
    </w:p>
    <w:p w14:paraId="23B2BB00" w14:textId="77777777" w:rsidR="00672048" w:rsidRPr="00C325BF" w:rsidRDefault="00672048" w:rsidP="00672048">
      <w:pPr>
        <w:keepNext/>
        <w:rPr>
          <w:b/>
          <w:bCs/>
        </w:rPr>
      </w:pPr>
      <w:r w:rsidRPr="00C325BF">
        <w:rPr>
          <w:b/>
        </w:rPr>
        <w:t>Ergebnisse zu den explorativen Endpunkten nach PUCAI</w:t>
      </w:r>
    </w:p>
    <w:p w14:paraId="1ABCA9F9" w14:textId="77777777" w:rsidR="00672048" w:rsidRPr="00C325BF" w:rsidRDefault="00672048" w:rsidP="00672048">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01"/>
        <w:gridCol w:w="3035"/>
      </w:tblGrid>
      <w:tr w:rsidR="00672048" w:rsidRPr="000E0085" w14:paraId="27290C43" w14:textId="77777777" w:rsidTr="00672048">
        <w:trPr>
          <w:cantSplit/>
        </w:trPr>
        <w:tc>
          <w:tcPr>
            <w:tcW w:w="3114" w:type="dxa"/>
            <w:vMerge w:val="restart"/>
            <w:tcBorders>
              <w:top w:val="single" w:sz="4" w:space="0" w:color="auto"/>
              <w:left w:val="single" w:sz="4" w:space="0" w:color="auto"/>
              <w:right w:val="single" w:sz="4" w:space="0" w:color="auto"/>
            </w:tcBorders>
          </w:tcPr>
          <w:p w14:paraId="52D1670F" w14:textId="77777777" w:rsidR="00672048" w:rsidRPr="00C325BF" w:rsidRDefault="00672048" w:rsidP="00D071C8">
            <w:pPr>
              <w:keepNext/>
              <w:jc w:val="center"/>
              <w:rPr>
                <w:b/>
              </w:rPr>
            </w:pPr>
          </w:p>
        </w:tc>
        <w:tc>
          <w:tcPr>
            <w:tcW w:w="6177" w:type="dxa"/>
            <w:gridSpan w:val="2"/>
            <w:tcBorders>
              <w:top w:val="single" w:sz="4" w:space="0" w:color="auto"/>
              <w:left w:val="single" w:sz="4" w:space="0" w:color="auto"/>
              <w:bottom w:val="single" w:sz="4" w:space="0" w:color="auto"/>
              <w:right w:val="single" w:sz="4" w:space="0" w:color="auto"/>
            </w:tcBorders>
          </w:tcPr>
          <w:p w14:paraId="466B8DBB" w14:textId="77777777" w:rsidR="00672048" w:rsidRPr="000E0085" w:rsidRDefault="00672048" w:rsidP="00672048">
            <w:pPr>
              <w:keepNext/>
              <w:jc w:val="center"/>
              <w:rPr>
                <w:b/>
                <w:lang w:val="en-GB"/>
              </w:rPr>
            </w:pPr>
            <w:proofErr w:type="spellStart"/>
            <w:r>
              <w:rPr>
                <w:b/>
                <w:lang w:val="en-GB"/>
              </w:rPr>
              <w:t>Woche</w:t>
            </w:r>
            <w:proofErr w:type="spellEnd"/>
            <w:r w:rsidRPr="00206AEA">
              <w:rPr>
                <w:rFonts w:ascii="TimesNewRomanPSMT" w:hAnsi="TimesNewRomanPSMT" w:cs="TimesNewRomanPSMT"/>
                <w:sz w:val="20"/>
                <w:szCs w:val="20"/>
              </w:rPr>
              <w:t> </w:t>
            </w:r>
            <w:r>
              <w:rPr>
                <w:b/>
                <w:lang w:val="en-GB"/>
              </w:rPr>
              <w:t>8</w:t>
            </w:r>
          </w:p>
        </w:tc>
      </w:tr>
      <w:tr w:rsidR="00672048" w:rsidRPr="000E0085" w14:paraId="7ED30685" w14:textId="77777777" w:rsidTr="00672048">
        <w:trPr>
          <w:cantSplit/>
        </w:trPr>
        <w:tc>
          <w:tcPr>
            <w:tcW w:w="3114" w:type="dxa"/>
            <w:vMerge/>
            <w:tcBorders>
              <w:left w:val="single" w:sz="4" w:space="0" w:color="auto"/>
              <w:bottom w:val="single" w:sz="4" w:space="0" w:color="auto"/>
              <w:right w:val="single" w:sz="4" w:space="0" w:color="auto"/>
            </w:tcBorders>
          </w:tcPr>
          <w:p w14:paraId="6CC82B32" w14:textId="77777777" w:rsidR="00672048" w:rsidRPr="000E0085" w:rsidRDefault="00672048" w:rsidP="00D071C8">
            <w:pPr>
              <w:keepNext/>
              <w:jc w:val="center"/>
              <w:rPr>
                <w:b/>
                <w:lang w:val="en-GB"/>
              </w:rPr>
            </w:pPr>
          </w:p>
        </w:tc>
        <w:tc>
          <w:tcPr>
            <w:tcW w:w="3073" w:type="dxa"/>
            <w:tcBorders>
              <w:top w:val="single" w:sz="4" w:space="0" w:color="auto"/>
              <w:left w:val="single" w:sz="4" w:space="0" w:color="auto"/>
              <w:bottom w:val="single" w:sz="4" w:space="0" w:color="auto"/>
              <w:right w:val="single" w:sz="4" w:space="0" w:color="auto"/>
            </w:tcBorders>
            <w:hideMark/>
          </w:tcPr>
          <w:p w14:paraId="562E1A98" w14:textId="77777777" w:rsidR="00672048" w:rsidRPr="00C325BF" w:rsidRDefault="00672048" w:rsidP="00D071C8">
            <w:pPr>
              <w:keepNext/>
              <w:jc w:val="center"/>
              <w:rPr>
                <w:b/>
              </w:rPr>
            </w:pPr>
            <w:r w:rsidRPr="00C325BF">
              <w:rPr>
                <w:b/>
              </w:rPr>
              <w:t>Adalimumab</w:t>
            </w:r>
            <w:r w:rsidRPr="00C325BF">
              <w:rPr>
                <w:b/>
                <w:vertAlign w:val="superscript"/>
              </w:rPr>
              <w:t>a</w:t>
            </w:r>
          </w:p>
          <w:p w14:paraId="41BF15C1" w14:textId="77777777" w:rsidR="00672048" w:rsidRPr="00C325BF" w:rsidRDefault="00672048" w:rsidP="00D071C8">
            <w:pPr>
              <w:keepNext/>
              <w:jc w:val="center"/>
              <w:rPr>
                <w:b/>
              </w:rPr>
            </w:pPr>
            <w:r w:rsidRPr="00C325BF">
              <w:rPr>
                <w:b/>
              </w:rPr>
              <w:t>Maximal 160</w:t>
            </w:r>
            <w:r w:rsidRPr="00206AEA">
              <w:rPr>
                <w:rFonts w:ascii="TimesNewRomanPSMT" w:hAnsi="TimesNewRomanPSMT" w:cs="TimesNewRomanPSMT"/>
                <w:sz w:val="20"/>
                <w:szCs w:val="20"/>
              </w:rPr>
              <w:t> </w:t>
            </w:r>
            <w:r w:rsidRPr="00C325BF">
              <w:rPr>
                <w:b/>
              </w:rPr>
              <w:t>mg in Woche</w:t>
            </w:r>
            <w:r w:rsidRPr="00206AEA">
              <w:rPr>
                <w:rFonts w:ascii="TimesNewRomanPSMT" w:hAnsi="TimesNewRomanPSMT" w:cs="TimesNewRomanPSMT"/>
                <w:sz w:val="20"/>
                <w:szCs w:val="20"/>
              </w:rPr>
              <w:t> </w:t>
            </w:r>
            <w:r w:rsidRPr="00C325BF">
              <w:rPr>
                <w:b/>
              </w:rPr>
              <w:t>0 / Placebo in Woche</w:t>
            </w:r>
            <w:r w:rsidRPr="00206AEA">
              <w:rPr>
                <w:rFonts w:ascii="TimesNewRomanPSMT" w:hAnsi="TimesNewRomanPSMT" w:cs="TimesNewRomanPSMT"/>
                <w:sz w:val="20"/>
                <w:szCs w:val="20"/>
              </w:rPr>
              <w:t> </w:t>
            </w:r>
            <w:r w:rsidRPr="00C325BF">
              <w:rPr>
                <w:b/>
              </w:rPr>
              <w:t>1</w:t>
            </w:r>
          </w:p>
          <w:p w14:paraId="5AB27377" w14:textId="77777777" w:rsidR="00672048" w:rsidRPr="000E0085" w:rsidRDefault="00672048" w:rsidP="00D071C8">
            <w:pPr>
              <w:keepNext/>
              <w:jc w:val="center"/>
              <w:rPr>
                <w:b/>
                <w:lang w:val="en-GB"/>
              </w:rPr>
            </w:pPr>
            <w:r>
              <w:rPr>
                <w:b/>
                <w:lang w:val="en-GB"/>
              </w:rPr>
              <w:t>n</w:t>
            </w:r>
            <w:r>
              <w:rPr>
                <w:lang w:val="en-GB"/>
              </w:rPr>
              <w:t> </w:t>
            </w:r>
            <w:r w:rsidRPr="000E0085">
              <w:rPr>
                <w:b/>
                <w:lang w:val="en-GB"/>
              </w:rPr>
              <w:t>=</w:t>
            </w:r>
            <w:r>
              <w:rPr>
                <w:lang w:val="en-GB"/>
              </w:rPr>
              <w:t> </w:t>
            </w:r>
            <w:r w:rsidRPr="000E0085">
              <w:rPr>
                <w:b/>
                <w:lang w:val="en-GB"/>
              </w:rPr>
              <w:t>3</w:t>
            </w:r>
            <w:r>
              <w:rPr>
                <w:b/>
                <w:lang w:val="en-GB"/>
              </w:rPr>
              <w:t>0</w:t>
            </w:r>
          </w:p>
        </w:tc>
        <w:tc>
          <w:tcPr>
            <w:tcW w:w="3104" w:type="dxa"/>
            <w:tcBorders>
              <w:top w:val="single" w:sz="4" w:space="0" w:color="auto"/>
              <w:left w:val="single" w:sz="4" w:space="0" w:color="auto"/>
              <w:bottom w:val="single" w:sz="4" w:space="0" w:color="auto"/>
              <w:right w:val="single" w:sz="4" w:space="0" w:color="auto"/>
            </w:tcBorders>
            <w:hideMark/>
          </w:tcPr>
          <w:p w14:paraId="0B047AB8" w14:textId="77777777" w:rsidR="00672048" w:rsidRPr="00C325BF" w:rsidRDefault="00672048" w:rsidP="00D071C8">
            <w:pPr>
              <w:keepNext/>
              <w:jc w:val="center"/>
              <w:rPr>
                <w:b/>
              </w:rPr>
            </w:pPr>
            <w:r w:rsidRPr="00C325BF">
              <w:rPr>
                <w:b/>
              </w:rPr>
              <w:t>Adalimumab</w:t>
            </w:r>
            <w:r w:rsidRPr="00C325BF">
              <w:rPr>
                <w:b/>
                <w:vertAlign w:val="superscript"/>
              </w:rPr>
              <w:t>b,c</w:t>
            </w:r>
          </w:p>
          <w:p w14:paraId="45E49A31" w14:textId="77777777" w:rsidR="00672048" w:rsidRPr="00C325BF" w:rsidRDefault="00672048" w:rsidP="00D071C8">
            <w:pPr>
              <w:keepNext/>
              <w:jc w:val="center"/>
              <w:rPr>
                <w:b/>
              </w:rPr>
            </w:pPr>
            <w:r w:rsidRPr="00C325BF">
              <w:rPr>
                <w:b/>
              </w:rPr>
              <w:t>Maximal 160</w:t>
            </w:r>
            <w:r w:rsidRPr="00206AEA">
              <w:rPr>
                <w:rFonts w:ascii="TimesNewRomanPSMT" w:hAnsi="TimesNewRomanPSMT" w:cs="TimesNewRomanPSMT"/>
                <w:sz w:val="20"/>
                <w:szCs w:val="20"/>
              </w:rPr>
              <w:t> </w:t>
            </w:r>
            <w:r w:rsidRPr="00C325BF">
              <w:rPr>
                <w:b/>
              </w:rPr>
              <w:t>mg in Woche</w:t>
            </w:r>
            <w:r w:rsidRPr="00206AEA">
              <w:rPr>
                <w:rFonts w:ascii="TimesNewRomanPSMT" w:hAnsi="TimesNewRomanPSMT" w:cs="TimesNewRomanPSMT"/>
                <w:sz w:val="20"/>
                <w:szCs w:val="20"/>
              </w:rPr>
              <w:t> </w:t>
            </w:r>
            <w:r w:rsidRPr="00C325BF">
              <w:rPr>
                <w:b/>
              </w:rPr>
              <w:t>0 und Woche</w:t>
            </w:r>
            <w:r w:rsidRPr="00206AEA">
              <w:rPr>
                <w:rFonts w:ascii="TimesNewRomanPSMT" w:hAnsi="TimesNewRomanPSMT" w:cs="TimesNewRomanPSMT"/>
                <w:sz w:val="20"/>
                <w:szCs w:val="20"/>
              </w:rPr>
              <w:t> </w:t>
            </w:r>
            <w:r w:rsidRPr="00C325BF">
              <w:rPr>
                <w:b/>
              </w:rPr>
              <w:t>1</w:t>
            </w:r>
          </w:p>
          <w:p w14:paraId="6DFC303A" w14:textId="77777777" w:rsidR="00672048" w:rsidRPr="000E0085" w:rsidRDefault="00672048" w:rsidP="00D071C8">
            <w:pPr>
              <w:keepNext/>
              <w:jc w:val="center"/>
              <w:rPr>
                <w:b/>
                <w:lang w:val="en-GB"/>
              </w:rPr>
            </w:pPr>
            <w:r>
              <w:rPr>
                <w:b/>
                <w:lang w:val="en-GB"/>
              </w:rPr>
              <w:t>n</w:t>
            </w:r>
            <w:r>
              <w:rPr>
                <w:lang w:val="en-GB"/>
              </w:rPr>
              <w:t> </w:t>
            </w:r>
            <w:r w:rsidRPr="000E0085">
              <w:rPr>
                <w:b/>
                <w:lang w:val="en-GB"/>
              </w:rPr>
              <w:t>=</w:t>
            </w:r>
            <w:r>
              <w:rPr>
                <w:lang w:val="en-GB"/>
              </w:rPr>
              <w:t> </w:t>
            </w:r>
            <w:r w:rsidRPr="00FA66CF">
              <w:rPr>
                <w:b/>
                <w:bCs/>
                <w:lang w:val="en-GB"/>
              </w:rPr>
              <w:t>47</w:t>
            </w:r>
          </w:p>
        </w:tc>
      </w:tr>
      <w:tr w:rsidR="00672048" w:rsidRPr="000E0085" w14:paraId="2F6861EA" w14:textId="77777777" w:rsidTr="00672048">
        <w:trPr>
          <w:cantSplit/>
        </w:trPr>
        <w:tc>
          <w:tcPr>
            <w:tcW w:w="3114" w:type="dxa"/>
            <w:tcBorders>
              <w:top w:val="single" w:sz="4" w:space="0" w:color="auto"/>
              <w:left w:val="single" w:sz="4" w:space="0" w:color="auto"/>
              <w:bottom w:val="single" w:sz="4" w:space="0" w:color="auto"/>
              <w:right w:val="single" w:sz="4" w:space="0" w:color="auto"/>
            </w:tcBorders>
            <w:hideMark/>
          </w:tcPr>
          <w:p w14:paraId="00AE1A6D" w14:textId="77777777" w:rsidR="00672048" w:rsidRPr="000E0085" w:rsidRDefault="00672048" w:rsidP="00D071C8">
            <w:pPr>
              <w:rPr>
                <w:lang w:val="en-GB"/>
              </w:rPr>
            </w:pPr>
            <w:proofErr w:type="spellStart"/>
            <w:r>
              <w:rPr>
                <w:lang w:val="en-GB"/>
              </w:rPr>
              <w:t>Klinische</w:t>
            </w:r>
            <w:proofErr w:type="spellEnd"/>
            <w:r>
              <w:rPr>
                <w:lang w:val="en-GB"/>
              </w:rPr>
              <w:t xml:space="preserve"> Remission </w:t>
            </w:r>
            <w:proofErr w:type="spellStart"/>
            <w:r>
              <w:rPr>
                <w:lang w:val="en-GB"/>
              </w:rPr>
              <w:t>nach</w:t>
            </w:r>
            <w:proofErr w:type="spellEnd"/>
            <w:r>
              <w:rPr>
                <w:lang w:val="en-GB"/>
              </w:rPr>
              <w:t xml:space="preserve"> PUCAI</w:t>
            </w:r>
          </w:p>
        </w:tc>
        <w:tc>
          <w:tcPr>
            <w:tcW w:w="3073" w:type="dxa"/>
            <w:tcBorders>
              <w:top w:val="single" w:sz="4" w:space="0" w:color="auto"/>
              <w:left w:val="single" w:sz="4" w:space="0" w:color="auto"/>
              <w:bottom w:val="single" w:sz="4" w:space="0" w:color="auto"/>
              <w:right w:val="single" w:sz="4" w:space="0" w:color="auto"/>
            </w:tcBorders>
            <w:hideMark/>
          </w:tcPr>
          <w:p w14:paraId="32386FAF" w14:textId="77777777" w:rsidR="00672048" w:rsidRPr="00BA44E4" w:rsidRDefault="00672048" w:rsidP="00672048">
            <w:pPr>
              <w:jc w:val="center"/>
              <w:rPr>
                <w:lang w:val="en-GB"/>
              </w:rPr>
            </w:pPr>
            <w:r w:rsidRPr="00BA44E4">
              <w:t>10/30 (33</w:t>
            </w:r>
            <w:r>
              <w:t>,</w:t>
            </w:r>
            <w:r w:rsidRPr="00BA44E4">
              <w:t>3</w:t>
            </w:r>
            <w:r>
              <w:t> </w:t>
            </w:r>
            <w:r w:rsidRPr="00BA44E4">
              <w:t>%)</w:t>
            </w:r>
          </w:p>
        </w:tc>
        <w:tc>
          <w:tcPr>
            <w:tcW w:w="3104" w:type="dxa"/>
            <w:tcBorders>
              <w:top w:val="single" w:sz="4" w:space="0" w:color="auto"/>
              <w:left w:val="single" w:sz="4" w:space="0" w:color="auto"/>
              <w:bottom w:val="single" w:sz="4" w:space="0" w:color="auto"/>
              <w:right w:val="single" w:sz="4" w:space="0" w:color="auto"/>
            </w:tcBorders>
            <w:hideMark/>
          </w:tcPr>
          <w:p w14:paraId="3A216D3C" w14:textId="77777777" w:rsidR="00672048" w:rsidRPr="00BA44E4" w:rsidRDefault="00672048" w:rsidP="00672048">
            <w:pPr>
              <w:jc w:val="center"/>
              <w:rPr>
                <w:lang w:val="en-GB"/>
              </w:rPr>
            </w:pPr>
            <w:r w:rsidRPr="00BA44E4">
              <w:t>22/47 (46</w:t>
            </w:r>
            <w:r>
              <w:t>,</w:t>
            </w:r>
            <w:r w:rsidRPr="00BA44E4">
              <w:t>8</w:t>
            </w:r>
            <w:r>
              <w:t> </w:t>
            </w:r>
            <w:r w:rsidRPr="00BA44E4">
              <w:t>%)</w:t>
            </w:r>
          </w:p>
        </w:tc>
      </w:tr>
      <w:tr w:rsidR="00672048" w:rsidRPr="000E0085" w14:paraId="32FAB0DE" w14:textId="77777777" w:rsidTr="00672048">
        <w:trPr>
          <w:cantSplit/>
        </w:trPr>
        <w:tc>
          <w:tcPr>
            <w:tcW w:w="3114" w:type="dxa"/>
            <w:tcBorders>
              <w:top w:val="single" w:sz="4" w:space="0" w:color="auto"/>
              <w:left w:val="single" w:sz="4" w:space="0" w:color="auto"/>
              <w:bottom w:val="single" w:sz="4" w:space="0" w:color="auto"/>
              <w:right w:val="single" w:sz="4" w:space="0" w:color="auto"/>
            </w:tcBorders>
          </w:tcPr>
          <w:p w14:paraId="52811856" w14:textId="77777777" w:rsidR="00672048" w:rsidRDefault="00672048" w:rsidP="00D071C8">
            <w:pPr>
              <w:rPr>
                <w:lang w:val="en-GB"/>
              </w:rPr>
            </w:pPr>
            <w:proofErr w:type="spellStart"/>
            <w:r>
              <w:rPr>
                <w:lang w:val="en-GB"/>
              </w:rPr>
              <w:t>Klinische</w:t>
            </w:r>
            <w:r w:rsidR="00FE16B3">
              <w:rPr>
                <w:lang w:val="en-GB"/>
              </w:rPr>
              <w:t>s</w:t>
            </w:r>
            <w:proofErr w:type="spellEnd"/>
            <w:r>
              <w:rPr>
                <w:lang w:val="en-GB"/>
              </w:rPr>
              <w:t xml:space="preserve"> </w:t>
            </w:r>
            <w:proofErr w:type="spellStart"/>
            <w:r w:rsidR="00FE16B3">
              <w:rPr>
                <w:lang w:val="en-GB"/>
              </w:rPr>
              <w:t>Ansprechen</w:t>
            </w:r>
            <w:proofErr w:type="spellEnd"/>
            <w:r>
              <w:rPr>
                <w:lang w:val="en-GB"/>
              </w:rPr>
              <w:t xml:space="preserve"> </w:t>
            </w:r>
            <w:proofErr w:type="spellStart"/>
            <w:r>
              <w:rPr>
                <w:lang w:val="en-GB"/>
              </w:rPr>
              <w:t>nach</w:t>
            </w:r>
            <w:proofErr w:type="spellEnd"/>
            <w:r>
              <w:rPr>
                <w:lang w:val="en-GB"/>
              </w:rPr>
              <w:t xml:space="preserve"> PUCAI</w:t>
            </w:r>
          </w:p>
        </w:tc>
        <w:tc>
          <w:tcPr>
            <w:tcW w:w="3073" w:type="dxa"/>
            <w:tcBorders>
              <w:top w:val="single" w:sz="4" w:space="0" w:color="auto"/>
              <w:left w:val="single" w:sz="4" w:space="0" w:color="auto"/>
              <w:bottom w:val="single" w:sz="4" w:space="0" w:color="auto"/>
              <w:right w:val="single" w:sz="4" w:space="0" w:color="auto"/>
            </w:tcBorders>
          </w:tcPr>
          <w:p w14:paraId="3D8F7C46" w14:textId="77777777" w:rsidR="00672048" w:rsidRPr="00BA44E4" w:rsidRDefault="00672048" w:rsidP="00672048">
            <w:pPr>
              <w:jc w:val="center"/>
              <w:rPr>
                <w:lang w:val="en-GB"/>
              </w:rPr>
            </w:pPr>
            <w:r w:rsidRPr="00BA44E4">
              <w:t>15/30 (50</w:t>
            </w:r>
            <w:r>
              <w:t>,</w:t>
            </w:r>
            <w:r w:rsidRPr="00BA44E4">
              <w:t>0</w:t>
            </w:r>
            <w:r>
              <w:t> </w:t>
            </w:r>
            <w:r w:rsidRPr="00BA44E4">
              <w:t>%)</w:t>
            </w:r>
          </w:p>
        </w:tc>
        <w:tc>
          <w:tcPr>
            <w:tcW w:w="3104" w:type="dxa"/>
            <w:tcBorders>
              <w:top w:val="single" w:sz="4" w:space="0" w:color="auto"/>
              <w:left w:val="single" w:sz="4" w:space="0" w:color="auto"/>
              <w:bottom w:val="single" w:sz="4" w:space="0" w:color="auto"/>
              <w:right w:val="single" w:sz="4" w:space="0" w:color="auto"/>
            </w:tcBorders>
          </w:tcPr>
          <w:p w14:paraId="449F6BE3" w14:textId="77777777" w:rsidR="00672048" w:rsidRPr="00BA44E4" w:rsidRDefault="00672048" w:rsidP="00672048">
            <w:pPr>
              <w:jc w:val="center"/>
              <w:rPr>
                <w:lang w:val="en-GB"/>
              </w:rPr>
            </w:pPr>
            <w:r w:rsidRPr="00BA44E4">
              <w:t>32/47 (68</w:t>
            </w:r>
            <w:r>
              <w:t>,</w:t>
            </w:r>
            <w:r w:rsidRPr="00BA44E4">
              <w:t>1</w:t>
            </w:r>
            <w:r>
              <w:t> </w:t>
            </w:r>
            <w:r w:rsidRPr="00BA44E4">
              <w:t>%)</w:t>
            </w:r>
          </w:p>
        </w:tc>
      </w:tr>
      <w:tr w:rsidR="00672048" w:rsidRPr="000E0085" w14:paraId="44C5DC77" w14:textId="77777777" w:rsidTr="00672048">
        <w:trPr>
          <w:cantSplit/>
        </w:trPr>
        <w:tc>
          <w:tcPr>
            <w:tcW w:w="3114" w:type="dxa"/>
            <w:vMerge w:val="restart"/>
            <w:tcBorders>
              <w:top w:val="single" w:sz="4" w:space="0" w:color="auto"/>
              <w:left w:val="single" w:sz="4" w:space="0" w:color="auto"/>
              <w:right w:val="single" w:sz="4" w:space="0" w:color="auto"/>
            </w:tcBorders>
          </w:tcPr>
          <w:p w14:paraId="5660007A" w14:textId="77777777" w:rsidR="00672048" w:rsidRDefault="00672048" w:rsidP="00D071C8">
            <w:pPr>
              <w:keepNext/>
              <w:rPr>
                <w:lang w:val="en-GB"/>
              </w:rPr>
            </w:pPr>
          </w:p>
        </w:tc>
        <w:tc>
          <w:tcPr>
            <w:tcW w:w="6177" w:type="dxa"/>
            <w:gridSpan w:val="2"/>
            <w:tcBorders>
              <w:top w:val="single" w:sz="4" w:space="0" w:color="auto"/>
              <w:left w:val="single" w:sz="4" w:space="0" w:color="auto"/>
              <w:bottom w:val="single" w:sz="4" w:space="0" w:color="auto"/>
              <w:right w:val="single" w:sz="4" w:space="0" w:color="auto"/>
            </w:tcBorders>
          </w:tcPr>
          <w:p w14:paraId="3BFF1B44" w14:textId="77777777" w:rsidR="00672048" w:rsidRPr="00BA44E4" w:rsidRDefault="00672048" w:rsidP="00672048">
            <w:pPr>
              <w:keepNext/>
              <w:jc w:val="center"/>
              <w:rPr>
                <w:b/>
                <w:bCs/>
                <w:lang w:val="en-GB"/>
              </w:rPr>
            </w:pPr>
            <w:r w:rsidRPr="00BA44E4">
              <w:rPr>
                <w:b/>
                <w:bCs/>
              </w:rPr>
              <w:t>W</w:t>
            </w:r>
            <w:r>
              <w:rPr>
                <w:b/>
                <w:bCs/>
              </w:rPr>
              <w:t>oche</w:t>
            </w:r>
            <w:r w:rsidRPr="00206AEA">
              <w:rPr>
                <w:rFonts w:ascii="TimesNewRomanPSMT" w:hAnsi="TimesNewRomanPSMT" w:cs="TimesNewRomanPSMT"/>
                <w:sz w:val="20"/>
                <w:szCs w:val="20"/>
              </w:rPr>
              <w:t> </w:t>
            </w:r>
            <w:r w:rsidRPr="00BA44E4">
              <w:rPr>
                <w:b/>
                <w:bCs/>
              </w:rPr>
              <w:t>52</w:t>
            </w:r>
          </w:p>
        </w:tc>
      </w:tr>
      <w:tr w:rsidR="00672048" w:rsidRPr="00C325BF" w14:paraId="4A7FDEF5" w14:textId="77777777" w:rsidTr="00672048">
        <w:trPr>
          <w:cantSplit/>
        </w:trPr>
        <w:tc>
          <w:tcPr>
            <w:tcW w:w="3114" w:type="dxa"/>
            <w:vMerge/>
            <w:tcBorders>
              <w:left w:val="single" w:sz="4" w:space="0" w:color="auto"/>
              <w:bottom w:val="single" w:sz="4" w:space="0" w:color="auto"/>
              <w:right w:val="single" w:sz="4" w:space="0" w:color="auto"/>
            </w:tcBorders>
          </w:tcPr>
          <w:p w14:paraId="75A7961F" w14:textId="77777777" w:rsidR="00672048" w:rsidRDefault="00672048" w:rsidP="00D071C8">
            <w:pPr>
              <w:rPr>
                <w:lang w:val="en-GB"/>
              </w:rPr>
            </w:pPr>
          </w:p>
        </w:tc>
        <w:tc>
          <w:tcPr>
            <w:tcW w:w="3073" w:type="dxa"/>
            <w:tcBorders>
              <w:top w:val="single" w:sz="4" w:space="0" w:color="auto"/>
              <w:left w:val="single" w:sz="4" w:space="0" w:color="auto"/>
              <w:bottom w:val="single" w:sz="4" w:space="0" w:color="auto"/>
              <w:right w:val="single" w:sz="4" w:space="0" w:color="auto"/>
            </w:tcBorders>
          </w:tcPr>
          <w:p w14:paraId="39371BBF" w14:textId="77777777" w:rsidR="00672048" w:rsidRPr="00C325BF" w:rsidRDefault="00672048" w:rsidP="00D071C8">
            <w:pPr>
              <w:keepNext/>
              <w:jc w:val="center"/>
              <w:rPr>
                <w:b/>
              </w:rPr>
            </w:pPr>
            <w:r w:rsidRPr="00C325BF">
              <w:rPr>
                <w:b/>
              </w:rPr>
              <w:t>Adalimumab</w:t>
            </w:r>
            <w:r w:rsidRPr="00C325BF">
              <w:rPr>
                <w:b/>
                <w:vertAlign w:val="superscript"/>
              </w:rPr>
              <w:t>d</w:t>
            </w:r>
          </w:p>
          <w:p w14:paraId="12304B3A" w14:textId="77777777" w:rsidR="00672048" w:rsidRPr="00C325BF" w:rsidRDefault="00672048" w:rsidP="00D071C8">
            <w:pPr>
              <w:keepNext/>
              <w:jc w:val="center"/>
              <w:rPr>
                <w:b/>
              </w:rPr>
            </w:pPr>
            <w:r w:rsidRPr="00C325BF">
              <w:rPr>
                <w:b/>
              </w:rPr>
              <w:t>Maximal 40</w:t>
            </w:r>
            <w:r w:rsidRPr="00206AEA">
              <w:rPr>
                <w:rFonts w:ascii="TimesNewRomanPSMT" w:hAnsi="TimesNewRomanPSMT" w:cs="TimesNewRomanPSMT"/>
                <w:sz w:val="20"/>
                <w:szCs w:val="20"/>
              </w:rPr>
              <w:t> </w:t>
            </w:r>
            <w:r w:rsidRPr="00C325BF">
              <w:rPr>
                <w:b/>
              </w:rPr>
              <w:t>mg jede zweite Woche</w:t>
            </w:r>
          </w:p>
          <w:p w14:paraId="61C2A591" w14:textId="77777777" w:rsidR="00672048" w:rsidRPr="002665DD" w:rsidRDefault="00672048" w:rsidP="00D071C8">
            <w:pPr>
              <w:jc w:val="center"/>
            </w:pPr>
            <w:r>
              <w:rPr>
                <w:b/>
                <w:lang w:val="en-GB"/>
              </w:rPr>
              <w:t>n</w:t>
            </w:r>
            <w:r>
              <w:rPr>
                <w:lang w:val="en-GB"/>
              </w:rPr>
              <w:t> </w:t>
            </w:r>
            <w:r w:rsidRPr="000E0085">
              <w:rPr>
                <w:b/>
                <w:lang w:val="en-GB"/>
              </w:rPr>
              <w:t>=</w:t>
            </w:r>
            <w:r>
              <w:rPr>
                <w:lang w:val="en-GB"/>
              </w:rPr>
              <w:t> </w:t>
            </w:r>
            <w:r w:rsidRPr="000E0085">
              <w:rPr>
                <w:b/>
                <w:lang w:val="en-GB"/>
              </w:rPr>
              <w:t>3</w:t>
            </w:r>
            <w:r>
              <w:rPr>
                <w:b/>
                <w:lang w:val="en-GB"/>
              </w:rPr>
              <w:t>1</w:t>
            </w:r>
          </w:p>
        </w:tc>
        <w:tc>
          <w:tcPr>
            <w:tcW w:w="3104" w:type="dxa"/>
            <w:tcBorders>
              <w:top w:val="single" w:sz="4" w:space="0" w:color="auto"/>
              <w:left w:val="single" w:sz="4" w:space="0" w:color="auto"/>
              <w:bottom w:val="single" w:sz="4" w:space="0" w:color="auto"/>
              <w:right w:val="single" w:sz="4" w:space="0" w:color="auto"/>
            </w:tcBorders>
          </w:tcPr>
          <w:p w14:paraId="0356A00B" w14:textId="77777777" w:rsidR="00672048" w:rsidRPr="00C325BF" w:rsidRDefault="00672048" w:rsidP="00D071C8">
            <w:pPr>
              <w:keepNext/>
              <w:jc w:val="center"/>
              <w:rPr>
                <w:b/>
                <w:vertAlign w:val="superscript"/>
              </w:rPr>
            </w:pPr>
            <w:r w:rsidRPr="00C325BF">
              <w:rPr>
                <w:b/>
              </w:rPr>
              <w:t>Adalimumab</w:t>
            </w:r>
            <w:r w:rsidRPr="00C325BF">
              <w:rPr>
                <w:b/>
                <w:vertAlign w:val="superscript"/>
              </w:rPr>
              <w:t>e</w:t>
            </w:r>
          </w:p>
          <w:p w14:paraId="2D467CD8" w14:textId="77777777" w:rsidR="00672048" w:rsidRPr="00C325BF" w:rsidRDefault="00672048" w:rsidP="00D071C8">
            <w:pPr>
              <w:keepNext/>
              <w:jc w:val="center"/>
              <w:rPr>
                <w:b/>
              </w:rPr>
            </w:pPr>
            <w:r w:rsidRPr="00C325BF">
              <w:rPr>
                <w:b/>
              </w:rPr>
              <w:t>Maximal 40</w:t>
            </w:r>
            <w:r w:rsidRPr="00206AEA">
              <w:rPr>
                <w:rFonts w:ascii="TimesNewRomanPSMT" w:hAnsi="TimesNewRomanPSMT" w:cs="TimesNewRomanPSMT"/>
                <w:sz w:val="20"/>
                <w:szCs w:val="20"/>
              </w:rPr>
              <w:t> </w:t>
            </w:r>
            <w:r w:rsidRPr="00C325BF">
              <w:rPr>
                <w:b/>
              </w:rPr>
              <w:t>mg wöchentlich</w:t>
            </w:r>
          </w:p>
          <w:p w14:paraId="043042D0" w14:textId="77777777" w:rsidR="00672048" w:rsidRPr="002665DD" w:rsidRDefault="00672048" w:rsidP="00D071C8">
            <w:pPr>
              <w:jc w:val="center"/>
            </w:pPr>
            <w:r w:rsidRPr="00C325BF">
              <w:rPr>
                <w:b/>
              </w:rPr>
              <w:t>n</w:t>
            </w:r>
            <w:r w:rsidRPr="00C325BF">
              <w:t> </w:t>
            </w:r>
            <w:r w:rsidRPr="00C325BF">
              <w:rPr>
                <w:b/>
              </w:rPr>
              <w:t>=</w:t>
            </w:r>
            <w:r w:rsidRPr="00C325BF">
              <w:t> </w:t>
            </w:r>
            <w:r w:rsidRPr="00C325BF">
              <w:rPr>
                <w:b/>
                <w:bCs/>
              </w:rPr>
              <w:t>31</w:t>
            </w:r>
          </w:p>
        </w:tc>
      </w:tr>
      <w:tr w:rsidR="00672048" w:rsidRPr="000E0085" w14:paraId="04E9FC04" w14:textId="77777777" w:rsidTr="00672048">
        <w:trPr>
          <w:cantSplit/>
        </w:trPr>
        <w:tc>
          <w:tcPr>
            <w:tcW w:w="3114" w:type="dxa"/>
            <w:tcBorders>
              <w:top w:val="single" w:sz="4" w:space="0" w:color="auto"/>
              <w:left w:val="single" w:sz="4" w:space="0" w:color="auto"/>
              <w:bottom w:val="single" w:sz="4" w:space="0" w:color="auto"/>
              <w:right w:val="single" w:sz="4" w:space="0" w:color="auto"/>
            </w:tcBorders>
          </w:tcPr>
          <w:p w14:paraId="26993C17" w14:textId="77777777" w:rsidR="00672048" w:rsidRPr="00C325BF" w:rsidRDefault="00672048" w:rsidP="00D071C8">
            <w:r w:rsidRPr="00C325BF">
              <w:t>Klinische Remission nach PUCAI bei PMS-Respondern in Woche 8</w:t>
            </w:r>
          </w:p>
        </w:tc>
        <w:tc>
          <w:tcPr>
            <w:tcW w:w="3073" w:type="dxa"/>
            <w:tcBorders>
              <w:top w:val="single" w:sz="4" w:space="0" w:color="auto"/>
              <w:left w:val="single" w:sz="4" w:space="0" w:color="auto"/>
              <w:bottom w:val="single" w:sz="4" w:space="0" w:color="auto"/>
              <w:right w:val="single" w:sz="4" w:space="0" w:color="auto"/>
            </w:tcBorders>
          </w:tcPr>
          <w:p w14:paraId="5FA30516" w14:textId="77777777" w:rsidR="00672048" w:rsidRPr="00BA44E4" w:rsidRDefault="00672048" w:rsidP="00672048">
            <w:pPr>
              <w:jc w:val="center"/>
              <w:rPr>
                <w:lang w:val="en-GB"/>
              </w:rPr>
            </w:pPr>
            <w:r w:rsidRPr="00BA44E4">
              <w:t>14/31 (45</w:t>
            </w:r>
            <w:r>
              <w:t>,</w:t>
            </w:r>
            <w:r w:rsidRPr="00BA44E4">
              <w:t>2</w:t>
            </w:r>
            <w:r>
              <w:t> </w:t>
            </w:r>
            <w:r w:rsidRPr="00BA44E4">
              <w:t>%)</w:t>
            </w:r>
          </w:p>
        </w:tc>
        <w:tc>
          <w:tcPr>
            <w:tcW w:w="3104" w:type="dxa"/>
            <w:tcBorders>
              <w:top w:val="single" w:sz="4" w:space="0" w:color="auto"/>
              <w:left w:val="single" w:sz="4" w:space="0" w:color="auto"/>
              <w:bottom w:val="single" w:sz="4" w:space="0" w:color="auto"/>
              <w:right w:val="single" w:sz="4" w:space="0" w:color="auto"/>
            </w:tcBorders>
          </w:tcPr>
          <w:p w14:paraId="0C0708D1" w14:textId="77777777" w:rsidR="00672048" w:rsidRPr="00BA44E4" w:rsidRDefault="00672048" w:rsidP="00672048">
            <w:pPr>
              <w:jc w:val="center"/>
              <w:rPr>
                <w:lang w:val="en-GB"/>
              </w:rPr>
            </w:pPr>
            <w:r w:rsidRPr="00BA44E4">
              <w:t>18/31 (58</w:t>
            </w:r>
            <w:r>
              <w:t>,</w:t>
            </w:r>
            <w:r w:rsidRPr="00BA44E4">
              <w:t>1</w:t>
            </w:r>
            <w:r>
              <w:t> </w:t>
            </w:r>
            <w:r w:rsidRPr="00BA44E4">
              <w:t>%)</w:t>
            </w:r>
          </w:p>
        </w:tc>
      </w:tr>
      <w:tr w:rsidR="00672048" w:rsidRPr="000E0085" w14:paraId="56B79DBE" w14:textId="77777777" w:rsidTr="00672048">
        <w:trPr>
          <w:cantSplit/>
        </w:trPr>
        <w:tc>
          <w:tcPr>
            <w:tcW w:w="3114" w:type="dxa"/>
            <w:tcBorders>
              <w:top w:val="single" w:sz="4" w:space="0" w:color="auto"/>
              <w:left w:val="single" w:sz="4" w:space="0" w:color="auto"/>
              <w:bottom w:val="single" w:sz="4" w:space="0" w:color="auto"/>
              <w:right w:val="single" w:sz="4" w:space="0" w:color="auto"/>
            </w:tcBorders>
          </w:tcPr>
          <w:p w14:paraId="1F75E0E0" w14:textId="77777777" w:rsidR="00672048" w:rsidRPr="00C325BF" w:rsidRDefault="00672048" w:rsidP="00672048">
            <w:r w:rsidRPr="00C325BF">
              <w:t>Klinisches Ansprechen nach PUCAI bei PMS-Respondern in Woche 8</w:t>
            </w:r>
          </w:p>
        </w:tc>
        <w:tc>
          <w:tcPr>
            <w:tcW w:w="3073" w:type="dxa"/>
            <w:tcBorders>
              <w:top w:val="single" w:sz="4" w:space="0" w:color="auto"/>
              <w:left w:val="single" w:sz="4" w:space="0" w:color="auto"/>
              <w:bottom w:val="single" w:sz="4" w:space="0" w:color="auto"/>
              <w:right w:val="single" w:sz="4" w:space="0" w:color="auto"/>
            </w:tcBorders>
          </w:tcPr>
          <w:p w14:paraId="0840A66E" w14:textId="77777777" w:rsidR="00672048" w:rsidRPr="00BA44E4" w:rsidRDefault="00672048" w:rsidP="00672048">
            <w:pPr>
              <w:jc w:val="center"/>
              <w:rPr>
                <w:lang w:val="en-GB"/>
              </w:rPr>
            </w:pPr>
            <w:r w:rsidRPr="00BA44E4">
              <w:t>18/31 (58</w:t>
            </w:r>
            <w:r>
              <w:t>,</w:t>
            </w:r>
            <w:r w:rsidRPr="00BA44E4">
              <w:t>1</w:t>
            </w:r>
            <w:r>
              <w:t> </w:t>
            </w:r>
            <w:r w:rsidRPr="00BA44E4">
              <w:t>%)</w:t>
            </w:r>
          </w:p>
        </w:tc>
        <w:tc>
          <w:tcPr>
            <w:tcW w:w="3104" w:type="dxa"/>
            <w:tcBorders>
              <w:top w:val="single" w:sz="4" w:space="0" w:color="auto"/>
              <w:left w:val="single" w:sz="4" w:space="0" w:color="auto"/>
              <w:bottom w:val="single" w:sz="4" w:space="0" w:color="auto"/>
              <w:right w:val="single" w:sz="4" w:space="0" w:color="auto"/>
            </w:tcBorders>
          </w:tcPr>
          <w:p w14:paraId="333D6E27" w14:textId="77777777" w:rsidR="00672048" w:rsidRPr="00BA44E4" w:rsidRDefault="00672048" w:rsidP="00672048">
            <w:pPr>
              <w:jc w:val="center"/>
              <w:rPr>
                <w:lang w:val="en-GB"/>
              </w:rPr>
            </w:pPr>
            <w:r w:rsidRPr="00BA44E4">
              <w:t>16/31 (51</w:t>
            </w:r>
            <w:r>
              <w:t>,</w:t>
            </w:r>
            <w:r w:rsidRPr="00BA44E4">
              <w:t>6</w:t>
            </w:r>
            <w:r>
              <w:t> </w:t>
            </w:r>
            <w:r w:rsidRPr="00BA44E4">
              <w:t>%)</w:t>
            </w:r>
          </w:p>
        </w:tc>
      </w:tr>
    </w:tbl>
    <w:p w14:paraId="5D2B581D" w14:textId="77777777" w:rsidR="00672048" w:rsidRPr="00206AEA" w:rsidRDefault="00E0271F" w:rsidP="00672048">
      <w:pPr>
        <w:autoSpaceDE w:val="0"/>
        <w:autoSpaceDN w:val="0"/>
        <w:adjustRightInd w:val="0"/>
        <w:ind w:left="270" w:hanging="270"/>
        <w:rPr>
          <w:sz w:val="20"/>
          <w:szCs w:val="20"/>
        </w:rPr>
      </w:pPr>
      <w:r w:rsidRPr="00206AEA">
        <w:rPr>
          <w:sz w:val="20"/>
          <w:szCs w:val="20"/>
          <w:vertAlign w:val="superscript"/>
        </w:rPr>
        <w:t>a</w:t>
      </w:r>
      <w:r w:rsidR="00672048" w:rsidRPr="00206AEA">
        <w:rPr>
          <w:sz w:val="20"/>
          <w:szCs w:val="20"/>
        </w:rPr>
        <w:tab/>
        <w:t>Adalimumab 2,4 mg/kg (maximal 160 mg) in Woche 0, Placebo in Woche 1 und 1,2 mg/kg (maximal 80 mg) in Woche 2</w:t>
      </w:r>
    </w:p>
    <w:p w14:paraId="62E0456C" w14:textId="77777777" w:rsidR="00672048" w:rsidRPr="00206AEA" w:rsidRDefault="00672048" w:rsidP="00672048">
      <w:pPr>
        <w:autoSpaceDE w:val="0"/>
        <w:autoSpaceDN w:val="0"/>
        <w:adjustRightInd w:val="0"/>
        <w:ind w:left="270" w:hanging="270"/>
        <w:rPr>
          <w:sz w:val="20"/>
          <w:szCs w:val="20"/>
        </w:rPr>
      </w:pPr>
      <w:r w:rsidRPr="00206AEA">
        <w:rPr>
          <w:sz w:val="20"/>
          <w:szCs w:val="20"/>
          <w:vertAlign w:val="superscript"/>
        </w:rPr>
        <w:t>b</w:t>
      </w:r>
      <w:r w:rsidRPr="00206AEA">
        <w:rPr>
          <w:sz w:val="20"/>
          <w:szCs w:val="20"/>
        </w:rPr>
        <w:tab/>
        <w:t>Adalimumab 2,4 mg/kg (maximal 160 mg) in Woche 0 und Woche 1 und 1,2 mg/kg (maximal 80 mg) in Woche 2</w:t>
      </w:r>
    </w:p>
    <w:p w14:paraId="50D427DC" w14:textId="77777777" w:rsidR="00672048" w:rsidRPr="00206AEA" w:rsidRDefault="00672048" w:rsidP="00672048">
      <w:pPr>
        <w:autoSpaceDE w:val="0"/>
        <w:autoSpaceDN w:val="0"/>
        <w:adjustRightInd w:val="0"/>
        <w:ind w:left="270" w:hanging="270"/>
        <w:rPr>
          <w:sz w:val="20"/>
          <w:szCs w:val="20"/>
        </w:rPr>
      </w:pPr>
      <w:r w:rsidRPr="00206AEA">
        <w:rPr>
          <w:sz w:val="20"/>
          <w:szCs w:val="20"/>
          <w:vertAlign w:val="superscript"/>
        </w:rPr>
        <w:t>c</w:t>
      </w:r>
      <w:r w:rsidRPr="00206AEA">
        <w:rPr>
          <w:sz w:val="20"/>
          <w:szCs w:val="20"/>
        </w:rPr>
        <w:tab/>
        <w:t>Ohne Patienten unter offener Adalimumab-Induktionsdosis von 2,4 mg/kg (maximal 160 mg) in Woche 0 und Woche 1 und 1,2 mg/kg (maximal 80 mg) in Woche 2</w:t>
      </w:r>
    </w:p>
    <w:p w14:paraId="760A04C6" w14:textId="77777777" w:rsidR="00672048" w:rsidRPr="00206AEA" w:rsidRDefault="00672048" w:rsidP="008419B6">
      <w:pPr>
        <w:kinsoku w:val="0"/>
        <w:overflowPunct w:val="0"/>
        <w:ind w:left="284" w:hanging="284"/>
        <w:rPr>
          <w:color w:val="000000"/>
          <w:sz w:val="20"/>
          <w:szCs w:val="20"/>
        </w:rPr>
      </w:pPr>
      <w:r w:rsidRPr="00206AEA">
        <w:rPr>
          <w:sz w:val="20"/>
          <w:szCs w:val="20"/>
          <w:vertAlign w:val="superscript"/>
        </w:rPr>
        <w:t>d</w:t>
      </w:r>
      <w:r w:rsidRPr="00206AEA">
        <w:rPr>
          <w:sz w:val="20"/>
          <w:szCs w:val="20"/>
        </w:rPr>
        <w:tab/>
        <w:t>Adalimumab 0,6 mg/kg (maximal 40 mg) jede zweite Woche</w:t>
      </w:r>
    </w:p>
    <w:p w14:paraId="796628AC" w14:textId="77777777" w:rsidR="00672048" w:rsidRPr="00206AEA" w:rsidRDefault="00672048" w:rsidP="00672048">
      <w:pPr>
        <w:autoSpaceDE w:val="0"/>
        <w:autoSpaceDN w:val="0"/>
        <w:adjustRightInd w:val="0"/>
        <w:ind w:left="270" w:hanging="270"/>
        <w:rPr>
          <w:sz w:val="20"/>
          <w:szCs w:val="20"/>
        </w:rPr>
      </w:pPr>
      <w:r w:rsidRPr="00206AEA">
        <w:rPr>
          <w:sz w:val="20"/>
          <w:szCs w:val="20"/>
          <w:vertAlign w:val="superscript"/>
        </w:rPr>
        <w:t>e</w:t>
      </w:r>
      <w:r w:rsidRPr="00206AEA">
        <w:rPr>
          <w:sz w:val="20"/>
          <w:szCs w:val="20"/>
        </w:rPr>
        <w:tab/>
      </w:r>
      <w:r w:rsidRPr="00206AEA">
        <w:rPr>
          <w:color w:val="000000"/>
          <w:sz w:val="20"/>
          <w:szCs w:val="20"/>
        </w:rPr>
        <w:t>Adalimumab 0,6 mg/kg (maximal 40 mg) wöchentlich</w:t>
      </w:r>
    </w:p>
    <w:p w14:paraId="5F333B5B" w14:textId="77777777" w:rsidR="00672048" w:rsidRPr="00206AEA" w:rsidRDefault="00672048" w:rsidP="00672048">
      <w:pPr>
        <w:autoSpaceDE w:val="0"/>
        <w:autoSpaceDN w:val="0"/>
        <w:adjustRightInd w:val="0"/>
        <w:rPr>
          <w:sz w:val="20"/>
          <w:szCs w:val="20"/>
        </w:rPr>
      </w:pPr>
      <w:r w:rsidRPr="00206AEA">
        <w:rPr>
          <w:sz w:val="20"/>
          <w:szCs w:val="20"/>
        </w:rPr>
        <w:t>Hinweis 1: Beide Behandlungsarme mit Induktionsphase erhielten 0,6 mg/kg (maximal 40 mg) in Woche 4 und Woche 6</w:t>
      </w:r>
      <w:r w:rsidR="00664432" w:rsidRPr="00206AEA">
        <w:rPr>
          <w:sz w:val="20"/>
          <w:szCs w:val="20"/>
        </w:rPr>
        <w:t>.</w:t>
      </w:r>
    </w:p>
    <w:p w14:paraId="4B78E90D" w14:textId="77777777" w:rsidR="00664432" w:rsidRPr="00206AEA" w:rsidRDefault="00664432" w:rsidP="00672048">
      <w:pPr>
        <w:autoSpaceDE w:val="0"/>
        <w:autoSpaceDN w:val="0"/>
        <w:adjustRightInd w:val="0"/>
        <w:rPr>
          <w:sz w:val="20"/>
          <w:szCs w:val="20"/>
        </w:rPr>
      </w:pPr>
      <w:r w:rsidRPr="00206AEA">
        <w:rPr>
          <w:sz w:val="20"/>
          <w:szCs w:val="20"/>
        </w:rPr>
        <w:t>Hinweis 2: Patienten mit fehlenden Werten in Woche 8 wurden als Patienten gewertet,</w:t>
      </w:r>
      <w:r w:rsidR="005F08DB" w:rsidRPr="00206AEA">
        <w:rPr>
          <w:sz w:val="20"/>
          <w:szCs w:val="20"/>
        </w:rPr>
        <w:t xml:space="preserve"> </w:t>
      </w:r>
      <w:r w:rsidRPr="00206AEA">
        <w:rPr>
          <w:sz w:val="20"/>
          <w:szCs w:val="20"/>
        </w:rPr>
        <w:t>die den Endpunkt nicht erreichten.</w:t>
      </w:r>
    </w:p>
    <w:p w14:paraId="78916D23" w14:textId="77777777" w:rsidR="00672048" w:rsidRPr="00D556E1" w:rsidRDefault="00664432" w:rsidP="008419B6">
      <w:pPr>
        <w:autoSpaceDE w:val="0"/>
        <w:autoSpaceDN w:val="0"/>
        <w:adjustRightInd w:val="0"/>
        <w:rPr>
          <w:color w:val="000000"/>
        </w:rPr>
      </w:pPr>
      <w:r w:rsidRPr="00206AEA">
        <w:rPr>
          <w:sz w:val="20"/>
          <w:szCs w:val="20"/>
        </w:rPr>
        <w:t>Hinweis 3: Patienten mit fehlenden Werten in Woche 52 oder die randomisiert einer erneuten Induktionstherapie oder der Erhaltungstherapie zugeteilt wurden, wurden hinsichtlich der Endpunkte in Woche 52 als Non-Responder gewertet.</w:t>
      </w:r>
    </w:p>
    <w:p w14:paraId="7E14DA9C" w14:textId="77777777" w:rsidR="00672048" w:rsidRPr="00D556E1" w:rsidRDefault="00672048" w:rsidP="00672048">
      <w:pPr>
        <w:kinsoku w:val="0"/>
        <w:overflowPunct w:val="0"/>
        <w:rPr>
          <w:color w:val="000000"/>
        </w:rPr>
      </w:pPr>
    </w:p>
    <w:p w14:paraId="01139F77" w14:textId="77777777" w:rsidR="005D1976" w:rsidRDefault="005D1976" w:rsidP="005D1976">
      <w:pPr>
        <w:kinsoku w:val="0"/>
        <w:overflowPunct w:val="0"/>
        <w:rPr>
          <w:color w:val="000000"/>
        </w:rPr>
      </w:pPr>
      <w:r w:rsidRPr="005D1976">
        <w:rPr>
          <w:color w:val="000000"/>
        </w:rPr>
        <w:t xml:space="preserve">Von den mit </w:t>
      </w:r>
      <w:r>
        <w:rPr>
          <w:color w:val="000000"/>
        </w:rPr>
        <w:t>Adalimumab</w:t>
      </w:r>
      <w:r w:rsidRPr="005D1976">
        <w:rPr>
          <w:color w:val="000000"/>
        </w:rPr>
        <w:t xml:space="preserve"> behandelten Patienten, die während der Erhaltungsphase eine erneute</w:t>
      </w:r>
      <w:r>
        <w:rPr>
          <w:color w:val="000000"/>
        </w:rPr>
        <w:t xml:space="preserve"> </w:t>
      </w:r>
      <w:r w:rsidRPr="005D1976">
        <w:rPr>
          <w:color w:val="000000"/>
        </w:rPr>
        <w:t>Induktionstherapie erhielten, erreichten 2 von 6 (33</w:t>
      </w:r>
      <w:r>
        <w:rPr>
          <w:color w:val="000000"/>
        </w:rPr>
        <w:t> </w:t>
      </w:r>
      <w:r w:rsidRPr="005D1976">
        <w:rPr>
          <w:color w:val="000000"/>
        </w:rPr>
        <w:t>%) in Woche</w:t>
      </w:r>
      <w:r>
        <w:rPr>
          <w:color w:val="000000"/>
        </w:rPr>
        <w:t> </w:t>
      </w:r>
      <w:r w:rsidRPr="005D1976">
        <w:rPr>
          <w:color w:val="000000"/>
        </w:rPr>
        <w:t>52 ein klinisches Ansprechen nach</w:t>
      </w:r>
      <w:r>
        <w:rPr>
          <w:color w:val="000000"/>
        </w:rPr>
        <w:t xml:space="preserve"> </w:t>
      </w:r>
      <w:r w:rsidRPr="005D1976">
        <w:rPr>
          <w:color w:val="000000"/>
        </w:rPr>
        <w:t>FMS.</w:t>
      </w:r>
    </w:p>
    <w:p w14:paraId="68D95765" w14:textId="77777777" w:rsidR="005D1976" w:rsidRPr="005D1976" w:rsidRDefault="005D1976" w:rsidP="005D1976">
      <w:pPr>
        <w:kinsoku w:val="0"/>
        <w:overflowPunct w:val="0"/>
        <w:rPr>
          <w:color w:val="000000"/>
        </w:rPr>
      </w:pPr>
    </w:p>
    <w:p w14:paraId="74FA9C40" w14:textId="77777777" w:rsidR="005D1976" w:rsidRPr="005D1976" w:rsidRDefault="005D1976" w:rsidP="005D1976">
      <w:pPr>
        <w:kinsoku w:val="0"/>
        <w:overflowPunct w:val="0"/>
        <w:rPr>
          <w:i/>
          <w:iCs/>
          <w:color w:val="000000"/>
        </w:rPr>
      </w:pPr>
      <w:r w:rsidRPr="005D1976">
        <w:rPr>
          <w:i/>
          <w:iCs/>
          <w:color w:val="000000"/>
        </w:rPr>
        <w:t>Lebensqualität</w:t>
      </w:r>
    </w:p>
    <w:p w14:paraId="4D493165" w14:textId="77777777" w:rsidR="005D1976" w:rsidRDefault="005D1976" w:rsidP="005D1976">
      <w:pPr>
        <w:kinsoku w:val="0"/>
        <w:overflowPunct w:val="0"/>
        <w:rPr>
          <w:color w:val="000000"/>
        </w:rPr>
      </w:pPr>
    </w:p>
    <w:p w14:paraId="0BF8CA22" w14:textId="77777777" w:rsidR="009305FA" w:rsidRDefault="005D1976" w:rsidP="005D1976">
      <w:pPr>
        <w:kinsoku w:val="0"/>
        <w:overflowPunct w:val="0"/>
        <w:rPr>
          <w:color w:val="000000"/>
        </w:rPr>
      </w:pPr>
      <w:r w:rsidRPr="005D1976">
        <w:rPr>
          <w:color w:val="000000"/>
        </w:rPr>
        <w:t xml:space="preserve">In den mit </w:t>
      </w:r>
      <w:r>
        <w:rPr>
          <w:color w:val="000000"/>
        </w:rPr>
        <w:t>Adalimumab</w:t>
      </w:r>
      <w:r w:rsidRPr="005D1976">
        <w:rPr>
          <w:color w:val="000000"/>
        </w:rPr>
        <w:t xml:space="preserve"> behandelten Behandlungsarmen wurden bei den Scores zu IMPACT-III und WPAI</w:t>
      </w:r>
      <w:r>
        <w:rPr>
          <w:color w:val="000000"/>
        </w:rPr>
        <w:t xml:space="preserve"> </w:t>
      </w:r>
      <w:r w:rsidRPr="005D1976">
        <w:rPr>
          <w:color w:val="000000"/>
        </w:rPr>
        <w:t>(Work Productivity and Activity Impairment) der betreuenden Personen klinisch bedeutsame</w:t>
      </w:r>
      <w:r>
        <w:rPr>
          <w:color w:val="000000"/>
        </w:rPr>
        <w:t xml:space="preserve"> </w:t>
      </w:r>
      <w:r w:rsidRPr="005D1976">
        <w:rPr>
          <w:color w:val="000000"/>
        </w:rPr>
        <w:t>Verbesserungen gegenüber Baseline beobachtet.</w:t>
      </w:r>
    </w:p>
    <w:p w14:paraId="626F370B" w14:textId="77777777" w:rsidR="009305FA" w:rsidRDefault="009305FA" w:rsidP="005D1976">
      <w:pPr>
        <w:kinsoku w:val="0"/>
        <w:overflowPunct w:val="0"/>
        <w:rPr>
          <w:color w:val="000000"/>
        </w:rPr>
      </w:pPr>
    </w:p>
    <w:p w14:paraId="5F9F7FC7" w14:textId="77777777" w:rsidR="00672048" w:rsidRDefault="005D1976" w:rsidP="005D1976">
      <w:pPr>
        <w:kinsoku w:val="0"/>
        <w:overflowPunct w:val="0"/>
        <w:rPr>
          <w:color w:val="000000"/>
        </w:rPr>
      </w:pPr>
      <w:r w:rsidRPr="005D1976">
        <w:rPr>
          <w:color w:val="000000"/>
        </w:rPr>
        <w:t>Klinisch bedeutsame Zunahmen (Verbesserungen) der Wachstumsgeschwindigkeit (Körperlänge)</w:t>
      </w:r>
      <w:r>
        <w:rPr>
          <w:color w:val="000000"/>
        </w:rPr>
        <w:t xml:space="preserve"> </w:t>
      </w:r>
      <w:r w:rsidRPr="005D1976">
        <w:rPr>
          <w:color w:val="000000"/>
        </w:rPr>
        <w:t>gegenüber Baseline wurden in den Behandlungsarmen beobachtet, die Adalimumab erhielten, und</w:t>
      </w:r>
      <w:r>
        <w:rPr>
          <w:color w:val="000000"/>
        </w:rPr>
        <w:t xml:space="preserve"> </w:t>
      </w:r>
      <w:r w:rsidRPr="005D1976">
        <w:rPr>
          <w:color w:val="000000"/>
        </w:rPr>
        <w:t>klinisch bedeutsame Zunahmen (Verbesserungen) des Body-Mass-Index gegenüber Baseline wurden</w:t>
      </w:r>
      <w:r>
        <w:rPr>
          <w:color w:val="000000"/>
        </w:rPr>
        <w:t xml:space="preserve"> </w:t>
      </w:r>
      <w:r w:rsidRPr="005D1976">
        <w:rPr>
          <w:color w:val="000000"/>
        </w:rPr>
        <w:t>bei Studienteilnehmern unter der hohen Erhaltungsdosis von maximal 40</w:t>
      </w:r>
      <w:r>
        <w:rPr>
          <w:color w:val="000000"/>
        </w:rPr>
        <w:t> </w:t>
      </w:r>
      <w:r w:rsidRPr="005D1976">
        <w:rPr>
          <w:color w:val="000000"/>
        </w:rPr>
        <w:t>mg (0,6</w:t>
      </w:r>
      <w:r>
        <w:rPr>
          <w:color w:val="000000"/>
        </w:rPr>
        <w:t> </w:t>
      </w:r>
      <w:r w:rsidRPr="005D1976">
        <w:rPr>
          <w:color w:val="000000"/>
        </w:rPr>
        <w:t>mg/kg) wöchentlich</w:t>
      </w:r>
      <w:r>
        <w:rPr>
          <w:color w:val="000000"/>
        </w:rPr>
        <w:t xml:space="preserve"> </w:t>
      </w:r>
      <w:r w:rsidRPr="005D1976">
        <w:rPr>
          <w:color w:val="000000"/>
        </w:rPr>
        <w:t>beobachtet.</w:t>
      </w:r>
    </w:p>
    <w:p w14:paraId="04F5ECE2" w14:textId="77777777" w:rsidR="00672048" w:rsidRDefault="00672048" w:rsidP="00672048">
      <w:pPr>
        <w:kinsoku w:val="0"/>
        <w:overflowPunct w:val="0"/>
        <w:rPr>
          <w:color w:val="000000"/>
        </w:rPr>
      </w:pPr>
    </w:p>
    <w:p w14:paraId="698D49AE" w14:textId="77777777" w:rsidR="007A0B49" w:rsidRPr="007A0B49" w:rsidRDefault="007A0B49" w:rsidP="007A0B49">
      <w:pPr>
        <w:keepNext/>
        <w:kinsoku w:val="0"/>
        <w:overflowPunct w:val="0"/>
        <w:rPr>
          <w:color w:val="000000"/>
        </w:rPr>
      </w:pPr>
      <w:r w:rsidRPr="007A0B49">
        <w:rPr>
          <w:i/>
          <w:iCs/>
          <w:color w:val="000000"/>
        </w:rPr>
        <w:lastRenderedPageBreak/>
        <w:t>Uveitis bei Kindern und Jugendlichen</w:t>
      </w:r>
    </w:p>
    <w:p w14:paraId="6C507F29" w14:textId="77777777" w:rsidR="007A0B49" w:rsidRPr="007A0B49" w:rsidRDefault="007A0B49" w:rsidP="007A0B49">
      <w:pPr>
        <w:keepNext/>
        <w:kinsoku w:val="0"/>
        <w:overflowPunct w:val="0"/>
        <w:rPr>
          <w:i/>
          <w:iCs/>
          <w:color w:val="000000"/>
          <w:szCs w:val="21"/>
        </w:rPr>
      </w:pPr>
    </w:p>
    <w:p w14:paraId="672B37C3" w14:textId="77777777" w:rsidR="007A0B49" w:rsidRPr="007A0B49" w:rsidRDefault="007A0B49" w:rsidP="007A0B49">
      <w:pPr>
        <w:kinsoku w:val="0"/>
        <w:overflowPunct w:val="0"/>
        <w:rPr>
          <w:color w:val="000000"/>
        </w:rPr>
      </w:pPr>
      <w:r w:rsidRPr="007A0B49">
        <w:rPr>
          <w:color w:val="000000"/>
        </w:rPr>
        <w:t>Die Sicherheit und Wirksamkeit von Adalimumab wurden in einer randomisierten, doppelmaskierten, kontrollierten Studie mit 90 Kindern und Jugendlichen im Alter von 2 bis &lt; 18 Jahren mit aktiver JIA-assoziierter nicht infektiöser Uveitis anterior untersucht, die mindestens 12 Wochen lang nicht auf die Behandlung mit Methotrexat angesprochen hatten. Die Patienten erhielten alle zwei Wochen entweder Placebo oder 20 mg Adalimumab (sofern &lt; 30 kg) oder 40 mg Adalimumab (sofern ≥ 30 kg) jeweils in Kombination mit ihrer Ausgangsdosis Methotrexat.</w:t>
      </w:r>
    </w:p>
    <w:p w14:paraId="00071507" w14:textId="77777777" w:rsidR="007A0B49" w:rsidRPr="007A0B49" w:rsidRDefault="007A0B49" w:rsidP="007A0B49">
      <w:pPr>
        <w:kinsoku w:val="0"/>
        <w:overflowPunct w:val="0"/>
        <w:rPr>
          <w:color w:val="000000"/>
        </w:rPr>
      </w:pPr>
    </w:p>
    <w:p w14:paraId="2ABE5136" w14:textId="77777777" w:rsidR="007A0B49" w:rsidRPr="007A0B49" w:rsidRDefault="007A0B49" w:rsidP="007A0B49">
      <w:pPr>
        <w:kinsoku w:val="0"/>
        <w:overflowPunct w:val="0"/>
        <w:rPr>
          <w:color w:val="000000"/>
        </w:rPr>
      </w:pPr>
      <w:r w:rsidRPr="007A0B49">
        <w:rPr>
          <w:color w:val="000000"/>
        </w:rPr>
        <w:t>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w:t>
      </w:r>
    </w:p>
    <w:p w14:paraId="623E49C7" w14:textId="77777777" w:rsidR="007A0B49" w:rsidRPr="007A0B49" w:rsidRDefault="007A0B49" w:rsidP="007A0B49">
      <w:pPr>
        <w:kinsoku w:val="0"/>
        <w:overflowPunct w:val="0"/>
        <w:rPr>
          <w:color w:val="000000"/>
        </w:rPr>
      </w:pPr>
    </w:p>
    <w:p w14:paraId="0AA13183" w14:textId="77777777" w:rsidR="007A0B49" w:rsidRPr="007A0B49" w:rsidRDefault="007A0B49" w:rsidP="007A0B49">
      <w:pPr>
        <w:keepNext/>
        <w:kinsoku w:val="0"/>
        <w:overflowPunct w:val="0"/>
        <w:rPr>
          <w:color w:val="000000"/>
        </w:rPr>
      </w:pPr>
      <w:r w:rsidRPr="007A0B49">
        <w:rPr>
          <w:i/>
          <w:iCs/>
          <w:color w:val="000000"/>
          <w:u w:val="single"/>
        </w:rPr>
        <w:t>Klinisches Ansprechen</w:t>
      </w:r>
    </w:p>
    <w:p w14:paraId="64F51660" w14:textId="77777777" w:rsidR="007A0B49" w:rsidRPr="007A0B49" w:rsidRDefault="007A0B49" w:rsidP="007A0B49">
      <w:pPr>
        <w:keepNext/>
        <w:kinsoku w:val="0"/>
        <w:overflowPunct w:val="0"/>
        <w:rPr>
          <w:i/>
          <w:iCs/>
          <w:color w:val="000000"/>
        </w:rPr>
      </w:pPr>
    </w:p>
    <w:p w14:paraId="29684C06" w14:textId="77777777" w:rsidR="007A0B49" w:rsidRPr="007A0B49" w:rsidRDefault="007A0B49" w:rsidP="007A0B49">
      <w:pPr>
        <w:kinsoku w:val="0"/>
        <w:overflowPunct w:val="0"/>
        <w:rPr>
          <w:color w:val="000000"/>
        </w:rPr>
      </w:pPr>
      <w:r w:rsidRPr="007A0B49">
        <w:rPr>
          <w:color w:val="000000"/>
        </w:rPr>
        <w:t>Adalimumab verzögerte signifikant die Zeit bis zum Behandlungsversagen im Vergleich zu Placebo (siehe Abbildung </w:t>
      </w:r>
      <w:r w:rsidR="009305FA">
        <w:rPr>
          <w:color w:val="000000"/>
        </w:rPr>
        <w:t>2</w:t>
      </w:r>
      <w:r w:rsidRPr="007A0B49">
        <w:rPr>
          <w:color w:val="000000"/>
        </w:rPr>
        <w:t>, p &lt; 0,0001 beim Log-Rank-Test). Die mittlere Zeit bis zum Behandlungsversagen lag bei 24,1 Wochen für Patienten, die mit Placebo behandelt wurden, während die mittlere Zeit für das Behandlungsversagen für mit Adalimumab behandelte Patienten nicht abschätzbar war, da weniger als die Hälfte dieser Patienten ein Behandlungsversagen erfahren haben. Adalimumab verminderte signifikant das Risiko eines Behandlungsversagens um 75 % im Vergleich zu Placebo, wie die Hazard Ratio (HR = 0,25 [95 % CI: 0,12; 0,49]) zeigt.</w:t>
      </w:r>
    </w:p>
    <w:bookmarkEnd w:id="1"/>
    <w:p w14:paraId="21395248" w14:textId="77777777" w:rsidR="007A0B49" w:rsidRPr="007A0B49" w:rsidRDefault="007A0B49" w:rsidP="007A0B49">
      <w:pPr>
        <w:rPr>
          <w:color w:val="000000"/>
        </w:rPr>
      </w:pPr>
    </w:p>
    <w:p w14:paraId="2F164E4D" w14:textId="77777777" w:rsidR="007A0B49" w:rsidRPr="007A0B49" w:rsidRDefault="007A0B49" w:rsidP="007A0B49">
      <w:pPr>
        <w:keepNext/>
        <w:rPr>
          <w:color w:val="000000"/>
        </w:rPr>
      </w:pPr>
      <w:r w:rsidRPr="007A0B49">
        <w:rPr>
          <w:b/>
          <w:color w:val="000000"/>
        </w:rPr>
        <w:t>Abb. 2. Kaplan-Meier-Kurven zur Darstellung der Dauer bis zum Behandlungsversagen in der pädiatrischen Uveitis-Studie</w:t>
      </w:r>
    </w:p>
    <w:p w14:paraId="05C6B804" w14:textId="0E8BD62C" w:rsidR="007A0B49" w:rsidRPr="007A0B49" w:rsidRDefault="00032CD3" w:rsidP="007A0B49">
      <w:pPr>
        <w:keepNext/>
        <w:rPr>
          <w:color w:val="000000"/>
        </w:rPr>
      </w:pPr>
      <w:r w:rsidRPr="004E3936">
        <w:rPr>
          <w:noProof/>
          <w:color w:val="000000"/>
        </w:rPr>
        <w:drawing>
          <wp:inline distT="0" distB="0" distL="0" distR="0" wp14:anchorId="559DEC78" wp14:editId="62AFD504">
            <wp:extent cx="5762625" cy="45815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581525"/>
                    </a:xfrm>
                    <a:prstGeom prst="rect">
                      <a:avLst/>
                    </a:prstGeom>
                    <a:noFill/>
                    <a:ln>
                      <a:noFill/>
                    </a:ln>
                  </pic:spPr>
                </pic:pic>
              </a:graphicData>
            </a:graphic>
          </wp:inline>
        </w:drawing>
      </w:r>
    </w:p>
    <w:p w14:paraId="338E3557" w14:textId="77777777" w:rsidR="007A0B49" w:rsidRPr="00206AEA" w:rsidRDefault="007A0B49" w:rsidP="007A0B49">
      <w:pPr>
        <w:rPr>
          <w:color w:val="000000"/>
          <w:sz w:val="20"/>
        </w:rPr>
      </w:pPr>
      <w:r w:rsidRPr="00206AEA">
        <w:rPr>
          <w:color w:val="000000"/>
          <w:sz w:val="20"/>
        </w:rPr>
        <w:t>Hinweis: P</w:t>
      </w:r>
      <w:r w:rsidR="005D1976" w:rsidRPr="00206AEA">
        <w:rPr>
          <w:color w:val="000000"/>
          <w:sz w:val="20"/>
        </w:rPr>
        <w:t> </w:t>
      </w:r>
      <w:r w:rsidRPr="00206AEA">
        <w:rPr>
          <w:color w:val="000000"/>
          <w:sz w:val="20"/>
        </w:rPr>
        <w:t>=</w:t>
      </w:r>
      <w:r w:rsidR="005D1976" w:rsidRPr="00206AEA">
        <w:rPr>
          <w:color w:val="000000"/>
          <w:sz w:val="20"/>
        </w:rPr>
        <w:t> </w:t>
      </w:r>
      <w:r w:rsidRPr="00206AEA">
        <w:rPr>
          <w:color w:val="000000"/>
          <w:sz w:val="20"/>
        </w:rPr>
        <w:t>Placebo (Anzahl Risikopatienten); H</w:t>
      </w:r>
      <w:r w:rsidR="005D1976" w:rsidRPr="00206AEA">
        <w:rPr>
          <w:color w:val="000000"/>
          <w:sz w:val="20"/>
        </w:rPr>
        <w:t> </w:t>
      </w:r>
      <w:r w:rsidRPr="00206AEA">
        <w:rPr>
          <w:color w:val="000000"/>
          <w:sz w:val="20"/>
        </w:rPr>
        <w:t>=</w:t>
      </w:r>
      <w:r w:rsidR="005D1976" w:rsidRPr="00206AEA">
        <w:rPr>
          <w:color w:val="000000"/>
          <w:sz w:val="20"/>
        </w:rPr>
        <w:t> </w:t>
      </w:r>
      <w:r w:rsidRPr="00206AEA">
        <w:rPr>
          <w:color w:val="000000"/>
          <w:sz w:val="20"/>
        </w:rPr>
        <w:t>Adalimumab (Anzahl Risikopatienten).</w:t>
      </w:r>
    </w:p>
    <w:p w14:paraId="71A113CF" w14:textId="77777777" w:rsidR="00C46587" w:rsidRPr="004F5FB4" w:rsidRDefault="00C46587" w:rsidP="00982118">
      <w:pPr>
        <w:rPr>
          <w:color w:val="000000"/>
        </w:rPr>
      </w:pPr>
    </w:p>
    <w:p w14:paraId="4B81D7CC" w14:textId="77777777" w:rsidR="00C46587" w:rsidRPr="004F5FB4" w:rsidRDefault="00C46587" w:rsidP="00982118">
      <w:pPr>
        <w:keepNext/>
        <w:tabs>
          <w:tab w:val="left" w:pos="562"/>
        </w:tabs>
        <w:rPr>
          <w:b/>
          <w:color w:val="000000"/>
        </w:rPr>
      </w:pPr>
      <w:r w:rsidRPr="004F5FB4">
        <w:rPr>
          <w:b/>
          <w:color w:val="000000"/>
        </w:rPr>
        <w:t>5.2 Pharmakokinetische Eigenschaften</w:t>
      </w:r>
    </w:p>
    <w:p w14:paraId="4F4080A7" w14:textId="77777777" w:rsidR="00C46587" w:rsidRPr="004F5FB4" w:rsidRDefault="00C46587" w:rsidP="00982118">
      <w:pPr>
        <w:keepNext/>
        <w:rPr>
          <w:color w:val="000000"/>
        </w:rPr>
      </w:pPr>
    </w:p>
    <w:p w14:paraId="789474CF" w14:textId="77777777" w:rsidR="00C46587" w:rsidRPr="004F5FB4" w:rsidRDefault="00C46587" w:rsidP="00982118">
      <w:pPr>
        <w:keepNext/>
        <w:rPr>
          <w:color w:val="000000"/>
          <w:u w:val="single"/>
        </w:rPr>
      </w:pPr>
      <w:r w:rsidRPr="004F5FB4">
        <w:rPr>
          <w:color w:val="000000"/>
          <w:u w:val="single"/>
        </w:rPr>
        <w:t>Resorption und Verteilung</w:t>
      </w:r>
    </w:p>
    <w:p w14:paraId="725229D9" w14:textId="77777777" w:rsidR="00C46587" w:rsidRPr="004F5FB4" w:rsidRDefault="00C46587" w:rsidP="00982118">
      <w:pPr>
        <w:keepNext/>
        <w:rPr>
          <w:color w:val="000000"/>
        </w:rPr>
      </w:pPr>
    </w:p>
    <w:p w14:paraId="551C6563" w14:textId="77777777" w:rsidR="00C46587" w:rsidRPr="004F5FB4" w:rsidRDefault="00C46587" w:rsidP="00982118">
      <w:pPr>
        <w:rPr>
          <w:color w:val="000000"/>
        </w:rPr>
      </w:pPr>
      <w:r w:rsidRPr="004F5FB4">
        <w:rPr>
          <w:color w:val="000000"/>
        </w:rPr>
        <w:t>Nach subkutaner Verabreichung von 24 mg/m</w:t>
      </w:r>
      <w:r w:rsidRPr="004F5FB4">
        <w:rPr>
          <w:color w:val="000000"/>
          <w:vertAlign w:val="superscript"/>
        </w:rPr>
        <w:t>2</w:t>
      </w:r>
      <w:r w:rsidRPr="004F5FB4">
        <w:rPr>
          <w:color w:val="000000"/>
        </w:rPr>
        <w:t xml:space="preserve"> (</w:t>
      </w:r>
      <w:r w:rsidR="005D1976">
        <w:rPr>
          <w:color w:val="000000"/>
        </w:rPr>
        <w:t>maximal</w:t>
      </w:r>
      <w:r w:rsidRPr="004F5FB4">
        <w:rPr>
          <w:color w:val="000000"/>
        </w:rPr>
        <w:t xml:space="preserve"> 40 mg) jede zweite Woche an Patienten mit polyartikulärer juveniler idiopathischer Arthritis (JIA), die zwischen 4 und 17</w:t>
      </w:r>
      <w:r w:rsidR="00787A91" w:rsidRPr="004F5FB4">
        <w:rPr>
          <w:color w:val="000000"/>
        </w:rPr>
        <w:t> </w:t>
      </w:r>
      <w:r w:rsidRPr="004F5FB4">
        <w:rPr>
          <w:color w:val="000000"/>
        </w:rPr>
        <w:t>Jahre alt waren, betrugen die mittleren Steady</w:t>
      </w:r>
      <w:r w:rsidRPr="004F5FB4">
        <w:rPr>
          <w:color w:val="000000"/>
        </w:rPr>
        <w:noBreakHyphen/>
        <w:t>State-Talkonzentrationen der Adalimumab-Serumspiegel für Adalimumab ohne Methotrexat-Begleittherapie 5,6</w:t>
      </w:r>
      <w:r w:rsidR="004509D2" w:rsidRPr="004F5FB4">
        <w:rPr>
          <w:color w:val="000000"/>
        </w:rPr>
        <w:t> </w:t>
      </w:r>
      <w:r w:rsidRPr="004F5FB4">
        <w:rPr>
          <w:color w:val="000000"/>
        </w:rPr>
        <w:t>±</w:t>
      </w:r>
      <w:r w:rsidR="004509D2" w:rsidRPr="004F5FB4">
        <w:rPr>
          <w:color w:val="000000"/>
        </w:rPr>
        <w:t> </w:t>
      </w:r>
      <w:r w:rsidRPr="004F5FB4">
        <w:rPr>
          <w:color w:val="000000"/>
        </w:rPr>
        <w:t>5,6 µg/ml (102</w:t>
      </w:r>
      <w:r w:rsidR="004509D2" w:rsidRPr="004F5FB4">
        <w:rPr>
          <w:color w:val="000000"/>
        </w:rPr>
        <w:t> </w:t>
      </w:r>
      <w:r w:rsidRPr="004F5FB4">
        <w:rPr>
          <w:color w:val="000000"/>
        </w:rPr>
        <w:t>% CV) und 10,9</w:t>
      </w:r>
      <w:r w:rsidR="004509D2" w:rsidRPr="004F5FB4">
        <w:rPr>
          <w:color w:val="000000"/>
        </w:rPr>
        <w:t> </w:t>
      </w:r>
      <w:r w:rsidRPr="004F5FB4">
        <w:rPr>
          <w:color w:val="000000"/>
        </w:rPr>
        <w:t>±</w:t>
      </w:r>
      <w:r w:rsidR="004509D2" w:rsidRPr="004F5FB4">
        <w:rPr>
          <w:color w:val="000000"/>
        </w:rPr>
        <w:t> </w:t>
      </w:r>
      <w:r w:rsidRPr="004F5FB4">
        <w:rPr>
          <w:color w:val="000000"/>
        </w:rPr>
        <w:t>5,2 µg/ml (47,7</w:t>
      </w:r>
      <w:r w:rsidR="004509D2" w:rsidRPr="004F5FB4">
        <w:rPr>
          <w:color w:val="000000"/>
        </w:rPr>
        <w:t> </w:t>
      </w:r>
      <w:r w:rsidRPr="004F5FB4">
        <w:rPr>
          <w:color w:val="000000"/>
        </w:rPr>
        <w:t>% CV) mit Methotrexat-Begleittherapie (die Messwerte wurden von Woche</w:t>
      </w:r>
      <w:r w:rsidR="004509D2" w:rsidRPr="004F5FB4">
        <w:rPr>
          <w:color w:val="000000"/>
        </w:rPr>
        <w:t> </w:t>
      </w:r>
      <w:r w:rsidRPr="004F5FB4">
        <w:rPr>
          <w:color w:val="000000"/>
        </w:rPr>
        <w:t>20 bis 48 erhoben).</w:t>
      </w:r>
    </w:p>
    <w:p w14:paraId="3D6A7509" w14:textId="77777777" w:rsidR="00C46587" w:rsidRPr="004F5FB4" w:rsidRDefault="00C46587" w:rsidP="00982118">
      <w:pPr>
        <w:rPr>
          <w:color w:val="000000"/>
        </w:rPr>
      </w:pPr>
    </w:p>
    <w:p w14:paraId="3818AD97" w14:textId="77777777" w:rsidR="00C46587" w:rsidRPr="004F5FB4" w:rsidRDefault="00C46587" w:rsidP="00982118">
      <w:pPr>
        <w:rPr>
          <w:color w:val="000000"/>
        </w:rPr>
      </w:pPr>
      <w:r w:rsidRPr="004F5FB4">
        <w:rPr>
          <w:color w:val="000000"/>
        </w:rPr>
        <w:t>Bei Patienten mit polyartikulärer JIA, die 2 bis &lt;</w:t>
      </w:r>
      <w:r w:rsidR="004509D2" w:rsidRPr="004F5FB4">
        <w:rPr>
          <w:color w:val="000000"/>
        </w:rPr>
        <w:t> </w:t>
      </w:r>
      <w:r w:rsidRPr="004F5FB4">
        <w:rPr>
          <w:color w:val="000000"/>
        </w:rPr>
        <w:t>4</w:t>
      </w:r>
      <w:r w:rsidR="004509D2" w:rsidRPr="004F5FB4">
        <w:rPr>
          <w:color w:val="000000"/>
        </w:rPr>
        <w:t> </w:t>
      </w:r>
      <w:r w:rsidRPr="004F5FB4">
        <w:rPr>
          <w:color w:val="000000"/>
        </w:rPr>
        <w:t>Jahre alt oder 4</w:t>
      </w:r>
      <w:r w:rsidR="004509D2" w:rsidRPr="004F5FB4">
        <w:rPr>
          <w:color w:val="000000"/>
        </w:rPr>
        <w:t> </w:t>
      </w:r>
      <w:r w:rsidRPr="004F5FB4">
        <w:rPr>
          <w:color w:val="000000"/>
        </w:rPr>
        <w:t>Jahre alt und älter waren und die &lt;</w:t>
      </w:r>
      <w:r w:rsidR="00787A91" w:rsidRPr="004F5FB4">
        <w:rPr>
          <w:color w:val="000000"/>
        </w:rPr>
        <w:t> </w:t>
      </w:r>
      <w:r w:rsidRPr="004F5FB4">
        <w:rPr>
          <w:color w:val="000000"/>
        </w:rPr>
        <w:t>15 kg wogen und eine Dosis von 24 mg Adalimumab/m</w:t>
      </w:r>
      <w:r w:rsidRPr="004F5FB4">
        <w:rPr>
          <w:color w:val="000000"/>
          <w:vertAlign w:val="superscript"/>
        </w:rPr>
        <w:t>2</w:t>
      </w:r>
      <w:r w:rsidRPr="004F5FB4">
        <w:rPr>
          <w:color w:val="000000"/>
        </w:rPr>
        <w:t xml:space="preserve"> erhielten, betrug die mittlere Steady</w:t>
      </w:r>
      <w:r w:rsidRPr="004F5FB4">
        <w:rPr>
          <w:color w:val="000000"/>
        </w:rPr>
        <w:noBreakHyphen/>
        <w:t>State-Talkonzentration der Adalimumab-Serumspiegel für Adalimumab ohne Methotrexat-Begleittherapie 6,0</w:t>
      </w:r>
      <w:r w:rsidR="004509D2" w:rsidRPr="004F5FB4">
        <w:rPr>
          <w:color w:val="000000"/>
        </w:rPr>
        <w:t> </w:t>
      </w:r>
      <w:r w:rsidRPr="004F5FB4">
        <w:rPr>
          <w:color w:val="000000"/>
        </w:rPr>
        <w:t>±</w:t>
      </w:r>
      <w:r w:rsidR="004509D2" w:rsidRPr="004F5FB4">
        <w:rPr>
          <w:color w:val="000000"/>
        </w:rPr>
        <w:t> </w:t>
      </w:r>
      <w:r w:rsidRPr="004F5FB4">
        <w:rPr>
          <w:color w:val="000000"/>
        </w:rPr>
        <w:t>6,1 µg/ml (101</w:t>
      </w:r>
      <w:r w:rsidR="004509D2" w:rsidRPr="004F5FB4">
        <w:rPr>
          <w:color w:val="000000"/>
        </w:rPr>
        <w:t> </w:t>
      </w:r>
      <w:r w:rsidRPr="004F5FB4">
        <w:rPr>
          <w:color w:val="000000"/>
        </w:rPr>
        <w:t>% CV) und 7,9</w:t>
      </w:r>
      <w:r w:rsidR="004509D2" w:rsidRPr="004F5FB4">
        <w:rPr>
          <w:color w:val="000000"/>
        </w:rPr>
        <w:t> </w:t>
      </w:r>
      <w:r w:rsidRPr="004F5FB4">
        <w:rPr>
          <w:color w:val="000000"/>
        </w:rPr>
        <w:t>±</w:t>
      </w:r>
      <w:r w:rsidR="004509D2" w:rsidRPr="004F5FB4">
        <w:rPr>
          <w:color w:val="000000"/>
        </w:rPr>
        <w:t> </w:t>
      </w:r>
      <w:r w:rsidRPr="004F5FB4">
        <w:rPr>
          <w:color w:val="000000"/>
        </w:rPr>
        <w:t>5,6 µg/ml (71,2</w:t>
      </w:r>
      <w:r w:rsidR="004509D2" w:rsidRPr="004F5FB4">
        <w:rPr>
          <w:color w:val="000000"/>
        </w:rPr>
        <w:t> </w:t>
      </w:r>
      <w:r w:rsidRPr="004F5FB4">
        <w:rPr>
          <w:color w:val="000000"/>
        </w:rPr>
        <w:t>% CV) mit Methotrexat-Begleittherapie.</w:t>
      </w:r>
    </w:p>
    <w:p w14:paraId="25C85319" w14:textId="77777777" w:rsidR="00C46587" w:rsidRPr="004F5FB4" w:rsidRDefault="00C46587" w:rsidP="00982118">
      <w:pPr>
        <w:rPr>
          <w:color w:val="000000"/>
        </w:rPr>
      </w:pPr>
    </w:p>
    <w:p w14:paraId="1128A660" w14:textId="77777777" w:rsidR="00C46587" w:rsidRPr="004F5FB4" w:rsidRDefault="00C46587" w:rsidP="00982118">
      <w:pPr>
        <w:rPr>
          <w:color w:val="000000"/>
        </w:rPr>
      </w:pPr>
      <w:r w:rsidRPr="004F5FB4">
        <w:rPr>
          <w:color w:val="000000"/>
        </w:rPr>
        <w:t>Nach subkutaner Verabreichung von 24 mg/m</w:t>
      </w:r>
      <w:r w:rsidRPr="004F5FB4">
        <w:rPr>
          <w:color w:val="000000"/>
          <w:vertAlign w:val="superscript"/>
        </w:rPr>
        <w:t>2</w:t>
      </w:r>
      <w:r w:rsidRPr="004F5FB4">
        <w:rPr>
          <w:color w:val="000000"/>
        </w:rPr>
        <w:t xml:space="preserve"> (maximal 40 mg) jede zweite Woche an Patienten mit Enthesitis</w:t>
      </w:r>
      <w:r w:rsidRPr="004F5FB4">
        <w:rPr>
          <w:color w:val="000000"/>
        </w:rPr>
        <w:noBreakHyphen/>
        <w:t>assoziierter Arthritis, die 6 bis 17</w:t>
      </w:r>
      <w:r w:rsidR="00DF2C9B" w:rsidRPr="004F5FB4">
        <w:rPr>
          <w:color w:val="000000"/>
        </w:rPr>
        <w:t> </w:t>
      </w:r>
      <w:r w:rsidRPr="004F5FB4">
        <w:rPr>
          <w:color w:val="000000"/>
        </w:rPr>
        <w:t>Jahre alt waren, betrug die mittlere Steady</w:t>
      </w:r>
      <w:r w:rsidRPr="004F5FB4">
        <w:rPr>
          <w:color w:val="000000"/>
        </w:rPr>
        <w:noBreakHyphen/>
        <w:t>State-Talkonzentration der Adalimumab-Serumspiegel für Adalimumab ohne Methotrexat-Begleittherapie 8,8</w:t>
      </w:r>
      <w:r w:rsidR="004509D2" w:rsidRPr="004F5FB4">
        <w:rPr>
          <w:color w:val="000000"/>
        </w:rPr>
        <w:t> </w:t>
      </w:r>
      <w:r w:rsidRPr="004F5FB4">
        <w:rPr>
          <w:color w:val="000000"/>
        </w:rPr>
        <w:t>±</w:t>
      </w:r>
      <w:r w:rsidR="004509D2" w:rsidRPr="004F5FB4">
        <w:rPr>
          <w:color w:val="000000"/>
        </w:rPr>
        <w:t> </w:t>
      </w:r>
      <w:r w:rsidRPr="004F5FB4">
        <w:rPr>
          <w:color w:val="000000"/>
        </w:rPr>
        <w:t>6,6</w:t>
      </w:r>
      <w:r w:rsidR="005C798E" w:rsidRPr="004F5FB4">
        <w:rPr>
          <w:color w:val="000000"/>
        </w:rPr>
        <w:t> </w:t>
      </w:r>
      <w:r w:rsidRPr="004F5FB4">
        <w:rPr>
          <w:color w:val="000000"/>
        </w:rPr>
        <w:t>µg/ml und 11,8</w:t>
      </w:r>
      <w:r w:rsidR="004509D2" w:rsidRPr="004F5FB4">
        <w:rPr>
          <w:color w:val="000000"/>
        </w:rPr>
        <w:t> </w:t>
      </w:r>
      <w:r w:rsidRPr="004F5FB4">
        <w:rPr>
          <w:color w:val="000000"/>
        </w:rPr>
        <w:t>±</w:t>
      </w:r>
      <w:r w:rsidR="004509D2" w:rsidRPr="004F5FB4">
        <w:rPr>
          <w:color w:val="000000"/>
        </w:rPr>
        <w:t> </w:t>
      </w:r>
      <w:r w:rsidRPr="004F5FB4">
        <w:rPr>
          <w:color w:val="000000"/>
        </w:rPr>
        <w:t>4,3</w:t>
      </w:r>
      <w:r w:rsidR="005C798E" w:rsidRPr="004F5FB4">
        <w:rPr>
          <w:color w:val="000000"/>
        </w:rPr>
        <w:t> </w:t>
      </w:r>
      <w:r w:rsidRPr="004F5FB4">
        <w:rPr>
          <w:color w:val="000000"/>
        </w:rPr>
        <w:t xml:space="preserve">µg/ml </w:t>
      </w:r>
      <w:r w:rsidR="00EA2B9B" w:rsidRPr="004F5FB4">
        <w:rPr>
          <w:color w:val="000000"/>
        </w:rPr>
        <w:t xml:space="preserve">bei Kombinationstherapie </w:t>
      </w:r>
      <w:r w:rsidRPr="004F5FB4">
        <w:rPr>
          <w:color w:val="000000"/>
        </w:rPr>
        <w:t>mit Methotrexat (die Messwerte wurden in Woche 24 erhoben).</w:t>
      </w:r>
    </w:p>
    <w:p w14:paraId="5F835E81" w14:textId="77777777" w:rsidR="009047DB" w:rsidRPr="004F5FB4" w:rsidRDefault="009047DB" w:rsidP="00982118">
      <w:pPr>
        <w:rPr>
          <w:color w:val="000000"/>
        </w:rPr>
      </w:pPr>
    </w:p>
    <w:p w14:paraId="4DCD6C74" w14:textId="77777777" w:rsidR="009047DB" w:rsidRPr="004F5FB4" w:rsidRDefault="009047DB" w:rsidP="00982118">
      <w:pPr>
        <w:rPr>
          <w:color w:val="000000"/>
        </w:rPr>
      </w:pPr>
      <w:r w:rsidRPr="004F5FB4">
        <w:rPr>
          <w:color w:val="000000"/>
        </w:rPr>
        <w:t xml:space="preserve">Nachdem </w:t>
      </w:r>
      <w:r w:rsidR="00EB309E" w:rsidRPr="004F5FB4">
        <w:rPr>
          <w:color w:val="000000"/>
        </w:rPr>
        <w:t>Kinder und Jugendliche</w:t>
      </w:r>
      <w:r w:rsidRPr="004F5FB4">
        <w:rPr>
          <w:color w:val="000000"/>
        </w:rPr>
        <w:t xml:space="preserve"> mit chronischer Plaque-Psoriasis jede zweite Woche</w:t>
      </w:r>
      <w:r w:rsidR="004509D2" w:rsidRPr="004F5FB4">
        <w:rPr>
          <w:color w:val="000000"/>
        </w:rPr>
        <w:t xml:space="preserve"> </w:t>
      </w:r>
      <w:r w:rsidRPr="004F5FB4">
        <w:rPr>
          <w:color w:val="000000"/>
        </w:rPr>
        <w:t>0,8</w:t>
      </w:r>
      <w:r w:rsidR="004509D2" w:rsidRPr="004F5FB4">
        <w:rPr>
          <w:color w:val="000000"/>
        </w:rPr>
        <w:t> </w:t>
      </w:r>
      <w:r w:rsidRPr="004F5FB4">
        <w:rPr>
          <w:color w:val="000000"/>
        </w:rPr>
        <w:t>mg Adalimumab/kg (maximal 40 mg) subkutan erhielten, betrugen die mittleren (±SD) Serumtalkonzentrationen von Adalimumab im Steady</w:t>
      </w:r>
      <w:r w:rsidRPr="004F5FB4">
        <w:rPr>
          <w:color w:val="000000"/>
        </w:rPr>
        <w:noBreakHyphen/>
        <w:t>State ungefähr 7,4</w:t>
      </w:r>
      <w:r w:rsidR="004509D2" w:rsidRPr="004F5FB4">
        <w:rPr>
          <w:color w:val="000000"/>
        </w:rPr>
        <w:t> </w:t>
      </w:r>
      <w:r w:rsidRPr="004F5FB4">
        <w:rPr>
          <w:color w:val="000000"/>
        </w:rPr>
        <w:t>±</w:t>
      </w:r>
      <w:r w:rsidR="004509D2" w:rsidRPr="004F5FB4">
        <w:rPr>
          <w:color w:val="000000"/>
        </w:rPr>
        <w:t> </w:t>
      </w:r>
      <w:r w:rsidRPr="004F5FB4">
        <w:rPr>
          <w:color w:val="000000"/>
        </w:rPr>
        <w:t>5,8</w:t>
      </w:r>
      <w:r w:rsidR="004509D2" w:rsidRPr="004F5FB4">
        <w:rPr>
          <w:color w:val="000000"/>
        </w:rPr>
        <w:t> </w:t>
      </w:r>
      <w:r w:rsidRPr="004F5FB4">
        <w:rPr>
          <w:color w:val="000000"/>
        </w:rPr>
        <w:t>μg/ml (79</w:t>
      </w:r>
      <w:r w:rsidR="004509D2" w:rsidRPr="004F5FB4">
        <w:rPr>
          <w:color w:val="000000"/>
        </w:rPr>
        <w:t> </w:t>
      </w:r>
      <w:r w:rsidRPr="004F5FB4">
        <w:rPr>
          <w:color w:val="000000"/>
        </w:rPr>
        <w:t>%</w:t>
      </w:r>
      <w:r w:rsidR="009C503E" w:rsidRPr="004F5FB4">
        <w:rPr>
          <w:color w:val="000000"/>
        </w:rPr>
        <w:t> </w:t>
      </w:r>
      <w:r w:rsidRPr="004F5FB4">
        <w:rPr>
          <w:color w:val="000000"/>
        </w:rPr>
        <w:t>CV).</w:t>
      </w:r>
    </w:p>
    <w:p w14:paraId="5CC68611" w14:textId="77777777" w:rsidR="009047DB" w:rsidRPr="004F5FB4" w:rsidRDefault="009047DB" w:rsidP="00982118">
      <w:pPr>
        <w:rPr>
          <w:color w:val="000000"/>
        </w:rPr>
      </w:pPr>
    </w:p>
    <w:p w14:paraId="4712118B" w14:textId="77777777" w:rsidR="009047DB" w:rsidRPr="004F5FB4" w:rsidRDefault="009047DB" w:rsidP="00982118">
      <w:pPr>
        <w:rPr>
          <w:color w:val="000000"/>
        </w:rPr>
      </w:pPr>
      <w:r w:rsidRPr="004F5FB4">
        <w:rPr>
          <w:color w:val="000000"/>
        </w:rPr>
        <w:t xml:space="preserve">Die Adalimumab-Exposition bei jugendlichen HS-Patienten wurde anhand von pharmakokinetischen Populationsmodellen und von Simulationen auf Basis der indikationsübergreifenden Pharmakokinetik bei anderen </w:t>
      </w:r>
      <w:r w:rsidR="00EB309E" w:rsidRPr="004F5FB4">
        <w:rPr>
          <w:color w:val="000000"/>
        </w:rPr>
        <w:t>Kindern und Jugendlichen</w:t>
      </w:r>
      <w:r w:rsidRPr="004F5FB4">
        <w:rPr>
          <w:color w:val="000000"/>
        </w:rPr>
        <w:t xml:space="preserve"> (Psoriasis bei Kindern und Jugendlichen, juvenile idiopathische Arthritis, Morbus Crohn bei Kindern und Jugendlichen sowie Enthesitis-assoziierte Arthritis) bestimmt. Das empfohlene Dosierungsschema bei Jugendlichen mit HS ist 40 mg jede zweite Woche. Da die Körpergröße einen möglichen Einfluss auf die </w:t>
      </w:r>
      <w:r w:rsidR="00EA2B9B" w:rsidRPr="004F5FB4">
        <w:rPr>
          <w:color w:val="000000"/>
        </w:rPr>
        <w:t>Aufnahme von</w:t>
      </w:r>
      <w:r w:rsidRPr="004F5FB4">
        <w:rPr>
          <w:color w:val="000000"/>
        </w:rPr>
        <w:t xml:space="preserve"> Adalimumab hat, kann für Jugendliche mit einem höheren Körpergewicht und einem nicht ausreichenden Ansprechen auf Adalimumab die empfohlene Erwachsenendosierung von 40 mg wöchentlich von Nutzen sein.</w:t>
      </w:r>
    </w:p>
    <w:p w14:paraId="1B37D365" w14:textId="77777777" w:rsidR="00C46587" w:rsidRPr="004F5FB4" w:rsidRDefault="00C46587" w:rsidP="00982118">
      <w:pPr>
        <w:rPr>
          <w:color w:val="000000"/>
        </w:rPr>
      </w:pPr>
    </w:p>
    <w:p w14:paraId="47B5919F" w14:textId="77777777" w:rsidR="00C46587" w:rsidRPr="004F5FB4" w:rsidRDefault="00C46587" w:rsidP="00982118">
      <w:pPr>
        <w:rPr>
          <w:color w:val="000000"/>
        </w:rPr>
      </w:pPr>
      <w:r w:rsidRPr="004F5FB4">
        <w:rPr>
          <w:color w:val="000000"/>
        </w:rPr>
        <w:t xml:space="preserve">Bei </w:t>
      </w:r>
      <w:r w:rsidR="00EB309E" w:rsidRPr="004F5FB4">
        <w:rPr>
          <w:color w:val="000000"/>
        </w:rPr>
        <w:t>Kindern und Jugendlichen</w:t>
      </w:r>
      <w:r w:rsidRPr="004F5FB4">
        <w:rPr>
          <w:color w:val="000000"/>
        </w:rPr>
        <w:t xml:space="preserve"> mit mittelschwerem bis schwerem Morbus Crohn war die offene Induktionsdosis von Adalimumab 160/80 mg oder 80/40 mg zu Woche</w:t>
      </w:r>
      <w:r w:rsidR="004509D2" w:rsidRPr="004F5FB4">
        <w:rPr>
          <w:color w:val="000000"/>
        </w:rPr>
        <w:t> </w:t>
      </w:r>
      <w:r w:rsidRPr="004F5FB4">
        <w:rPr>
          <w:color w:val="000000"/>
        </w:rPr>
        <w:t>0 bzw. 2, abhängig vom Körpergewicht mit einem Grenzwert von 40 kg. Zu Woche</w:t>
      </w:r>
      <w:r w:rsidR="004509D2" w:rsidRPr="004F5FB4">
        <w:rPr>
          <w:color w:val="000000"/>
        </w:rPr>
        <w:t> </w:t>
      </w:r>
      <w:r w:rsidRPr="004F5FB4">
        <w:rPr>
          <w:color w:val="000000"/>
        </w:rPr>
        <w:t>4 wurden die Patienten auf Basis ihres Körpergewichts 1:1 entweder zur Erhaltungstherapie mit der Standarddosis (40/20 mg jede zweite Woche) oder mit der niedrigen Dosis (20/10 mg jede zweite Woche) randomisiert. Die mittleren (±SD) Serumtalkonzentrationen von Adalimumab, die zu Woche 4 erreicht wurden, betrugen für Patienten ≥ 40 kg (160/80 mg) 15,7 ± 6,6 μg/ml und für Patienten &lt; 40 kg (80/40 mg) 10,6 ± 6,1 μg/ml.</w:t>
      </w:r>
    </w:p>
    <w:p w14:paraId="1BA068FD" w14:textId="77777777" w:rsidR="00C46587" w:rsidRPr="004F5FB4" w:rsidRDefault="00C46587" w:rsidP="00982118">
      <w:pPr>
        <w:rPr>
          <w:color w:val="000000"/>
        </w:rPr>
      </w:pPr>
    </w:p>
    <w:p w14:paraId="73E87EC9" w14:textId="77777777" w:rsidR="00C46587" w:rsidRDefault="00C46587" w:rsidP="00982118">
      <w:pPr>
        <w:rPr>
          <w:color w:val="000000"/>
        </w:rPr>
      </w:pPr>
      <w:r w:rsidRPr="004F5FB4">
        <w:rPr>
          <w:color w:val="000000"/>
        </w:rPr>
        <w:t>Für Patienten, die bei der randomisierten Therapie blieben, betrugen zu Woche 52 die mittleren (±SD) Serumtalkonzentrationen von Adalimumab 9,5 ± 5,6 μg/ml für die Gruppe mit Standarddosis und 3,5 ± 2,2 μg/ml für die Gruppe mit der niedrigen Dosis. Die mittleren Talkonzentrationen blieben bei Patienten, die weiterhin jede zweite Woche eine Adalimumab-Behandlung erhielten, 52 Wochen lang erhalten. Für Patienten mit Dosiseskalation (Verabreichung wöchentlich statt jede zweite Woche) betrugen die mittleren (±SD) Serumtalkonzentrationen von Adalimumab zu Woche</w:t>
      </w:r>
      <w:r w:rsidR="004509D2" w:rsidRPr="004F5FB4">
        <w:rPr>
          <w:color w:val="000000"/>
        </w:rPr>
        <w:t> </w:t>
      </w:r>
      <w:r w:rsidRPr="004F5FB4">
        <w:rPr>
          <w:color w:val="000000"/>
        </w:rPr>
        <w:t>52 15,3</w:t>
      </w:r>
      <w:r w:rsidR="004509D2" w:rsidRPr="004F5FB4">
        <w:rPr>
          <w:color w:val="000000"/>
        </w:rPr>
        <w:t> </w:t>
      </w:r>
      <w:r w:rsidRPr="004F5FB4">
        <w:rPr>
          <w:color w:val="000000"/>
        </w:rPr>
        <w:t>±</w:t>
      </w:r>
      <w:r w:rsidR="004509D2" w:rsidRPr="004F5FB4">
        <w:rPr>
          <w:color w:val="000000"/>
        </w:rPr>
        <w:t> </w:t>
      </w:r>
      <w:r w:rsidRPr="004F5FB4">
        <w:rPr>
          <w:color w:val="000000"/>
        </w:rPr>
        <w:t>11,4</w:t>
      </w:r>
      <w:r w:rsidR="00787A91" w:rsidRPr="004F5FB4">
        <w:rPr>
          <w:color w:val="000000"/>
        </w:rPr>
        <w:t> </w:t>
      </w:r>
      <w:r w:rsidRPr="004F5FB4">
        <w:rPr>
          <w:color w:val="000000"/>
        </w:rPr>
        <w:t>μg/ml (40/20 mg, wöchentlich) bzw. 6,7</w:t>
      </w:r>
      <w:r w:rsidR="004509D2" w:rsidRPr="004F5FB4">
        <w:rPr>
          <w:color w:val="000000"/>
        </w:rPr>
        <w:t> </w:t>
      </w:r>
      <w:r w:rsidRPr="004F5FB4">
        <w:rPr>
          <w:color w:val="000000"/>
        </w:rPr>
        <w:t>±</w:t>
      </w:r>
      <w:r w:rsidR="004509D2" w:rsidRPr="004F5FB4">
        <w:rPr>
          <w:color w:val="000000"/>
        </w:rPr>
        <w:t> </w:t>
      </w:r>
      <w:r w:rsidRPr="004F5FB4">
        <w:rPr>
          <w:color w:val="000000"/>
        </w:rPr>
        <w:t>3,5 μg/ml (20/10 mg, wöchentlich).</w:t>
      </w:r>
    </w:p>
    <w:p w14:paraId="3954CCCC" w14:textId="77777777" w:rsidR="005D1976" w:rsidRDefault="005D1976" w:rsidP="00982118">
      <w:pPr>
        <w:rPr>
          <w:color w:val="000000"/>
        </w:rPr>
      </w:pPr>
    </w:p>
    <w:p w14:paraId="0541779E" w14:textId="77777777" w:rsidR="005D1976" w:rsidRDefault="008C0A9F" w:rsidP="008C0A9F">
      <w:pPr>
        <w:rPr>
          <w:color w:val="000000"/>
        </w:rPr>
      </w:pPr>
      <w:r w:rsidRPr="008C0A9F">
        <w:rPr>
          <w:color w:val="000000"/>
        </w:rPr>
        <w:t>Nach subkutaner Verabreichung einer körpergewichtsbasierten Dosis von 0,6</w:t>
      </w:r>
      <w:r>
        <w:rPr>
          <w:color w:val="000000"/>
        </w:rPr>
        <w:t> </w:t>
      </w:r>
      <w:r w:rsidRPr="008C0A9F">
        <w:rPr>
          <w:color w:val="000000"/>
        </w:rPr>
        <w:t>mg/kg (maximal 40</w:t>
      </w:r>
      <w:r>
        <w:rPr>
          <w:color w:val="000000"/>
        </w:rPr>
        <w:t> </w:t>
      </w:r>
      <w:r w:rsidRPr="008C0A9F">
        <w:rPr>
          <w:color w:val="000000"/>
        </w:rPr>
        <w:t>mg)</w:t>
      </w:r>
      <w:r>
        <w:rPr>
          <w:color w:val="000000"/>
        </w:rPr>
        <w:t xml:space="preserve"> </w:t>
      </w:r>
      <w:r w:rsidRPr="008C0A9F">
        <w:rPr>
          <w:color w:val="000000"/>
        </w:rPr>
        <w:t>jede zweite Woche bei Kindern und Jugendlichen mit Colitis ulcerosa betrug die mittlere Steady-State-Talkonzentration des Adalimumab-Serumspiegels in Woche</w:t>
      </w:r>
      <w:r>
        <w:rPr>
          <w:color w:val="000000"/>
        </w:rPr>
        <w:t> </w:t>
      </w:r>
      <w:r w:rsidRPr="008C0A9F">
        <w:rPr>
          <w:color w:val="000000"/>
        </w:rPr>
        <w:t>52 5,01</w:t>
      </w:r>
      <w:r w:rsidR="00103C67">
        <w:rPr>
          <w:color w:val="000000"/>
        </w:rPr>
        <w:t> </w:t>
      </w:r>
      <w:r w:rsidRPr="008C0A9F">
        <w:rPr>
          <w:color w:val="000000"/>
        </w:rPr>
        <w:t>±</w:t>
      </w:r>
      <w:r w:rsidR="00103C67">
        <w:rPr>
          <w:color w:val="000000"/>
        </w:rPr>
        <w:t> </w:t>
      </w:r>
      <w:r w:rsidRPr="008C0A9F">
        <w:rPr>
          <w:color w:val="000000"/>
        </w:rPr>
        <w:t>3,28</w:t>
      </w:r>
      <w:r>
        <w:rPr>
          <w:color w:val="000000"/>
        </w:rPr>
        <w:t> </w:t>
      </w:r>
      <w:r w:rsidRPr="008C0A9F">
        <w:rPr>
          <w:color w:val="000000"/>
        </w:rPr>
        <w:t>μg/ml. Bei</w:t>
      </w:r>
      <w:r>
        <w:rPr>
          <w:color w:val="000000"/>
        </w:rPr>
        <w:t xml:space="preserve"> </w:t>
      </w:r>
      <w:r w:rsidRPr="008C0A9F">
        <w:rPr>
          <w:color w:val="000000"/>
        </w:rPr>
        <w:t>Patienten, die 0,6</w:t>
      </w:r>
      <w:r>
        <w:rPr>
          <w:color w:val="000000"/>
        </w:rPr>
        <w:t> </w:t>
      </w:r>
      <w:r w:rsidRPr="008C0A9F">
        <w:rPr>
          <w:color w:val="000000"/>
        </w:rPr>
        <w:t>mg/kg (maximal 40</w:t>
      </w:r>
      <w:r>
        <w:rPr>
          <w:color w:val="000000"/>
        </w:rPr>
        <w:t> </w:t>
      </w:r>
      <w:r w:rsidRPr="008C0A9F">
        <w:rPr>
          <w:color w:val="000000"/>
        </w:rPr>
        <w:t>mg) wöchentlich erhielten, betrug die mittlere (±SD) Steady-State-</w:t>
      </w:r>
      <w:r>
        <w:rPr>
          <w:color w:val="000000"/>
        </w:rPr>
        <w:t>T</w:t>
      </w:r>
      <w:r w:rsidRPr="008C0A9F">
        <w:rPr>
          <w:color w:val="000000"/>
        </w:rPr>
        <w:t>alkonzentration des Adalimumab-Serumspiegels in Woche</w:t>
      </w:r>
      <w:r>
        <w:rPr>
          <w:color w:val="000000"/>
        </w:rPr>
        <w:t> </w:t>
      </w:r>
      <w:r w:rsidRPr="008C0A9F">
        <w:rPr>
          <w:color w:val="000000"/>
        </w:rPr>
        <w:t>52 15,7</w:t>
      </w:r>
      <w:r w:rsidR="00103C67">
        <w:rPr>
          <w:color w:val="000000"/>
        </w:rPr>
        <w:t> </w:t>
      </w:r>
      <w:r w:rsidRPr="008C0A9F">
        <w:rPr>
          <w:color w:val="000000"/>
        </w:rPr>
        <w:t>±</w:t>
      </w:r>
      <w:r w:rsidR="00103C67">
        <w:rPr>
          <w:color w:val="000000"/>
        </w:rPr>
        <w:t> </w:t>
      </w:r>
      <w:r w:rsidRPr="008C0A9F">
        <w:rPr>
          <w:color w:val="000000"/>
        </w:rPr>
        <w:t>5,60</w:t>
      </w:r>
      <w:r>
        <w:rPr>
          <w:color w:val="000000"/>
        </w:rPr>
        <w:t> </w:t>
      </w:r>
      <w:r w:rsidRPr="008C0A9F">
        <w:rPr>
          <w:color w:val="000000"/>
        </w:rPr>
        <w:t>μg/ml.</w:t>
      </w:r>
    </w:p>
    <w:p w14:paraId="3B96A325" w14:textId="77777777" w:rsidR="00C46587" w:rsidRPr="004F5FB4" w:rsidRDefault="00C46587" w:rsidP="00982118">
      <w:pPr>
        <w:rPr>
          <w:color w:val="000000"/>
        </w:rPr>
      </w:pPr>
    </w:p>
    <w:p w14:paraId="1CFD8581" w14:textId="77777777" w:rsidR="00A84E59" w:rsidRPr="004F5FB4" w:rsidRDefault="00A84E59" w:rsidP="00982118">
      <w:pPr>
        <w:rPr>
          <w:color w:val="000000"/>
        </w:rPr>
      </w:pPr>
      <w:r w:rsidRPr="004F5FB4">
        <w:rPr>
          <w:color w:val="000000"/>
        </w:rPr>
        <w:t xml:space="preserve">Die Adalimumab-Exposition bei pädiatrischen Uveitis-Patienten wurde anhand von pharmakokinetischen Populationsmodellen und von Simulationen auf Basis der indikationsübergreifenden Pharmakokinetik bei anderen </w:t>
      </w:r>
      <w:r w:rsidR="00EB309E" w:rsidRPr="004F5FB4">
        <w:rPr>
          <w:color w:val="000000"/>
        </w:rPr>
        <w:t>Kindern und Jugendlichen</w:t>
      </w:r>
      <w:r w:rsidRPr="004F5FB4">
        <w:rPr>
          <w:color w:val="000000"/>
        </w:rPr>
        <w:t xml:space="preserve"> (Psoriasis bei Kindern und Jugendlichen, juvenile idiopathische Arthritis, Morbus Crohn bei Kindern und Jugendlichen sowie Enthesitis-assoziierte Arthritis) bestimmt. Es gibt keine klinischen Expositionsdaten für die Verwendung einer Induktionsdosis bei Kindern &lt;</w:t>
      </w:r>
      <w:r w:rsidR="004509D2" w:rsidRPr="004F5FB4">
        <w:rPr>
          <w:color w:val="000000"/>
        </w:rPr>
        <w:t> </w:t>
      </w:r>
      <w:r w:rsidRPr="004F5FB4">
        <w:rPr>
          <w:color w:val="000000"/>
        </w:rPr>
        <w:t>6</w:t>
      </w:r>
      <w:r w:rsidR="004509D2" w:rsidRPr="004F5FB4">
        <w:rPr>
          <w:color w:val="000000"/>
        </w:rPr>
        <w:t> </w:t>
      </w:r>
      <w:r w:rsidRPr="004F5FB4">
        <w:rPr>
          <w:color w:val="000000"/>
        </w:rPr>
        <w:t>Jahren. Die prognostizierten Expositionen weisen darauf hin, dass in der Abwesenheit von Methotrexat eine Induktionsdosis zu einem anfänglichen Anstieg der systemischen Exposition führen könnte.</w:t>
      </w:r>
    </w:p>
    <w:p w14:paraId="44F76F25" w14:textId="77777777" w:rsidR="00A84E59" w:rsidRPr="004F5FB4" w:rsidRDefault="00A84E59" w:rsidP="00982118">
      <w:pPr>
        <w:rPr>
          <w:color w:val="000000"/>
        </w:rPr>
      </w:pPr>
    </w:p>
    <w:p w14:paraId="636FAAA4" w14:textId="77777777" w:rsidR="009138D9" w:rsidRPr="004F5FB4" w:rsidRDefault="009138D9" w:rsidP="00ED34EF">
      <w:pPr>
        <w:keepNext/>
        <w:rPr>
          <w:color w:val="000000"/>
          <w:u w:val="single"/>
        </w:rPr>
      </w:pPr>
      <w:r w:rsidRPr="004F5FB4">
        <w:rPr>
          <w:color w:val="000000"/>
          <w:u w:val="single"/>
        </w:rPr>
        <w:t xml:space="preserve">Dosis-Wirkungsbeziehung </w:t>
      </w:r>
      <w:r w:rsidR="00EB309E" w:rsidRPr="004F5FB4">
        <w:rPr>
          <w:color w:val="000000"/>
          <w:u w:val="single"/>
        </w:rPr>
        <w:t>bei Kindern und Jugendlichen</w:t>
      </w:r>
    </w:p>
    <w:p w14:paraId="4DF24B5D" w14:textId="77777777" w:rsidR="002510E7" w:rsidRPr="004F5FB4" w:rsidRDefault="002510E7" w:rsidP="00ED34EF">
      <w:pPr>
        <w:keepNext/>
        <w:rPr>
          <w:color w:val="000000"/>
        </w:rPr>
      </w:pPr>
    </w:p>
    <w:p w14:paraId="63421D4D" w14:textId="77777777" w:rsidR="009138D9" w:rsidRPr="004F5FB4" w:rsidRDefault="009138D9" w:rsidP="00982118">
      <w:pPr>
        <w:autoSpaceDE w:val="0"/>
        <w:autoSpaceDN w:val="0"/>
        <w:adjustRightInd w:val="0"/>
        <w:rPr>
          <w:rFonts w:cs="TimesNewRomanPSMT"/>
          <w:color w:val="000000"/>
        </w:rPr>
      </w:pPr>
      <w:r w:rsidRPr="004F5FB4">
        <w:rPr>
          <w:color w:val="000000"/>
        </w:rPr>
        <w:t>Auf Basis klinischer Studiendaten von Patienten mit JIA (pJIA und EAA) wurde eine Dosis-Wirkungsbeziehung zwischen den Plasmakonzentrationen und dem PedACR-50-Ansprechen bestimmt. Die Adalimumab-Plasmakonzentration, die offenbar zur Hälfte der maximalen Wahrscheinlichkeit eines PedACR-50-Ansprechens (EC</w:t>
      </w:r>
      <w:r w:rsidRPr="004F5FB4">
        <w:rPr>
          <w:color w:val="000000"/>
          <w:vertAlign w:val="subscript"/>
        </w:rPr>
        <w:t>50</w:t>
      </w:r>
      <w:r w:rsidRPr="004F5FB4">
        <w:rPr>
          <w:color w:val="000000"/>
        </w:rPr>
        <w:t>) führt, lag bei 3</w:t>
      </w:r>
      <w:r w:rsidR="004509D2" w:rsidRPr="004F5FB4">
        <w:rPr>
          <w:color w:val="000000"/>
        </w:rPr>
        <w:t> </w:t>
      </w:r>
      <w:r w:rsidRPr="004F5FB4">
        <w:rPr>
          <w:color w:val="000000"/>
        </w:rPr>
        <w:t>µg/ml (95</w:t>
      </w:r>
      <w:r w:rsidR="004509D2" w:rsidRPr="004F5FB4">
        <w:rPr>
          <w:color w:val="000000"/>
        </w:rPr>
        <w:t> </w:t>
      </w:r>
      <w:r w:rsidRPr="004F5FB4">
        <w:rPr>
          <w:color w:val="000000"/>
        </w:rPr>
        <w:t>% CI: 1 – 6</w:t>
      </w:r>
      <w:r w:rsidR="00787A91" w:rsidRPr="004F5FB4">
        <w:rPr>
          <w:color w:val="000000"/>
        </w:rPr>
        <w:t> </w:t>
      </w:r>
      <w:r w:rsidRPr="004F5FB4">
        <w:rPr>
          <w:color w:val="000000"/>
        </w:rPr>
        <w:t>µg/ml).</w:t>
      </w:r>
    </w:p>
    <w:p w14:paraId="7A6B101A" w14:textId="77777777" w:rsidR="009138D9" w:rsidRPr="004F5FB4" w:rsidRDefault="009138D9" w:rsidP="00982118">
      <w:pPr>
        <w:autoSpaceDE w:val="0"/>
        <w:autoSpaceDN w:val="0"/>
        <w:adjustRightInd w:val="0"/>
        <w:rPr>
          <w:rFonts w:cs="TimesNewRomanPSMT"/>
          <w:color w:val="000000"/>
        </w:rPr>
      </w:pPr>
    </w:p>
    <w:p w14:paraId="78559C52" w14:textId="77777777" w:rsidR="009138D9" w:rsidRPr="004F5FB4" w:rsidRDefault="009138D9" w:rsidP="00982118">
      <w:pPr>
        <w:autoSpaceDE w:val="0"/>
        <w:autoSpaceDN w:val="0"/>
        <w:adjustRightInd w:val="0"/>
        <w:rPr>
          <w:color w:val="000000"/>
        </w:rPr>
      </w:pPr>
      <w:r w:rsidRPr="004F5FB4">
        <w:rPr>
          <w:color w:val="000000"/>
        </w:rPr>
        <w:t xml:space="preserve">Dosis-Wirkungsbeziehungen zwischen der Adalimumab-Konzentration und der Wirksamkeit bei </w:t>
      </w:r>
      <w:r w:rsidR="00EB309E" w:rsidRPr="004F5FB4">
        <w:rPr>
          <w:color w:val="000000"/>
        </w:rPr>
        <w:t>Kindern und Jugendlichen</w:t>
      </w:r>
      <w:r w:rsidRPr="004F5FB4">
        <w:rPr>
          <w:color w:val="000000"/>
        </w:rPr>
        <w:t xml:space="preserve"> mit schwerer chronischer Plaque-Psoriasis wurden für den PASI-75 bzw. die PGA-Scores „</w:t>
      </w:r>
      <w:r w:rsidR="00B501B8" w:rsidRPr="004F5FB4">
        <w:rPr>
          <w:color w:val="000000"/>
        </w:rPr>
        <w:t>klares Hausbild</w:t>
      </w:r>
      <w:r w:rsidRPr="004F5FB4">
        <w:rPr>
          <w:color w:val="000000"/>
        </w:rPr>
        <w:t>“ oder „</w:t>
      </w:r>
      <w:r w:rsidR="00B501B8" w:rsidRPr="004F5FB4">
        <w:rPr>
          <w:color w:val="000000"/>
        </w:rPr>
        <w:t>nahezu klares Hautbild</w:t>
      </w:r>
      <w:r w:rsidRPr="004F5FB4">
        <w:rPr>
          <w:color w:val="000000"/>
        </w:rPr>
        <w:t xml:space="preserve">“ festgelegt. Die Häufigkeiten des PASI-75 und der PGA-Scores </w:t>
      </w:r>
      <w:r w:rsidR="00B501B8" w:rsidRPr="004F5FB4">
        <w:rPr>
          <w:color w:val="000000"/>
        </w:rPr>
        <w:t xml:space="preserve">klares Hausbild“ oder „nahezu klares Hautbild“ </w:t>
      </w:r>
      <w:r w:rsidRPr="004F5FB4">
        <w:rPr>
          <w:color w:val="000000"/>
        </w:rPr>
        <w:t>nahmen mit zunehmender Adalimumab-Konzentration zu, beide mit einer offensichtlich vergleichbaren EC</w:t>
      </w:r>
      <w:r w:rsidRPr="004F5FB4">
        <w:rPr>
          <w:color w:val="000000"/>
          <w:vertAlign w:val="subscript"/>
        </w:rPr>
        <w:t>50</w:t>
      </w:r>
      <w:r w:rsidRPr="004F5FB4">
        <w:rPr>
          <w:color w:val="000000"/>
        </w:rPr>
        <w:t xml:space="preserve"> von etwa 4,5</w:t>
      </w:r>
      <w:r w:rsidR="004509D2" w:rsidRPr="004F5FB4">
        <w:rPr>
          <w:color w:val="000000"/>
        </w:rPr>
        <w:t> </w:t>
      </w:r>
      <w:r w:rsidRPr="004F5FB4">
        <w:rPr>
          <w:color w:val="000000"/>
        </w:rPr>
        <w:t>µg/ml (95</w:t>
      </w:r>
      <w:r w:rsidR="004509D2" w:rsidRPr="004F5FB4">
        <w:rPr>
          <w:color w:val="000000"/>
        </w:rPr>
        <w:t> </w:t>
      </w:r>
      <w:r w:rsidRPr="004F5FB4">
        <w:rPr>
          <w:color w:val="000000"/>
        </w:rPr>
        <w:t>% CI 0,4 – 47,6 beziehungsweise 1,9 – 10,5).</w:t>
      </w:r>
    </w:p>
    <w:p w14:paraId="075ADEC4" w14:textId="77777777" w:rsidR="009138D9" w:rsidRPr="004F5FB4" w:rsidRDefault="009138D9" w:rsidP="00982118">
      <w:pPr>
        <w:rPr>
          <w:color w:val="000000"/>
        </w:rPr>
      </w:pPr>
    </w:p>
    <w:p w14:paraId="4420CB1C" w14:textId="77777777" w:rsidR="00C46587" w:rsidRPr="004F5FB4" w:rsidRDefault="008C0A9F" w:rsidP="00ED34EF">
      <w:pPr>
        <w:keepNext/>
        <w:rPr>
          <w:color w:val="000000"/>
          <w:u w:val="single"/>
        </w:rPr>
      </w:pPr>
      <w:r>
        <w:rPr>
          <w:color w:val="000000"/>
          <w:u w:val="single"/>
        </w:rPr>
        <w:t>Erwachsene</w:t>
      </w:r>
    </w:p>
    <w:p w14:paraId="391CDD12" w14:textId="77777777" w:rsidR="00C46587" w:rsidRPr="004F5FB4" w:rsidRDefault="00C46587" w:rsidP="00ED34EF">
      <w:pPr>
        <w:keepNext/>
        <w:rPr>
          <w:color w:val="000000"/>
        </w:rPr>
      </w:pPr>
    </w:p>
    <w:p w14:paraId="2359C499" w14:textId="77777777" w:rsidR="00C46587" w:rsidRPr="004F5FB4" w:rsidRDefault="00C46587" w:rsidP="00982118">
      <w:pPr>
        <w:rPr>
          <w:color w:val="000000"/>
        </w:rPr>
      </w:pPr>
      <w:r w:rsidRPr="004F5FB4">
        <w:rPr>
          <w:color w:val="000000"/>
        </w:rPr>
        <w:t>Nach subkutaner Gabe einer Einzeldosis von 40 mg waren die Resorption und Verteilung von Adalimumab langsam. Die maximalen Serumkonzentrationen wurden ungefähr 5</w:t>
      </w:r>
      <w:r w:rsidR="004509D2" w:rsidRPr="004F5FB4">
        <w:rPr>
          <w:color w:val="000000"/>
        </w:rPr>
        <w:t> </w:t>
      </w:r>
      <w:r w:rsidRPr="004F5FB4">
        <w:rPr>
          <w:color w:val="000000"/>
        </w:rPr>
        <w:t>Tage nach Verabreichung erreicht. Die auf Grundlage von drei Studien geschätzte, durchschnittliche absolute Bioverfügbarkeit von Adalimumab betrug nach Gabe einer einzelnen subkutanen Dosis von 40 mg 64</w:t>
      </w:r>
      <w:r w:rsidR="00787A91" w:rsidRPr="004F5FB4">
        <w:rPr>
          <w:color w:val="000000"/>
        </w:rPr>
        <w:t> </w:t>
      </w:r>
      <w:r w:rsidRPr="004F5FB4">
        <w:rPr>
          <w:color w:val="000000"/>
        </w:rPr>
        <w:t>%. Nach intravenösen Einzeldosen von 0,25 bis 10 mg/kg waren die Konzentrationen proportional zur Dosis. Bei Dosen von 0,5 mg/kg (~ 40 mg) lag die Clearance zwischen 11 und 15 ml/h, das Verteilungsvolumen (V</w:t>
      </w:r>
      <w:r w:rsidRPr="004F5FB4">
        <w:rPr>
          <w:color w:val="000000"/>
          <w:vertAlign w:val="subscript"/>
        </w:rPr>
        <w:t>ss</w:t>
      </w:r>
      <w:r w:rsidRPr="004F5FB4">
        <w:rPr>
          <w:color w:val="000000"/>
        </w:rPr>
        <w:t>) betrug 5 bis 6</w:t>
      </w:r>
      <w:r w:rsidR="004509D2" w:rsidRPr="004F5FB4">
        <w:rPr>
          <w:color w:val="000000"/>
        </w:rPr>
        <w:t> </w:t>
      </w:r>
      <w:r w:rsidRPr="004F5FB4">
        <w:rPr>
          <w:color w:val="000000"/>
        </w:rPr>
        <w:t>Liter und die mittlere terminale Halbwertszeit lag bei ungefähr zwei Wochen. Die Adalimumab-Konzentrationen in der Synovialflüssigkeit mehrerer Patienten mit rheumatoider Arthritis lagen zwischen 31</w:t>
      </w:r>
      <w:r w:rsidR="004509D2" w:rsidRPr="004F5FB4">
        <w:rPr>
          <w:color w:val="000000"/>
        </w:rPr>
        <w:t> </w:t>
      </w:r>
      <w:r w:rsidRPr="004F5FB4">
        <w:rPr>
          <w:color w:val="000000"/>
        </w:rPr>
        <w:t>% und 96</w:t>
      </w:r>
      <w:r w:rsidR="004509D2" w:rsidRPr="004F5FB4">
        <w:rPr>
          <w:color w:val="000000"/>
        </w:rPr>
        <w:t> </w:t>
      </w:r>
      <w:r w:rsidRPr="004F5FB4">
        <w:rPr>
          <w:color w:val="000000"/>
        </w:rPr>
        <w:t>% der Serumkonzentrationen.</w:t>
      </w:r>
    </w:p>
    <w:p w14:paraId="45D7D8E1" w14:textId="77777777" w:rsidR="00C46587" w:rsidRPr="004F5FB4" w:rsidRDefault="00C46587" w:rsidP="00982118">
      <w:pPr>
        <w:rPr>
          <w:color w:val="000000"/>
        </w:rPr>
      </w:pPr>
    </w:p>
    <w:p w14:paraId="04A80B88" w14:textId="77777777" w:rsidR="00C46587" w:rsidRPr="004F5FB4" w:rsidRDefault="00C46587" w:rsidP="00982118">
      <w:pPr>
        <w:rPr>
          <w:color w:val="000000"/>
        </w:rPr>
      </w:pPr>
      <w:r w:rsidRPr="004F5FB4">
        <w:rPr>
          <w:color w:val="000000"/>
        </w:rPr>
        <w:t>Nach subkutaner Verabreichung von 40 mg Adalimumab jede zweite Woche an erwachsene Patienten mit rheumatoider Arthritis (RA) betrugen die mittleren Steady</w:t>
      </w:r>
      <w:r w:rsidRPr="004F5FB4">
        <w:rPr>
          <w:color w:val="000000"/>
        </w:rPr>
        <w:noBreakHyphen/>
        <w:t>State-Talkonzentrationen ca. 5 μg/ml (ohne gleichzeitige Gabe von Methotrexat) bzw. 8 – 9 μg/ml (in Kombination mit Methotrexat). Im Steady State erhöhten sich die Talkonzentrationen der Adalimumab-Serumspiegel nach subkutaner Verabreichung von 20, 40 und 80 mg entweder jede zweite oder jede Woche ungefähr proportional zur Dosis.</w:t>
      </w:r>
    </w:p>
    <w:p w14:paraId="3DCF0113" w14:textId="77777777" w:rsidR="00C46587" w:rsidRPr="004F5FB4" w:rsidRDefault="00C46587" w:rsidP="00982118">
      <w:pPr>
        <w:rPr>
          <w:color w:val="000000"/>
        </w:rPr>
      </w:pPr>
    </w:p>
    <w:p w14:paraId="4969173C" w14:textId="77777777" w:rsidR="00C46587" w:rsidRPr="004F5FB4" w:rsidRDefault="00C46587" w:rsidP="00982118">
      <w:pPr>
        <w:rPr>
          <w:color w:val="000000"/>
        </w:rPr>
      </w:pPr>
      <w:r w:rsidRPr="004F5FB4">
        <w:rPr>
          <w:color w:val="000000"/>
        </w:rPr>
        <w:t>Bei erwachsenen Psoriasispatienten betrug unter der Monotherapie mit 40 mg Adalimumab jede zweite Woche die mittlere Steady-State-Talkonzentration 5</w:t>
      </w:r>
      <w:r w:rsidR="004509D2" w:rsidRPr="004F5FB4">
        <w:rPr>
          <w:color w:val="000000"/>
        </w:rPr>
        <w:t> </w:t>
      </w:r>
      <w:r w:rsidRPr="004F5FB4">
        <w:rPr>
          <w:color w:val="000000"/>
        </w:rPr>
        <w:t>μg/ml.</w:t>
      </w:r>
    </w:p>
    <w:p w14:paraId="5FAD30C3" w14:textId="77777777" w:rsidR="009047DB" w:rsidRPr="004F5FB4" w:rsidRDefault="009047DB" w:rsidP="00982118">
      <w:pPr>
        <w:rPr>
          <w:color w:val="000000"/>
        </w:rPr>
      </w:pPr>
    </w:p>
    <w:p w14:paraId="12348C1F" w14:textId="77777777" w:rsidR="009047DB" w:rsidRPr="004F5FB4" w:rsidRDefault="009047DB" w:rsidP="00982118">
      <w:pPr>
        <w:rPr>
          <w:color w:val="000000"/>
        </w:rPr>
      </w:pPr>
      <w:r w:rsidRPr="004F5FB4">
        <w:rPr>
          <w:color w:val="000000"/>
        </w:rPr>
        <w:t>Bei erwachsenen Patienten mit Hidradenitis suppurativa wurden bei einer Dosis von 160 mg Adalimumab in Woche</w:t>
      </w:r>
      <w:r w:rsidR="004509D2" w:rsidRPr="004F5FB4">
        <w:rPr>
          <w:color w:val="000000"/>
        </w:rPr>
        <w:t> </w:t>
      </w:r>
      <w:r w:rsidRPr="004F5FB4">
        <w:rPr>
          <w:color w:val="000000"/>
        </w:rPr>
        <w:t>0, gefolgt von 80 mg Adalimumab in Woche</w:t>
      </w:r>
      <w:r w:rsidR="004509D2" w:rsidRPr="004F5FB4">
        <w:rPr>
          <w:color w:val="000000"/>
        </w:rPr>
        <w:t> </w:t>
      </w:r>
      <w:r w:rsidRPr="004F5FB4">
        <w:rPr>
          <w:color w:val="000000"/>
        </w:rPr>
        <w:t>2, Serumtalkonzentrationen von Adalimumab von etwa 7 bis 8</w:t>
      </w:r>
      <w:r w:rsidR="004509D2" w:rsidRPr="004F5FB4">
        <w:rPr>
          <w:color w:val="000000"/>
        </w:rPr>
        <w:t> </w:t>
      </w:r>
      <w:r w:rsidRPr="004F5FB4">
        <w:rPr>
          <w:color w:val="000000"/>
        </w:rPr>
        <w:t>μg/ml in Woche</w:t>
      </w:r>
      <w:r w:rsidR="004509D2" w:rsidRPr="004F5FB4">
        <w:rPr>
          <w:color w:val="000000"/>
        </w:rPr>
        <w:t> </w:t>
      </w:r>
      <w:r w:rsidRPr="004F5FB4">
        <w:rPr>
          <w:color w:val="000000"/>
        </w:rPr>
        <w:t>2 und Woche</w:t>
      </w:r>
      <w:r w:rsidR="004509D2" w:rsidRPr="004F5FB4">
        <w:rPr>
          <w:color w:val="000000"/>
        </w:rPr>
        <w:t> </w:t>
      </w:r>
      <w:r w:rsidRPr="004F5FB4">
        <w:rPr>
          <w:color w:val="000000"/>
        </w:rPr>
        <w:t>4 erreicht. Die mittleren Steady</w:t>
      </w:r>
      <w:r w:rsidRPr="004F5FB4">
        <w:rPr>
          <w:color w:val="000000"/>
        </w:rPr>
        <w:noBreakHyphen/>
        <w:t>State-Talkonzentrationen in Woche</w:t>
      </w:r>
      <w:r w:rsidR="004509D2" w:rsidRPr="004F5FB4">
        <w:rPr>
          <w:color w:val="000000"/>
        </w:rPr>
        <w:t> </w:t>
      </w:r>
      <w:r w:rsidRPr="004F5FB4">
        <w:rPr>
          <w:color w:val="000000"/>
        </w:rPr>
        <w:t>12 bis Woche</w:t>
      </w:r>
      <w:r w:rsidR="004509D2" w:rsidRPr="004F5FB4">
        <w:rPr>
          <w:color w:val="000000"/>
        </w:rPr>
        <w:t> </w:t>
      </w:r>
      <w:r w:rsidRPr="004F5FB4">
        <w:rPr>
          <w:color w:val="000000"/>
        </w:rPr>
        <w:t>36 betrugen unter der Behandlung mit 40 mg Adalimumab wöchentlich etwa 8 bis 10</w:t>
      </w:r>
      <w:r w:rsidR="004509D2" w:rsidRPr="004F5FB4">
        <w:rPr>
          <w:color w:val="000000"/>
        </w:rPr>
        <w:t> </w:t>
      </w:r>
      <w:r w:rsidRPr="004F5FB4">
        <w:rPr>
          <w:color w:val="000000"/>
        </w:rPr>
        <w:t>μg/ml.</w:t>
      </w:r>
    </w:p>
    <w:p w14:paraId="04F04E97" w14:textId="77777777" w:rsidR="009047DB" w:rsidRPr="004F5FB4" w:rsidRDefault="009047DB" w:rsidP="00982118">
      <w:pPr>
        <w:rPr>
          <w:color w:val="000000"/>
        </w:rPr>
      </w:pPr>
    </w:p>
    <w:p w14:paraId="1203BBB8" w14:textId="77777777" w:rsidR="009047DB" w:rsidRPr="004F5FB4" w:rsidRDefault="009047DB" w:rsidP="00982118">
      <w:pPr>
        <w:rPr>
          <w:color w:val="000000"/>
        </w:rPr>
      </w:pPr>
      <w:r w:rsidRPr="004F5FB4">
        <w:rPr>
          <w:color w:val="000000"/>
        </w:rPr>
        <w:t>Bei Patienten mit Morbus Crohn wurde mit der Induktionsdosis von 80 mg Adalimumab in Woche</w:t>
      </w:r>
      <w:r w:rsidR="004509D2" w:rsidRPr="004F5FB4">
        <w:rPr>
          <w:color w:val="000000"/>
        </w:rPr>
        <w:t> </w:t>
      </w:r>
      <w:r w:rsidRPr="004F5FB4">
        <w:rPr>
          <w:color w:val="000000"/>
        </w:rPr>
        <w:t>0, gefolgt von 40 mg Adalimumab in Woche</w:t>
      </w:r>
      <w:r w:rsidR="004509D2" w:rsidRPr="004F5FB4">
        <w:rPr>
          <w:color w:val="000000"/>
        </w:rPr>
        <w:t> </w:t>
      </w:r>
      <w:r w:rsidRPr="004F5FB4">
        <w:rPr>
          <w:color w:val="000000"/>
        </w:rPr>
        <w:t>2 eine Talkonzentration von Adalimumab im Serum von ca. 5,5</w:t>
      </w:r>
      <w:r w:rsidR="004509D2" w:rsidRPr="004F5FB4">
        <w:rPr>
          <w:color w:val="000000"/>
        </w:rPr>
        <w:t> </w:t>
      </w:r>
      <w:r w:rsidRPr="004F5FB4">
        <w:rPr>
          <w:color w:val="000000"/>
        </w:rPr>
        <w:t xml:space="preserve">μg/ml während der </w:t>
      </w:r>
      <w:r w:rsidR="009F0494" w:rsidRPr="004F5FB4">
        <w:rPr>
          <w:color w:val="000000"/>
        </w:rPr>
        <w:t>Einleitungstherapie</w:t>
      </w:r>
      <w:r w:rsidRPr="004F5FB4">
        <w:rPr>
          <w:color w:val="000000"/>
        </w:rPr>
        <w:t xml:space="preserve"> erreicht. Mit einer Induktionsdosis von 160 mg Adalimumab in Woche</w:t>
      </w:r>
      <w:r w:rsidR="004509D2" w:rsidRPr="004F5FB4">
        <w:rPr>
          <w:color w:val="000000"/>
        </w:rPr>
        <w:t> </w:t>
      </w:r>
      <w:r w:rsidRPr="004F5FB4">
        <w:rPr>
          <w:color w:val="000000"/>
        </w:rPr>
        <w:t>0, gefolgt von 80 mg Adalimumab in Woche</w:t>
      </w:r>
      <w:r w:rsidR="004509D2" w:rsidRPr="004F5FB4">
        <w:rPr>
          <w:color w:val="000000"/>
        </w:rPr>
        <w:t> </w:t>
      </w:r>
      <w:r w:rsidRPr="004F5FB4">
        <w:rPr>
          <w:color w:val="000000"/>
        </w:rPr>
        <w:t xml:space="preserve">2, wurde eine Talkonzentration </w:t>
      </w:r>
      <w:r w:rsidRPr="004F5FB4">
        <w:rPr>
          <w:color w:val="000000"/>
        </w:rPr>
        <w:lastRenderedPageBreak/>
        <w:t>von Adalimumab im Serum von ca. 12</w:t>
      </w:r>
      <w:r w:rsidR="004509D2" w:rsidRPr="004F5FB4">
        <w:rPr>
          <w:color w:val="000000"/>
        </w:rPr>
        <w:t> </w:t>
      </w:r>
      <w:r w:rsidRPr="004F5FB4">
        <w:rPr>
          <w:color w:val="000000"/>
        </w:rPr>
        <w:t>μg/ml während der Induktionsphase erreicht. Die durchschnittliche Talkonzentration lag bei ca. 7</w:t>
      </w:r>
      <w:r w:rsidR="004509D2" w:rsidRPr="004F5FB4">
        <w:rPr>
          <w:color w:val="000000"/>
        </w:rPr>
        <w:t> </w:t>
      </w:r>
      <w:r w:rsidRPr="004F5FB4">
        <w:rPr>
          <w:color w:val="000000"/>
        </w:rPr>
        <w:t>μg/ml bei Patienten mit Morbus Crohn, die eine Erhaltungsdosis von 40 mg Adalimumab alle zwei Wochen erhielten.</w:t>
      </w:r>
    </w:p>
    <w:p w14:paraId="3445328C" w14:textId="77777777" w:rsidR="000102A9" w:rsidRPr="004F5FB4" w:rsidRDefault="000102A9" w:rsidP="00982118">
      <w:pPr>
        <w:rPr>
          <w:color w:val="000000"/>
        </w:rPr>
      </w:pPr>
    </w:p>
    <w:p w14:paraId="5DB1013F" w14:textId="77777777" w:rsidR="009047DB" w:rsidRPr="004F5FB4" w:rsidRDefault="009047DB" w:rsidP="00982118">
      <w:pPr>
        <w:rPr>
          <w:color w:val="000000"/>
        </w:rPr>
      </w:pPr>
      <w:r w:rsidRPr="004F5FB4">
        <w:rPr>
          <w:color w:val="000000"/>
        </w:rPr>
        <w:t>Bei erwachsenen Patienten mit Uveitis wurde mit einer Induktionsdosis von 80 mg Adalimumab in Woche</w:t>
      </w:r>
      <w:r w:rsidR="00D2285B" w:rsidRPr="004F5FB4">
        <w:rPr>
          <w:color w:val="000000"/>
        </w:rPr>
        <w:t> </w:t>
      </w:r>
      <w:r w:rsidRPr="004F5FB4">
        <w:rPr>
          <w:color w:val="000000"/>
        </w:rPr>
        <w:t>0, gefolgt von 40 mg Adalimumab alle zwei Wochen ab Woche</w:t>
      </w:r>
      <w:r w:rsidR="00D2285B" w:rsidRPr="004F5FB4">
        <w:rPr>
          <w:color w:val="000000"/>
        </w:rPr>
        <w:t> </w:t>
      </w:r>
      <w:r w:rsidRPr="004F5FB4">
        <w:rPr>
          <w:color w:val="000000"/>
        </w:rPr>
        <w:t>1, eine mittlere Steady-State-Konzentration von ca. 8 bis 10</w:t>
      </w:r>
      <w:r w:rsidR="00D2285B" w:rsidRPr="004F5FB4">
        <w:rPr>
          <w:color w:val="000000"/>
        </w:rPr>
        <w:t> </w:t>
      </w:r>
      <w:r w:rsidRPr="004F5FB4">
        <w:rPr>
          <w:color w:val="000000"/>
        </w:rPr>
        <w:t>μg/ml erreicht.</w:t>
      </w:r>
    </w:p>
    <w:p w14:paraId="6A89A64D" w14:textId="77777777" w:rsidR="0093431B" w:rsidRPr="004F5FB4" w:rsidRDefault="0093431B" w:rsidP="00982118">
      <w:pPr>
        <w:rPr>
          <w:color w:val="000000"/>
        </w:rPr>
      </w:pPr>
    </w:p>
    <w:p w14:paraId="3DBDBEB3" w14:textId="77777777" w:rsidR="0093431B" w:rsidRPr="004F5FB4" w:rsidRDefault="0093431B" w:rsidP="00982118">
      <w:pPr>
        <w:autoSpaceDE w:val="0"/>
        <w:autoSpaceDN w:val="0"/>
        <w:adjustRightInd w:val="0"/>
        <w:rPr>
          <w:color w:val="000000"/>
        </w:rPr>
      </w:pPr>
      <w:r w:rsidRPr="004F5FB4">
        <w:rPr>
          <w:color w:val="000000"/>
        </w:rPr>
        <w:t>Pharmakokinetische Populationsmodelle und pharmakokinetische/</w:t>
      </w:r>
      <w:r w:rsidR="00594EA8" w:rsidRPr="004F5FB4">
        <w:rPr>
          <w:color w:val="000000"/>
        </w:rPr>
        <w:t xml:space="preserve"> </w:t>
      </w:r>
      <w:r w:rsidRPr="004F5FB4">
        <w:rPr>
          <w:color w:val="000000"/>
        </w:rPr>
        <w:t>pharmakodynamische Modelle und Simulationen sagten für Patienten, die mit 80</w:t>
      </w:r>
      <w:r w:rsidR="00D2285B" w:rsidRPr="004F5FB4">
        <w:rPr>
          <w:color w:val="000000"/>
        </w:rPr>
        <w:t> </w:t>
      </w:r>
      <w:r w:rsidRPr="004F5FB4">
        <w:rPr>
          <w:color w:val="000000"/>
        </w:rPr>
        <w:t>mg jede zweite Woche behandelt wurden, eine vergleichbare Adalimumab-Exposition und Wirksamkeit voraus wie bei Patienten, die mit 40</w:t>
      </w:r>
      <w:r w:rsidR="00D2285B" w:rsidRPr="004F5FB4">
        <w:rPr>
          <w:color w:val="000000"/>
        </w:rPr>
        <w:t> </w:t>
      </w:r>
      <w:r w:rsidRPr="004F5FB4">
        <w:rPr>
          <w:color w:val="000000"/>
        </w:rPr>
        <w:t xml:space="preserve">mg jede Woche behandelt wurden (eingeschlossen waren erwachsene Patienten mit Rheumatoider Arthritis (RA), Hidradenitis suppurativa (HS), Colitis Ulcerosa (CU), Morbus Crohn (MC) oder Psoriasis (Pso), jugendliche Patienten mit HS sowie </w:t>
      </w:r>
      <w:r w:rsidR="00EB309E" w:rsidRPr="004F5FB4">
        <w:rPr>
          <w:color w:val="000000"/>
        </w:rPr>
        <w:t>Kinder und Jugendliche</w:t>
      </w:r>
      <w:r w:rsidRPr="004F5FB4">
        <w:rPr>
          <w:color w:val="000000"/>
        </w:rPr>
        <w:t xml:space="preserve"> mit MC</w:t>
      </w:r>
      <w:r w:rsidR="008C0A9F">
        <w:rPr>
          <w:color w:val="000000"/>
        </w:rPr>
        <w:t xml:space="preserve"> und CU</w:t>
      </w:r>
      <w:r w:rsidRPr="004F5FB4">
        <w:rPr>
          <w:color w:val="000000"/>
        </w:rPr>
        <w:t xml:space="preserve"> ≥</w:t>
      </w:r>
      <w:r w:rsidR="00D2285B" w:rsidRPr="004F5FB4">
        <w:rPr>
          <w:color w:val="000000"/>
        </w:rPr>
        <w:t> </w:t>
      </w:r>
      <w:r w:rsidRPr="004F5FB4">
        <w:rPr>
          <w:color w:val="000000"/>
        </w:rPr>
        <w:t>40</w:t>
      </w:r>
      <w:r w:rsidR="00D2285B" w:rsidRPr="004F5FB4">
        <w:rPr>
          <w:color w:val="000000"/>
        </w:rPr>
        <w:t> </w:t>
      </w:r>
      <w:r w:rsidRPr="004F5FB4">
        <w:rPr>
          <w:color w:val="000000"/>
        </w:rPr>
        <w:t>kg).</w:t>
      </w:r>
    </w:p>
    <w:p w14:paraId="3349B3FE" w14:textId="77777777" w:rsidR="000102A9" w:rsidRPr="004F5FB4" w:rsidRDefault="000102A9" w:rsidP="00982118">
      <w:pPr>
        <w:rPr>
          <w:color w:val="000000"/>
        </w:rPr>
      </w:pPr>
    </w:p>
    <w:p w14:paraId="2D8ADE62" w14:textId="77777777" w:rsidR="00C46587" w:rsidRPr="004F5FB4" w:rsidRDefault="00C46587" w:rsidP="00ED34EF">
      <w:pPr>
        <w:keepNext/>
        <w:rPr>
          <w:color w:val="000000"/>
          <w:u w:val="single"/>
        </w:rPr>
      </w:pPr>
      <w:r w:rsidRPr="004F5FB4">
        <w:rPr>
          <w:color w:val="000000"/>
          <w:u w:val="single"/>
        </w:rPr>
        <w:t>Elimination</w:t>
      </w:r>
    </w:p>
    <w:p w14:paraId="4382178A" w14:textId="77777777" w:rsidR="00C46587" w:rsidRPr="004F5FB4" w:rsidRDefault="00C46587" w:rsidP="00ED34EF">
      <w:pPr>
        <w:keepNext/>
        <w:rPr>
          <w:color w:val="000000"/>
        </w:rPr>
      </w:pPr>
    </w:p>
    <w:p w14:paraId="70CDDCFA" w14:textId="77777777" w:rsidR="00C46587" w:rsidRPr="004F5FB4" w:rsidRDefault="00C46587" w:rsidP="00982118">
      <w:pPr>
        <w:rPr>
          <w:color w:val="000000"/>
        </w:rPr>
      </w:pPr>
      <w:r w:rsidRPr="004F5FB4">
        <w:rPr>
          <w:color w:val="000000"/>
        </w:rPr>
        <w:t xml:space="preserve">Pharmakokinetische </w:t>
      </w:r>
      <w:r w:rsidR="00594EA8" w:rsidRPr="004F5FB4">
        <w:rPr>
          <w:color w:val="000000"/>
        </w:rPr>
        <w:t>A</w:t>
      </w:r>
      <w:r w:rsidRPr="004F5FB4">
        <w:rPr>
          <w:color w:val="000000"/>
        </w:rPr>
        <w:t>nalysen anhand des Datenbestandes von über 1.300</w:t>
      </w:r>
      <w:r w:rsidR="00D2285B" w:rsidRPr="004F5FB4">
        <w:rPr>
          <w:color w:val="000000"/>
        </w:rPr>
        <w:t> </w:t>
      </w:r>
      <w:r w:rsidRPr="004F5FB4">
        <w:rPr>
          <w:color w:val="000000"/>
        </w:rPr>
        <w:t>RA-Patienten ergaben eine Tendenz zu einer höheren scheinbaren Adalimumab-Clearance bei steigendem Körpergewicht. Nach Korrektur hinsichtlich der Gewichtsunterschiede schien der Einfluss von Geschlecht und Alter auf die Adalimumab-Clearance gering zu sein. Die Serumkonzentrationen an freiem, nicht an Anti-Adalimumab-Antikörper (AAA) gebundenem Adalimumab waren niedriger bei Patienten mit messbaren AAA.</w:t>
      </w:r>
    </w:p>
    <w:p w14:paraId="24A3467A" w14:textId="77777777" w:rsidR="00C46587" w:rsidRPr="004F5FB4" w:rsidRDefault="00C46587" w:rsidP="00982118">
      <w:pPr>
        <w:rPr>
          <w:color w:val="000000"/>
        </w:rPr>
      </w:pPr>
    </w:p>
    <w:p w14:paraId="26D38047" w14:textId="77777777" w:rsidR="00C46587" w:rsidRPr="004F5FB4" w:rsidRDefault="00C46587" w:rsidP="00ED34EF">
      <w:pPr>
        <w:keepNext/>
        <w:rPr>
          <w:color w:val="000000"/>
          <w:u w:val="single"/>
        </w:rPr>
      </w:pPr>
      <w:r w:rsidRPr="004F5FB4">
        <w:rPr>
          <w:color w:val="000000"/>
          <w:u w:val="single"/>
        </w:rPr>
        <w:t>Eingeschränkte Leber- oder Nierenfunktion</w:t>
      </w:r>
    </w:p>
    <w:p w14:paraId="1AECE1FC" w14:textId="77777777" w:rsidR="00C46587" w:rsidRPr="004F5FB4" w:rsidRDefault="00C46587" w:rsidP="00ED34EF">
      <w:pPr>
        <w:keepNext/>
        <w:rPr>
          <w:color w:val="000000"/>
        </w:rPr>
      </w:pPr>
    </w:p>
    <w:p w14:paraId="0CA65140" w14:textId="77777777" w:rsidR="00C46587" w:rsidRPr="004F5FB4" w:rsidRDefault="005A4709" w:rsidP="00982118">
      <w:pPr>
        <w:rPr>
          <w:color w:val="000000"/>
        </w:rPr>
      </w:pPr>
      <w:r w:rsidRPr="004F5FB4">
        <w:rPr>
          <w:color w:val="000000"/>
        </w:rPr>
        <w:t>Adalimumab wurde bei Patienten mit eingeschränkter Leber- oder Nierenfunktion nicht untersucht.</w:t>
      </w:r>
    </w:p>
    <w:p w14:paraId="6387A96A" w14:textId="77777777" w:rsidR="00C46587" w:rsidRPr="004F5FB4" w:rsidRDefault="00C46587" w:rsidP="00982118">
      <w:pPr>
        <w:rPr>
          <w:color w:val="000000"/>
        </w:rPr>
      </w:pPr>
    </w:p>
    <w:p w14:paraId="667B24F1" w14:textId="77777777" w:rsidR="00C46587" w:rsidRPr="004F5FB4" w:rsidRDefault="00C46587" w:rsidP="00ED34EF">
      <w:pPr>
        <w:keepNext/>
        <w:tabs>
          <w:tab w:val="left" w:pos="562"/>
        </w:tabs>
        <w:rPr>
          <w:b/>
          <w:color w:val="000000"/>
        </w:rPr>
      </w:pPr>
      <w:r w:rsidRPr="004F5FB4">
        <w:rPr>
          <w:b/>
          <w:color w:val="000000"/>
        </w:rPr>
        <w:t>5.3</w:t>
      </w:r>
      <w:r w:rsidRPr="004F5FB4">
        <w:rPr>
          <w:b/>
          <w:color w:val="000000"/>
        </w:rPr>
        <w:tab/>
        <w:t>Präklinische Daten zur Sicherheit</w:t>
      </w:r>
    </w:p>
    <w:p w14:paraId="1D451ECC" w14:textId="77777777" w:rsidR="00C46587" w:rsidRPr="004F5FB4" w:rsidRDefault="00C46587" w:rsidP="00ED34EF">
      <w:pPr>
        <w:keepNext/>
        <w:rPr>
          <w:color w:val="000000"/>
        </w:rPr>
      </w:pPr>
    </w:p>
    <w:p w14:paraId="7FBB4B80" w14:textId="77777777" w:rsidR="00C46587" w:rsidRPr="004F5FB4" w:rsidRDefault="00EB309E" w:rsidP="00982118">
      <w:pPr>
        <w:rPr>
          <w:color w:val="000000"/>
        </w:rPr>
      </w:pPr>
      <w:r w:rsidRPr="004F5FB4">
        <w:rPr>
          <w:color w:val="000000"/>
        </w:rPr>
        <w:t>Basierend auf den Studien</w:t>
      </w:r>
      <w:r w:rsidR="00C46587" w:rsidRPr="004F5FB4">
        <w:rPr>
          <w:color w:val="000000"/>
        </w:rPr>
        <w:t xml:space="preserve"> zur Einzeldosistoxizität, Toxizität bei </w:t>
      </w:r>
      <w:r w:rsidRPr="004F5FB4">
        <w:rPr>
          <w:color w:val="000000"/>
        </w:rPr>
        <w:t>wiederholter Gabe</w:t>
      </w:r>
      <w:r w:rsidR="00C46587" w:rsidRPr="004F5FB4">
        <w:rPr>
          <w:color w:val="000000"/>
        </w:rPr>
        <w:t xml:space="preserve"> und Genotoxizität lassen </w:t>
      </w:r>
      <w:r w:rsidRPr="004F5FB4">
        <w:rPr>
          <w:color w:val="000000"/>
        </w:rPr>
        <w:t xml:space="preserve">die präklinischen Daten </w:t>
      </w:r>
      <w:r w:rsidR="00C46587" w:rsidRPr="004F5FB4">
        <w:rPr>
          <w:color w:val="000000"/>
        </w:rPr>
        <w:t>keine besondere</w:t>
      </w:r>
      <w:r w:rsidRPr="004F5FB4">
        <w:rPr>
          <w:color w:val="000000"/>
        </w:rPr>
        <w:t>n</w:t>
      </w:r>
      <w:r w:rsidR="00C46587" w:rsidRPr="004F5FB4">
        <w:rPr>
          <w:color w:val="000000"/>
        </w:rPr>
        <w:t xml:space="preserve"> Gefahr</w:t>
      </w:r>
      <w:r w:rsidRPr="004F5FB4">
        <w:rPr>
          <w:color w:val="000000"/>
        </w:rPr>
        <w:t>en</w:t>
      </w:r>
      <w:r w:rsidR="00C46587" w:rsidRPr="004F5FB4">
        <w:rPr>
          <w:color w:val="000000"/>
        </w:rPr>
        <w:t xml:space="preserve"> für Menschen erkennen. </w:t>
      </w:r>
    </w:p>
    <w:p w14:paraId="4F4C7412" w14:textId="77777777" w:rsidR="00C46587" w:rsidRPr="004F5FB4" w:rsidRDefault="00C46587" w:rsidP="00982118">
      <w:pPr>
        <w:rPr>
          <w:color w:val="000000"/>
        </w:rPr>
      </w:pPr>
    </w:p>
    <w:p w14:paraId="430DB912" w14:textId="77777777" w:rsidR="00C46587" w:rsidRPr="004F5FB4" w:rsidRDefault="00C46587" w:rsidP="00982118">
      <w:pPr>
        <w:rPr>
          <w:color w:val="000000"/>
        </w:rPr>
      </w:pPr>
      <w:r w:rsidRPr="004F5FB4">
        <w:rPr>
          <w:color w:val="000000"/>
        </w:rPr>
        <w:t>Eine Studie zur Toxizität der embryofetalen/perinatalen Entwicklung wurde bei Cynomolgus-Affen mit 0,30 und 100 mg/kg (9 – 17</w:t>
      </w:r>
      <w:r w:rsidR="00D2285B" w:rsidRPr="004F5FB4">
        <w:rPr>
          <w:color w:val="000000"/>
        </w:rPr>
        <w:t> </w:t>
      </w:r>
      <w:r w:rsidRPr="004F5FB4">
        <w:rPr>
          <w:color w:val="000000"/>
        </w:rPr>
        <w:t xml:space="preserve">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w:t>
      </w:r>
      <w:r w:rsidR="00594EA8" w:rsidRPr="004F5FB4">
        <w:rPr>
          <w:color w:val="000000"/>
        </w:rPr>
        <w:t>die</w:t>
      </w:r>
      <w:r w:rsidRPr="004F5FB4">
        <w:rPr>
          <w:color w:val="000000"/>
        </w:rPr>
        <w:t xml:space="preserve"> Entwicklung neutralisierender Antikörper </w:t>
      </w:r>
      <w:r w:rsidR="00594EA8" w:rsidRPr="004F5FB4">
        <w:rPr>
          <w:color w:val="000000"/>
        </w:rPr>
        <w:t>bei Nagetieren fehlt</w:t>
      </w:r>
      <w:r w:rsidRPr="004F5FB4">
        <w:rPr>
          <w:color w:val="000000"/>
        </w:rPr>
        <w:t>.</w:t>
      </w:r>
    </w:p>
    <w:p w14:paraId="0081BBEA" w14:textId="77777777" w:rsidR="00C46587" w:rsidRPr="004F5FB4" w:rsidRDefault="00C46587" w:rsidP="00982118">
      <w:pPr>
        <w:rPr>
          <w:color w:val="000000"/>
        </w:rPr>
      </w:pPr>
    </w:p>
    <w:p w14:paraId="0C12A15B" w14:textId="77777777" w:rsidR="00C46587" w:rsidRPr="004F5FB4" w:rsidRDefault="00C46587" w:rsidP="00982118">
      <w:pPr>
        <w:rPr>
          <w:color w:val="000000"/>
        </w:rPr>
      </w:pPr>
    </w:p>
    <w:p w14:paraId="41C4CD04" w14:textId="77777777" w:rsidR="00C46587" w:rsidRPr="004F5FB4" w:rsidRDefault="00C46587" w:rsidP="00ED34EF">
      <w:pPr>
        <w:keepNext/>
        <w:tabs>
          <w:tab w:val="left" w:pos="562"/>
        </w:tabs>
        <w:rPr>
          <w:b/>
          <w:color w:val="000000"/>
        </w:rPr>
      </w:pPr>
      <w:r w:rsidRPr="004F5FB4">
        <w:rPr>
          <w:b/>
          <w:color w:val="000000"/>
        </w:rPr>
        <w:t>6</w:t>
      </w:r>
      <w:r w:rsidRPr="004F5FB4">
        <w:rPr>
          <w:b/>
          <w:color w:val="000000"/>
        </w:rPr>
        <w:tab/>
        <w:t>PHARMAZEUTISCHE ANGABEN</w:t>
      </w:r>
    </w:p>
    <w:p w14:paraId="35F9F732" w14:textId="77777777" w:rsidR="00C46587" w:rsidRPr="004F5FB4" w:rsidRDefault="00C46587" w:rsidP="00ED34EF">
      <w:pPr>
        <w:keepNext/>
        <w:rPr>
          <w:color w:val="000000"/>
        </w:rPr>
      </w:pPr>
    </w:p>
    <w:p w14:paraId="518D0823" w14:textId="77777777" w:rsidR="00C46587" w:rsidRPr="004F5FB4" w:rsidRDefault="00C46587" w:rsidP="00ED34EF">
      <w:pPr>
        <w:keepNext/>
        <w:tabs>
          <w:tab w:val="left" w:pos="562"/>
        </w:tabs>
        <w:rPr>
          <w:b/>
          <w:color w:val="000000"/>
        </w:rPr>
      </w:pPr>
      <w:r w:rsidRPr="004F5FB4">
        <w:rPr>
          <w:b/>
          <w:color w:val="000000"/>
        </w:rPr>
        <w:t>6.1</w:t>
      </w:r>
      <w:r w:rsidRPr="004F5FB4">
        <w:rPr>
          <w:b/>
          <w:color w:val="000000"/>
        </w:rPr>
        <w:tab/>
        <w:t>Liste der sonstigen Bestandteile</w:t>
      </w:r>
    </w:p>
    <w:p w14:paraId="2A7E11CA" w14:textId="77777777" w:rsidR="00C46587" w:rsidRPr="004F5FB4" w:rsidRDefault="00C46587" w:rsidP="00ED34EF">
      <w:pPr>
        <w:keepNext/>
        <w:rPr>
          <w:color w:val="000000"/>
        </w:rPr>
      </w:pPr>
    </w:p>
    <w:p w14:paraId="417D3B83" w14:textId="77777777" w:rsidR="00443AC9" w:rsidRPr="00F577F5" w:rsidRDefault="00443AC9" w:rsidP="00982118">
      <w:pPr>
        <w:rPr>
          <w:color w:val="000000"/>
          <w:lang w:val="da-DK"/>
        </w:rPr>
      </w:pPr>
      <w:r w:rsidRPr="00F577F5">
        <w:rPr>
          <w:color w:val="000000"/>
          <w:lang w:val="da-DK"/>
        </w:rPr>
        <w:t>L-Histidin</w:t>
      </w:r>
    </w:p>
    <w:p w14:paraId="7C60F537" w14:textId="77777777" w:rsidR="00443AC9" w:rsidRPr="00F577F5" w:rsidRDefault="00443AC9" w:rsidP="00982118">
      <w:pPr>
        <w:rPr>
          <w:color w:val="000000"/>
          <w:lang w:val="da-DK"/>
        </w:rPr>
      </w:pPr>
      <w:r w:rsidRPr="00F577F5">
        <w:rPr>
          <w:color w:val="000000"/>
          <w:lang w:val="da-DK"/>
        </w:rPr>
        <w:t>L-Histidin-Hydrochlorid-Monohydrat</w:t>
      </w:r>
    </w:p>
    <w:p w14:paraId="2EAC3D03" w14:textId="77777777" w:rsidR="00443AC9" w:rsidRPr="00E26A2B" w:rsidRDefault="00443AC9" w:rsidP="00982118">
      <w:pPr>
        <w:rPr>
          <w:color w:val="000000"/>
        </w:rPr>
      </w:pPr>
      <w:r w:rsidRPr="00E26A2B">
        <w:rPr>
          <w:color w:val="000000"/>
        </w:rPr>
        <w:t>Sucrose</w:t>
      </w:r>
    </w:p>
    <w:p w14:paraId="20AD63A6" w14:textId="77777777" w:rsidR="00443AC9" w:rsidRPr="004C3123" w:rsidRDefault="00443AC9" w:rsidP="00982118">
      <w:pPr>
        <w:rPr>
          <w:color w:val="000000"/>
        </w:rPr>
      </w:pPr>
      <w:r w:rsidRPr="004C3123">
        <w:rPr>
          <w:color w:val="000000"/>
        </w:rPr>
        <w:t xml:space="preserve">EDTA-Dinatrium-Dihydrat </w:t>
      </w:r>
    </w:p>
    <w:p w14:paraId="36D49CB0" w14:textId="77777777" w:rsidR="00443AC9" w:rsidRPr="004C3123" w:rsidRDefault="00443AC9" w:rsidP="00982118">
      <w:pPr>
        <w:rPr>
          <w:color w:val="000000"/>
        </w:rPr>
      </w:pPr>
      <w:r w:rsidRPr="004C3123">
        <w:rPr>
          <w:color w:val="000000"/>
        </w:rPr>
        <w:t>L-Methionin</w:t>
      </w:r>
    </w:p>
    <w:p w14:paraId="158BED6C" w14:textId="77777777" w:rsidR="00443AC9" w:rsidRPr="004C3123" w:rsidRDefault="00443AC9" w:rsidP="00982118">
      <w:pPr>
        <w:rPr>
          <w:color w:val="000000"/>
        </w:rPr>
      </w:pPr>
      <w:r w:rsidRPr="004C3123">
        <w:rPr>
          <w:color w:val="000000"/>
        </w:rPr>
        <w:t>Polysorbat 80</w:t>
      </w:r>
    </w:p>
    <w:p w14:paraId="342007C6" w14:textId="77777777" w:rsidR="00443AC9" w:rsidRPr="004C3123" w:rsidRDefault="00443AC9" w:rsidP="00982118">
      <w:pPr>
        <w:rPr>
          <w:color w:val="000000"/>
        </w:rPr>
      </w:pPr>
      <w:r w:rsidRPr="004C3123">
        <w:rPr>
          <w:color w:val="000000"/>
        </w:rPr>
        <w:t>Wasser für Injektionszwecke</w:t>
      </w:r>
    </w:p>
    <w:p w14:paraId="4BD711F8" w14:textId="77777777" w:rsidR="00C46587" w:rsidRPr="004C3123" w:rsidRDefault="00C46587" w:rsidP="00982118">
      <w:pPr>
        <w:rPr>
          <w:color w:val="000000"/>
        </w:rPr>
      </w:pPr>
    </w:p>
    <w:p w14:paraId="14D9252C" w14:textId="77777777" w:rsidR="00C46587" w:rsidRPr="004F5FB4" w:rsidRDefault="00C46587" w:rsidP="00ED34EF">
      <w:pPr>
        <w:keepNext/>
        <w:tabs>
          <w:tab w:val="left" w:pos="562"/>
        </w:tabs>
        <w:rPr>
          <w:b/>
          <w:color w:val="000000"/>
        </w:rPr>
      </w:pPr>
      <w:r w:rsidRPr="004F5FB4">
        <w:rPr>
          <w:b/>
          <w:color w:val="000000"/>
        </w:rPr>
        <w:t>6.2</w:t>
      </w:r>
      <w:r w:rsidR="00787A91" w:rsidRPr="004F5FB4">
        <w:rPr>
          <w:b/>
          <w:color w:val="000000"/>
        </w:rPr>
        <w:tab/>
      </w:r>
      <w:r w:rsidRPr="004F5FB4">
        <w:rPr>
          <w:b/>
          <w:color w:val="000000"/>
        </w:rPr>
        <w:t>Inkompatibilitäten</w:t>
      </w:r>
    </w:p>
    <w:p w14:paraId="6973C6CC" w14:textId="77777777" w:rsidR="00C46587" w:rsidRPr="004F5FB4" w:rsidRDefault="00C46587" w:rsidP="00ED34EF">
      <w:pPr>
        <w:keepNext/>
        <w:rPr>
          <w:color w:val="000000"/>
        </w:rPr>
      </w:pPr>
    </w:p>
    <w:p w14:paraId="199E7AB2" w14:textId="77777777" w:rsidR="00C46587" w:rsidRPr="004F5FB4" w:rsidRDefault="00C46587" w:rsidP="00982118">
      <w:pPr>
        <w:rPr>
          <w:color w:val="000000"/>
        </w:rPr>
      </w:pPr>
      <w:r w:rsidRPr="004F5FB4">
        <w:rPr>
          <w:color w:val="000000"/>
        </w:rPr>
        <w:t>Da keine Kompatibilitätsstudien durchgeführt wurden, darf dieses Arzneimittel nicht mit anderen Arzneimitteln gemischt werden.</w:t>
      </w:r>
    </w:p>
    <w:p w14:paraId="6FD5B86E" w14:textId="77777777" w:rsidR="00C46587" w:rsidRPr="004F5FB4" w:rsidRDefault="00C46587" w:rsidP="00982118">
      <w:pPr>
        <w:rPr>
          <w:color w:val="000000"/>
        </w:rPr>
      </w:pPr>
    </w:p>
    <w:p w14:paraId="751155E2" w14:textId="77777777" w:rsidR="00C46587" w:rsidRPr="004F5FB4" w:rsidRDefault="00C46587" w:rsidP="00ED34EF">
      <w:pPr>
        <w:keepNext/>
        <w:tabs>
          <w:tab w:val="left" w:pos="562"/>
        </w:tabs>
        <w:rPr>
          <w:b/>
          <w:color w:val="000000"/>
        </w:rPr>
      </w:pPr>
      <w:r w:rsidRPr="004F5FB4">
        <w:rPr>
          <w:b/>
          <w:color w:val="000000"/>
        </w:rPr>
        <w:t>6.3</w:t>
      </w:r>
      <w:r w:rsidR="00787A91" w:rsidRPr="004F5FB4">
        <w:rPr>
          <w:b/>
          <w:color w:val="000000"/>
        </w:rPr>
        <w:tab/>
      </w:r>
      <w:r w:rsidRPr="004F5FB4">
        <w:rPr>
          <w:b/>
          <w:color w:val="000000"/>
        </w:rPr>
        <w:t>Dauer der Haltbarkeit</w:t>
      </w:r>
    </w:p>
    <w:p w14:paraId="3518BE1B" w14:textId="77777777" w:rsidR="00C46587" w:rsidRPr="004F5FB4" w:rsidRDefault="00C46587" w:rsidP="00ED34EF">
      <w:pPr>
        <w:keepNext/>
        <w:rPr>
          <w:color w:val="000000"/>
        </w:rPr>
      </w:pPr>
    </w:p>
    <w:p w14:paraId="1141E728" w14:textId="77777777" w:rsidR="00C46587" w:rsidRPr="004F5FB4" w:rsidRDefault="00443AC9" w:rsidP="00982118">
      <w:pPr>
        <w:rPr>
          <w:color w:val="000000"/>
        </w:rPr>
      </w:pPr>
      <w:r w:rsidRPr="004F5FB4">
        <w:rPr>
          <w:color w:val="000000"/>
        </w:rPr>
        <w:t>3</w:t>
      </w:r>
      <w:r w:rsidR="005C798E" w:rsidRPr="004F5FB4">
        <w:rPr>
          <w:color w:val="000000"/>
        </w:rPr>
        <w:t> </w:t>
      </w:r>
      <w:r w:rsidRPr="004F5FB4">
        <w:rPr>
          <w:color w:val="000000"/>
        </w:rPr>
        <w:t>Jahre</w:t>
      </w:r>
    </w:p>
    <w:p w14:paraId="284D98BD" w14:textId="77777777" w:rsidR="00C46587" w:rsidRPr="004F5FB4" w:rsidRDefault="00C46587" w:rsidP="00982118">
      <w:pPr>
        <w:rPr>
          <w:color w:val="000000"/>
        </w:rPr>
      </w:pPr>
    </w:p>
    <w:p w14:paraId="43E94EC5" w14:textId="77777777" w:rsidR="00C46587" w:rsidRPr="004F5FB4" w:rsidRDefault="00C46587" w:rsidP="00982118">
      <w:pPr>
        <w:keepNext/>
        <w:tabs>
          <w:tab w:val="left" w:pos="562"/>
        </w:tabs>
        <w:rPr>
          <w:b/>
          <w:color w:val="000000"/>
        </w:rPr>
      </w:pPr>
      <w:r w:rsidRPr="004F5FB4">
        <w:rPr>
          <w:b/>
          <w:color w:val="000000"/>
        </w:rPr>
        <w:t>6.4</w:t>
      </w:r>
      <w:r w:rsidR="00787A91" w:rsidRPr="004F5FB4">
        <w:rPr>
          <w:b/>
          <w:color w:val="000000"/>
        </w:rPr>
        <w:tab/>
      </w:r>
      <w:r w:rsidRPr="004F5FB4">
        <w:rPr>
          <w:b/>
          <w:color w:val="000000"/>
        </w:rPr>
        <w:t>Besondere Vorsichtsmaßnahmen für die Aufbewahrung</w:t>
      </w:r>
    </w:p>
    <w:p w14:paraId="687FB9AD" w14:textId="77777777" w:rsidR="00C46587" w:rsidRPr="004F5FB4" w:rsidRDefault="00C46587" w:rsidP="00982118">
      <w:pPr>
        <w:keepNext/>
        <w:rPr>
          <w:color w:val="000000"/>
        </w:rPr>
      </w:pPr>
    </w:p>
    <w:p w14:paraId="07030116" w14:textId="77777777" w:rsidR="00C46587" w:rsidRPr="004F5FB4" w:rsidRDefault="00C46587" w:rsidP="00982118">
      <w:pPr>
        <w:rPr>
          <w:color w:val="000000"/>
        </w:rPr>
      </w:pPr>
      <w:r w:rsidRPr="004F5FB4">
        <w:rPr>
          <w:color w:val="000000"/>
        </w:rPr>
        <w:t>Im Kühlschrank lagern (2 °C – 8 °C). Nicht einfrieren. Die Durchstechflasche im Umkarton aufbewahren, um den Inhalt vor Licht zu schützen.</w:t>
      </w:r>
    </w:p>
    <w:p w14:paraId="194D574D" w14:textId="77777777" w:rsidR="00C46587" w:rsidRPr="004F5FB4" w:rsidRDefault="00C46587" w:rsidP="00982118">
      <w:pPr>
        <w:rPr>
          <w:color w:val="000000"/>
        </w:rPr>
      </w:pPr>
    </w:p>
    <w:p w14:paraId="471AE230" w14:textId="77777777" w:rsidR="00945E10" w:rsidRPr="004F5FB4" w:rsidRDefault="00945E10" w:rsidP="00982118">
      <w:pPr>
        <w:pStyle w:val="BodyText"/>
        <w:widowControl/>
        <w:kinsoku w:val="0"/>
        <w:overflowPunct w:val="0"/>
        <w:ind w:left="0" w:right="244"/>
        <w:rPr>
          <w:color w:val="000000"/>
        </w:rPr>
      </w:pPr>
      <w:r w:rsidRPr="004F5FB4">
        <w:rPr>
          <w:color w:val="000000"/>
        </w:rPr>
        <w:t>Eine einzelne Durchstechflasche mit Amsparity darf für bis zu 30 Tage bei Temperaturen bis zu maximal 30 °C gelagert werden. Die Spritze muss vor Licht geschützt und entsorgt werden, wenn sie nicht innerhalb dieser 30</w:t>
      </w:r>
      <w:r w:rsidR="005C798E" w:rsidRPr="004F5FB4">
        <w:rPr>
          <w:color w:val="000000"/>
        </w:rPr>
        <w:t> </w:t>
      </w:r>
      <w:r w:rsidRPr="004F5FB4">
        <w:rPr>
          <w:color w:val="000000"/>
        </w:rPr>
        <w:t>Tage verwendet wird.</w:t>
      </w:r>
    </w:p>
    <w:p w14:paraId="6D6434A2" w14:textId="77777777" w:rsidR="00945E10" w:rsidRPr="004F5FB4" w:rsidRDefault="00945E10" w:rsidP="00982118">
      <w:pPr>
        <w:rPr>
          <w:color w:val="000000"/>
        </w:rPr>
      </w:pPr>
    </w:p>
    <w:p w14:paraId="38442BF4" w14:textId="77777777" w:rsidR="00C46587" w:rsidRPr="004F5FB4" w:rsidRDefault="00C46587" w:rsidP="00ED34EF">
      <w:pPr>
        <w:keepNext/>
        <w:tabs>
          <w:tab w:val="left" w:pos="562"/>
        </w:tabs>
        <w:rPr>
          <w:b/>
          <w:color w:val="000000"/>
        </w:rPr>
      </w:pPr>
      <w:r w:rsidRPr="004F5FB4">
        <w:rPr>
          <w:b/>
          <w:color w:val="000000"/>
        </w:rPr>
        <w:t>6.5</w:t>
      </w:r>
      <w:r w:rsidR="00204144" w:rsidRPr="004F5FB4">
        <w:rPr>
          <w:b/>
          <w:color w:val="000000"/>
        </w:rPr>
        <w:tab/>
      </w:r>
      <w:r w:rsidRPr="004F5FB4">
        <w:rPr>
          <w:b/>
          <w:color w:val="000000"/>
        </w:rPr>
        <w:t>Art und Inhalt des Behältnisses</w:t>
      </w:r>
    </w:p>
    <w:p w14:paraId="2A570848" w14:textId="77777777" w:rsidR="00C46587" w:rsidRPr="004F5FB4" w:rsidRDefault="00C46587" w:rsidP="00ED34EF">
      <w:pPr>
        <w:keepNext/>
        <w:rPr>
          <w:color w:val="000000"/>
        </w:rPr>
      </w:pPr>
    </w:p>
    <w:p w14:paraId="67E5876C" w14:textId="77777777" w:rsidR="00C46587" w:rsidRPr="004F5FB4" w:rsidRDefault="006A1144" w:rsidP="00982118">
      <w:pPr>
        <w:rPr>
          <w:color w:val="000000"/>
        </w:rPr>
      </w:pPr>
      <w:r w:rsidRPr="004F5FB4">
        <w:rPr>
          <w:color w:val="000000"/>
        </w:rPr>
        <w:t>Amsparity 40 mg Injektionslösung in einer Durchstechflasche (Glasart I) zum einmaligen Gebrauch, ausgestattet mit Gummistopfen, Aluminiumbördelkappe und Plastikkappe.</w:t>
      </w:r>
    </w:p>
    <w:p w14:paraId="6B892F32" w14:textId="77777777" w:rsidR="00C46587" w:rsidRPr="004F5FB4" w:rsidRDefault="00C46587" w:rsidP="00982118">
      <w:pPr>
        <w:rPr>
          <w:color w:val="000000"/>
        </w:rPr>
      </w:pPr>
    </w:p>
    <w:p w14:paraId="08E47FC3" w14:textId="77777777" w:rsidR="00C46587" w:rsidRPr="004F5FB4" w:rsidRDefault="00C46587" w:rsidP="00982118">
      <w:pPr>
        <w:rPr>
          <w:color w:val="000000"/>
        </w:rPr>
      </w:pPr>
      <w:r w:rsidRPr="004F5FB4">
        <w:rPr>
          <w:color w:val="000000"/>
        </w:rPr>
        <w:t>1</w:t>
      </w:r>
      <w:r w:rsidR="00D2285B" w:rsidRPr="004F5FB4">
        <w:rPr>
          <w:color w:val="000000"/>
        </w:rPr>
        <w:t> </w:t>
      </w:r>
      <w:r w:rsidRPr="004F5FB4">
        <w:rPr>
          <w:color w:val="000000"/>
        </w:rPr>
        <w:t>Packung mit 2</w:t>
      </w:r>
      <w:r w:rsidR="00D2285B" w:rsidRPr="004F5FB4">
        <w:rPr>
          <w:color w:val="000000"/>
        </w:rPr>
        <w:t> </w:t>
      </w:r>
      <w:r w:rsidRPr="004F5FB4">
        <w:rPr>
          <w:color w:val="000000"/>
        </w:rPr>
        <w:t>Faltschachteln; jede enthält:</w:t>
      </w:r>
    </w:p>
    <w:p w14:paraId="41061336" w14:textId="77777777" w:rsidR="00C46587" w:rsidRPr="004F5FB4" w:rsidRDefault="00C46587" w:rsidP="00982118">
      <w:pPr>
        <w:rPr>
          <w:color w:val="000000"/>
        </w:rPr>
      </w:pPr>
      <w:r w:rsidRPr="004F5FB4">
        <w:rPr>
          <w:color w:val="000000"/>
        </w:rPr>
        <w:t>1</w:t>
      </w:r>
      <w:r w:rsidR="00D2285B" w:rsidRPr="004F5FB4">
        <w:rPr>
          <w:color w:val="000000"/>
        </w:rPr>
        <w:t> </w:t>
      </w:r>
      <w:r w:rsidRPr="004F5FB4">
        <w:rPr>
          <w:color w:val="000000"/>
        </w:rPr>
        <w:t>Durchstechflasche (0,8 ml sterile Lösung), 1</w:t>
      </w:r>
      <w:r w:rsidR="00D2285B" w:rsidRPr="004F5FB4">
        <w:rPr>
          <w:color w:val="000000"/>
        </w:rPr>
        <w:t> </w:t>
      </w:r>
      <w:r w:rsidRPr="004F5FB4">
        <w:rPr>
          <w:color w:val="000000"/>
        </w:rPr>
        <w:t>leere sterile Injektionsspritze, 1</w:t>
      </w:r>
      <w:r w:rsidR="00D2285B" w:rsidRPr="004F5FB4">
        <w:rPr>
          <w:color w:val="000000"/>
        </w:rPr>
        <w:t> </w:t>
      </w:r>
      <w:r w:rsidRPr="004F5FB4">
        <w:rPr>
          <w:color w:val="000000"/>
        </w:rPr>
        <w:t>Nadel, 1</w:t>
      </w:r>
      <w:r w:rsidR="00D2285B" w:rsidRPr="004F5FB4">
        <w:rPr>
          <w:color w:val="000000"/>
        </w:rPr>
        <w:t> </w:t>
      </w:r>
      <w:r w:rsidRPr="004F5FB4">
        <w:rPr>
          <w:color w:val="000000"/>
        </w:rPr>
        <w:t>Adapter für die Durchstechflasche und 2</w:t>
      </w:r>
      <w:r w:rsidR="00D2285B" w:rsidRPr="004F5FB4">
        <w:rPr>
          <w:color w:val="000000"/>
        </w:rPr>
        <w:t> </w:t>
      </w:r>
      <w:r w:rsidRPr="004F5FB4">
        <w:rPr>
          <w:color w:val="000000"/>
        </w:rPr>
        <w:t>Alkoholtupfer.</w:t>
      </w:r>
    </w:p>
    <w:p w14:paraId="211BE160" w14:textId="77777777" w:rsidR="00C46587" w:rsidRPr="004F5FB4" w:rsidRDefault="00C46587" w:rsidP="00982118">
      <w:pPr>
        <w:rPr>
          <w:color w:val="000000"/>
        </w:rPr>
      </w:pPr>
    </w:p>
    <w:p w14:paraId="45A1E2C9" w14:textId="77777777" w:rsidR="00C46587" w:rsidRPr="004F5FB4" w:rsidRDefault="00C46587" w:rsidP="00ED34EF">
      <w:pPr>
        <w:keepNext/>
        <w:tabs>
          <w:tab w:val="left" w:pos="562"/>
        </w:tabs>
        <w:rPr>
          <w:b/>
          <w:color w:val="000000"/>
        </w:rPr>
      </w:pPr>
      <w:r w:rsidRPr="004F5FB4">
        <w:rPr>
          <w:b/>
          <w:color w:val="000000"/>
        </w:rPr>
        <w:t>6.6</w:t>
      </w:r>
      <w:r w:rsidR="00204144" w:rsidRPr="004F5FB4">
        <w:rPr>
          <w:b/>
          <w:color w:val="000000"/>
        </w:rPr>
        <w:tab/>
      </w:r>
      <w:r w:rsidRPr="004F5FB4">
        <w:rPr>
          <w:b/>
          <w:color w:val="000000"/>
        </w:rPr>
        <w:t>Besondere Vorsichtsmaßnahmen für die Beseitigung</w:t>
      </w:r>
    </w:p>
    <w:p w14:paraId="6E861AB9" w14:textId="77777777" w:rsidR="00C46587" w:rsidRPr="004F5FB4" w:rsidRDefault="00C46587" w:rsidP="00ED34EF">
      <w:pPr>
        <w:keepNext/>
        <w:rPr>
          <w:color w:val="000000"/>
        </w:rPr>
      </w:pPr>
    </w:p>
    <w:p w14:paraId="29BC2604" w14:textId="77777777" w:rsidR="00C46587" w:rsidRPr="004F5FB4" w:rsidRDefault="00C46587" w:rsidP="00982118">
      <w:pPr>
        <w:rPr>
          <w:color w:val="000000"/>
        </w:rPr>
      </w:pPr>
      <w:r w:rsidRPr="004F5FB4">
        <w:rPr>
          <w:color w:val="000000"/>
        </w:rPr>
        <w:t>Nicht verwendetes Arzneimittel oder Abfallmaterial ist entsprechend den nationalen Anforderungen zu beseitigen.</w:t>
      </w:r>
    </w:p>
    <w:p w14:paraId="320B3634" w14:textId="77777777" w:rsidR="00C46587" w:rsidRPr="004F5FB4" w:rsidRDefault="00C46587" w:rsidP="00982118">
      <w:pPr>
        <w:rPr>
          <w:color w:val="000000"/>
        </w:rPr>
      </w:pPr>
    </w:p>
    <w:p w14:paraId="732B3F0E" w14:textId="77777777" w:rsidR="00C46587" w:rsidRPr="004F5FB4" w:rsidRDefault="00C46587" w:rsidP="00982118">
      <w:pPr>
        <w:rPr>
          <w:color w:val="000000"/>
        </w:rPr>
      </w:pPr>
    </w:p>
    <w:p w14:paraId="5D1EF7F1" w14:textId="77777777" w:rsidR="00C46587" w:rsidRPr="004F5FB4" w:rsidRDefault="00C46587" w:rsidP="00ED34EF">
      <w:pPr>
        <w:keepNext/>
        <w:tabs>
          <w:tab w:val="left" w:pos="562"/>
        </w:tabs>
        <w:rPr>
          <w:b/>
          <w:color w:val="000000"/>
        </w:rPr>
      </w:pPr>
      <w:r w:rsidRPr="004F5FB4">
        <w:rPr>
          <w:b/>
          <w:color w:val="000000"/>
        </w:rPr>
        <w:t>7</w:t>
      </w:r>
      <w:r w:rsidRPr="004F5FB4">
        <w:rPr>
          <w:b/>
          <w:color w:val="000000"/>
        </w:rPr>
        <w:tab/>
        <w:t>INHABER DER ZULASSUNG</w:t>
      </w:r>
    </w:p>
    <w:p w14:paraId="081ABC22" w14:textId="77777777" w:rsidR="00C46587" w:rsidRPr="00C325BF" w:rsidRDefault="00C46587" w:rsidP="00ED34EF">
      <w:pPr>
        <w:keepNext/>
        <w:rPr>
          <w:color w:val="000000"/>
        </w:rPr>
      </w:pPr>
    </w:p>
    <w:p w14:paraId="04B02731" w14:textId="77777777" w:rsidR="00792CD9" w:rsidRPr="004F5FB4" w:rsidRDefault="00792CD9" w:rsidP="00ED34EF">
      <w:pPr>
        <w:pStyle w:val="Default"/>
        <w:keepNext/>
        <w:widowControl/>
        <w:autoSpaceDE/>
        <w:autoSpaceDN/>
        <w:adjustRightInd/>
        <w:rPr>
          <w:sz w:val="22"/>
          <w:szCs w:val="22"/>
        </w:rPr>
      </w:pPr>
      <w:r w:rsidRPr="004F5FB4">
        <w:rPr>
          <w:sz w:val="22"/>
          <w:szCs w:val="22"/>
        </w:rPr>
        <w:t>Pfizer Europe MA EEIG</w:t>
      </w:r>
    </w:p>
    <w:p w14:paraId="74DC372C" w14:textId="77777777" w:rsidR="004F6641" w:rsidRPr="00C325BF" w:rsidRDefault="004F6641" w:rsidP="00ED34EF">
      <w:pPr>
        <w:pStyle w:val="BodyText"/>
        <w:keepNext/>
        <w:widowControl/>
        <w:ind w:left="0"/>
        <w:rPr>
          <w:color w:val="000000"/>
          <w:lang w:val="fr-FR"/>
        </w:rPr>
      </w:pPr>
      <w:r w:rsidRPr="00C325BF">
        <w:rPr>
          <w:color w:val="000000"/>
          <w:lang w:val="fr-FR"/>
        </w:rPr>
        <w:t>Boulevard de la Plaine 17</w:t>
      </w:r>
    </w:p>
    <w:p w14:paraId="3F3D91EA" w14:textId="77777777" w:rsidR="004F6641" w:rsidRPr="00C325BF" w:rsidRDefault="004F6641" w:rsidP="00ED34EF">
      <w:pPr>
        <w:pStyle w:val="BodyText"/>
        <w:keepNext/>
        <w:widowControl/>
        <w:ind w:left="0"/>
        <w:rPr>
          <w:color w:val="000000"/>
          <w:lang w:val="fr-FR"/>
        </w:rPr>
      </w:pPr>
      <w:r w:rsidRPr="00C325BF">
        <w:rPr>
          <w:color w:val="000000"/>
          <w:lang w:val="fr-FR"/>
        </w:rPr>
        <w:t xml:space="preserve">1050 </w:t>
      </w:r>
      <w:proofErr w:type="spellStart"/>
      <w:r w:rsidRPr="00C325BF">
        <w:rPr>
          <w:color w:val="000000"/>
          <w:lang w:val="fr-FR"/>
        </w:rPr>
        <w:t>Br</w:t>
      </w:r>
      <w:r w:rsidR="005D6F9C" w:rsidRPr="00C325BF">
        <w:rPr>
          <w:color w:val="000000"/>
          <w:lang w:val="fr-FR"/>
        </w:rPr>
        <w:t>üssel</w:t>
      </w:r>
      <w:proofErr w:type="spellEnd"/>
    </w:p>
    <w:p w14:paraId="38138C75" w14:textId="77777777" w:rsidR="004F6641" w:rsidRPr="00C325BF" w:rsidRDefault="004F6641" w:rsidP="00982118">
      <w:pPr>
        <w:pStyle w:val="BodyText"/>
        <w:widowControl/>
        <w:kinsoku w:val="0"/>
        <w:overflowPunct w:val="0"/>
        <w:ind w:left="0"/>
        <w:rPr>
          <w:color w:val="000000"/>
          <w:lang w:val="fr-FR"/>
        </w:rPr>
      </w:pPr>
      <w:proofErr w:type="spellStart"/>
      <w:r w:rsidRPr="00C325BF">
        <w:rPr>
          <w:color w:val="000000"/>
          <w:lang w:val="fr-FR"/>
        </w:rPr>
        <w:t>Belgien</w:t>
      </w:r>
      <w:proofErr w:type="spellEnd"/>
    </w:p>
    <w:p w14:paraId="61004529" w14:textId="77777777" w:rsidR="00C46587" w:rsidRPr="00C325BF" w:rsidRDefault="00C46587" w:rsidP="00982118">
      <w:pPr>
        <w:rPr>
          <w:color w:val="000000"/>
          <w:lang w:val="fr-FR"/>
        </w:rPr>
      </w:pPr>
    </w:p>
    <w:p w14:paraId="626A1BDF" w14:textId="77777777" w:rsidR="00C46587" w:rsidRPr="00C325BF" w:rsidRDefault="00C46587" w:rsidP="00982118">
      <w:pPr>
        <w:rPr>
          <w:color w:val="000000"/>
          <w:lang w:val="fr-FR"/>
        </w:rPr>
      </w:pPr>
    </w:p>
    <w:p w14:paraId="1BBC1C05" w14:textId="77777777" w:rsidR="00C46587" w:rsidRPr="004F5FB4" w:rsidRDefault="00C46587" w:rsidP="00ED34EF">
      <w:pPr>
        <w:keepNext/>
        <w:tabs>
          <w:tab w:val="left" w:pos="562"/>
        </w:tabs>
        <w:rPr>
          <w:b/>
          <w:color w:val="000000"/>
        </w:rPr>
      </w:pPr>
      <w:r w:rsidRPr="004F5FB4">
        <w:rPr>
          <w:b/>
          <w:color w:val="000000"/>
        </w:rPr>
        <w:t>8</w:t>
      </w:r>
      <w:r w:rsidRPr="004F5FB4">
        <w:rPr>
          <w:b/>
          <w:color w:val="000000"/>
        </w:rPr>
        <w:tab/>
        <w:t xml:space="preserve">ZULASSUNGSNUMMER </w:t>
      </w:r>
    </w:p>
    <w:p w14:paraId="1A8BB5C6" w14:textId="77777777" w:rsidR="00C46587" w:rsidRPr="004F5FB4" w:rsidRDefault="00C46587" w:rsidP="00ED34EF">
      <w:pPr>
        <w:keepNext/>
        <w:rPr>
          <w:color w:val="000000"/>
        </w:rPr>
      </w:pPr>
    </w:p>
    <w:p w14:paraId="7CC92B1E" w14:textId="77777777" w:rsidR="00DA16F6" w:rsidRPr="004F5FB4" w:rsidRDefault="005C798E" w:rsidP="00982118">
      <w:pPr>
        <w:rPr>
          <w:color w:val="000000"/>
        </w:rPr>
      </w:pPr>
      <w:r w:rsidRPr="004F5FB4">
        <w:rPr>
          <w:color w:val="000000"/>
        </w:rPr>
        <w:t>EU/1/19/1415/002</w:t>
      </w:r>
    </w:p>
    <w:p w14:paraId="4C8814F6" w14:textId="77777777" w:rsidR="00C46587" w:rsidRPr="004F5FB4" w:rsidRDefault="00C46587" w:rsidP="00982118">
      <w:pPr>
        <w:rPr>
          <w:color w:val="000000"/>
        </w:rPr>
      </w:pPr>
    </w:p>
    <w:p w14:paraId="1B98ECF9" w14:textId="77777777" w:rsidR="00DA16F6" w:rsidRPr="004F5FB4" w:rsidRDefault="00DA16F6" w:rsidP="00982118">
      <w:pPr>
        <w:rPr>
          <w:color w:val="000000"/>
        </w:rPr>
      </w:pPr>
    </w:p>
    <w:p w14:paraId="54C7CA7F" w14:textId="77777777" w:rsidR="00C46587" w:rsidRPr="004F5FB4" w:rsidRDefault="00C46587" w:rsidP="00ED34EF">
      <w:pPr>
        <w:keepNext/>
        <w:tabs>
          <w:tab w:val="left" w:pos="562"/>
        </w:tabs>
        <w:rPr>
          <w:b/>
          <w:color w:val="000000"/>
        </w:rPr>
      </w:pPr>
      <w:r w:rsidRPr="004F5FB4">
        <w:rPr>
          <w:b/>
          <w:color w:val="000000"/>
        </w:rPr>
        <w:t>9</w:t>
      </w:r>
      <w:r w:rsidRPr="004F5FB4">
        <w:rPr>
          <w:b/>
          <w:color w:val="000000"/>
        </w:rPr>
        <w:tab/>
        <w:t>DATUM DER ERTEILUNG DER ZULASSUNG/VERLÄNGERUNG DER ZULASSUNG</w:t>
      </w:r>
    </w:p>
    <w:p w14:paraId="0FB05344" w14:textId="77777777" w:rsidR="00C46587" w:rsidRPr="004F5FB4" w:rsidRDefault="00C46587" w:rsidP="00ED34EF">
      <w:pPr>
        <w:keepNext/>
        <w:rPr>
          <w:color w:val="000000"/>
        </w:rPr>
      </w:pPr>
    </w:p>
    <w:p w14:paraId="7A77051B" w14:textId="77777777" w:rsidR="00732F67" w:rsidRDefault="00732F67" w:rsidP="00982118">
      <w:pPr>
        <w:rPr>
          <w:color w:val="000000"/>
        </w:rPr>
      </w:pPr>
      <w:r w:rsidRPr="004F5FB4">
        <w:rPr>
          <w:color w:val="000000"/>
        </w:rPr>
        <w:t xml:space="preserve">Datum der Erteilung der Zulassung: </w:t>
      </w:r>
      <w:r w:rsidR="00FC600D">
        <w:rPr>
          <w:color w:val="000000"/>
        </w:rPr>
        <w:t>13. Februar 2020</w:t>
      </w:r>
    </w:p>
    <w:p w14:paraId="47E6CE3C" w14:textId="25969F4E" w:rsidR="00B05112" w:rsidRPr="004F5FB4" w:rsidRDefault="00B05112" w:rsidP="00982118">
      <w:pPr>
        <w:rPr>
          <w:i/>
          <w:color w:val="000000"/>
        </w:rPr>
      </w:pPr>
      <w:r>
        <w:rPr>
          <w:color w:val="000000"/>
        </w:rPr>
        <w:t>Datum der letzten Verlängerung</w:t>
      </w:r>
      <w:r w:rsidR="004572E6">
        <w:rPr>
          <w:color w:val="000000"/>
        </w:rPr>
        <w:t xml:space="preserve"> der Zulassung</w:t>
      </w:r>
      <w:r>
        <w:rPr>
          <w:color w:val="000000"/>
        </w:rPr>
        <w:t>:</w:t>
      </w:r>
      <w:r w:rsidR="007E4617">
        <w:rPr>
          <w:color w:val="000000"/>
        </w:rPr>
        <w:t xml:space="preserve"> 19. September 2024</w:t>
      </w:r>
    </w:p>
    <w:p w14:paraId="430BDFDC" w14:textId="77777777" w:rsidR="00732F67" w:rsidRPr="004F5FB4" w:rsidRDefault="00732F67" w:rsidP="00982118">
      <w:pPr>
        <w:rPr>
          <w:color w:val="000000"/>
        </w:rPr>
      </w:pPr>
    </w:p>
    <w:p w14:paraId="3997C8EC" w14:textId="77777777" w:rsidR="00C46587" w:rsidRPr="004F5FB4" w:rsidRDefault="00C46587" w:rsidP="00982118">
      <w:pPr>
        <w:rPr>
          <w:color w:val="000000"/>
        </w:rPr>
      </w:pPr>
    </w:p>
    <w:p w14:paraId="0F03E2F3" w14:textId="77777777" w:rsidR="00C46587" w:rsidRPr="004F5FB4" w:rsidRDefault="00C46587" w:rsidP="00ED34EF">
      <w:pPr>
        <w:keepNext/>
        <w:tabs>
          <w:tab w:val="left" w:pos="562"/>
        </w:tabs>
        <w:rPr>
          <w:b/>
          <w:color w:val="000000"/>
        </w:rPr>
      </w:pPr>
      <w:r w:rsidRPr="004F5FB4">
        <w:rPr>
          <w:b/>
          <w:color w:val="000000"/>
        </w:rPr>
        <w:t>10</w:t>
      </w:r>
      <w:r w:rsidRPr="004F5FB4">
        <w:rPr>
          <w:b/>
          <w:color w:val="000000"/>
        </w:rPr>
        <w:tab/>
        <w:t>STAND DER INFORMATION</w:t>
      </w:r>
    </w:p>
    <w:p w14:paraId="23263642" w14:textId="77777777" w:rsidR="00C46587" w:rsidRPr="004F5FB4" w:rsidRDefault="00C46587" w:rsidP="00ED34EF">
      <w:pPr>
        <w:keepNext/>
        <w:rPr>
          <w:color w:val="000000"/>
        </w:rPr>
      </w:pPr>
    </w:p>
    <w:p w14:paraId="0BFC3B60" w14:textId="78988A23" w:rsidR="00C13BE3" w:rsidRPr="004F5FB4" w:rsidRDefault="00C46587" w:rsidP="00982118">
      <w:pPr>
        <w:rPr>
          <w:color w:val="000000"/>
        </w:rPr>
      </w:pPr>
      <w:r w:rsidRPr="004F5FB4">
        <w:rPr>
          <w:color w:val="000000"/>
        </w:rPr>
        <w:t xml:space="preserve">Ausführliche Informationen zu diesem Arzneimittel sind auf den Internetseiten der Europäischen Arzneimittel-Agentur </w:t>
      </w:r>
      <w:r w:rsidR="00000C6C">
        <w:fldChar w:fldCharType="begin"/>
      </w:r>
      <w:r w:rsidR="00000C6C">
        <w:instrText>HYPERLINK "https://www.ema.europa.eu"</w:instrText>
      </w:r>
      <w:r w:rsidR="00000C6C">
        <w:fldChar w:fldCharType="separate"/>
      </w:r>
      <w:r w:rsidR="00000C6C" w:rsidRPr="00A242C3">
        <w:rPr>
          <w:rStyle w:val="Hyperlink"/>
        </w:rPr>
        <w:t>https://www.ema.europa.eu</w:t>
      </w:r>
      <w:r w:rsidR="00000C6C">
        <w:fldChar w:fldCharType="end"/>
      </w:r>
    </w:p>
    <w:p w14:paraId="36E0148D" w14:textId="52B2C4B7" w:rsidR="00C46587" w:rsidRPr="004F5FB4" w:rsidRDefault="00C46587" w:rsidP="00982118">
      <w:pPr>
        <w:keepNext/>
        <w:tabs>
          <w:tab w:val="left" w:pos="562"/>
        </w:tabs>
        <w:rPr>
          <w:b/>
          <w:color w:val="000000"/>
        </w:rPr>
      </w:pPr>
      <w:r w:rsidRPr="004F5FB4">
        <w:rPr>
          <w:color w:val="000000"/>
        </w:rPr>
        <w:br w:type="page"/>
      </w:r>
      <w:r w:rsidRPr="004F5FB4">
        <w:rPr>
          <w:b/>
          <w:color w:val="000000"/>
        </w:rPr>
        <w:lastRenderedPageBreak/>
        <w:t>1</w:t>
      </w:r>
      <w:r w:rsidR="00E45812" w:rsidRPr="004F5FB4">
        <w:rPr>
          <w:b/>
          <w:color w:val="000000"/>
        </w:rPr>
        <w:t>.</w:t>
      </w:r>
      <w:r w:rsidRPr="004F5FB4">
        <w:rPr>
          <w:b/>
          <w:color w:val="000000"/>
        </w:rPr>
        <w:t xml:space="preserve"> </w:t>
      </w:r>
      <w:r w:rsidRPr="004F5FB4">
        <w:rPr>
          <w:b/>
          <w:color w:val="000000"/>
        </w:rPr>
        <w:tab/>
        <w:t>BEZEICHNUNG DES ARZNEIMITTELS</w:t>
      </w:r>
    </w:p>
    <w:p w14:paraId="4D814701" w14:textId="77777777" w:rsidR="00C46587" w:rsidRPr="004F5FB4" w:rsidRDefault="00C46587" w:rsidP="00ED34EF">
      <w:pPr>
        <w:keepNext/>
        <w:rPr>
          <w:color w:val="000000"/>
        </w:rPr>
      </w:pPr>
    </w:p>
    <w:p w14:paraId="738DCCC6" w14:textId="77777777" w:rsidR="00C46587" w:rsidRPr="004F5FB4" w:rsidRDefault="006A1144" w:rsidP="00982118">
      <w:pPr>
        <w:rPr>
          <w:color w:val="000000"/>
        </w:rPr>
      </w:pPr>
      <w:r w:rsidRPr="004F5FB4">
        <w:rPr>
          <w:color w:val="000000"/>
        </w:rPr>
        <w:t>Amsparity 40 mg Injektionslösung in einer Fertigspritze</w:t>
      </w:r>
    </w:p>
    <w:p w14:paraId="21F5B8D9" w14:textId="77777777" w:rsidR="00C46587" w:rsidRPr="004F5FB4" w:rsidRDefault="006A1144" w:rsidP="00982118">
      <w:pPr>
        <w:rPr>
          <w:color w:val="000000"/>
        </w:rPr>
      </w:pPr>
      <w:r w:rsidRPr="004F5FB4">
        <w:rPr>
          <w:color w:val="000000"/>
        </w:rPr>
        <w:t>Amsparity 40 mg Injektionslösung im Fertigpen</w:t>
      </w:r>
    </w:p>
    <w:p w14:paraId="6AC12C7B" w14:textId="77777777" w:rsidR="00C46587" w:rsidRPr="004F5FB4" w:rsidRDefault="00C46587" w:rsidP="00982118">
      <w:pPr>
        <w:rPr>
          <w:color w:val="000000"/>
        </w:rPr>
      </w:pPr>
    </w:p>
    <w:p w14:paraId="0FD447BF" w14:textId="77777777" w:rsidR="00C46587" w:rsidRPr="004F5FB4" w:rsidRDefault="00C46587" w:rsidP="00982118">
      <w:pPr>
        <w:rPr>
          <w:color w:val="000000"/>
        </w:rPr>
      </w:pPr>
    </w:p>
    <w:p w14:paraId="5DD134CA" w14:textId="77777777" w:rsidR="00C46587" w:rsidRPr="004F5FB4" w:rsidRDefault="00C46587" w:rsidP="00982118">
      <w:pPr>
        <w:keepNext/>
        <w:tabs>
          <w:tab w:val="left" w:pos="562"/>
        </w:tabs>
        <w:rPr>
          <w:b/>
          <w:color w:val="000000"/>
        </w:rPr>
      </w:pPr>
      <w:r w:rsidRPr="004F5FB4">
        <w:rPr>
          <w:b/>
          <w:color w:val="000000"/>
        </w:rPr>
        <w:t>2</w:t>
      </w:r>
      <w:r w:rsidR="00E45812" w:rsidRPr="004F5FB4">
        <w:rPr>
          <w:b/>
          <w:color w:val="000000"/>
        </w:rPr>
        <w:t>.</w:t>
      </w:r>
      <w:r w:rsidRPr="004F5FB4">
        <w:rPr>
          <w:b/>
          <w:color w:val="000000"/>
        </w:rPr>
        <w:t xml:space="preserve"> </w:t>
      </w:r>
      <w:r w:rsidRPr="004F5FB4">
        <w:rPr>
          <w:b/>
          <w:color w:val="000000"/>
        </w:rPr>
        <w:tab/>
        <w:t>QUALITATIVE UND QUANTITATIVE ZUSAMMENSETZUNG</w:t>
      </w:r>
    </w:p>
    <w:p w14:paraId="3DE31162" w14:textId="77777777" w:rsidR="00C46587" w:rsidRPr="004F5FB4" w:rsidRDefault="00C46587" w:rsidP="00ED34EF">
      <w:pPr>
        <w:keepNext/>
        <w:rPr>
          <w:color w:val="000000"/>
        </w:rPr>
      </w:pPr>
    </w:p>
    <w:p w14:paraId="4B1EBAF0" w14:textId="77777777" w:rsidR="00C46587" w:rsidRPr="004F5FB4" w:rsidRDefault="006A1144" w:rsidP="00ED34EF">
      <w:pPr>
        <w:keepNext/>
        <w:rPr>
          <w:color w:val="000000"/>
          <w:u w:val="single"/>
        </w:rPr>
      </w:pPr>
      <w:r w:rsidRPr="004F5FB4">
        <w:rPr>
          <w:color w:val="000000"/>
          <w:u w:val="single"/>
        </w:rPr>
        <w:t>Amsparity 40 mg Injektionslösung in einer Fertigspritze</w:t>
      </w:r>
    </w:p>
    <w:p w14:paraId="74F656F6" w14:textId="77777777" w:rsidR="00566288" w:rsidRPr="004F5FB4" w:rsidRDefault="00566288" w:rsidP="00ED34EF">
      <w:pPr>
        <w:keepNext/>
        <w:rPr>
          <w:color w:val="000000"/>
        </w:rPr>
      </w:pPr>
    </w:p>
    <w:p w14:paraId="29730A0A" w14:textId="77777777" w:rsidR="00C46587" w:rsidRPr="004F5FB4" w:rsidRDefault="00C46587" w:rsidP="00982118">
      <w:pPr>
        <w:rPr>
          <w:color w:val="000000"/>
        </w:rPr>
      </w:pPr>
      <w:r w:rsidRPr="004F5FB4">
        <w:rPr>
          <w:color w:val="000000"/>
        </w:rPr>
        <w:t>Jede Einzeldosis-Fertigspritze mit 0,8 ml enthält 40 mg Adalimumab.</w:t>
      </w:r>
    </w:p>
    <w:p w14:paraId="3D54E00C" w14:textId="77777777" w:rsidR="00C46587" w:rsidRPr="004F5FB4" w:rsidRDefault="00C46587" w:rsidP="00982118">
      <w:pPr>
        <w:rPr>
          <w:color w:val="000000"/>
        </w:rPr>
      </w:pPr>
    </w:p>
    <w:p w14:paraId="7C2411F5" w14:textId="77777777" w:rsidR="00C46587" w:rsidRPr="004F5FB4" w:rsidRDefault="006A1144" w:rsidP="00ED34EF">
      <w:pPr>
        <w:keepNext/>
        <w:rPr>
          <w:color w:val="000000"/>
          <w:u w:val="single"/>
        </w:rPr>
      </w:pPr>
      <w:r w:rsidRPr="004F5FB4">
        <w:rPr>
          <w:color w:val="000000"/>
          <w:u w:val="single"/>
        </w:rPr>
        <w:t>Amsparity 40 mg Injektionslösung im Fertigpen</w:t>
      </w:r>
    </w:p>
    <w:p w14:paraId="0ED1EFE6" w14:textId="77777777" w:rsidR="00566288" w:rsidRPr="004F5FB4" w:rsidRDefault="00566288" w:rsidP="00ED34EF">
      <w:pPr>
        <w:keepNext/>
        <w:rPr>
          <w:color w:val="000000"/>
        </w:rPr>
      </w:pPr>
    </w:p>
    <w:p w14:paraId="26ED02D4" w14:textId="77777777" w:rsidR="00C46587" w:rsidRPr="004F5FB4" w:rsidRDefault="00C46587" w:rsidP="00982118">
      <w:pPr>
        <w:rPr>
          <w:color w:val="000000"/>
        </w:rPr>
      </w:pPr>
      <w:r w:rsidRPr="004F5FB4">
        <w:rPr>
          <w:color w:val="000000"/>
        </w:rPr>
        <w:t>Jeder Einzeldosis-Fertigpen mit 0,8 ml enthält 40 mg Adalimumab.</w:t>
      </w:r>
    </w:p>
    <w:p w14:paraId="6D92424C" w14:textId="77777777" w:rsidR="00C46587" w:rsidRPr="004F5FB4" w:rsidRDefault="00C46587" w:rsidP="00982118">
      <w:pPr>
        <w:rPr>
          <w:color w:val="000000"/>
        </w:rPr>
      </w:pPr>
    </w:p>
    <w:p w14:paraId="1F066229" w14:textId="77777777" w:rsidR="00C46587" w:rsidRPr="004F5FB4" w:rsidRDefault="00C46587" w:rsidP="00982118">
      <w:pPr>
        <w:rPr>
          <w:color w:val="000000"/>
        </w:rPr>
      </w:pPr>
      <w:r w:rsidRPr="004F5FB4">
        <w:rPr>
          <w:color w:val="000000"/>
        </w:rPr>
        <w:t>Adalimumab ist ein rekombinanter humaner monoklonaler Antikörper, der in Ovarialzellen des Chinesischen Hamsters produziert wird.</w:t>
      </w:r>
    </w:p>
    <w:p w14:paraId="52F07ECF" w14:textId="77777777" w:rsidR="00C46587" w:rsidRPr="004F5FB4" w:rsidRDefault="00C46587" w:rsidP="00982118">
      <w:pPr>
        <w:rPr>
          <w:color w:val="000000"/>
        </w:rPr>
      </w:pPr>
    </w:p>
    <w:p w14:paraId="29DA7733" w14:textId="77777777" w:rsidR="006A3593" w:rsidRPr="007F47A9" w:rsidRDefault="006A3593" w:rsidP="006A3593">
      <w:pPr>
        <w:kinsoku w:val="0"/>
        <w:overflowPunct w:val="0"/>
        <w:rPr>
          <w:u w:val="single"/>
        </w:rPr>
      </w:pPr>
      <w:r>
        <w:rPr>
          <w:u w:val="single"/>
        </w:rPr>
        <w:t>Sonstige Bestandteile mit bekannter Wirkung</w:t>
      </w:r>
      <w:r>
        <w:rPr>
          <w:u w:val="single"/>
        </w:rPr>
        <w:br/>
      </w:r>
    </w:p>
    <w:p w14:paraId="3D1BB64B" w14:textId="77777777" w:rsidR="006A3593" w:rsidRPr="007F47A9" w:rsidRDefault="006A3593" w:rsidP="006A3593">
      <w:bookmarkStart w:id="2" w:name="_Hlk174376071"/>
      <w:r>
        <w:t xml:space="preserve">Amsparity 40 mg Injektionslösung enthält 0,16 mg Polysorbat 80 pro Einzeldosis-Fertigspritze und Einzeldosis-Fertigpen mit 0,8 ml, entsprechend 0,2 mg/ml Polysorbat 80. </w:t>
      </w:r>
    </w:p>
    <w:bookmarkEnd w:id="2"/>
    <w:p w14:paraId="6B2D421F" w14:textId="77777777" w:rsidR="006A3593" w:rsidRPr="00272A84" w:rsidRDefault="006A3593" w:rsidP="006A3593"/>
    <w:p w14:paraId="6F3DA2B7" w14:textId="77777777" w:rsidR="00C46587" w:rsidRPr="004F5FB4" w:rsidRDefault="00C46587" w:rsidP="00982118">
      <w:pPr>
        <w:rPr>
          <w:color w:val="000000"/>
        </w:rPr>
      </w:pPr>
      <w:r w:rsidRPr="004F5FB4">
        <w:rPr>
          <w:color w:val="000000"/>
        </w:rPr>
        <w:t>Vollständige Auflistung der sonstigen Bestandteile, siehe Abschnitt</w:t>
      </w:r>
      <w:r w:rsidR="00D73FD8" w:rsidRPr="004F5FB4">
        <w:rPr>
          <w:color w:val="000000"/>
        </w:rPr>
        <w:t> </w:t>
      </w:r>
      <w:r w:rsidRPr="004F5FB4">
        <w:rPr>
          <w:color w:val="000000"/>
        </w:rPr>
        <w:t>6.1.</w:t>
      </w:r>
    </w:p>
    <w:p w14:paraId="2A982651" w14:textId="77777777" w:rsidR="00C46587" w:rsidRPr="004F5FB4" w:rsidRDefault="00C46587" w:rsidP="00982118">
      <w:pPr>
        <w:rPr>
          <w:color w:val="000000"/>
        </w:rPr>
      </w:pPr>
    </w:p>
    <w:p w14:paraId="2A02B131" w14:textId="77777777" w:rsidR="00C46587" w:rsidRPr="004F5FB4" w:rsidRDefault="00C46587" w:rsidP="00982118">
      <w:pPr>
        <w:rPr>
          <w:color w:val="000000"/>
        </w:rPr>
      </w:pPr>
    </w:p>
    <w:p w14:paraId="44546E61" w14:textId="77777777" w:rsidR="00C46587" w:rsidRPr="004F5FB4" w:rsidRDefault="00C46587" w:rsidP="00982118">
      <w:pPr>
        <w:keepNext/>
        <w:tabs>
          <w:tab w:val="left" w:pos="562"/>
        </w:tabs>
        <w:rPr>
          <w:b/>
          <w:color w:val="000000"/>
        </w:rPr>
      </w:pPr>
      <w:r w:rsidRPr="004F5FB4">
        <w:rPr>
          <w:b/>
          <w:color w:val="000000"/>
        </w:rPr>
        <w:t>3</w:t>
      </w:r>
      <w:r w:rsidR="00E45812" w:rsidRPr="004F5FB4">
        <w:rPr>
          <w:b/>
          <w:color w:val="000000"/>
        </w:rPr>
        <w:t>.</w:t>
      </w:r>
      <w:r w:rsidRPr="004F5FB4">
        <w:rPr>
          <w:b/>
          <w:color w:val="000000"/>
        </w:rPr>
        <w:t xml:space="preserve"> </w:t>
      </w:r>
      <w:r w:rsidRPr="004F5FB4">
        <w:rPr>
          <w:b/>
          <w:color w:val="000000"/>
        </w:rPr>
        <w:tab/>
        <w:t>DARREICHUNGSFORM</w:t>
      </w:r>
    </w:p>
    <w:p w14:paraId="761B6750" w14:textId="77777777" w:rsidR="00C46587" w:rsidRPr="004F5FB4" w:rsidRDefault="00C46587" w:rsidP="00982118">
      <w:pPr>
        <w:rPr>
          <w:color w:val="000000"/>
        </w:rPr>
      </w:pPr>
    </w:p>
    <w:p w14:paraId="14574D5E" w14:textId="77777777" w:rsidR="00C46587" w:rsidRPr="004F5FB4" w:rsidRDefault="00C46587" w:rsidP="00982118">
      <w:pPr>
        <w:rPr>
          <w:color w:val="000000"/>
        </w:rPr>
      </w:pPr>
      <w:r w:rsidRPr="004F5FB4">
        <w:rPr>
          <w:color w:val="000000"/>
        </w:rPr>
        <w:t>Injektionslösung (Injektion)</w:t>
      </w:r>
    </w:p>
    <w:p w14:paraId="743FD8CD" w14:textId="77777777" w:rsidR="00C46587" w:rsidRPr="004F5FB4" w:rsidRDefault="00C46587" w:rsidP="00982118">
      <w:pPr>
        <w:rPr>
          <w:color w:val="000000"/>
        </w:rPr>
      </w:pPr>
    </w:p>
    <w:p w14:paraId="506D1F84" w14:textId="77777777" w:rsidR="00C46587" w:rsidRPr="004F5FB4" w:rsidRDefault="00C46587" w:rsidP="00982118">
      <w:pPr>
        <w:rPr>
          <w:color w:val="000000"/>
        </w:rPr>
      </w:pPr>
      <w:r w:rsidRPr="004F5FB4">
        <w:rPr>
          <w:color w:val="000000"/>
        </w:rPr>
        <w:t>Klare, farblose bis sehr hellbraune Lösung</w:t>
      </w:r>
    </w:p>
    <w:p w14:paraId="055EEC4A" w14:textId="77777777" w:rsidR="00C46587" w:rsidRPr="004F5FB4" w:rsidRDefault="00C46587" w:rsidP="00982118">
      <w:pPr>
        <w:rPr>
          <w:color w:val="000000"/>
        </w:rPr>
      </w:pPr>
    </w:p>
    <w:p w14:paraId="259B847D" w14:textId="77777777" w:rsidR="00C46587" w:rsidRPr="004F5FB4" w:rsidRDefault="00C46587" w:rsidP="00982118">
      <w:pPr>
        <w:rPr>
          <w:color w:val="000000"/>
        </w:rPr>
      </w:pPr>
    </w:p>
    <w:p w14:paraId="5A366C53" w14:textId="77777777" w:rsidR="00C46587" w:rsidRPr="004F5FB4" w:rsidRDefault="00C46587" w:rsidP="00ED34EF">
      <w:pPr>
        <w:keepNext/>
        <w:tabs>
          <w:tab w:val="left" w:pos="562"/>
        </w:tabs>
        <w:rPr>
          <w:b/>
          <w:color w:val="000000"/>
        </w:rPr>
      </w:pPr>
      <w:r w:rsidRPr="004F5FB4">
        <w:rPr>
          <w:b/>
          <w:color w:val="000000"/>
        </w:rPr>
        <w:t>4</w:t>
      </w:r>
      <w:r w:rsidR="00E45812" w:rsidRPr="004F5FB4">
        <w:rPr>
          <w:b/>
          <w:color w:val="000000"/>
        </w:rPr>
        <w:t>.</w:t>
      </w:r>
      <w:r w:rsidRPr="004F5FB4">
        <w:rPr>
          <w:b/>
          <w:color w:val="000000"/>
        </w:rPr>
        <w:t xml:space="preserve"> </w:t>
      </w:r>
      <w:r w:rsidRPr="004F5FB4">
        <w:rPr>
          <w:b/>
          <w:color w:val="000000"/>
        </w:rPr>
        <w:tab/>
        <w:t xml:space="preserve">KLINISCHE ANGABEN </w:t>
      </w:r>
    </w:p>
    <w:p w14:paraId="74E69FD7" w14:textId="77777777" w:rsidR="00C46587" w:rsidRPr="004F5FB4" w:rsidRDefault="00C46587" w:rsidP="00ED34EF">
      <w:pPr>
        <w:keepNext/>
        <w:rPr>
          <w:color w:val="000000"/>
        </w:rPr>
      </w:pPr>
    </w:p>
    <w:p w14:paraId="4E8EE654" w14:textId="77777777" w:rsidR="00C46587" w:rsidRPr="004F5FB4" w:rsidRDefault="00C46587" w:rsidP="00ED34EF">
      <w:pPr>
        <w:keepNext/>
        <w:tabs>
          <w:tab w:val="left" w:pos="562"/>
        </w:tabs>
        <w:rPr>
          <w:b/>
          <w:color w:val="000000"/>
        </w:rPr>
      </w:pPr>
      <w:r w:rsidRPr="004F5FB4">
        <w:rPr>
          <w:b/>
          <w:color w:val="000000"/>
        </w:rPr>
        <w:t>4.1 </w:t>
      </w:r>
      <w:r w:rsidRPr="004F5FB4">
        <w:rPr>
          <w:b/>
          <w:color w:val="000000"/>
        </w:rPr>
        <w:tab/>
        <w:t xml:space="preserve">Anwendungsgebiete </w:t>
      </w:r>
    </w:p>
    <w:p w14:paraId="5B26FBA8" w14:textId="77777777" w:rsidR="00C46587" w:rsidRPr="004F5FB4" w:rsidRDefault="00C46587" w:rsidP="00ED34EF">
      <w:pPr>
        <w:keepNext/>
        <w:rPr>
          <w:color w:val="000000"/>
        </w:rPr>
      </w:pPr>
    </w:p>
    <w:p w14:paraId="01913F64" w14:textId="77777777" w:rsidR="00C46587" w:rsidRPr="004F5FB4" w:rsidRDefault="00C46587" w:rsidP="00ED34EF">
      <w:pPr>
        <w:keepNext/>
        <w:rPr>
          <w:color w:val="000000"/>
          <w:u w:val="single"/>
        </w:rPr>
      </w:pPr>
      <w:r w:rsidRPr="004F5FB4">
        <w:rPr>
          <w:color w:val="000000"/>
          <w:u w:val="single"/>
        </w:rPr>
        <w:t>Rheumatoide Arthritis</w:t>
      </w:r>
    </w:p>
    <w:p w14:paraId="3C398D42" w14:textId="77777777" w:rsidR="00C46587" w:rsidRPr="004F5FB4" w:rsidRDefault="00C46587" w:rsidP="00ED34EF">
      <w:pPr>
        <w:keepNext/>
        <w:rPr>
          <w:color w:val="000000"/>
        </w:rPr>
      </w:pPr>
    </w:p>
    <w:p w14:paraId="06ED0415" w14:textId="77777777" w:rsidR="00C46587" w:rsidRPr="004F5FB4" w:rsidRDefault="006A1144" w:rsidP="00982118">
      <w:pPr>
        <w:rPr>
          <w:color w:val="000000"/>
        </w:rPr>
      </w:pPr>
      <w:r w:rsidRPr="004F5FB4">
        <w:rPr>
          <w:color w:val="000000"/>
        </w:rPr>
        <w:t xml:space="preserve">Amsparity </w:t>
      </w:r>
      <w:r w:rsidR="00EB309E" w:rsidRPr="004F5FB4">
        <w:rPr>
          <w:color w:val="000000"/>
        </w:rPr>
        <w:t xml:space="preserve">wird </w:t>
      </w:r>
      <w:r w:rsidRPr="004F5FB4">
        <w:rPr>
          <w:color w:val="000000"/>
        </w:rPr>
        <w:t xml:space="preserve">in Kombination mit Methotrexat </w:t>
      </w:r>
      <w:r w:rsidR="00EB309E" w:rsidRPr="004F5FB4">
        <w:rPr>
          <w:color w:val="000000"/>
        </w:rPr>
        <w:t xml:space="preserve">angewendet </w:t>
      </w:r>
      <w:r w:rsidRPr="004F5FB4">
        <w:rPr>
          <w:color w:val="000000"/>
        </w:rPr>
        <w:t>zur</w:t>
      </w:r>
    </w:p>
    <w:p w14:paraId="4DC2562C" w14:textId="77777777" w:rsidR="00C46587" w:rsidRPr="004F5FB4" w:rsidRDefault="00C46587" w:rsidP="00982118">
      <w:pPr>
        <w:rPr>
          <w:color w:val="000000"/>
        </w:rPr>
      </w:pPr>
    </w:p>
    <w:p w14:paraId="3370A6D5" w14:textId="77777777" w:rsidR="00C46587" w:rsidRPr="004F5FB4" w:rsidRDefault="00C46587" w:rsidP="007C4B2C">
      <w:pPr>
        <w:numPr>
          <w:ilvl w:val="0"/>
          <w:numId w:val="61"/>
        </w:numPr>
        <w:ind w:left="360"/>
        <w:rPr>
          <w:color w:val="000000"/>
        </w:rPr>
      </w:pPr>
      <w:r w:rsidRPr="004F5FB4">
        <w:rPr>
          <w:color w:val="000000"/>
        </w:rPr>
        <w:t xml:space="preserve">Behandlung der mäßigen bis schweren aktiven rheumatoiden Arthritis bei erwachsenen Patienten, die nur unzureichend auf krankheitsmodifizierende Antirheumatika, einschließlich Methotrexat, angesprochen haben. </w:t>
      </w:r>
    </w:p>
    <w:p w14:paraId="03BD12D9" w14:textId="77777777" w:rsidR="00C46587" w:rsidRPr="004F5FB4" w:rsidRDefault="00C46587" w:rsidP="007C4B2C">
      <w:pPr>
        <w:numPr>
          <w:ilvl w:val="0"/>
          <w:numId w:val="61"/>
        </w:numPr>
        <w:ind w:left="360"/>
        <w:rPr>
          <w:color w:val="000000"/>
        </w:rPr>
      </w:pPr>
      <w:r w:rsidRPr="004F5FB4">
        <w:rPr>
          <w:color w:val="000000"/>
        </w:rPr>
        <w:t xml:space="preserve">Behandlung der schweren, aktiven und progressiven rheumatoiden Arthritis bei Erwachsenen, die zuvor nicht mit Methotrexat behandelt worden sind. </w:t>
      </w:r>
    </w:p>
    <w:p w14:paraId="0788BDAA" w14:textId="77777777" w:rsidR="00C46587" w:rsidRPr="004F5FB4" w:rsidRDefault="00C46587" w:rsidP="00982118">
      <w:pPr>
        <w:rPr>
          <w:color w:val="000000"/>
        </w:rPr>
      </w:pPr>
    </w:p>
    <w:p w14:paraId="23E0EA64" w14:textId="77777777" w:rsidR="00C46587" w:rsidRPr="004F5FB4" w:rsidRDefault="006A1144" w:rsidP="00982118">
      <w:pPr>
        <w:rPr>
          <w:color w:val="000000"/>
        </w:rPr>
      </w:pPr>
      <w:r w:rsidRPr="004F5FB4">
        <w:rPr>
          <w:color w:val="000000"/>
        </w:rPr>
        <w:t xml:space="preserve">Amsparity kann im Falle einer Unverträglichkeit gegenüber Methotrexat, oder wenn die weitere Behandlung mit Methotrexat nicht sinnvoll ist, als Monotherapie angewendet werden. </w:t>
      </w:r>
    </w:p>
    <w:p w14:paraId="068CCAAF" w14:textId="77777777" w:rsidR="00C46587" w:rsidRPr="004F5FB4" w:rsidRDefault="00C46587" w:rsidP="00982118">
      <w:pPr>
        <w:rPr>
          <w:color w:val="000000"/>
        </w:rPr>
      </w:pPr>
    </w:p>
    <w:p w14:paraId="62485292" w14:textId="77777777" w:rsidR="00C46587" w:rsidRPr="004F5FB4" w:rsidRDefault="001A02E3" w:rsidP="00982118">
      <w:pPr>
        <w:rPr>
          <w:color w:val="000000"/>
        </w:rPr>
      </w:pPr>
      <w:r w:rsidRPr="004F5FB4">
        <w:rPr>
          <w:color w:val="000000"/>
        </w:rPr>
        <w:t>Adalimumab reduziert in Kombination mit Methotrexat das Fortschreiten der radiologisch nachweisbaren</w:t>
      </w:r>
      <w:r w:rsidR="007D7163" w:rsidRPr="004F5FB4">
        <w:rPr>
          <w:color w:val="000000"/>
        </w:rPr>
        <w:t xml:space="preserve"> strukturellen</w:t>
      </w:r>
      <w:r w:rsidRPr="004F5FB4">
        <w:rPr>
          <w:color w:val="000000"/>
        </w:rPr>
        <w:t xml:space="preserve"> Gelenkschädigungen und verbessert die körperliche Funktionsfähigkeit. </w:t>
      </w:r>
    </w:p>
    <w:p w14:paraId="0B949152" w14:textId="77777777" w:rsidR="00C46587" w:rsidRPr="004F5FB4" w:rsidRDefault="00C46587" w:rsidP="00982118">
      <w:pPr>
        <w:rPr>
          <w:color w:val="000000"/>
        </w:rPr>
      </w:pPr>
    </w:p>
    <w:p w14:paraId="5D97A7F1" w14:textId="77777777" w:rsidR="00C46587" w:rsidRPr="004F5FB4" w:rsidRDefault="00566288" w:rsidP="00ED34EF">
      <w:pPr>
        <w:keepNext/>
        <w:rPr>
          <w:color w:val="000000"/>
          <w:u w:val="single"/>
        </w:rPr>
      </w:pPr>
      <w:r w:rsidRPr="004F5FB4">
        <w:rPr>
          <w:color w:val="000000"/>
          <w:u w:val="single"/>
        </w:rPr>
        <w:lastRenderedPageBreak/>
        <w:t>Juvenile idiopathische Arthritis</w:t>
      </w:r>
    </w:p>
    <w:p w14:paraId="1E12A863" w14:textId="77777777" w:rsidR="00C46587" w:rsidRPr="004F5FB4" w:rsidRDefault="00C46587" w:rsidP="00ED34EF">
      <w:pPr>
        <w:keepNext/>
        <w:rPr>
          <w:color w:val="000000"/>
        </w:rPr>
      </w:pPr>
    </w:p>
    <w:p w14:paraId="4CD29DA7" w14:textId="77777777" w:rsidR="00C46587" w:rsidRPr="004F5FB4" w:rsidRDefault="00C46587" w:rsidP="00ED34EF">
      <w:pPr>
        <w:keepNext/>
        <w:rPr>
          <w:i/>
          <w:color w:val="000000"/>
        </w:rPr>
      </w:pPr>
      <w:r w:rsidRPr="004F5FB4">
        <w:rPr>
          <w:i/>
          <w:color w:val="000000"/>
        </w:rPr>
        <w:t xml:space="preserve">Polyartikuläre juvenile idiopathische Arthritis </w:t>
      </w:r>
    </w:p>
    <w:p w14:paraId="46F6F8A4" w14:textId="77777777" w:rsidR="00C46587" w:rsidRPr="004F5FB4" w:rsidRDefault="00C46587" w:rsidP="00ED34EF">
      <w:pPr>
        <w:keepNext/>
        <w:rPr>
          <w:color w:val="000000"/>
        </w:rPr>
      </w:pPr>
    </w:p>
    <w:p w14:paraId="0BAD97C7" w14:textId="77777777" w:rsidR="00C46587" w:rsidRPr="004F5FB4" w:rsidRDefault="006A1144" w:rsidP="00982118">
      <w:pPr>
        <w:rPr>
          <w:color w:val="000000"/>
        </w:rPr>
      </w:pPr>
      <w:r w:rsidRPr="004F5FB4">
        <w:rPr>
          <w:color w:val="000000"/>
        </w:rPr>
        <w:t xml:space="preserve">Amsparity </w:t>
      </w:r>
      <w:r w:rsidR="00EB309E" w:rsidRPr="004F5FB4">
        <w:rPr>
          <w:color w:val="000000"/>
        </w:rPr>
        <w:t xml:space="preserve">wird </w:t>
      </w:r>
      <w:r w:rsidRPr="004F5FB4">
        <w:rPr>
          <w:color w:val="000000"/>
        </w:rPr>
        <w:t xml:space="preserve">in Kombination mit Methotrexat </w:t>
      </w:r>
      <w:r w:rsidR="00EB309E" w:rsidRPr="004F5FB4">
        <w:rPr>
          <w:color w:val="000000"/>
        </w:rPr>
        <w:t>angewendet</w:t>
      </w:r>
      <w:r w:rsidRPr="004F5FB4">
        <w:rPr>
          <w:color w:val="000000"/>
        </w:rPr>
        <w:t xml:space="preserve"> zur Behandlung der aktiven polyartikulären juvenilen idiopathischen Arthritis bei Patienten ab dem Alter von 2</w:t>
      </w:r>
      <w:r w:rsidR="00D73FD8" w:rsidRPr="004F5FB4">
        <w:rPr>
          <w:color w:val="000000"/>
        </w:rPr>
        <w:t> </w:t>
      </w:r>
      <w:r w:rsidRPr="004F5FB4">
        <w:rPr>
          <w:color w:val="000000"/>
        </w:rPr>
        <w:t>Jahren, die nur unzureichend auf ein oder mehrere krankheitsmodifizierende Antirheumatika (DMARDs) angesprochen haben. Amsparity kann im Falle einer Unverträglichkeit gegenüber Methotrexat oder, wenn die weitere Behandlung mit Methotrexat nicht sinnvoll ist, als Monotherapie angewendet werden (zur Wirksamkeit bei der Monotherapie siehe Abschnitt</w:t>
      </w:r>
      <w:r w:rsidR="00D73FD8" w:rsidRPr="004F5FB4">
        <w:rPr>
          <w:color w:val="000000"/>
        </w:rPr>
        <w:t> </w:t>
      </w:r>
      <w:r w:rsidRPr="004F5FB4">
        <w:rPr>
          <w:color w:val="000000"/>
        </w:rPr>
        <w:t xml:space="preserve">5.1). Bei Patienten, die jünger als 2 Jahre sind, wurde Adalimumab nicht untersucht. </w:t>
      </w:r>
    </w:p>
    <w:p w14:paraId="1DA46BDC" w14:textId="77777777" w:rsidR="00C46587" w:rsidRPr="004F5FB4" w:rsidRDefault="00C46587" w:rsidP="00982118">
      <w:pPr>
        <w:rPr>
          <w:color w:val="000000"/>
        </w:rPr>
      </w:pPr>
    </w:p>
    <w:p w14:paraId="47CAA419" w14:textId="77777777" w:rsidR="00C46587" w:rsidRPr="004F5FB4" w:rsidRDefault="00C46587" w:rsidP="00982118">
      <w:pPr>
        <w:keepNext/>
        <w:rPr>
          <w:i/>
          <w:color w:val="000000"/>
        </w:rPr>
      </w:pPr>
      <w:r w:rsidRPr="004F5FB4">
        <w:rPr>
          <w:i/>
          <w:color w:val="000000"/>
        </w:rPr>
        <w:t>Enthesitis-assoziierte Arthritis</w:t>
      </w:r>
    </w:p>
    <w:p w14:paraId="4406305E" w14:textId="77777777" w:rsidR="00C46587" w:rsidRPr="004F5FB4" w:rsidRDefault="00C46587" w:rsidP="00ED34EF">
      <w:pPr>
        <w:keepNext/>
        <w:rPr>
          <w:color w:val="000000"/>
        </w:rPr>
      </w:pPr>
    </w:p>
    <w:p w14:paraId="3C7A6575" w14:textId="77777777" w:rsidR="00C46587" w:rsidRPr="004F5FB4" w:rsidRDefault="006A1144" w:rsidP="00982118">
      <w:pPr>
        <w:rPr>
          <w:color w:val="000000"/>
        </w:rPr>
      </w:pPr>
      <w:r w:rsidRPr="004F5FB4">
        <w:rPr>
          <w:color w:val="000000"/>
        </w:rPr>
        <w:t xml:space="preserve">Amsparity </w:t>
      </w:r>
      <w:r w:rsidR="00EB309E" w:rsidRPr="004F5FB4">
        <w:rPr>
          <w:color w:val="000000"/>
        </w:rPr>
        <w:t xml:space="preserve">wird angewendet </w:t>
      </w:r>
      <w:r w:rsidRPr="004F5FB4">
        <w:rPr>
          <w:color w:val="000000"/>
        </w:rPr>
        <w:t>zur Behandlung der aktiven Enthesitis-assoziierten Arthritis bei Patienten, die 6</w:t>
      </w:r>
      <w:r w:rsidR="00204144" w:rsidRPr="004F5FB4">
        <w:rPr>
          <w:color w:val="000000"/>
        </w:rPr>
        <w:t> </w:t>
      </w:r>
      <w:r w:rsidRPr="004F5FB4">
        <w:rPr>
          <w:color w:val="000000"/>
        </w:rPr>
        <w:t>Jahre und älter sind und die nur unzureichend auf eine konventionelle Therapie angesprochen haben oder die eine Unverträglichkeit gegenüber einer solchen Therapie haben (siehe Abschnitt</w:t>
      </w:r>
      <w:r w:rsidR="00D73FD8" w:rsidRPr="004F5FB4">
        <w:rPr>
          <w:color w:val="000000"/>
        </w:rPr>
        <w:t> </w:t>
      </w:r>
      <w:r w:rsidRPr="004F5FB4">
        <w:rPr>
          <w:color w:val="000000"/>
        </w:rPr>
        <w:t xml:space="preserve">5.1). </w:t>
      </w:r>
    </w:p>
    <w:p w14:paraId="3E931524" w14:textId="77777777" w:rsidR="00C46587" w:rsidRPr="004F5FB4" w:rsidRDefault="00C46587" w:rsidP="00982118">
      <w:pPr>
        <w:rPr>
          <w:color w:val="000000"/>
        </w:rPr>
      </w:pPr>
    </w:p>
    <w:p w14:paraId="2B9EE58A" w14:textId="77777777" w:rsidR="00C46587" w:rsidRPr="004F5FB4" w:rsidRDefault="00C46587" w:rsidP="00ED34EF">
      <w:pPr>
        <w:keepNext/>
        <w:rPr>
          <w:color w:val="000000"/>
          <w:u w:val="single"/>
        </w:rPr>
      </w:pPr>
      <w:r w:rsidRPr="004F5FB4">
        <w:rPr>
          <w:color w:val="000000"/>
          <w:u w:val="single"/>
        </w:rPr>
        <w:t>Axiale Spondyloarthritis</w:t>
      </w:r>
    </w:p>
    <w:p w14:paraId="09D8A259" w14:textId="77777777" w:rsidR="00C46587" w:rsidRPr="004F5FB4" w:rsidRDefault="00C46587" w:rsidP="00ED34EF">
      <w:pPr>
        <w:keepNext/>
        <w:rPr>
          <w:color w:val="000000"/>
        </w:rPr>
      </w:pPr>
    </w:p>
    <w:p w14:paraId="56D8E12F" w14:textId="77777777" w:rsidR="00C46587" w:rsidRPr="004F5FB4" w:rsidRDefault="00C46587" w:rsidP="00ED34EF">
      <w:pPr>
        <w:keepNext/>
        <w:rPr>
          <w:i/>
          <w:color w:val="000000"/>
        </w:rPr>
      </w:pPr>
      <w:r w:rsidRPr="004F5FB4">
        <w:rPr>
          <w:i/>
          <w:color w:val="000000"/>
        </w:rPr>
        <w:t xml:space="preserve">Ankylosierende Spondylitis (AS) </w:t>
      </w:r>
    </w:p>
    <w:p w14:paraId="5943B265" w14:textId="77777777" w:rsidR="00C46587" w:rsidRPr="004F5FB4" w:rsidRDefault="00C46587" w:rsidP="00ED34EF">
      <w:pPr>
        <w:keepNext/>
        <w:rPr>
          <w:color w:val="000000"/>
        </w:rPr>
      </w:pPr>
    </w:p>
    <w:p w14:paraId="151FC33B" w14:textId="77777777" w:rsidR="00C46587" w:rsidRPr="004F5FB4" w:rsidRDefault="006A1144" w:rsidP="00982118">
      <w:pPr>
        <w:rPr>
          <w:color w:val="000000"/>
        </w:rPr>
      </w:pPr>
      <w:r w:rsidRPr="004F5FB4">
        <w:rPr>
          <w:color w:val="000000"/>
        </w:rPr>
        <w:t xml:space="preserve">Amsparity </w:t>
      </w:r>
      <w:r w:rsidR="00EB309E" w:rsidRPr="004F5FB4">
        <w:rPr>
          <w:color w:val="000000"/>
        </w:rPr>
        <w:t>wird angewendet</w:t>
      </w:r>
      <w:r w:rsidRPr="004F5FB4">
        <w:rPr>
          <w:color w:val="000000"/>
        </w:rPr>
        <w:t xml:space="preserve"> zur Behandlung der schweren aktiven ankylosierenden Spondylitis bei Erwachsenen, die nur unzureichend auf eine konventionelle Therapie angesprochen haben. </w:t>
      </w:r>
    </w:p>
    <w:p w14:paraId="7E916F8B" w14:textId="77777777" w:rsidR="00C46587" w:rsidRPr="004F5FB4" w:rsidRDefault="00C46587" w:rsidP="00982118">
      <w:pPr>
        <w:rPr>
          <w:color w:val="000000"/>
        </w:rPr>
      </w:pPr>
    </w:p>
    <w:p w14:paraId="2C7121C8" w14:textId="77777777" w:rsidR="00C46587" w:rsidRPr="004F5FB4" w:rsidRDefault="00C46587" w:rsidP="00ED34EF">
      <w:pPr>
        <w:keepNext/>
        <w:rPr>
          <w:i/>
          <w:color w:val="000000"/>
        </w:rPr>
      </w:pPr>
      <w:r w:rsidRPr="004F5FB4">
        <w:rPr>
          <w:i/>
          <w:color w:val="000000"/>
        </w:rPr>
        <w:t>Axiale Spondyloarthritis ohne Röntgennachweis einer AS</w:t>
      </w:r>
    </w:p>
    <w:p w14:paraId="0B29B9EB" w14:textId="77777777" w:rsidR="00C46587" w:rsidRPr="004F5FB4" w:rsidRDefault="00C46587" w:rsidP="00ED34EF">
      <w:pPr>
        <w:keepNext/>
        <w:rPr>
          <w:color w:val="000000"/>
        </w:rPr>
      </w:pPr>
    </w:p>
    <w:p w14:paraId="5ACE320E" w14:textId="77777777" w:rsidR="00C46587" w:rsidRPr="004F5FB4" w:rsidRDefault="006A1144" w:rsidP="00982118">
      <w:pPr>
        <w:rPr>
          <w:color w:val="000000"/>
        </w:rPr>
      </w:pPr>
      <w:r w:rsidRPr="004F5FB4">
        <w:rPr>
          <w:color w:val="000000"/>
        </w:rPr>
        <w:t xml:space="preserve">Amsparity </w:t>
      </w:r>
      <w:r w:rsidR="00EB309E" w:rsidRPr="004F5FB4">
        <w:rPr>
          <w:color w:val="000000"/>
        </w:rPr>
        <w:t>wird angewendet</w:t>
      </w:r>
      <w:r w:rsidRPr="004F5FB4">
        <w:rPr>
          <w:color w:val="000000"/>
        </w:rPr>
        <w:t xml:space="preserve"> zur Behandlung der schweren axialen Spondyloarthritis ohne Röntgennachweis einer AS, aber mit objektiven Anzeichen der Entzündung durch erhöhtes CRP und/oder MRT, bei Erwachsenen, die nur unzureichend auf nicht steroidale Antirheumatika</w:t>
      </w:r>
      <w:r w:rsidR="00EB309E" w:rsidRPr="004F5FB4">
        <w:rPr>
          <w:color w:val="000000"/>
        </w:rPr>
        <w:t xml:space="preserve"> (NSAR)</w:t>
      </w:r>
      <w:r w:rsidRPr="004F5FB4">
        <w:rPr>
          <w:color w:val="000000"/>
        </w:rPr>
        <w:t xml:space="preserve"> angesprochen haben oder bei denen eine Unverträglichkeit gegenüber diesen vorliegt.</w:t>
      </w:r>
    </w:p>
    <w:p w14:paraId="33631A14" w14:textId="77777777" w:rsidR="00C46587" w:rsidRPr="004F5FB4" w:rsidRDefault="00C46587" w:rsidP="00982118">
      <w:pPr>
        <w:rPr>
          <w:color w:val="000000"/>
        </w:rPr>
      </w:pPr>
    </w:p>
    <w:p w14:paraId="7BEC46AE" w14:textId="77777777" w:rsidR="00C46587" w:rsidRPr="004F5FB4" w:rsidRDefault="00566288" w:rsidP="00ED34EF">
      <w:pPr>
        <w:keepNext/>
        <w:rPr>
          <w:color w:val="000000"/>
          <w:u w:val="single"/>
        </w:rPr>
      </w:pPr>
      <w:r w:rsidRPr="004F5FB4">
        <w:rPr>
          <w:color w:val="000000"/>
          <w:u w:val="single"/>
        </w:rPr>
        <w:t>Psoriasis-Arthritis</w:t>
      </w:r>
    </w:p>
    <w:p w14:paraId="3260841D" w14:textId="77777777" w:rsidR="00C46587" w:rsidRPr="004F5FB4" w:rsidRDefault="00C46587" w:rsidP="00ED34EF">
      <w:pPr>
        <w:keepNext/>
        <w:rPr>
          <w:color w:val="000000"/>
        </w:rPr>
      </w:pPr>
    </w:p>
    <w:p w14:paraId="3BB90C99" w14:textId="77777777" w:rsidR="00C46587" w:rsidRPr="004F5FB4" w:rsidRDefault="006A1144" w:rsidP="00982118">
      <w:pPr>
        <w:rPr>
          <w:color w:val="000000"/>
        </w:rPr>
      </w:pPr>
      <w:r w:rsidRPr="004F5FB4">
        <w:rPr>
          <w:color w:val="000000"/>
        </w:rPr>
        <w:t xml:space="preserve">Amsparity </w:t>
      </w:r>
      <w:r w:rsidR="00EB309E" w:rsidRPr="004F5FB4">
        <w:rPr>
          <w:color w:val="000000"/>
        </w:rPr>
        <w:t>wird angewendet</w:t>
      </w:r>
      <w:r w:rsidRPr="004F5FB4">
        <w:rPr>
          <w:color w:val="000000"/>
        </w:rPr>
        <w:t xml:space="preserve"> zur Behandlung der aktiven und progressiven Psoriasis-Arthritis (Arthritis psoriatica) bei Erwachsenen, die nur unzureichend auf eine vorherige krankheitsmodifizierende Therapie mit nicht steroidalen Antirheumatika angesprochen haben. Adalimumab reduziert das Fortschreiten der radiologisch nachweisbaren strukturellen Schädigungen der peripheren Gelenke bei Patienten mit polyartikulären symmetrischen Subtypen der Erkrankung (siehe Abschnitt</w:t>
      </w:r>
      <w:r w:rsidR="00D73FD8" w:rsidRPr="004F5FB4">
        <w:rPr>
          <w:color w:val="000000"/>
        </w:rPr>
        <w:t> </w:t>
      </w:r>
      <w:r w:rsidRPr="004F5FB4">
        <w:rPr>
          <w:color w:val="000000"/>
        </w:rPr>
        <w:t xml:space="preserve">5.1) und verbessert die körperliche Funktionsfähigkeit. </w:t>
      </w:r>
    </w:p>
    <w:p w14:paraId="45252F09" w14:textId="77777777" w:rsidR="00C46587" w:rsidRPr="004F5FB4" w:rsidRDefault="00C46587" w:rsidP="00982118">
      <w:pPr>
        <w:rPr>
          <w:color w:val="000000"/>
        </w:rPr>
      </w:pPr>
    </w:p>
    <w:p w14:paraId="3E8A43DC" w14:textId="77777777" w:rsidR="00C46587" w:rsidRPr="004F5FB4" w:rsidRDefault="00C46587" w:rsidP="00ED34EF">
      <w:pPr>
        <w:keepNext/>
        <w:rPr>
          <w:color w:val="000000"/>
          <w:u w:val="single"/>
        </w:rPr>
      </w:pPr>
      <w:r w:rsidRPr="004F5FB4">
        <w:rPr>
          <w:color w:val="000000"/>
          <w:u w:val="single"/>
        </w:rPr>
        <w:t>Psoriasis</w:t>
      </w:r>
    </w:p>
    <w:p w14:paraId="595A35B9" w14:textId="77777777" w:rsidR="00C46587" w:rsidRPr="004F5FB4" w:rsidRDefault="00C46587" w:rsidP="00ED34EF">
      <w:pPr>
        <w:keepNext/>
        <w:rPr>
          <w:color w:val="000000"/>
        </w:rPr>
      </w:pPr>
    </w:p>
    <w:p w14:paraId="74CBDC23" w14:textId="77777777" w:rsidR="00C46587"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 xml:space="preserve">zur Behandlung der mittelschweren bis schweren chronischen Plaque-Psoriasis bei erwachsenen Patienten, die Kandidaten für eine systemische Therapie sind. </w:t>
      </w:r>
    </w:p>
    <w:p w14:paraId="4BC91410" w14:textId="77777777" w:rsidR="00C46587" w:rsidRPr="004F5FB4" w:rsidRDefault="00C46587" w:rsidP="00982118">
      <w:pPr>
        <w:rPr>
          <w:color w:val="000000"/>
        </w:rPr>
      </w:pPr>
    </w:p>
    <w:p w14:paraId="7C1392A2" w14:textId="77777777" w:rsidR="00C46587" w:rsidRPr="004F5FB4" w:rsidRDefault="00BD3A11" w:rsidP="00ED34EF">
      <w:pPr>
        <w:keepNext/>
        <w:rPr>
          <w:color w:val="000000"/>
          <w:u w:val="single"/>
        </w:rPr>
      </w:pPr>
      <w:r w:rsidRPr="004F5FB4">
        <w:rPr>
          <w:color w:val="000000"/>
          <w:u w:val="single"/>
        </w:rPr>
        <w:t>Plaque-Psoriasis bei Kindern und Jugendlichen</w:t>
      </w:r>
    </w:p>
    <w:p w14:paraId="15ED557A" w14:textId="77777777" w:rsidR="00C46587" w:rsidRPr="004F5FB4" w:rsidRDefault="00C46587" w:rsidP="00ED34EF">
      <w:pPr>
        <w:keepNext/>
        <w:rPr>
          <w:color w:val="000000"/>
        </w:rPr>
      </w:pPr>
    </w:p>
    <w:p w14:paraId="4CF4F047" w14:textId="77777777" w:rsidR="00C46587"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zur Behandlung der schweren chronischen Plaque-Psoriasis bei Kindern und Jugendlichen ab dem Alter von 4</w:t>
      </w:r>
      <w:r w:rsidR="00D73FD8" w:rsidRPr="004F5FB4">
        <w:rPr>
          <w:color w:val="000000"/>
        </w:rPr>
        <w:t> </w:t>
      </w:r>
      <w:r w:rsidRPr="004F5FB4">
        <w:rPr>
          <w:color w:val="000000"/>
        </w:rPr>
        <w:t>Jahren, die nur unzureichend auf eine topische Therapie und Phototherapien angesprochen haben oder für die diese Therapien nicht geeignet sind.</w:t>
      </w:r>
    </w:p>
    <w:p w14:paraId="6BB2AE27" w14:textId="77777777" w:rsidR="00C46587" w:rsidRPr="004F5FB4" w:rsidRDefault="00C46587" w:rsidP="00982118">
      <w:pPr>
        <w:rPr>
          <w:color w:val="000000"/>
        </w:rPr>
      </w:pPr>
    </w:p>
    <w:p w14:paraId="40D0109E" w14:textId="77777777" w:rsidR="00C46587" w:rsidRPr="004F5FB4" w:rsidRDefault="00BD3A11" w:rsidP="00ED34EF">
      <w:pPr>
        <w:keepNext/>
        <w:rPr>
          <w:color w:val="000000"/>
          <w:u w:val="single"/>
        </w:rPr>
      </w:pPr>
      <w:r w:rsidRPr="004F5FB4">
        <w:rPr>
          <w:color w:val="000000"/>
          <w:u w:val="single"/>
        </w:rPr>
        <w:t>Hidradenitis suppurativa (Acne inversa)</w:t>
      </w:r>
    </w:p>
    <w:p w14:paraId="091A6062" w14:textId="77777777" w:rsidR="00C46587" w:rsidRPr="004F5FB4" w:rsidRDefault="00C46587" w:rsidP="00ED34EF">
      <w:pPr>
        <w:keepNext/>
        <w:rPr>
          <w:color w:val="000000"/>
        </w:rPr>
      </w:pPr>
    </w:p>
    <w:p w14:paraId="53F0410E" w14:textId="77777777" w:rsidR="00C46587"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zur Behandlung der mittelschweren bis schweren aktiven Hidradenitis suppurativa (HS) (Acne inversa) bei Erwachsenen und Jugendlichen ab einem Alter von 12</w:t>
      </w:r>
      <w:r w:rsidR="00D73FD8" w:rsidRPr="004F5FB4">
        <w:rPr>
          <w:color w:val="000000"/>
        </w:rPr>
        <w:t> </w:t>
      </w:r>
      <w:r w:rsidRPr="004F5FB4">
        <w:rPr>
          <w:color w:val="000000"/>
        </w:rPr>
        <w:t xml:space="preserve">Jahren, die </w:t>
      </w:r>
      <w:r w:rsidRPr="004F5FB4">
        <w:rPr>
          <w:color w:val="000000"/>
        </w:rPr>
        <w:lastRenderedPageBreak/>
        <w:t>unzureichend auf eine konventionelle systemische HS-Therapie ansprechen (siehe Abschnitte</w:t>
      </w:r>
      <w:r w:rsidR="00D73FD8" w:rsidRPr="004F5FB4">
        <w:rPr>
          <w:color w:val="000000"/>
        </w:rPr>
        <w:t> </w:t>
      </w:r>
      <w:r w:rsidRPr="004F5FB4">
        <w:rPr>
          <w:color w:val="000000"/>
        </w:rPr>
        <w:t xml:space="preserve">5.1 und 5.2). </w:t>
      </w:r>
    </w:p>
    <w:p w14:paraId="42FC8B6E" w14:textId="77777777" w:rsidR="00C46587" w:rsidRPr="004F5FB4" w:rsidRDefault="00C46587" w:rsidP="00982118">
      <w:pPr>
        <w:rPr>
          <w:color w:val="000000"/>
        </w:rPr>
      </w:pPr>
    </w:p>
    <w:p w14:paraId="6D7DD087" w14:textId="77777777" w:rsidR="00C46587" w:rsidRPr="004F5FB4" w:rsidRDefault="00BD3A11" w:rsidP="00ED34EF">
      <w:pPr>
        <w:keepNext/>
        <w:rPr>
          <w:color w:val="000000"/>
          <w:u w:val="single"/>
        </w:rPr>
      </w:pPr>
      <w:r w:rsidRPr="004F5FB4">
        <w:rPr>
          <w:color w:val="000000"/>
          <w:u w:val="single"/>
        </w:rPr>
        <w:t>Morbus Crohn</w:t>
      </w:r>
    </w:p>
    <w:p w14:paraId="0EB5B585" w14:textId="77777777" w:rsidR="00C46587" w:rsidRPr="004F5FB4" w:rsidRDefault="00C46587" w:rsidP="00ED34EF">
      <w:pPr>
        <w:keepNext/>
        <w:rPr>
          <w:color w:val="000000"/>
        </w:rPr>
      </w:pPr>
    </w:p>
    <w:p w14:paraId="6C016723" w14:textId="77777777" w:rsidR="00C46587"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 xml:space="preserve">zur Behandlung des mittelschweren bis schweren, aktiven Morbus Crohn bei erwachsenen Patienten, die trotz einer vollständigen und adäquaten Therapie mit einem </w:t>
      </w:r>
      <w:r w:rsidR="007D7163" w:rsidRPr="004F5FB4">
        <w:rPr>
          <w:color w:val="000000"/>
        </w:rPr>
        <w:t>Glukok</w:t>
      </w:r>
      <w:r w:rsidRPr="004F5FB4">
        <w:rPr>
          <w:color w:val="000000"/>
        </w:rPr>
        <w:t>ortikoid und/</w:t>
      </w:r>
      <w:r w:rsidR="007D7163" w:rsidRPr="004F5FB4">
        <w:rPr>
          <w:color w:val="000000"/>
        </w:rPr>
        <w:t xml:space="preserve"> </w:t>
      </w:r>
      <w:r w:rsidRPr="004F5FB4">
        <w:rPr>
          <w:color w:val="000000"/>
        </w:rPr>
        <w:t>oder einem Immunsuppressivum nicht ausreichend angesprochen haben oder die eine Unverträglichkeit gegenüber einer solchen Therapie haben oder bei denen eine solche Therapie kontraindiziert ist.</w:t>
      </w:r>
    </w:p>
    <w:p w14:paraId="0CDE8FEC" w14:textId="77777777" w:rsidR="00C46587" w:rsidRPr="004F5FB4" w:rsidRDefault="00C46587" w:rsidP="00982118">
      <w:pPr>
        <w:rPr>
          <w:color w:val="000000"/>
        </w:rPr>
      </w:pPr>
    </w:p>
    <w:p w14:paraId="5143FAEB" w14:textId="77777777" w:rsidR="00C46587" w:rsidRPr="004F5FB4" w:rsidRDefault="00C46587" w:rsidP="00982118">
      <w:pPr>
        <w:keepNext/>
        <w:rPr>
          <w:color w:val="000000"/>
          <w:u w:val="single"/>
        </w:rPr>
      </w:pPr>
      <w:r w:rsidRPr="004F5FB4">
        <w:rPr>
          <w:color w:val="000000"/>
          <w:u w:val="single"/>
        </w:rPr>
        <w:t>Morbus Crohn bei Kindern und Jugendlichen</w:t>
      </w:r>
    </w:p>
    <w:p w14:paraId="37FDED54" w14:textId="77777777" w:rsidR="00C46587" w:rsidRPr="004F5FB4" w:rsidRDefault="00C46587" w:rsidP="00DC3A99">
      <w:pPr>
        <w:keepNext/>
        <w:rPr>
          <w:color w:val="000000"/>
        </w:rPr>
      </w:pPr>
    </w:p>
    <w:p w14:paraId="23866ED5" w14:textId="77777777" w:rsidR="00C46587"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zur Behandlung des mittelschweren bis schweren, aktiven Morbus Crohn bei Kindern und Jugendlichen (ab dem Alter von 6</w:t>
      </w:r>
      <w:r w:rsidR="00D73FD8" w:rsidRPr="004F5FB4">
        <w:rPr>
          <w:color w:val="000000"/>
        </w:rPr>
        <w:t> </w:t>
      </w:r>
      <w:r w:rsidRPr="004F5FB4">
        <w:rPr>
          <w:color w:val="000000"/>
        </w:rPr>
        <w:t xml:space="preserve">Jahren), die nur unzureichend auf eine konventionelle Therapie, einschließlich primärer Ernährungstherapie und eines </w:t>
      </w:r>
      <w:r w:rsidR="007D7163" w:rsidRPr="004F5FB4">
        <w:rPr>
          <w:color w:val="000000"/>
        </w:rPr>
        <w:t>Glukok</w:t>
      </w:r>
      <w:r w:rsidRPr="004F5FB4">
        <w:rPr>
          <w:color w:val="000000"/>
        </w:rPr>
        <w:t>ortikoids und/</w:t>
      </w:r>
      <w:r w:rsidR="007D7163" w:rsidRPr="004F5FB4">
        <w:rPr>
          <w:color w:val="000000"/>
        </w:rPr>
        <w:t xml:space="preserve"> </w:t>
      </w:r>
      <w:r w:rsidRPr="004F5FB4">
        <w:rPr>
          <w:color w:val="000000"/>
        </w:rPr>
        <w:t>oder eines Immun</w:t>
      </w:r>
      <w:r w:rsidR="007D7163" w:rsidRPr="004F5FB4">
        <w:rPr>
          <w:color w:val="000000"/>
        </w:rPr>
        <w:t>suppressivums</w:t>
      </w:r>
      <w:r w:rsidRPr="004F5FB4">
        <w:rPr>
          <w:color w:val="000000"/>
        </w:rPr>
        <w:t>, angesprochen haben oder die eine Unverträglichkeit gegenüber einer solchen Therapie haben oder bei denen eine solche Therapie kontraindiziert ist.</w:t>
      </w:r>
    </w:p>
    <w:p w14:paraId="7756A782" w14:textId="77777777" w:rsidR="00C46587" w:rsidRPr="004F5FB4" w:rsidRDefault="00C46587" w:rsidP="00982118">
      <w:pPr>
        <w:rPr>
          <w:color w:val="000000"/>
        </w:rPr>
      </w:pPr>
    </w:p>
    <w:p w14:paraId="52652707" w14:textId="77777777" w:rsidR="00C46587" w:rsidRPr="004F5FB4" w:rsidRDefault="00BD3A11" w:rsidP="00982118">
      <w:pPr>
        <w:keepNext/>
        <w:rPr>
          <w:color w:val="000000"/>
          <w:u w:val="single"/>
        </w:rPr>
      </w:pPr>
      <w:r w:rsidRPr="004F5FB4">
        <w:rPr>
          <w:color w:val="000000"/>
          <w:u w:val="single"/>
        </w:rPr>
        <w:t>Colitis ulcerosa</w:t>
      </w:r>
    </w:p>
    <w:p w14:paraId="0D971AAD" w14:textId="77777777" w:rsidR="00C46587" w:rsidRPr="004F5FB4" w:rsidRDefault="00C46587" w:rsidP="00982118">
      <w:pPr>
        <w:keepNext/>
        <w:rPr>
          <w:color w:val="000000"/>
        </w:rPr>
      </w:pPr>
    </w:p>
    <w:p w14:paraId="78E71E3C" w14:textId="77777777" w:rsidR="00C46587"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 xml:space="preserve">zur Behandlung der mittelschweren bis schweren aktiven Colitis ulcerosa bei erwachsenen Patienten, die auf eine konventionelle Therapie, einschließlich </w:t>
      </w:r>
      <w:r w:rsidR="007D7163" w:rsidRPr="004F5FB4">
        <w:rPr>
          <w:color w:val="000000"/>
        </w:rPr>
        <w:t>Glukok</w:t>
      </w:r>
      <w:r w:rsidRPr="004F5FB4">
        <w:rPr>
          <w:color w:val="000000"/>
        </w:rPr>
        <w:t>ortikoide und 6-Mercaptopurin (6-MP) oder Azathioprin (AZA), unzureichend angesprochen haben oder die eine Unverträglichkeit gegenüber einer solchen Therapie haben oder bei denen eine solche Therapie kontraindiziert ist.</w:t>
      </w:r>
    </w:p>
    <w:p w14:paraId="557FD743" w14:textId="77777777" w:rsidR="00C46587" w:rsidRDefault="00C46587" w:rsidP="00982118">
      <w:pPr>
        <w:rPr>
          <w:color w:val="000000"/>
        </w:rPr>
      </w:pPr>
    </w:p>
    <w:p w14:paraId="2471FBBC" w14:textId="77777777" w:rsidR="008C0A9F" w:rsidRPr="008C0A9F" w:rsidRDefault="008C0A9F" w:rsidP="008C0A9F">
      <w:pPr>
        <w:rPr>
          <w:color w:val="000000"/>
          <w:u w:val="single"/>
        </w:rPr>
      </w:pPr>
      <w:r w:rsidRPr="00C20DA3">
        <w:rPr>
          <w:color w:val="000000"/>
          <w:u w:val="single"/>
        </w:rPr>
        <w:t>Colitis ulcerosa bei Kindern und Jugendlichen</w:t>
      </w:r>
    </w:p>
    <w:p w14:paraId="43D31F55" w14:textId="77777777" w:rsidR="008C0A9F" w:rsidRPr="008C0A9F" w:rsidRDefault="008C0A9F" w:rsidP="008C0A9F">
      <w:pPr>
        <w:rPr>
          <w:color w:val="000000"/>
        </w:rPr>
      </w:pPr>
    </w:p>
    <w:p w14:paraId="1565D706" w14:textId="77777777" w:rsidR="008C0A9F" w:rsidRPr="008C0A9F" w:rsidRDefault="008C0A9F" w:rsidP="008C0A9F">
      <w:pPr>
        <w:rPr>
          <w:color w:val="000000"/>
        </w:rPr>
      </w:pPr>
      <w:r w:rsidRPr="008C0A9F">
        <w:rPr>
          <w:color w:val="000000"/>
        </w:rPr>
        <w:t>Amsparity wird angewendet zur Behandlung der mittelschweren bis schweren aktiven Colitis ulcerosa bei Kindern und Jugendlichen (ab dem Alter von 6 Jahren), die nur unzureichend auf eine konventionelle Therapie, einschließlich Kortikosteroiden und/oder 6-Mercaptopurin (6-MP) oder Azathioprin (AZA), angesprochen haben oder die eine Unverträglichkeit gegenüber einer solchen Therapie haben oder bei denen eine solche Therapie kontraindiziert ist.</w:t>
      </w:r>
    </w:p>
    <w:p w14:paraId="7EF6BE2B" w14:textId="77777777" w:rsidR="008C0A9F" w:rsidRPr="004F5FB4" w:rsidRDefault="008C0A9F" w:rsidP="00982118">
      <w:pPr>
        <w:rPr>
          <w:color w:val="000000"/>
        </w:rPr>
      </w:pPr>
    </w:p>
    <w:p w14:paraId="5AEA7247" w14:textId="77777777" w:rsidR="00C46587" w:rsidRPr="004F5FB4" w:rsidRDefault="00C46587" w:rsidP="00DC3A99">
      <w:pPr>
        <w:keepNext/>
        <w:rPr>
          <w:color w:val="000000"/>
          <w:u w:val="single"/>
        </w:rPr>
      </w:pPr>
      <w:r w:rsidRPr="004F5FB4">
        <w:rPr>
          <w:color w:val="000000"/>
          <w:u w:val="single"/>
        </w:rPr>
        <w:t>Uveitis</w:t>
      </w:r>
    </w:p>
    <w:p w14:paraId="6F2EF4F7" w14:textId="77777777" w:rsidR="00C46587" w:rsidRPr="004F5FB4" w:rsidRDefault="00C46587" w:rsidP="00DC3A99">
      <w:pPr>
        <w:keepNext/>
        <w:rPr>
          <w:color w:val="000000"/>
        </w:rPr>
      </w:pPr>
    </w:p>
    <w:p w14:paraId="7778AC80" w14:textId="77777777" w:rsidR="00C46587"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zur Behandlung der nicht infektiösen Uveitis intermedia, Uveitis posterior und Panuveitis bei erwachsenen Patienten, die nur unzureichend auf Kortikosteroide angesprochen haben, eine Kortikosteroid sparende Behandlung benötigen oder für die eine Behandlung mit Kortikosteroiden nicht geeignet ist.</w:t>
      </w:r>
    </w:p>
    <w:p w14:paraId="6B7EA59B" w14:textId="77777777" w:rsidR="00C46587" w:rsidRPr="004F5FB4" w:rsidRDefault="00C46587" w:rsidP="00982118">
      <w:pPr>
        <w:rPr>
          <w:color w:val="000000"/>
        </w:rPr>
      </w:pPr>
    </w:p>
    <w:p w14:paraId="74A415EE" w14:textId="77777777" w:rsidR="00FF5AEF" w:rsidRPr="004F5FB4" w:rsidRDefault="00FF5AEF" w:rsidP="00DC3A99">
      <w:pPr>
        <w:keepNext/>
        <w:rPr>
          <w:color w:val="000000"/>
          <w:u w:val="single"/>
        </w:rPr>
      </w:pPr>
      <w:r w:rsidRPr="004F5FB4">
        <w:rPr>
          <w:color w:val="000000"/>
          <w:u w:val="single"/>
        </w:rPr>
        <w:t>Uveitis bei Kindern und Jugendlichen</w:t>
      </w:r>
    </w:p>
    <w:p w14:paraId="55EA3795" w14:textId="77777777" w:rsidR="007D2614" w:rsidRPr="004F5FB4" w:rsidRDefault="007D2614" w:rsidP="00DC3A99">
      <w:pPr>
        <w:keepNext/>
        <w:rPr>
          <w:color w:val="000000"/>
        </w:rPr>
      </w:pPr>
    </w:p>
    <w:p w14:paraId="15632D2B" w14:textId="77777777" w:rsidR="00FF5AEF" w:rsidRPr="004F5FB4" w:rsidRDefault="006A1144" w:rsidP="00982118">
      <w:pPr>
        <w:rPr>
          <w:color w:val="000000"/>
        </w:rPr>
      </w:pPr>
      <w:r w:rsidRPr="004F5FB4">
        <w:rPr>
          <w:color w:val="000000"/>
        </w:rPr>
        <w:t xml:space="preserve">Amsparity </w:t>
      </w:r>
      <w:r w:rsidR="00401A02" w:rsidRPr="004F5FB4">
        <w:rPr>
          <w:color w:val="000000"/>
        </w:rPr>
        <w:t xml:space="preserve">wird angewendet </w:t>
      </w:r>
      <w:r w:rsidRPr="004F5FB4">
        <w:rPr>
          <w:color w:val="000000"/>
        </w:rPr>
        <w:t>zur Behandlung der chronischen nicht infektiösen Uveitis anterior bei Kindern und Jugendlichen ab dem Alter von 2</w:t>
      </w:r>
      <w:r w:rsidR="00D73FD8" w:rsidRPr="004F5FB4">
        <w:rPr>
          <w:color w:val="000000"/>
        </w:rPr>
        <w:t> </w:t>
      </w:r>
      <w:r w:rsidRPr="004F5FB4">
        <w:rPr>
          <w:color w:val="000000"/>
        </w:rPr>
        <w:t>Jahren, die unzureichend auf eine konventionelle Therapie angesprochen haben oder die eine Unverträglichkeit gegenüber einer solchen Therapie haben oder für die eine konventionelle Therapie nicht geeignet ist.</w:t>
      </w:r>
    </w:p>
    <w:p w14:paraId="18C87C87" w14:textId="77777777" w:rsidR="00C46587" w:rsidRPr="004F5FB4" w:rsidRDefault="00C46587" w:rsidP="00982118">
      <w:pPr>
        <w:rPr>
          <w:color w:val="000000"/>
        </w:rPr>
      </w:pPr>
    </w:p>
    <w:p w14:paraId="5E5DF978" w14:textId="77777777" w:rsidR="00C46587" w:rsidRPr="004F5FB4" w:rsidRDefault="00C46587" w:rsidP="00982118">
      <w:pPr>
        <w:tabs>
          <w:tab w:val="left" w:pos="562"/>
        </w:tabs>
        <w:rPr>
          <w:b/>
          <w:color w:val="000000"/>
        </w:rPr>
      </w:pPr>
      <w:r w:rsidRPr="004F5FB4">
        <w:rPr>
          <w:b/>
          <w:color w:val="000000"/>
        </w:rPr>
        <w:t>4.2</w:t>
      </w:r>
      <w:r w:rsidRPr="004F5FB4">
        <w:rPr>
          <w:b/>
          <w:color w:val="000000"/>
        </w:rPr>
        <w:tab/>
        <w:t>Dosierung und Art der Anwendung</w:t>
      </w:r>
    </w:p>
    <w:p w14:paraId="563853CC" w14:textId="77777777" w:rsidR="00C46587" w:rsidRPr="004F5FB4" w:rsidRDefault="00C46587" w:rsidP="00982118">
      <w:pPr>
        <w:rPr>
          <w:color w:val="000000"/>
        </w:rPr>
      </w:pPr>
    </w:p>
    <w:p w14:paraId="49F3A5D4" w14:textId="77777777" w:rsidR="00C46587" w:rsidRPr="004F5FB4" w:rsidRDefault="006A1144" w:rsidP="00982118">
      <w:pPr>
        <w:rPr>
          <w:color w:val="000000"/>
        </w:rPr>
      </w:pPr>
      <w:r w:rsidRPr="004F5FB4">
        <w:rPr>
          <w:color w:val="000000"/>
        </w:rPr>
        <w:t>Die Behandlung mit Amsparity sollte von einem Facharzt mit Erfahrung in der Diagnose und Behandlung von Krankheitszuständen, für die Amsparity indiziert ist, eingeleitet und überwacht werden. Augenärzten wird angeraten, vor der Einleitung einer Amsparity-Therapie einen entsprechenden Spezialisten zurate zu ziehen (siehe Abschnitt</w:t>
      </w:r>
      <w:r w:rsidR="00D73FD8" w:rsidRPr="004F5FB4">
        <w:rPr>
          <w:color w:val="000000"/>
        </w:rPr>
        <w:t> </w:t>
      </w:r>
      <w:r w:rsidRPr="004F5FB4">
        <w:rPr>
          <w:color w:val="000000"/>
        </w:rPr>
        <w:t>4.4). Patienten, die mit Amsparity behandelt werden, sollte der spezielle Patientenpass ausgehändigt werden.</w:t>
      </w:r>
    </w:p>
    <w:p w14:paraId="232DA55C" w14:textId="77777777" w:rsidR="00C46587" w:rsidRPr="004F5FB4" w:rsidRDefault="00C46587" w:rsidP="00982118">
      <w:pPr>
        <w:rPr>
          <w:color w:val="000000"/>
        </w:rPr>
      </w:pPr>
    </w:p>
    <w:p w14:paraId="292D911E" w14:textId="77777777" w:rsidR="009C503E" w:rsidRPr="004F5FB4" w:rsidRDefault="009C503E" w:rsidP="009C503E">
      <w:pPr>
        <w:rPr>
          <w:color w:val="000000"/>
        </w:rPr>
      </w:pPr>
      <w:r w:rsidRPr="004F5FB4">
        <w:rPr>
          <w:color w:val="000000"/>
        </w:rPr>
        <w:lastRenderedPageBreak/>
        <w:t xml:space="preserve">Nach einer entsprechenden Einweisung in die Injektionstechnik können Patienten Amsparity selbst injizieren, falls ihr Arzt dies für angemessen hält und medizinische Nachuntersuchungen nach Bedarf erfolgen. </w:t>
      </w:r>
    </w:p>
    <w:p w14:paraId="5424E571" w14:textId="77777777" w:rsidR="00C46587" w:rsidRPr="004F5FB4" w:rsidRDefault="00C46587" w:rsidP="00982118">
      <w:pPr>
        <w:rPr>
          <w:color w:val="000000"/>
        </w:rPr>
      </w:pPr>
    </w:p>
    <w:p w14:paraId="26830D13" w14:textId="77777777" w:rsidR="00C46587" w:rsidRPr="004F5FB4" w:rsidRDefault="00C46587" w:rsidP="00982118">
      <w:pPr>
        <w:rPr>
          <w:color w:val="000000"/>
        </w:rPr>
      </w:pPr>
      <w:r w:rsidRPr="004F5FB4">
        <w:rPr>
          <w:color w:val="000000"/>
        </w:rPr>
        <w:t xml:space="preserve">Während der Behandlung mit Amsparity sollten andere Begleittherapien (z. B. </w:t>
      </w:r>
      <w:r w:rsidR="007D7163" w:rsidRPr="004F5FB4">
        <w:rPr>
          <w:color w:val="000000"/>
        </w:rPr>
        <w:t>Glukok</w:t>
      </w:r>
      <w:r w:rsidRPr="004F5FB4">
        <w:rPr>
          <w:color w:val="000000"/>
        </w:rPr>
        <w:t>ortikoide und/</w:t>
      </w:r>
      <w:r w:rsidR="00F35054" w:rsidRPr="004F5FB4">
        <w:rPr>
          <w:color w:val="000000"/>
        </w:rPr>
        <w:t xml:space="preserve"> </w:t>
      </w:r>
      <w:r w:rsidRPr="004F5FB4">
        <w:rPr>
          <w:color w:val="000000"/>
        </w:rPr>
        <w:t xml:space="preserve">oder Immunsuppressiva) optimiert werden. </w:t>
      </w:r>
    </w:p>
    <w:p w14:paraId="0C995065" w14:textId="77777777" w:rsidR="00C46587" w:rsidRPr="004F5FB4" w:rsidRDefault="00C46587" w:rsidP="00982118">
      <w:pPr>
        <w:rPr>
          <w:color w:val="000000"/>
        </w:rPr>
      </w:pPr>
    </w:p>
    <w:p w14:paraId="70ADF8E6" w14:textId="77777777" w:rsidR="00C46587" w:rsidRPr="004F5FB4" w:rsidRDefault="00435311" w:rsidP="00DC3A99">
      <w:pPr>
        <w:keepNext/>
        <w:rPr>
          <w:color w:val="000000"/>
          <w:u w:val="single"/>
        </w:rPr>
      </w:pPr>
      <w:r w:rsidRPr="004F5FB4">
        <w:rPr>
          <w:color w:val="000000"/>
          <w:u w:val="single"/>
        </w:rPr>
        <w:t>Dosierung</w:t>
      </w:r>
    </w:p>
    <w:p w14:paraId="5D3270F6" w14:textId="77777777" w:rsidR="00C46587" w:rsidRPr="004F5FB4" w:rsidRDefault="00C46587" w:rsidP="00DC3A99">
      <w:pPr>
        <w:keepNext/>
        <w:rPr>
          <w:color w:val="000000"/>
        </w:rPr>
      </w:pPr>
    </w:p>
    <w:p w14:paraId="73246C4C" w14:textId="77777777" w:rsidR="00C46587" w:rsidRPr="004F5FB4" w:rsidRDefault="00C46587" w:rsidP="00DC3A99">
      <w:pPr>
        <w:keepNext/>
        <w:rPr>
          <w:i/>
          <w:color w:val="000000"/>
        </w:rPr>
      </w:pPr>
      <w:r w:rsidRPr="004F5FB4">
        <w:rPr>
          <w:i/>
          <w:color w:val="000000"/>
        </w:rPr>
        <w:t>Rheumatoide Arthritis</w:t>
      </w:r>
    </w:p>
    <w:p w14:paraId="575BA521" w14:textId="77777777" w:rsidR="00C46587" w:rsidRPr="004F5FB4" w:rsidRDefault="00C46587" w:rsidP="00DC3A99">
      <w:pPr>
        <w:keepNext/>
        <w:rPr>
          <w:color w:val="000000"/>
        </w:rPr>
      </w:pPr>
    </w:p>
    <w:p w14:paraId="71DAD733" w14:textId="77777777" w:rsidR="00C46587" w:rsidRPr="004F5FB4" w:rsidRDefault="00C46587" w:rsidP="00982118">
      <w:pPr>
        <w:rPr>
          <w:color w:val="000000"/>
        </w:rPr>
      </w:pPr>
      <w:r w:rsidRPr="004F5FB4">
        <w:rPr>
          <w:color w:val="000000"/>
        </w:rPr>
        <w:t>Bei erwachsenen Patienten mit rheumatoider Arthritis beträgt die empfohlene Dosis von Amsparity 40 mg Adalimumab, die jede zweite Woche als Einzeldosis subkutan injiziert wird. Die Anwendung von Methotrexat sollte während der Behandlung mit Amsparity fortgesetzt werden.</w:t>
      </w:r>
    </w:p>
    <w:p w14:paraId="737EB529" w14:textId="77777777" w:rsidR="00C46587" w:rsidRPr="004F5FB4" w:rsidRDefault="00C46587" w:rsidP="00982118">
      <w:pPr>
        <w:rPr>
          <w:color w:val="000000"/>
        </w:rPr>
      </w:pPr>
    </w:p>
    <w:p w14:paraId="5EF8ECFD" w14:textId="77777777" w:rsidR="00C46587" w:rsidRPr="004F5FB4" w:rsidRDefault="00C46587" w:rsidP="00982118">
      <w:pPr>
        <w:rPr>
          <w:color w:val="000000"/>
        </w:rPr>
      </w:pPr>
      <w:r w:rsidRPr="004F5FB4">
        <w:rPr>
          <w:color w:val="000000"/>
        </w:rPr>
        <w:t>Die Gabe von Glukokortikoiden, Salizylaten, nicht steroidalen Antiphlogistika oder Analgetika kann während der Behandlung mit Amsparity fortgesetzt werden. Bezüglich der Kombination mit anderen krankheitsmodifizierenden Antirheumatika als Methotrexat siehe Abschnitte</w:t>
      </w:r>
      <w:r w:rsidR="00D73FD8" w:rsidRPr="004F5FB4">
        <w:rPr>
          <w:color w:val="000000"/>
        </w:rPr>
        <w:t> </w:t>
      </w:r>
      <w:r w:rsidRPr="004F5FB4">
        <w:rPr>
          <w:color w:val="000000"/>
        </w:rPr>
        <w:t>4.4 und 5.1.</w:t>
      </w:r>
    </w:p>
    <w:p w14:paraId="0EA892EF" w14:textId="77777777" w:rsidR="00C46587" w:rsidRPr="004F5FB4" w:rsidRDefault="00C46587" w:rsidP="00982118">
      <w:pPr>
        <w:rPr>
          <w:color w:val="000000"/>
        </w:rPr>
      </w:pPr>
    </w:p>
    <w:p w14:paraId="74199950" w14:textId="77777777" w:rsidR="00C46587" w:rsidRPr="004F5FB4" w:rsidRDefault="00C46587" w:rsidP="00982118">
      <w:pPr>
        <w:autoSpaceDE w:val="0"/>
        <w:autoSpaceDN w:val="0"/>
        <w:adjustRightInd w:val="0"/>
        <w:rPr>
          <w:color w:val="000000"/>
        </w:rPr>
      </w:pPr>
      <w:r w:rsidRPr="004F5FB4">
        <w:rPr>
          <w:color w:val="000000"/>
        </w:rPr>
        <w:t xml:space="preserve">Einige der Patienten, die ausschließlich mit Amsparity behandelt werden und </w:t>
      </w:r>
      <w:r w:rsidR="00D236EA" w:rsidRPr="004F5FB4">
        <w:rPr>
          <w:color w:val="000000"/>
        </w:rPr>
        <w:t>nur unzureichend</w:t>
      </w:r>
      <w:r w:rsidRPr="004F5FB4">
        <w:rPr>
          <w:color w:val="000000"/>
        </w:rPr>
        <w:t xml:space="preserve"> auf Amsparity 40 mg jede zweite Woche </w:t>
      </w:r>
      <w:r w:rsidR="00D236EA" w:rsidRPr="004F5FB4">
        <w:rPr>
          <w:color w:val="000000"/>
        </w:rPr>
        <w:t>ansprechen</w:t>
      </w:r>
      <w:r w:rsidRPr="004F5FB4">
        <w:rPr>
          <w:color w:val="000000"/>
        </w:rPr>
        <w:t>, könnten von einer Erhöhung der Dosierung auf 40 mg jede Woche oder 80</w:t>
      </w:r>
      <w:r w:rsidR="00D73FD8" w:rsidRPr="004F5FB4">
        <w:rPr>
          <w:color w:val="000000"/>
        </w:rPr>
        <w:t> </w:t>
      </w:r>
      <w:r w:rsidRPr="004F5FB4">
        <w:rPr>
          <w:color w:val="000000"/>
        </w:rPr>
        <w:t>mg jede zweite Woche profitieren.</w:t>
      </w:r>
    </w:p>
    <w:p w14:paraId="151B7EA3" w14:textId="77777777" w:rsidR="00C46587" w:rsidRPr="004F5FB4" w:rsidRDefault="00C46587" w:rsidP="00982118">
      <w:pPr>
        <w:rPr>
          <w:color w:val="000000"/>
        </w:rPr>
      </w:pPr>
    </w:p>
    <w:p w14:paraId="5AD5EE55" w14:textId="77777777" w:rsidR="00C46587" w:rsidRPr="004F5FB4" w:rsidRDefault="00C46587" w:rsidP="00982118">
      <w:pPr>
        <w:rPr>
          <w:color w:val="000000"/>
        </w:rPr>
      </w:pPr>
      <w:r w:rsidRPr="004F5FB4">
        <w:rPr>
          <w:color w:val="000000"/>
        </w:rPr>
        <w:t>Die verfügbaren Daten weisen darauf hin, dass ein klinisches Ansprechen üblicherweise innerhalb von 12</w:t>
      </w:r>
      <w:r w:rsidR="00D73FD8" w:rsidRPr="004F5FB4">
        <w:rPr>
          <w:color w:val="000000"/>
        </w:rPr>
        <w:t> </w:t>
      </w:r>
      <w:r w:rsidRPr="004F5FB4">
        <w:rPr>
          <w:color w:val="000000"/>
        </w:rPr>
        <w:t>Behandlungswochen erreicht wird. Die Fortsetzung der Therapie sollte bei einem Patienten, der innerhalb dieser Zeitspanne nicht anspricht, nochmals überdacht werden.</w:t>
      </w:r>
    </w:p>
    <w:p w14:paraId="5C2518C8" w14:textId="77777777" w:rsidR="00C46587" w:rsidRPr="004F5FB4" w:rsidRDefault="00C46587" w:rsidP="00982118">
      <w:pPr>
        <w:rPr>
          <w:color w:val="000000"/>
        </w:rPr>
      </w:pPr>
    </w:p>
    <w:p w14:paraId="16348BB2" w14:textId="77777777" w:rsidR="00F91B40" w:rsidRPr="004F5FB4" w:rsidRDefault="006A1144" w:rsidP="00982118">
      <w:pPr>
        <w:autoSpaceDE w:val="0"/>
        <w:autoSpaceDN w:val="0"/>
        <w:adjustRightInd w:val="0"/>
        <w:rPr>
          <w:color w:val="000000"/>
        </w:rPr>
      </w:pPr>
      <w:r w:rsidRPr="004F5FB4">
        <w:rPr>
          <w:color w:val="000000"/>
        </w:rPr>
        <w:t>Abhängig von den individuellen Behandlungsbedürfnissen kann Amsparity auch in anderen Stärken und/</w:t>
      </w:r>
      <w:r w:rsidR="00D73FD8" w:rsidRPr="004F5FB4">
        <w:rPr>
          <w:color w:val="000000"/>
        </w:rPr>
        <w:t xml:space="preserve"> </w:t>
      </w:r>
      <w:r w:rsidRPr="004F5FB4">
        <w:rPr>
          <w:color w:val="000000"/>
        </w:rPr>
        <w:t>oder Darreichungsformen erhältlich sein.</w:t>
      </w:r>
    </w:p>
    <w:p w14:paraId="78DFF9BC" w14:textId="77777777" w:rsidR="00F91B40" w:rsidRPr="004F5FB4" w:rsidRDefault="00F91B40" w:rsidP="00982118">
      <w:pPr>
        <w:rPr>
          <w:color w:val="000000"/>
        </w:rPr>
      </w:pPr>
    </w:p>
    <w:p w14:paraId="437CABD7" w14:textId="77777777" w:rsidR="00C46587" w:rsidRPr="004F5FB4" w:rsidRDefault="00435311" w:rsidP="00DC3A99">
      <w:pPr>
        <w:keepNext/>
        <w:rPr>
          <w:i/>
          <w:color w:val="000000"/>
          <w:u w:val="single"/>
        </w:rPr>
      </w:pPr>
      <w:r w:rsidRPr="004F5FB4">
        <w:rPr>
          <w:i/>
          <w:color w:val="000000"/>
          <w:u w:val="single"/>
        </w:rPr>
        <w:t>Dosisunterbrechung</w:t>
      </w:r>
    </w:p>
    <w:p w14:paraId="20D92B67" w14:textId="77777777" w:rsidR="00C46587" w:rsidRPr="004F5FB4" w:rsidRDefault="00C46587" w:rsidP="00DC3A99">
      <w:pPr>
        <w:keepNext/>
        <w:rPr>
          <w:color w:val="000000"/>
        </w:rPr>
      </w:pPr>
    </w:p>
    <w:p w14:paraId="4662CF28" w14:textId="77777777" w:rsidR="00C46587" w:rsidRPr="004F5FB4" w:rsidRDefault="00C46587" w:rsidP="00982118">
      <w:pPr>
        <w:rPr>
          <w:color w:val="000000"/>
        </w:rPr>
      </w:pPr>
      <w:r w:rsidRPr="004F5FB4">
        <w:rPr>
          <w:color w:val="000000"/>
        </w:rPr>
        <w:t>Eine Dosisunterbrechung kann erforderlich sein, z.</w:t>
      </w:r>
      <w:r w:rsidR="00D73FD8" w:rsidRPr="004F5FB4">
        <w:rPr>
          <w:color w:val="000000"/>
        </w:rPr>
        <w:t> </w:t>
      </w:r>
      <w:r w:rsidRPr="004F5FB4">
        <w:rPr>
          <w:color w:val="000000"/>
        </w:rPr>
        <w:t>B. vor einer Operation oder beim Auftreten einer schweren Infektion. Die verfügbaren Daten weisen darauf hin, dass nach einer Unterbrechung von 70</w:t>
      </w:r>
      <w:r w:rsidR="00204144" w:rsidRPr="004F5FB4">
        <w:rPr>
          <w:color w:val="000000"/>
        </w:rPr>
        <w:t> </w:t>
      </w:r>
      <w:r w:rsidRPr="004F5FB4">
        <w:rPr>
          <w:color w:val="000000"/>
        </w:rPr>
        <w:t xml:space="preserve">Tagen oder länger die Wiederaufnahme der Adalimumab-Therapie zu der gleichen Größenordnung des klinischen Ansprechens und einem ähnlichen Sicherheitsprofil wie vor der Dosisunterbrechung führte. </w:t>
      </w:r>
    </w:p>
    <w:p w14:paraId="57B208F9" w14:textId="77777777" w:rsidR="00C46587" w:rsidRPr="004F5FB4" w:rsidRDefault="00C46587" w:rsidP="00982118">
      <w:pPr>
        <w:rPr>
          <w:color w:val="000000"/>
        </w:rPr>
      </w:pPr>
    </w:p>
    <w:p w14:paraId="640F1152" w14:textId="77777777" w:rsidR="00C46587" w:rsidRPr="004F5FB4" w:rsidRDefault="00C46587" w:rsidP="00982118">
      <w:pPr>
        <w:keepNext/>
        <w:rPr>
          <w:i/>
          <w:color w:val="000000"/>
        </w:rPr>
      </w:pPr>
      <w:r w:rsidRPr="004F5FB4">
        <w:rPr>
          <w:i/>
          <w:color w:val="000000"/>
        </w:rPr>
        <w:t>Ankylosierende Spondylitis, axiale Spondyloarthritis ohne Röntgennachweis einer AS und Psoriasis-Arthritis</w:t>
      </w:r>
    </w:p>
    <w:p w14:paraId="311860F7" w14:textId="77777777" w:rsidR="00C46587" w:rsidRPr="004F5FB4" w:rsidRDefault="00C46587" w:rsidP="00982118">
      <w:pPr>
        <w:keepNext/>
        <w:rPr>
          <w:color w:val="000000"/>
        </w:rPr>
      </w:pPr>
    </w:p>
    <w:p w14:paraId="0F4CA5F8" w14:textId="77777777" w:rsidR="00C46587" w:rsidRPr="004F5FB4" w:rsidRDefault="00C46587" w:rsidP="00982118">
      <w:pPr>
        <w:rPr>
          <w:color w:val="000000"/>
        </w:rPr>
      </w:pPr>
      <w:r w:rsidRPr="004F5FB4">
        <w:rPr>
          <w:color w:val="000000"/>
        </w:rPr>
        <w:t>Bei Patienten mit ankylosierender Spondylitis, axialer Spondyloarthritis ohne Röntgennachweis einer AS oder bei Patienten mit Psoriasis-Arthritis beträgt die empfohlene Dosis von Amsparity 40 mg Adalimumab, die jede zweite Woche als Einzeldosis subkutan injiziert wird.</w:t>
      </w:r>
    </w:p>
    <w:p w14:paraId="0A87E474" w14:textId="77777777" w:rsidR="00C46587" w:rsidRPr="004F5FB4" w:rsidRDefault="00C46587" w:rsidP="00982118">
      <w:pPr>
        <w:rPr>
          <w:color w:val="000000"/>
        </w:rPr>
      </w:pPr>
    </w:p>
    <w:p w14:paraId="1A53E2F3" w14:textId="77777777" w:rsidR="00C46587" w:rsidRPr="004F5FB4" w:rsidRDefault="00C46587" w:rsidP="00982118">
      <w:pPr>
        <w:rPr>
          <w:color w:val="000000"/>
        </w:rPr>
      </w:pPr>
      <w:r w:rsidRPr="004F5FB4">
        <w:rPr>
          <w:color w:val="000000"/>
        </w:rPr>
        <w:t>Die verfügbaren Daten weisen darauf hin, dass ein klinisches Ansprechen üblicherweise innerhalb von 12</w:t>
      </w:r>
      <w:r w:rsidR="00D73FD8" w:rsidRPr="004F5FB4">
        <w:rPr>
          <w:color w:val="000000"/>
        </w:rPr>
        <w:t> </w:t>
      </w:r>
      <w:r w:rsidRPr="004F5FB4">
        <w:rPr>
          <w:color w:val="000000"/>
        </w:rPr>
        <w:t>Behandlungswochen erreicht wird. Die Fortsetzung der Therapie sollte bei einem Patienten, der innerhalb dieser Zeitspanne nicht anspricht, nochmals überdacht werden.</w:t>
      </w:r>
    </w:p>
    <w:p w14:paraId="1F364F95" w14:textId="77777777" w:rsidR="00C46587" w:rsidRPr="004F5FB4" w:rsidRDefault="00C46587" w:rsidP="00982118">
      <w:pPr>
        <w:rPr>
          <w:color w:val="000000"/>
        </w:rPr>
      </w:pPr>
    </w:p>
    <w:p w14:paraId="0197CFAA" w14:textId="77777777" w:rsidR="00C46587" w:rsidRPr="004F5FB4" w:rsidRDefault="00C46587" w:rsidP="00DC3A99">
      <w:pPr>
        <w:keepNext/>
        <w:rPr>
          <w:i/>
          <w:color w:val="000000"/>
        </w:rPr>
      </w:pPr>
      <w:r w:rsidRPr="004F5FB4">
        <w:rPr>
          <w:i/>
          <w:color w:val="000000"/>
        </w:rPr>
        <w:t>Psoriasis</w:t>
      </w:r>
    </w:p>
    <w:p w14:paraId="380659A4" w14:textId="77777777" w:rsidR="00C46587" w:rsidRPr="004F5FB4" w:rsidRDefault="00C46587" w:rsidP="00DC3A99">
      <w:pPr>
        <w:keepNext/>
        <w:rPr>
          <w:color w:val="000000"/>
        </w:rPr>
      </w:pPr>
    </w:p>
    <w:p w14:paraId="66A9BAD9" w14:textId="77777777" w:rsidR="00C46587" w:rsidRPr="004F5FB4" w:rsidRDefault="00C46587" w:rsidP="00982118">
      <w:pPr>
        <w:rPr>
          <w:color w:val="000000"/>
        </w:rPr>
      </w:pPr>
      <w:r w:rsidRPr="004F5FB4">
        <w:rPr>
          <w:color w:val="000000"/>
        </w:rPr>
        <w:t>Die empfohlene Dosierung von Amsparity für erwachsene Patienten mit Psoriasis beträgt 80 mg Adalimumab, subkutan als Induktionsdosis verabreicht, gefolgt von 40 mg Adalimumab subkutan jede zweite Woche, beginnend eine Woche nach der Induktionsdosis.</w:t>
      </w:r>
    </w:p>
    <w:p w14:paraId="18720D12" w14:textId="77777777" w:rsidR="00C46587" w:rsidRPr="004F5FB4" w:rsidRDefault="00C46587" w:rsidP="00982118">
      <w:pPr>
        <w:rPr>
          <w:color w:val="000000"/>
        </w:rPr>
      </w:pPr>
    </w:p>
    <w:p w14:paraId="6A6C3724" w14:textId="77777777" w:rsidR="00C46587" w:rsidRPr="004F5FB4" w:rsidRDefault="00C46587" w:rsidP="00982118">
      <w:pPr>
        <w:rPr>
          <w:color w:val="000000"/>
        </w:rPr>
      </w:pPr>
      <w:r w:rsidRPr="004F5FB4">
        <w:rPr>
          <w:color w:val="000000"/>
        </w:rPr>
        <w:t>Bei Patienten, die 16</w:t>
      </w:r>
      <w:r w:rsidR="00D73FD8" w:rsidRPr="004F5FB4">
        <w:rPr>
          <w:color w:val="000000"/>
        </w:rPr>
        <w:t> </w:t>
      </w:r>
      <w:r w:rsidRPr="004F5FB4">
        <w:rPr>
          <w:color w:val="000000"/>
        </w:rPr>
        <w:t>Wochen lang nicht auf die Therapie angesprochen haben, sollte eine Weiterbehandlung sorgfältig geprüft werden.</w:t>
      </w:r>
    </w:p>
    <w:p w14:paraId="548C447B" w14:textId="77777777" w:rsidR="00C46587" w:rsidRPr="004F5FB4" w:rsidRDefault="00C46587" w:rsidP="00982118">
      <w:pPr>
        <w:rPr>
          <w:color w:val="000000"/>
        </w:rPr>
      </w:pPr>
    </w:p>
    <w:p w14:paraId="242C0BCF" w14:textId="77777777" w:rsidR="00C46587" w:rsidRPr="004F5FB4" w:rsidRDefault="00C46587" w:rsidP="00982118">
      <w:pPr>
        <w:rPr>
          <w:color w:val="000000"/>
        </w:rPr>
      </w:pPr>
      <w:r w:rsidRPr="004F5FB4">
        <w:rPr>
          <w:color w:val="000000"/>
        </w:rPr>
        <w:t>Nach 16</w:t>
      </w:r>
      <w:r w:rsidR="00D73FD8" w:rsidRPr="004F5FB4">
        <w:rPr>
          <w:color w:val="000000"/>
        </w:rPr>
        <w:t> </w:t>
      </w:r>
      <w:r w:rsidRPr="004F5FB4">
        <w:rPr>
          <w:color w:val="000000"/>
        </w:rPr>
        <w:t>Wochen kann bei Patienten, die unzureichend auf Amsparity 40 mg jede zweite Woche ansprechen, eine Erhöhung der Dosierung auf 40 mg jede Woche oder 80 mg jede zweite Woche von Nutzen sein. Bei Patienten, die auch nach Erhöhung der Dosierung unzureichend ansprechen, sollten Nutzen und Risiko einer fortgesetzten Behandlung mit 40 mg jede Woche oder 80 mg jede zweite Woche sorgfältig abgewogen werden (siehe Abschnitt</w:t>
      </w:r>
      <w:r w:rsidR="00D73FD8" w:rsidRPr="004F5FB4">
        <w:rPr>
          <w:color w:val="000000"/>
        </w:rPr>
        <w:t> </w:t>
      </w:r>
      <w:r w:rsidRPr="004F5FB4">
        <w:rPr>
          <w:color w:val="000000"/>
        </w:rPr>
        <w:t>5.1). Bei Erreichen eines ausreichenden Ansprechens mit 40 mg jede Woche oder 80 mg jede zweite Woche kann die Dosierung anschließend auf 40 mg jede zweite Woche reduziert werden.</w:t>
      </w:r>
    </w:p>
    <w:p w14:paraId="48CDD7F8" w14:textId="77777777" w:rsidR="00C46587" w:rsidRPr="004F5FB4" w:rsidRDefault="00C46587" w:rsidP="00982118">
      <w:pPr>
        <w:rPr>
          <w:color w:val="000000"/>
        </w:rPr>
      </w:pPr>
    </w:p>
    <w:p w14:paraId="1BE321C8" w14:textId="77777777" w:rsidR="005D644B" w:rsidRPr="004F5FB4" w:rsidRDefault="006A1144" w:rsidP="00982118">
      <w:pPr>
        <w:autoSpaceDE w:val="0"/>
        <w:autoSpaceDN w:val="0"/>
        <w:adjustRightInd w:val="0"/>
        <w:rPr>
          <w:color w:val="000000"/>
        </w:rPr>
      </w:pPr>
      <w:r w:rsidRPr="004F5FB4">
        <w:rPr>
          <w:color w:val="000000"/>
        </w:rPr>
        <w:t>Abhängig von den individuellen Behandlungsbedürfnissen kann Amsparity auch in anderen Stärken und/</w:t>
      </w:r>
      <w:r w:rsidR="00D73FD8" w:rsidRPr="004F5FB4">
        <w:rPr>
          <w:color w:val="000000"/>
        </w:rPr>
        <w:t xml:space="preserve"> </w:t>
      </w:r>
      <w:r w:rsidRPr="004F5FB4">
        <w:rPr>
          <w:color w:val="000000"/>
        </w:rPr>
        <w:t>oder Darreichungsformen erhältlich sein.</w:t>
      </w:r>
    </w:p>
    <w:p w14:paraId="7393C394" w14:textId="77777777" w:rsidR="005D644B" w:rsidRPr="004F5FB4" w:rsidRDefault="005D644B" w:rsidP="00982118">
      <w:pPr>
        <w:rPr>
          <w:color w:val="000000"/>
        </w:rPr>
      </w:pPr>
    </w:p>
    <w:p w14:paraId="06C30160" w14:textId="77777777" w:rsidR="00C46587" w:rsidRPr="004F5FB4" w:rsidRDefault="00C46587" w:rsidP="00DC3A99">
      <w:pPr>
        <w:keepNext/>
        <w:rPr>
          <w:i/>
          <w:color w:val="000000"/>
        </w:rPr>
      </w:pPr>
      <w:r w:rsidRPr="004F5FB4">
        <w:rPr>
          <w:i/>
          <w:color w:val="000000"/>
        </w:rPr>
        <w:t>Hidradenitis suppurativa (Acne inversa)</w:t>
      </w:r>
    </w:p>
    <w:p w14:paraId="0218760D" w14:textId="77777777" w:rsidR="00C46587" w:rsidRPr="004F5FB4" w:rsidRDefault="00C46587" w:rsidP="00DC3A99">
      <w:pPr>
        <w:keepNext/>
        <w:rPr>
          <w:color w:val="000000"/>
        </w:rPr>
      </w:pPr>
    </w:p>
    <w:p w14:paraId="7F7590B5" w14:textId="77777777" w:rsidR="00C46587" w:rsidRPr="004F5FB4" w:rsidRDefault="00C46587" w:rsidP="00982118">
      <w:pPr>
        <w:rPr>
          <w:color w:val="000000"/>
        </w:rPr>
      </w:pPr>
      <w:r w:rsidRPr="004F5FB4">
        <w:rPr>
          <w:color w:val="000000"/>
        </w:rPr>
        <w:t>D</w:t>
      </w:r>
      <w:r w:rsidR="00D236EA" w:rsidRPr="004F5FB4">
        <w:rPr>
          <w:color w:val="000000"/>
        </w:rPr>
        <w:t>ie</w:t>
      </w:r>
      <w:r w:rsidRPr="004F5FB4">
        <w:rPr>
          <w:color w:val="000000"/>
        </w:rPr>
        <w:t xml:space="preserve"> empfohlene Dosis von Amsparity für erwachsene Patienten mit Hidradenitis suppurativa (HS) beträgt anfänglich 160 mg an Tag</w:t>
      </w:r>
      <w:r w:rsidR="00D73FD8" w:rsidRPr="004F5FB4">
        <w:rPr>
          <w:color w:val="000000"/>
        </w:rPr>
        <w:t> </w:t>
      </w:r>
      <w:r w:rsidRPr="004F5FB4">
        <w:rPr>
          <w:color w:val="000000"/>
        </w:rPr>
        <w:t>1 (verabreicht als vier Injektionen von 40 mg innerhalb eines Tages oder als zwei Injektionen von 40 mg pro Tag an zwei aufeinanderfolgenden Tagen), gefolgt von 80 mg zwei Wochen später an Tag</w:t>
      </w:r>
      <w:r w:rsidR="00D73FD8" w:rsidRPr="004F5FB4">
        <w:rPr>
          <w:color w:val="000000"/>
        </w:rPr>
        <w:t> </w:t>
      </w:r>
      <w:r w:rsidRPr="004F5FB4">
        <w:rPr>
          <w:color w:val="000000"/>
        </w:rPr>
        <w:t>15 (verabreicht als zwei Injektionen von 40 mg innerhalb eines Tages). Zwei Wochen später (Tag</w:t>
      </w:r>
      <w:r w:rsidR="00D73FD8" w:rsidRPr="004F5FB4">
        <w:rPr>
          <w:color w:val="000000"/>
        </w:rPr>
        <w:t> </w:t>
      </w:r>
      <w:r w:rsidRPr="004F5FB4">
        <w:rPr>
          <w:color w:val="000000"/>
        </w:rPr>
        <w:t>29) wird die Behandlung mit einer Dosis von 40</w:t>
      </w:r>
      <w:r w:rsidR="00D73FD8" w:rsidRPr="004F5FB4">
        <w:rPr>
          <w:color w:val="000000"/>
        </w:rPr>
        <w:t> </w:t>
      </w:r>
      <w:r w:rsidRPr="004F5FB4">
        <w:rPr>
          <w:color w:val="000000"/>
        </w:rPr>
        <w:t>mg jede Woche oder 80 mg jede zweite Woche (verabreicht als zwei Injektionen von 40</w:t>
      </w:r>
      <w:r w:rsidR="00D73FD8" w:rsidRPr="004F5FB4">
        <w:rPr>
          <w:color w:val="000000"/>
        </w:rPr>
        <w:t> </w:t>
      </w:r>
      <w:r w:rsidRPr="004F5FB4">
        <w:rPr>
          <w:color w:val="000000"/>
        </w:rPr>
        <w:t>mg innerhalb eines Tages) fortgesetzt. Falls notwendig, kann eine Antibiotikatherapie während der Behandlung mit Amsparity weitergeführt werden. Es wird empfohlen, dass die Patienten während der Behandlung mit Amsparity täglich eine topische antiseptische Waschlösung an ihren HS-Läsionen anwenden.</w:t>
      </w:r>
    </w:p>
    <w:p w14:paraId="5C3D749A" w14:textId="77777777" w:rsidR="00C46587" w:rsidRPr="004F5FB4" w:rsidRDefault="00C46587" w:rsidP="00982118">
      <w:pPr>
        <w:rPr>
          <w:color w:val="000000"/>
        </w:rPr>
      </w:pPr>
    </w:p>
    <w:p w14:paraId="3CAF2AA9" w14:textId="77777777" w:rsidR="00C46587" w:rsidRPr="004F5FB4" w:rsidRDefault="00C46587" w:rsidP="00982118">
      <w:pPr>
        <w:rPr>
          <w:color w:val="000000"/>
        </w:rPr>
      </w:pPr>
      <w:r w:rsidRPr="004F5FB4">
        <w:rPr>
          <w:color w:val="000000"/>
        </w:rPr>
        <w:t>Eine Fortsetzung der Therapie länger als 12 Wochen sollte sorgfältig abgewogen werden bei Patienten, die innerhalb dieser Zeitspanne keine Verbesserung zeigen.</w:t>
      </w:r>
    </w:p>
    <w:p w14:paraId="270472C2" w14:textId="77777777" w:rsidR="00C46587" w:rsidRPr="004F5FB4" w:rsidRDefault="00C46587" w:rsidP="00982118">
      <w:pPr>
        <w:rPr>
          <w:color w:val="000000"/>
        </w:rPr>
      </w:pPr>
    </w:p>
    <w:p w14:paraId="70B33C63" w14:textId="77777777" w:rsidR="00C46587" w:rsidRPr="004F5FB4" w:rsidRDefault="00C46587" w:rsidP="00982118">
      <w:pPr>
        <w:rPr>
          <w:color w:val="000000"/>
        </w:rPr>
      </w:pPr>
      <w:r w:rsidRPr="004F5FB4">
        <w:rPr>
          <w:color w:val="000000"/>
        </w:rPr>
        <w:t>Sollte eine Unterbrechung der Behandlung erforderlich sein, kann wieder mit einer Behandlung mit Amsparity 40 mg jede Woche oder 80 mg jede zweite Woche begonnen werden (siehe Abschnitt</w:t>
      </w:r>
      <w:r w:rsidR="00D73FD8" w:rsidRPr="004F5FB4">
        <w:rPr>
          <w:color w:val="000000"/>
        </w:rPr>
        <w:t> </w:t>
      </w:r>
      <w:r w:rsidRPr="004F5FB4">
        <w:rPr>
          <w:color w:val="000000"/>
        </w:rPr>
        <w:t>5.1).</w:t>
      </w:r>
    </w:p>
    <w:p w14:paraId="27209FD9" w14:textId="77777777" w:rsidR="00C46587" w:rsidRPr="004F5FB4" w:rsidRDefault="00C46587" w:rsidP="00982118">
      <w:pPr>
        <w:rPr>
          <w:color w:val="000000"/>
        </w:rPr>
      </w:pPr>
    </w:p>
    <w:p w14:paraId="29A1014E" w14:textId="77777777" w:rsidR="00C46587" w:rsidRPr="004F5FB4" w:rsidRDefault="00C46587" w:rsidP="00982118">
      <w:pPr>
        <w:rPr>
          <w:color w:val="000000"/>
        </w:rPr>
      </w:pPr>
      <w:r w:rsidRPr="004F5FB4">
        <w:rPr>
          <w:color w:val="000000"/>
        </w:rPr>
        <w:t>Nutzen und Risiko einer Langzeitbehandlung sollten regelmäßig beurteilt werden (siehe Abschnitt</w:t>
      </w:r>
      <w:r w:rsidR="00204144" w:rsidRPr="004F5FB4">
        <w:rPr>
          <w:color w:val="000000"/>
        </w:rPr>
        <w:t> </w:t>
      </w:r>
      <w:r w:rsidRPr="004F5FB4">
        <w:rPr>
          <w:color w:val="000000"/>
        </w:rPr>
        <w:t>5.1).</w:t>
      </w:r>
    </w:p>
    <w:p w14:paraId="20BBCD07" w14:textId="77777777" w:rsidR="00C46587" w:rsidRPr="004F5FB4" w:rsidRDefault="00C46587" w:rsidP="00982118">
      <w:pPr>
        <w:rPr>
          <w:color w:val="000000"/>
        </w:rPr>
      </w:pPr>
    </w:p>
    <w:p w14:paraId="5FB54827" w14:textId="77777777" w:rsidR="004C3306" w:rsidRPr="004F5FB4" w:rsidRDefault="006A1144" w:rsidP="00982118">
      <w:pPr>
        <w:autoSpaceDE w:val="0"/>
        <w:autoSpaceDN w:val="0"/>
        <w:adjustRightInd w:val="0"/>
        <w:rPr>
          <w:color w:val="000000"/>
        </w:rPr>
      </w:pPr>
      <w:r w:rsidRPr="004F5FB4">
        <w:rPr>
          <w:color w:val="000000"/>
        </w:rPr>
        <w:t>Abhängig von den individuellen Behandlungsbedürfnissen kann Amsparity auch in anderen Stärken und/</w:t>
      </w:r>
      <w:r w:rsidR="00613A33" w:rsidRPr="004F5FB4">
        <w:rPr>
          <w:color w:val="000000"/>
        </w:rPr>
        <w:t> </w:t>
      </w:r>
      <w:r w:rsidRPr="004F5FB4">
        <w:rPr>
          <w:color w:val="000000"/>
        </w:rPr>
        <w:t>oder Darreichungsformen erhältlich sein.</w:t>
      </w:r>
    </w:p>
    <w:p w14:paraId="489DEC5D" w14:textId="77777777" w:rsidR="004C3306" w:rsidRPr="004F5FB4" w:rsidRDefault="004C3306" w:rsidP="00982118">
      <w:pPr>
        <w:rPr>
          <w:color w:val="000000"/>
        </w:rPr>
      </w:pPr>
    </w:p>
    <w:p w14:paraId="6D8190B6" w14:textId="77777777" w:rsidR="00C46587" w:rsidRPr="004F5FB4" w:rsidRDefault="00C46587" w:rsidP="00982118">
      <w:pPr>
        <w:keepNext/>
        <w:rPr>
          <w:i/>
          <w:color w:val="000000"/>
        </w:rPr>
      </w:pPr>
      <w:r w:rsidRPr="004F5FB4">
        <w:rPr>
          <w:i/>
          <w:color w:val="000000"/>
        </w:rPr>
        <w:t>Morbus Crohn</w:t>
      </w:r>
    </w:p>
    <w:p w14:paraId="1E9989A9" w14:textId="77777777" w:rsidR="00C46587" w:rsidRPr="004F5FB4" w:rsidRDefault="00C46587" w:rsidP="00982118">
      <w:pPr>
        <w:keepNext/>
        <w:rPr>
          <w:color w:val="000000"/>
        </w:rPr>
      </w:pPr>
    </w:p>
    <w:p w14:paraId="0342CF79" w14:textId="77777777" w:rsidR="00C46587" w:rsidRPr="004F5FB4" w:rsidRDefault="00C46587" w:rsidP="00982118">
      <w:pPr>
        <w:rPr>
          <w:color w:val="000000"/>
        </w:rPr>
      </w:pPr>
      <w:r w:rsidRPr="004F5FB4">
        <w:rPr>
          <w:color w:val="000000"/>
        </w:rPr>
        <w:t>D</w:t>
      </w:r>
      <w:r w:rsidR="00D236EA" w:rsidRPr="004F5FB4">
        <w:rPr>
          <w:color w:val="000000"/>
        </w:rPr>
        <w:t>ie</w:t>
      </w:r>
      <w:r w:rsidRPr="004F5FB4">
        <w:rPr>
          <w:color w:val="000000"/>
        </w:rPr>
        <w:t xml:space="preserve"> empfohlene Induktionsdosis für Amsparity beträgt bei Erwachsenen mit mittelschwerem bis schwerem, aktivem Morbus Crohn 80 mg in Woche</w:t>
      </w:r>
      <w:r w:rsidR="00D73FD8" w:rsidRPr="004F5FB4">
        <w:rPr>
          <w:color w:val="000000"/>
        </w:rPr>
        <w:t> </w:t>
      </w:r>
      <w:r w:rsidRPr="004F5FB4">
        <w:rPr>
          <w:color w:val="000000"/>
        </w:rPr>
        <w:t>0, gefolgt von 40 mg in Woche</w:t>
      </w:r>
      <w:r w:rsidR="00D73FD8" w:rsidRPr="004F5FB4">
        <w:rPr>
          <w:color w:val="000000"/>
        </w:rPr>
        <w:t> </w:t>
      </w:r>
      <w:r w:rsidRPr="004F5FB4">
        <w:rPr>
          <w:color w:val="000000"/>
        </w:rPr>
        <w:t>2. Ist ein schnelleres Ansprechen auf die Therapie erforderlich, kann die Dosis auf 160 mg in Woche</w:t>
      </w:r>
      <w:r w:rsidR="00D73FD8" w:rsidRPr="004F5FB4">
        <w:rPr>
          <w:color w:val="000000"/>
        </w:rPr>
        <w:t> </w:t>
      </w:r>
      <w:r w:rsidRPr="004F5FB4">
        <w:rPr>
          <w:color w:val="000000"/>
        </w:rPr>
        <w:t>0 (verabreicht als vier Injektionen von 40 mg innerhalb eines Tages oder als zwei Injektionen von 40 mg pro Tag an zwei aufeinanderfolgenden Tagen)</w:t>
      </w:r>
      <w:r w:rsidR="008C0A9F">
        <w:rPr>
          <w:color w:val="000000"/>
        </w:rPr>
        <w:t>, gefolgt von</w:t>
      </w:r>
      <w:r w:rsidRPr="004F5FB4">
        <w:rPr>
          <w:color w:val="000000"/>
        </w:rPr>
        <w:t xml:space="preserve"> 80 mg in Woche</w:t>
      </w:r>
      <w:r w:rsidR="00D73FD8" w:rsidRPr="004F5FB4">
        <w:rPr>
          <w:color w:val="000000"/>
        </w:rPr>
        <w:t> </w:t>
      </w:r>
      <w:r w:rsidRPr="004F5FB4">
        <w:rPr>
          <w:color w:val="000000"/>
        </w:rPr>
        <w:t>2 (verabreicht als zwei Injektionen von 40 mg innerhalb eines Tages) erhöht werden, allerdings sollte beachtet werden, dass dies das Risiko für unerwünschte Ereignisse während der Therapieeinleitung erhöht.</w:t>
      </w:r>
    </w:p>
    <w:p w14:paraId="351DF57A" w14:textId="77777777" w:rsidR="00C46587" w:rsidRPr="004F5FB4" w:rsidRDefault="00C46587" w:rsidP="00982118">
      <w:pPr>
        <w:rPr>
          <w:color w:val="000000"/>
        </w:rPr>
      </w:pPr>
    </w:p>
    <w:p w14:paraId="595F1CB7" w14:textId="77777777" w:rsidR="00C46587" w:rsidRPr="004F5FB4" w:rsidRDefault="00C46587" w:rsidP="00982118">
      <w:pPr>
        <w:rPr>
          <w:color w:val="000000"/>
        </w:rPr>
      </w:pPr>
      <w:r w:rsidRPr="004F5FB4">
        <w:rPr>
          <w:color w:val="000000"/>
        </w:rPr>
        <w:t>Nach der Induktionsbehandlung beträgt die empfohlene Dosis 40 mg als subkutane Injektion jede zweite Woche. Wenn Amsparity abgesetzt wurde, kann es erneut verabreicht werden, wenn die Anzeichen und Symptome der Erkrankung wieder auftreten. Zu einer erneuten Verabreichung nach mehr als 8</w:t>
      </w:r>
      <w:r w:rsidR="00D73FD8" w:rsidRPr="004F5FB4">
        <w:rPr>
          <w:color w:val="000000"/>
        </w:rPr>
        <w:t> </w:t>
      </w:r>
      <w:r w:rsidRPr="004F5FB4">
        <w:rPr>
          <w:color w:val="000000"/>
        </w:rPr>
        <w:t>Wochen seit der letzten Dosis liegen nur wenige Erfahrungen vor.</w:t>
      </w:r>
    </w:p>
    <w:p w14:paraId="30DD8FB1" w14:textId="77777777" w:rsidR="00C46587" w:rsidRPr="004F5FB4" w:rsidRDefault="00C46587" w:rsidP="00982118">
      <w:pPr>
        <w:rPr>
          <w:color w:val="000000"/>
        </w:rPr>
      </w:pPr>
    </w:p>
    <w:p w14:paraId="3EDE52C4" w14:textId="77777777" w:rsidR="00C46587" w:rsidRPr="004F5FB4" w:rsidRDefault="00C46587" w:rsidP="00982118">
      <w:pPr>
        <w:rPr>
          <w:color w:val="000000"/>
        </w:rPr>
      </w:pPr>
      <w:r w:rsidRPr="004F5FB4">
        <w:rPr>
          <w:color w:val="000000"/>
        </w:rPr>
        <w:t xml:space="preserve">Während der Erhaltungstherapie können </w:t>
      </w:r>
      <w:r w:rsidR="00D236EA" w:rsidRPr="004F5FB4">
        <w:rPr>
          <w:color w:val="000000"/>
        </w:rPr>
        <w:t>Glukok</w:t>
      </w:r>
      <w:r w:rsidRPr="004F5FB4">
        <w:rPr>
          <w:color w:val="000000"/>
        </w:rPr>
        <w:t>ortikoide gemäß den klinischen Empfehlungen ausgeschlichen werden.</w:t>
      </w:r>
    </w:p>
    <w:p w14:paraId="7219FE65" w14:textId="77777777" w:rsidR="00C46587" w:rsidRPr="004F5FB4" w:rsidRDefault="00C46587" w:rsidP="00982118">
      <w:pPr>
        <w:rPr>
          <w:color w:val="000000"/>
        </w:rPr>
      </w:pPr>
    </w:p>
    <w:p w14:paraId="6A4156AF" w14:textId="77777777" w:rsidR="00C46587" w:rsidRPr="004F5FB4" w:rsidRDefault="00401A02" w:rsidP="00982118">
      <w:pPr>
        <w:rPr>
          <w:color w:val="000000"/>
        </w:rPr>
      </w:pPr>
      <w:r w:rsidRPr="004F5FB4">
        <w:rPr>
          <w:color w:val="000000"/>
        </w:rPr>
        <w:t xml:space="preserve">Einige </w:t>
      </w:r>
      <w:r w:rsidR="00C46587" w:rsidRPr="004F5FB4">
        <w:rPr>
          <w:color w:val="000000"/>
        </w:rPr>
        <w:t>Patienten, bei deren Behandlung mit Amsparity 40</w:t>
      </w:r>
      <w:r w:rsidR="00D73FD8" w:rsidRPr="004F5FB4">
        <w:rPr>
          <w:color w:val="000000"/>
        </w:rPr>
        <w:t> </w:t>
      </w:r>
      <w:r w:rsidR="00C46587" w:rsidRPr="004F5FB4">
        <w:rPr>
          <w:color w:val="000000"/>
        </w:rPr>
        <w:t>mg jede zweite Woche ein Wirkverlust auftritt, können von einer Erhöhung der Dosierung auf 40</w:t>
      </w:r>
      <w:r w:rsidR="00D73FD8" w:rsidRPr="004F5FB4">
        <w:rPr>
          <w:color w:val="000000"/>
        </w:rPr>
        <w:t> </w:t>
      </w:r>
      <w:r w:rsidR="00C46587" w:rsidRPr="004F5FB4">
        <w:rPr>
          <w:color w:val="000000"/>
        </w:rPr>
        <w:t>mg jede Woche oder 80 mg jede zweite Woche profitieren.</w:t>
      </w:r>
    </w:p>
    <w:p w14:paraId="67A76A4A" w14:textId="77777777" w:rsidR="00C46587" w:rsidRPr="004F5FB4" w:rsidRDefault="00C46587" w:rsidP="00982118">
      <w:pPr>
        <w:rPr>
          <w:color w:val="000000"/>
        </w:rPr>
      </w:pPr>
    </w:p>
    <w:p w14:paraId="1CA5763F" w14:textId="77777777" w:rsidR="00C46587" w:rsidRPr="004F5FB4" w:rsidRDefault="00C46587" w:rsidP="00982118">
      <w:pPr>
        <w:rPr>
          <w:color w:val="000000"/>
        </w:rPr>
      </w:pPr>
      <w:r w:rsidRPr="004F5FB4">
        <w:rPr>
          <w:color w:val="000000"/>
        </w:rPr>
        <w:t>Einige Patienten, die bis Woche</w:t>
      </w:r>
      <w:r w:rsidR="00D73FD8" w:rsidRPr="004F5FB4">
        <w:rPr>
          <w:color w:val="000000"/>
        </w:rPr>
        <w:t> </w:t>
      </w:r>
      <w:r w:rsidRPr="004F5FB4">
        <w:rPr>
          <w:color w:val="000000"/>
        </w:rPr>
        <w:t>4 noch nicht auf die Therapie angesprochen haben, können von einer Weiterführung der Erhaltungstherapie bis Woche</w:t>
      </w:r>
      <w:r w:rsidR="00D73FD8" w:rsidRPr="004F5FB4">
        <w:rPr>
          <w:color w:val="000000"/>
        </w:rPr>
        <w:t> </w:t>
      </w:r>
      <w:r w:rsidRPr="004F5FB4">
        <w:rPr>
          <w:color w:val="000000"/>
        </w:rPr>
        <w:t xml:space="preserve">12 profitieren. </w:t>
      </w:r>
      <w:r w:rsidR="00D236EA" w:rsidRPr="004F5FB4">
        <w:rPr>
          <w:color w:val="000000"/>
        </w:rPr>
        <w:t xml:space="preserve">Eine weitere Behandlung von </w:t>
      </w:r>
      <w:r w:rsidRPr="004F5FB4">
        <w:rPr>
          <w:color w:val="000000"/>
        </w:rPr>
        <w:t>Patienten, der in diese</w:t>
      </w:r>
      <w:r w:rsidR="00D236EA" w:rsidRPr="004F5FB4">
        <w:rPr>
          <w:color w:val="000000"/>
        </w:rPr>
        <w:t>m</w:t>
      </w:r>
      <w:r w:rsidRPr="004F5FB4">
        <w:rPr>
          <w:color w:val="000000"/>
        </w:rPr>
        <w:t xml:space="preserve"> Zeit</w:t>
      </w:r>
      <w:r w:rsidR="00D236EA" w:rsidRPr="004F5FB4">
        <w:rPr>
          <w:color w:val="000000"/>
        </w:rPr>
        <w:t>raum</w:t>
      </w:r>
      <w:r w:rsidRPr="004F5FB4">
        <w:rPr>
          <w:color w:val="000000"/>
        </w:rPr>
        <w:t xml:space="preserve"> nicht </w:t>
      </w:r>
      <w:r w:rsidR="00D236EA" w:rsidRPr="004F5FB4">
        <w:rPr>
          <w:color w:val="000000"/>
        </w:rPr>
        <w:t xml:space="preserve">auf die Therapie </w:t>
      </w:r>
      <w:r w:rsidRPr="004F5FB4">
        <w:rPr>
          <w:color w:val="000000"/>
        </w:rPr>
        <w:t>an</w:t>
      </w:r>
      <w:r w:rsidR="00D236EA" w:rsidRPr="004F5FB4">
        <w:rPr>
          <w:color w:val="000000"/>
        </w:rPr>
        <w:t>ge</w:t>
      </w:r>
      <w:r w:rsidRPr="004F5FB4">
        <w:rPr>
          <w:color w:val="000000"/>
        </w:rPr>
        <w:t>spr</w:t>
      </w:r>
      <w:r w:rsidR="00D236EA" w:rsidRPr="004F5FB4">
        <w:rPr>
          <w:color w:val="000000"/>
        </w:rPr>
        <w:t>o</w:t>
      </w:r>
      <w:r w:rsidRPr="004F5FB4">
        <w:rPr>
          <w:color w:val="000000"/>
        </w:rPr>
        <w:t>ch</w:t>
      </w:r>
      <w:r w:rsidR="00D236EA" w:rsidRPr="004F5FB4">
        <w:rPr>
          <w:color w:val="000000"/>
        </w:rPr>
        <w:t>en haben</w:t>
      </w:r>
      <w:r w:rsidRPr="004F5FB4">
        <w:rPr>
          <w:color w:val="000000"/>
        </w:rPr>
        <w:t xml:space="preserve">, </w:t>
      </w:r>
      <w:r w:rsidR="00D236EA" w:rsidRPr="004F5FB4">
        <w:rPr>
          <w:color w:val="000000"/>
        </w:rPr>
        <w:t>sollte</w:t>
      </w:r>
      <w:r w:rsidRPr="004F5FB4">
        <w:rPr>
          <w:color w:val="000000"/>
        </w:rPr>
        <w:t xml:space="preserve"> sorgfältig </w:t>
      </w:r>
      <w:r w:rsidR="00D236EA" w:rsidRPr="004F5FB4">
        <w:rPr>
          <w:color w:val="000000"/>
        </w:rPr>
        <w:t>abgewogen</w:t>
      </w:r>
      <w:r w:rsidRPr="004F5FB4">
        <w:rPr>
          <w:color w:val="000000"/>
        </w:rPr>
        <w:t xml:space="preserve"> werden.</w:t>
      </w:r>
    </w:p>
    <w:p w14:paraId="12B60ECE" w14:textId="77777777" w:rsidR="00C46587" w:rsidRPr="004F5FB4" w:rsidRDefault="00C46587" w:rsidP="00982118">
      <w:pPr>
        <w:rPr>
          <w:color w:val="000000"/>
        </w:rPr>
      </w:pPr>
    </w:p>
    <w:p w14:paraId="6D62A5FD" w14:textId="77777777" w:rsidR="00694D04" w:rsidRPr="004F5FB4" w:rsidRDefault="006A1144" w:rsidP="00982118">
      <w:pPr>
        <w:autoSpaceDE w:val="0"/>
        <w:autoSpaceDN w:val="0"/>
        <w:adjustRightInd w:val="0"/>
        <w:rPr>
          <w:color w:val="000000"/>
        </w:rPr>
      </w:pPr>
      <w:r w:rsidRPr="004F5FB4">
        <w:rPr>
          <w:color w:val="000000"/>
        </w:rPr>
        <w:t>Abhängig von den individuellen Behandlungsbedürfnissen kann Amsparity auch in anderen Stärken und/</w:t>
      </w:r>
      <w:r w:rsidR="00D73FD8" w:rsidRPr="004F5FB4">
        <w:rPr>
          <w:color w:val="000000"/>
        </w:rPr>
        <w:t xml:space="preserve"> </w:t>
      </w:r>
      <w:r w:rsidRPr="004F5FB4">
        <w:rPr>
          <w:color w:val="000000"/>
        </w:rPr>
        <w:t>oder Darreichungsformen erhältlich sein.</w:t>
      </w:r>
    </w:p>
    <w:p w14:paraId="7C86BABD" w14:textId="77777777" w:rsidR="00694D04" w:rsidRPr="004F5FB4" w:rsidRDefault="00694D04" w:rsidP="00982118">
      <w:pPr>
        <w:rPr>
          <w:color w:val="000000"/>
        </w:rPr>
      </w:pPr>
    </w:p>
    <w:p w14:paraId="57B6F126" w14:textId="77777777" w:rsidR="00C46587" w:rsidRPr="004F5FB4" w:rsidRDefault="00C46587" w:rsidP="00DC3A99">
      <w:pPr>
        <w:keepNext/>
        <w:rPr>
          <w:i/>
          <w:color w:val="000000"/>
        </w:rPr>
      </w:pPr>
      <w:r w:rsidRPr="004F5FB4">
        <w:rPr>
          <w:i/>
          <w:color w:val="000000"/>
        </w:rPr>
        <w:t>Colitis ulcerosa</w:t>
      </w:r>
    </w:p>
    <w:p w14:paraId="204E2ED3" w14:textId="77777777" w:rsidR="00C46587" w:rsidRPr="004F5FB4" w:rsidRDefault="00C46587" w:rsidP="00DC3A99">
      <w:pPr>
        <w:keepNext/>
        <w:rPr>
          <w:color w:val="000000"/>
        </w:rPr>
      </w:pPr>
    </w:p>
    <w:p w14:paraId="72671D54" w14:textId="77777777" w:rsidR="00C46587" w:rsidRPr="004F5FB4" w:rsidRDefault="00C46587" w:rsidP="00982118">
      <w:pPr>
        <w:rPr>
          <w:color w:val="000000"/>
        </w:rPr>
      </w:pPr>
      <w:r w:rsidRPr="004F5FB4">
        <w:rPr>
          <w:color w:val="000000"/>
        </w:rPr>
        <w:t>D</w:t>
      </w:r>
      <w:r w:rsidR="00D236EA" w:rsidRPr="004F5FB4">
        <w:rPr>
          <w:color w:val="000000"/>
        </w:rPr>
        <w:t>ie</w:t>
      </w:r>
      <w:r w:rsidRPr="004F5FB4">
        <w:rPr>
          <w:color w:val="000000"/>
        </w:rPr>
        <w:t xml:space="preserve"> empfohlene Induktionsdosis für Amsparity beträgt bei erwachsenen Patienten mit mittelschwerer bis schwerer Colitis ulcerosa 160 mg in Woche</w:t>
      </w:r>
      <w:r w:rsidR="00D73FD8" w:rsidRPr="004F5FB4">
        <w:rPr>
          <w:color w:val="000000"/>
        </w:rPr>
        <w:t> </w:t>
      </w:r>
      <w:r w:rsidRPr="004F5FB4">
        <w:rPr>
          <w:color w:val="000000"/>
        </w:rPr>
        <w:t>0 (verabreicht als vier Injektionen von 40 mg innerhalb eines Tages oder als zwei Injektionen von 40 mg pro Tag an zwei aufeinanderfolgenden Tagen) und 80 mg in Woche</w:t>
      </w:r>
      <w:r w:rsidR="00D73FD8" w:rsidRPr="004F5FB4">
        <w:rPr>
          <w:color w:val="000000"/>
        </w:rPr>
        <w:t> </w:t>
      </w:r>
      <w:r w:rsidRPr="004F5FB4">
        <w:rPr>
          <w:color w:val="000000"/>
        </w:rPr>
        <w:t>2 (verabreicht als zwei Injektionen von 40 mg innerhalb eines Tages). Nach der Induktionsbehandlung beträgt die empfohlene Dosis 40 mg als subkutane Injektion jede zweite Woche.</w:t>
      </w:r>
    </w:p>
    <w:p w14:paraId="78DD270F" w14:textId="77777777" w:rsidR="00C46587" w:rsidRPr="004F5FB4" w:rsidRDefault="00C46587" w:rsidP="00982118">
      <w:pPr>
        <w:rPr>
          <w:color w:val="000000"/>
        </w:rPr>
      </w:pPr>
    </w:p>
    <w:p w14:paraId="57305AEA" w14:textId="77777777" w:rsidR="00C46587" w:rsidRPr="004F5FB4" w:rsidRDefault="00C46587" w:rsidP="00982118">
      <w:pPr>
        <w:rPr>
          <w:color w:val="000000"/>
        </w:rPr>
      </w:pPr>
      <w:r w:rsidRPr="004F5FB4">
        <w:rPr>
          <w:color w:val="000000"/>
        </w:rPr>
        <w:t xml:space="preserve">Während der Erhaltungstherapie können </w:t>
      </w:r>
      <w:r w:rsidR="00D236EA" w:rsidRPr="004F5FB4">
        <w:rPr>
          <w:color w:val="000000"/>
        </w:rPr>
        <w:t>Glukok</w:t>
      </w:r>
      <w:r w:rsidRPr="004F5FB4">
        <w:rPr>
          <w:color w:val="000000"/>
        </w:rPr>
        <w:t>ortikoide gemäß den klinischen Empfehlungen ausgeschlichen werden.</w:t>
      </w:r>
    </w:p>
    <w:p w14:paraId="751CB592" w14:textId="77777777" w:rsidR="00C46587" w:rsidRPr="004F5FB4" w:rsidRDefault="00C46587" w:rsidP="00982118">
      <w:pPr>
        <w:rPr>
          <w:color w:val="000000"/>
        </w:rPr>
      </w:pPr>
    </w:p>
    <w:p w14:paraId="696E97D3" w14:textId="77777777" w:rsidR="00C46587" w:rsidRPr="004F5FB4" w:rsidRDefault="00401A02" w:rsidP="00982118">
      <w:pPr>
        <w:rPr>
          <w:color w:val="000000"/>
        </w:rPr>
      </w:pPr>
      <w:r w:rsidRPr="004F5FB4">
        <w:rPr>
          <w:color w:val="000000"/>
        </w:rPr>
        <w:t xml:space="preserve">Einige </w:t>
      </w:r>
      <w:r w:rsidR="00C46587" w:rsidRPr="004F5FB4">
        <w:rPr>
          <w:color w:val="000000"/>
        </w:rPr>
        <w:t>Patienten, bei deren Behandlung mit Amsparity 40</w:t>
      </w:r>
      <w:r w:rsidR="00D73FD8" w:rsidRPr="004F5FB4">
        <w:rPr>
          <w:color w:val="000000"/>
        </w:rPr>
        <w:t> </w:t>
      </w:r>
      <w:r w:rsidR="00C46587" w:rsidRPr="004F5FB4">
        <w:rPr>
          <w:color w:val="000000"/>
        </w:rPr>
        <w:t>mg jede zweite Woche ein Wirkverlust auftritt, können von einer Erhöhung der Dosierung auf 40</w:t>
      </w:r>
      <w:r w:rsidR="00D73FD8" w:rsidRPr="004F5FB4">
        <w:rPr>
          <w:color w:val="000000"/>
        </w:rPr>
        <w:t> </w:t>
      </w:r>
      <w:r w:rsidR="00C46587" w:rsidRPr="004F5FB4">
        <w:rPr>
          <w:color w:val="000000"/>
        </w:rPr>
        <w:t>mg</w:t>
      </w:r>
      <w:r w:rsidR="00D236EA" w:rsidRPr="004F5FB4">
        <w:rPr>
          <w:color w:val="000000"/>
        </w:rPr>
        <w:t xml:space="preserve"> Amsparity</w:t>
      </w:r>
      <w:r w:rsidR="00C46587" w:rsidRPr="004F5FB4">
        <w:rPr>
          <w:color w:val="000000"/>
        </w:rPr>
        <w:t xml:space="preserve"> jede Woche oder 80 mg jede zweite Woche profitieren.</w:t>
      </w:r>
    </w:p>
    <w:p w14:paraId="52C3682C" w14:textId="77777777" w:rsidR="00C46587" w:rsidRPr="004F5FB4" w:rsidRDefault="00C46587" w:rsidP="00982118">
      <w:pPr>
        <w:rPr>
          <w:color w:val="000000"/>
        </w:rPr>
      </w:pPr>
    </w:p>
    <w:p w14:paraId="2D8036C1" w14:textId="77777777" w:rsidR="00C46587" w:rsidRPr="004F5FB4" w:rsidRDefault="00C46587" w:rsidP="00982118">
      <w:pPr>
        <w:rPr>
          <w:color w:val="000000"/>
        </w:rPr>
      </w:pPr>
      <w:r w:rsidRPr="004F5FB4">
        <w:rPr>
          <w:color w:val="000000"/>
        </w:rPr>
        <w:t>Die vorhandenen Daten legen nahe, dass ein klinisches Ansprechen gewöhnlich innerhalb von 2 bis 8</w:t>
      </w:r>
      <w:r w:rsidR="00204144" w:rsidRPr="004F5FB4">
        <w:rPr>
          <w:color w:val="000000"/>
        </w:rPr>
        <w:t> </w:t>
      </w:r>
      <w:r w:rsidRPr="004F5FB4">
        <w:rPr>
          <w:color w:val="000000"/>
        </w:rPr>
        <w:t xml:space="preserve">Behandlungswochen erreicht wird. Bei Patienten, die in dieser Zeit nicht ansprechen, sollte die Behandlung mit Amsparity nicht fortgesetzt werden. </w:t>
      </w:r>
    </w:p>
    <w:p w14:paraId="2AC14AA1" w14:textId="77777777" w:rsidR="00C46587" w:rsidRPr="004F5FB4" w:rsidRDefault="00C46587" w:rsidP="00982118">
      <w:pPr>
        <w:rPr>
          <w:color w:val="000000"/>
        </w:rPr>
      </w:pPr>
    </w:p>
    <w:p w14:paraId="5458C506" w14:textId="77777777" w:rsidR="002A6BAF" w:rsidRPr="004F5FB4" w:rsidRDefault="006A1144" w:rsidP="00982118">
      <w:pPr>
        <w:autoSpaceDE w:val="0"/>
        <w:autoSpaceDN w:val="0"/>
        <w:adjustRightInd w:val="0"/>
        <w:rPr>
          <w:color w:val="000000"/>
        </w:rPr>
      </w:pPr>
      <w:r w:rsidRPr="004F5FB4">
        <w:rPr>
          <w:color w:val="000000"/>
        </w:rPr>
        <w:t>Abhängig von den individuellen Behandlungsbedürfnissen kann Amsparity auch in anderen Stärken und/</w:t>
      </w:r>
      <w:r w:rsidR="00D73FD8" w:rsidRPr="004F5FB4">
        <w:rPr>
          <w:color w:val="000000"/>
        </w:rPr>
        <w:t xml:space="preserve"> </w:t>
      </w:r>
      <w:r w:rsidRPr="004F5FB4">
        <w:rPr>
          <w:color w:val="000000"/>
        </w:rPr>
        <w:t>oder Darreichungsformen erhältlich sein.</w:t>
      </w:r>
    </w:p>
    <w:p w14:paraId="6C8B5C68" w14:textId="77777777" w:rsidR="002A6BAF" w:rsidRPr="004F5FB4" w:rsidRDefault="002A6BAF" w:rsidP="00982118">
      <w:pPr>
        <w:rPr>
          <w:color w:val="000000"/>
        </w:rPr>
      </w:pPr>
    </w:p>
    <w:p w14:paraId="3964EAD5" w14:textId="77777777" w:rsidR="00C46587" w:rsidRPr="004F5FB4" w:rsidRDefault="00C46587" w:rsidP="00DC3A99">
      <w:pPr>
        <w:keepNext/>
        <w:rPr>
          <w:i/>
          <w:color w:val="000000"/>
        </w:rPr>
      </w:pPr>
      <w:r w:rsidRPr="004F5FB4">
        <w:rPr>
          <w:i/>
          <w:color w:val="000000"/>
        </w:rPr>
        <w:t>Uveitis</w:t>
      </w:r>
    </w:p>
    <w:p w14:paraId="6F91BA54" w14:textId="77777777" w:rsidR="00C46587" w:rsidRPr="004F5FB4" w:rsidRDefault="00C46587" w:rsidP="00DC3A99">
      <w:pPr>
        <w:keepNext/>
        <w:rPr>
          <w:color w:val="000000"/>
        </w:rPr>
      </w:pPr>
    </w:p>
    <w:p w14:paraId="44A61742" w14:textId="77777777" w:rsidR="00C46587" w:rsidRPr="004F5FB4" w:rsidRDefault="00C46587" w:rsidP="00982118">
      <w:pPr>
        <w:rPr>
          <w:color w:val="000000"/>
        </w:rPr>
      </w:pPr>
      <w:r w:rsidRPr="004F5FB4">
        <w:rPr>
          <w:color w:val="000000"/>
        </w:rPr>
        <w:t>Die empfohlene Dosierung von Amsparity für erwachsene Patienten mit Uveitis beträgt 80 mg als Induktionsdosis, gefolgt von 40 mg alle zwei Wochen, beginnend eine Woche nach der Induktionsdosis. Es liegen nur begrenzte Erfahrungen zur Einleitung von Amsparity als Monotherapie vor. Die Behandlung mit Amsparity kann in Kombination mit Kortikosteroiden und/</w:t>
      </w:r>
      <w:r w:rsidR="00D73FD8" w:rsidRPr="004F5FB4">
        <w:rPr>
          <w:color w:val="000000"/>
        </w:rPr>
        <w:t xml:space="preserve"> </w:t>
      </w:r>
      <w:r w:rsidRPr="004F5FB4">
        <w:rPr>
          <w:color w:val="000000"/>
        </w:rPr>
        <w:t>oder anderen nicht biologischen Immun</w:t>
      </w:r>
      <w:r w:rsidR="00D236EA" w:rsidRPr="004F5FB4">
        <w:rPr>
          <w:color w:val="000000"/>
        </w:rPr>
        <w:t>suppressiva</w:t>
      </w:r>
      <w:r w:rsidRPr="004F5FB4">
        <w:rPr>
          <w:color w:val="000000"/>
        </w:rPr>
        <w:t xml:space="preserve"> eingeleitet werden. Eine begleitende Anwendung von Kortikosteroiden kann gemäß gängiger klinischer Praxis ab zwei Wochen nach der Einleitung der Behandlung mit Amsparity ausgeschlichen werden.</w:t>
      </w:r>
    </w:p>
    <w:p w14:paraId="32D72ACD" w14:textId="77777777" w:rsidR="00C46587" w:rsidRPr="004F5FB4" w:rsidRDefault="00C46587" w:rsidP="00982118">
      <w:pPr>
        <w:rPr>
          <w:color w:val="000000"/>
        </w:rPr>
      </w:pPr>
    </w:p>
    <w:p w14:paraId="0391BC90" w14:textId="77777777" w:rsidR="00C46587" w:rsidRPr="004F5FB4" w:rsidRDefault="00C46587" w:rsidP="00982118">
      <w:pPr>
        <w:rPr>
          <w:color w:val="000000"/>
        </w:rPr>
      </w:pPr>
      <w:r w:rsidRPr="004F5FB4">
        <w:rPr>
          <w:color w:val="000000"/>
        </w:rPr>
        <w:t>Es wird empfohlen, Nutzen und Risiko einer Langzeitbehandlung jährlich zu beurteilen (siehe Abschnitt</w:t>
      </w:r>
      <w:r w:rsidR="00D73FD8" w:rsidRPr="004F5FB4">
        <w:rPr>
          <w:color w:val="000000"/>
        </w:rPr>
        <w:t> </w:t>
      </w:r>
      <w:r w:rsidRPr="004F5FB4">
        <w:rPr>
          <w:color w:val="000000"/>
        </w:rPr>
        <w:t>5.1).</w:t>
      </w:r>
    </w:p>
    <w:p w14:paraId="08FB9BBC" w14:textId="77777777" w:rsidR="00C46587" w:rsidRPr="004F5FB4" w:rsidRDefault="00C46587" w:rsidP="00982118">
      <w:pPr>
        <w:rPr>
          <w:color w:val="000000"/>
        </w:rPr>
      </w:pPr>
    </w:p>
    <w:p w14:paraId="37923059" w14:textId="77777777" w:rsidR="009A75C3" w:rsidRPr="004F5FB4" w:rsidRDefault="006A1144" w:rsidP="00982118">
      <w:pPr>
        <w:autoSpaceDE w:val="0"/>
        <w:autoSpaceDN w:val="0"/>
        <w:adjustRightInd w:val="0"/>
        <w:rPr>
          <w:color w:val="000000"/>
        </w:rPr>
      </w:pPr>
      <w:r w:rsidRPr="004F5FB4">
        <w:rPr>
          <w:color w:val="000000"/>
        </w:rPr>
        <w:t xml:space="preserve">Abhängig von den individuellen Behandlungsbedürfnissen kann Amsparity auch in anderen Stärken </w:t>
      </w:r>
      <w:r w:rsidR="00F35054" w:rsidRPr="004F5FB4">
        <w:rPr>
          <w:color w:val="000000"/>
        </w:rPr>
        <w:t>und/</w:t>
      </w:r>
      <w:r w:rsidR="00613A33" w:rsidRPr="004F5FB4">
        <w:rPr>
          <w:color w:val="000000"/>
        </w:rPr>
        <w:t> </w:t>
      </w:r>
      <w:r w:rsidR="00F35054" w:rsidRPr="004F5FB4">
        <w:rPr>
          <w:color w:val="000000"/>
        </w:rPr>
        <w:t>oder</w:t>
      </w:r>
      <w:r w:rsidRPr="004F5FB4">
        <w:rPr>
          <w:color w:val="000000"/>
        </w:rPr>
        <w:t xml:space="preserve"> Darreichungsformen erhältlich sein.</w:t>
      </w:r>
    </w:p>
    <w:p w14:paraId="7E5590E2" w14:textId="77777777" w:rsidR="009A75C3" w:rsidRPr="004F5FB4" w:rsidRDefault="009A75C3" w:rsidP="00982118">
      <w:pPr>
        <w:rPr>
          <w:color w:val="000000"/>
        </w:rPr>
      </w:pPr>
    </w:p>
    <w:p w14:paraId="33A4240A" w14:textId="77777777" w:rsidR="009963F3" w:rsidRPr="004F5FB4" w:rsidRDefault="009963F3" w:rsidP="00982118">
      <w:pPr>
        <w:keepNext/>
        <w:rPr>
          <w:color w:val="000000"/>
          <w:u w:val="single"/>
        </w:rPr>
      </w:pPr>
      <w:r w:rsidRPr="004F5FB4">
        <w:rPr>
          <w:color w:val="000000"/>
          <w:u w:val="single"/>
        </w:rPr>
        <w:t>Besondere Patientengruppen</w:t>
      </w:r>
    </w:p>
    <w:p w14:paraId="3B0769E0" w14:textId="77777777" w:rsidR="009963F3" w:rsidRPr="004F5FB4" w:rsidRDefault="009963F3" w:rsidP="00982118">
      <w:pPr>
        <w:keepNext/>
        <w:rPr>
          <w:color w:val="000000"/>
          <w:u w:val="single"/>
        </w:rPr>
      </w:pPr>
    </w:p>
    <w:p w14:paraId="267592D7" w14:textId="77777777" w:rsidR="00C46587" w:rsidRPr="004F5FB4" w:rsidRDefault="007710F5" w:rsidP="00982118">
      <w:pPr>
        <w:keepNext/>
        <w:rPr>
          <w:i/>
          <w:color w:val="000000"/>
        </w:rPr>
      </w:pPr>
      <w:r w:rsidRPr="004F5FB4">
        <w:rPr>
          <w:i/>
          <w:color w:val="000000"/>
        </w:rPr>
        <w:t>Ältere Patienten</w:t>
      </w:r>
    </w:p>
    <w:p w14:paraId="078EFB21" w14:textId="77777777" w:rsidR="00C46587" w:rsidRPr="004F5FB4" w:rsidRDefault="00C46587" w:rsidP="00982118">
      <w:pPr>
        <w:keepNext/>
        <w:rPr>
          <w:color w:val="000000"/>
        </w:rPr>
      </w:pPr>
    </w:p>
    <w:p w14:paraId="1344DD3C" w14:textId="77777777" w:rsidR="00C46587" w:rsidRPr="004F5FB4" w:rsidRDefault="00C46587" w:rsidP="00982118">
      <w:pPr>
        <w:rPr>
          <w:color w:val="000000"/>
        </w:rPr>
      </w:pPr>
      <w:r w:rsidRPr="004F5FB4">
        <w:rPr>
          <w:color w:val="000000"/>
        </w:rPr>
        <w:t>Eine Dosisanpassung ist nicht erforderlich.</w:t>
      </w:r>
    </w:p>
    <w:p w14:paraId="53E7FBC5" w14:textId="77777777" w:rsidR="00C46587" w:rsidRPr="004F5FB4" w:rsidRDefault="00C46587" w:rsidP="00982118">
      <w:pPr>
        <w:rPr>
          <w:color w:val="000000"/>
        </w:rPr>
      </w:pPr>
    </w:p>
    <w:p w14:paraId="05B29E85" w14:textId="77777777" w:rsidR="00C46587" w:rsidRPr="004F5FB4" w:rsidRDefault="007710F5" w:rsidP="00687087">
      <w:pPr>
        <w:keepNext/>
        <w:rPr>
          <w:i/>
          <w:color w:val="000000"/>
        </w:rPr>
      </w:pPr>
      <w:r w:rsidRPr="004F5FB4">
        <w:rPr>
          <w:i/>
          <w:color w:val="000000"/>
        </w:rPr>
        <w:lastRenderedPageBreak/>
        <w:t>Nieren- und/</w:t>
      </w:r>
      <w:r w:rsidR="00D73FD8" w:rsidRPr="004F5FB4">
        <w:rPr>
          <w:i/>
          <w:color w:val="000000"/>
        </w:rPr>
        <w:t xml:space="preserve"> </w:t>
      </w:r>
      <w:r w:rsidRPr="004F5FB4">
        <w:rPr>
          <w:i/>
          <w:color w:val="000000"/>
        </w:rPr>
        <w:t>oder Leberfunktionsstörungen</w:t>
      </w:r>
    </w:p>
    <w:p w14:paraId="307801A6" w14:textId="77777777" w:rsidR="00C46587" w:rsidRPr="004F5FB4" w:rsidRDefault="00C46587" w:rsidP="00687087">
      <w:pPr>
        <w:keepNext/>
        <w:rPr>
          <w:color w:val="000000"/>
        </w:rPr>
      </w:pPr>
    </w:p>
    <w:p w14:paraId="06E41307" w14:textId="77777777" w:rsidR="00C46587" w:rsidRPr="004F5FB4" w:rsidRDefault="005A4709" w:rsidP="00982118">
      <w:pPr>
        <w:rPr>
          <w:color w:val="000000"/>
        </w:rPr>
      </w:pPr>
      <w:r w:rsidRPr="004F5FB4">
        <w:rPr>
          <w:color w:val="000000"/>
        </w:rPr>
        <w:t>Adalimumab wurde in dieser Patientengruppe nicht untersucht. Eine Dosisempfehlung kann nicht gegeben werden.</w:t>
      </w:r>
    </w:p>
    <w:p w14:paraId="76BA9F39" w14:textId="77777777" w:rsidR="00C46587" w:rsidRPr="004F5FB4" w:rsidRDefault="00C46587" w:rsidP="00982118">
      <w:pPr>
        <w:rPr>
          <w:color w:val="000000"/>
        </w:rPr>
      </w:pPr>
    </w:p>
    <w:p w14:paraId="707B49EF" w14:textId="77777777" w:rsidR="00C46587" w:rsidRPr="004F5FB4" w:rsidRDefault="007710F5" w:rsidP="00982118">
      <w:pPr>
        <w:keepNext/>
        <w:rPr>
          <w:color w:val="000000"/>
          <w:u w:val="single"/>
        </w:rPr>
      </w:pPr>
      <w:r w:rsidRPr="004F5FB4">
        <w:rPr>
          <w:color w:val="000000"/>
          <w:u w:val="single"/>
        </w:rPr>
        <w:t>Kinder und Jugendliche</w:t>
      </w:r>
    </w:p>
    <w:p w14:paraId="44D05C52" w14:textId="77777777" w:rsidR="00C46587" w:rsidRPr="004F5FB4" w:rsidRDefault="00C46587" w:rsidP="00982118">
      <w:pPr>
        <w:keepNext/>
        <w:rPr>
          <w:color w:val="000000"/>
        </w:rPr>
      </w:pPr>
    </w:p>
    <w:p w14:paraId="0872916E" w14:textId="77777777" w:rsidR="00C46587" w:rsidRPr="004F5FB4" w:rsidRDefault="00C46587" w:rsidP="00982118">
      <w:pPr>
        <w:keepNext/>
        <w:rPr>
          <w:i/>
          <w:color w:val="000000"/>
        </w:rPr>
      </w:pPr>
      <w:r w:rsidRPr="004F5FB4">
        <w:rPr>
          <w:i/>
          <w:color w:val="000000"/>
        </w:rPr>
        <w:t xml:space="preserve">Juvenile idiopathische Arthritis </w:t>
      </w:r>
    </w:p>
    <w:p w14:paraId="2E41E20F" w14:textId="77777777" w:rsidR="00C46587" w:rsidRPr="004F5FB4" w:rsidRDefault="00C46587" w:rsidP="00982118">
      <w:pPr>
        <w:keepNext/>
        <w:rPr>
          <w:color w:val="000000"/>
        </w:rPr>
      </w:pPr>
    </w:p>
    <w:p w14:paraId="308A1CA9" w14:textId="77777777" w:rsidR="00C46587" w:rsidRPr="004F5FB4" w:rsidRDefault="00C46587" w:rsidP="00982118">
      <w:pPr>
        <w:rPr>
          <w:i/>
          <w:color w:val="000000"/>
          <w:u w:val="single"/>
        </w:rPr>
      </w:pPr>
      <w:r w:rsidRPr="004F5FB4">
        <w:rPr>
          <w:i/>
          <w:color w:val="000000"/>
          <w:u w:val="single"/>
        </w:rPr>
        <w:t>Polyartikuläre juvenile idiopathische Arthritis ab einem Alter von 2</w:t>
      </w:r>
      <w:r w:rsidR="00D73FD8" w:rsidRPr="004F5FB4">
        <w:rPr>
          <w:i/>
          <w:color w:val="000000"/>
          <w:u w:val="single"/>
        </w:rPr>
        <w:t> </w:t>
      </w:r>
      <w:r w:rsidRPr="004F5FB4">
        <w:rPr>
          <w:i/>
          <w:color w:val="000000"/>
          <w:u w:val="single"/>
        </w:rPr>
        <w:t>Jahren</w:t>
      </w:r>
    </w:p>
    <w:p w14:paraId="3D7A569D" w14:textId="77777777" w:rsidR="00C46587" w:rsidRPr="004F5FB4" w:rsidRDefault="00C46587" w:rsidP="00982118">
      <w:pPr>
        <w:rPr>
          <w:color w:val="000000"/>
        </w:rPr>
      </w:pPr>
    </w:p>
    <w:p w14:paraId="195988FF" w14:textId="77777777" w:rsidR="00C46587" w:rsidRPr="004F5FB4" w:rsidRDefault="00C46587" w:rsidP="00982118">
      <w:pPr>
        <w:rPr>
          <w:color w:val="000000"/>
          <w:highlight w:val="green"/>
        </w:rPr>
      </w:pPr>
      <w:r w:rsidRPr="004F5FB4">
        <w:rPr>
          <w:color w:val="000000"/>
        </w:rPr>
        <w:t>Die empfohlene Dosis von Amsparity wird für Patienten mit polyartikulärer juveniler idiopathischer Arthritis ab einem Alter von 2 Jahren anhand des Körpergewichtes bestimmt (Tabelle</w:t>
      </w:r>
      <w:r w:rsidR="00D73FD8" w:rsidRPr="004F5FB4">
        <w:rPr>
          <w:color w:val="000000"/>
        </w:rPr>
        <w:t> </w:t>
      </w:r>
      <w:r w:rsidRPr="004F5FB4">
        <w:rPr>
          <w:color w:val="000000"/>
        </w:rPr>
        <w:t>1). Amsparity wird jede zweite Woche subkutan injiziert.</w:t>
      </w:r>
    </w:p>
    <w:p w14:paraId="1AE96ED0" w14:textId="77777777" w:rsidR="00C46587" w:rsidRPr="004F5FB4" w:rsidRDefault="00C46587" w:rsidP="00982118">
      <w:pPr>
        <w:rPr>
          <w:color w:val="000000"/>
          <w:highlight w:val="green"/>
        </w:rPr>
      </w:pPr>
    </w:p>
    <w:p w14:paraId="084CE2AE" w14:textId="77777777" w:rsidR="00613A33" w:rsidRPr="004F5FB4" w:rsidRDefault="00A67540" w:rsidP="00687087">
      <w:pPr>
        <w:rPr>
          <w:b/>
          <w:color w:val="000000"/>
        </w:rPr>
      </w:pPr>
      <w:r w:rsidRPr="004F5FB4">
        <w:rPr>
          <w:b/>
          <w:color w:val="000000"/>
        </w:rPr>
        <w:t xml:space="preserve">Tabelle 1 </w:t>
      </w:r>
    </w:p>
    <w:p w14:paraId="08A0DAC5" w14:textId="77777777" w:rsidR="00A67540" w:rsidRPr="004F5FB4" w:rsidRDefault="00A67540" w:rsidP="00687087">
      <w:pPr>
        <w:rPr>
          <w:b/>
          <w:color w:val="000000"/>
        </w:rPr>
      </w:pPr>
      <w:r w:rsidRPr="004F5FB4">
        <w:rPr>
          <w:b/>
          <w:color w:val="000000"/>
        </w:rPr>
        <w:t xml:space="preserve">Amsparity-Dosis für Patienten mit polyartikulärer juveniler idiopathischer Arthritis </w:t>
      </w:r>
    </w:p>
    <w:p w14:paraId="1DF57BD4" w14:textId="77777777" w:rsidR="00C46587" w:rsidRPr="004F5FB4" w:rsidRDefault="00C46587" w:rsidP="00982118">
      <w:pPr>
        <w:keepNext/>
        <w:rPr>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21"/>
        <w:gridCol w:w="4554"/>
      </w:tblGrid>
      <w:tr w:rsidR="001D51F9" w:rsidRPr="004F5FB4" w14:paraId="4870184F" w14:textId="77777777" w:rsidTr="009A75C3">
        <w:tc>
          <w:tcPr>
            <w:tcW w:w="4651" w:type="dxa"/>
            <w:tcBorders>
              <w:right w:val="nil"/>
            </w:tcBorders>
            <w:shd w:val="clear" w:color="auto" w:fill="auto"/>
          </w:tcPr>
          <w:p w14:paraId="6D9C39B2" w14:textId="77777777" w:rsidR="001D51F9" w:rsidRPr="004F5FB4" w:rsidRDefault="001D51F9" w:rsidP="00982118">
            <w:pPr>
              <w:jc w:val="center"/>
              <w:rPr>
                <w:b/>
                <w:color w:val="000000"/>
              </w:rPr>
            </w:pPr>
            <w:r w:rsidRPr="004F5FB4">
              <w:rPr>
                <w:b/>
                <w:color w:val="000000"/>
              </w:rPr>
              <w:t>Gewicht des Patienten</w:t>
            </w:r>
          </w:p>
        </w:tc>
        <w:tc>
          <w:tcPr>
            <w:tcW w:w="4652" w:type="dxa"/>
            <w:tcBorders>
              <w:left w:val="nil"/>
            </w:tcBorders>
            <w:shd w:val="clear" w:color="auto" w:fill="auto"/>
          </w:tcPr>
          <w:p w14:paraId="1D5E5F06" w14:textId="77777777" w:rsidR="001D51F9" w:rsidRPr="004F5FB4" w:rsidRDefault="001D51F9" w:rsidP="00982118">
            <w:pPr>
              <w:jc w:val="center"/>
              <w:rPr>
                <w:b/>
                <w:color w:val="000000"/>
              </w:rPr>
            </w:pPr>
            <w:r w:rsidRPr="004F5FB4">
              <w:rPr>
                <w:b/>
                <w:color w:val="000000"/>
              </w:rPr>
              <w:t>Dosierungsschema</w:t>
            </w:r>
          </w:p>
        </w:tc>
      </w:tr>
      <w:tr w:rsidR="001D51F9" w:rsidRPr="004F5FB4" w14:paraId="15EEDF20" w14:textId="77777777" w:rsidTr="009A75C3">
        <w:tc>
          <w:tcPr>
            <w:tcW w:w="4651" w:type="dxa"/>
            <w:tcBorders>
              <w:right w:val="nil"/>
            </w:tcBorders>
            <w:shd w:val="clear" w:color="auto" w:fill="auto"/>
          </w:tcPr>
          <w:p w14:paraId="0F617235" w14:textId="77777777" w:rsidR="001D51F9" w:rsidRPr="004F5FB4" w:rsidRDefault="001D51F9" w:rsidP="00982118">
            <w:pPr>
              <w:jc w:val="center"/>
              <w:rPr>
                <w:color w:val="000000"/>
              </w:rPr>
            </w:pPr>
            <w:r w:rsidRPr="004F5FB4">
              <w:rPr>
                <w:color w:val="000000"/>
              </w:rPr>
              <w:t>10 kg bis &lt; 30 kg</w:t>
            </w:r>
          </w:p>
        </w:tc>
        <w:tc>
          <w:tcPr>
            <w:tcW w:w="4652" w:type="dxa"/>
            <w:tcBorders>
              <w:left w:val="nil"/>
            </w:tcBorders>
            <w:shd w:val="clear" w:color="auto" w:fill="auto"/>
          </w:tcPr>
          <w:p w14:paraId="28671720" w14:textId="77777777" w:rsidR="001D51F9" w:rsidRPr="004F5FB4" w:rsidRDefault="001D51F9" w:rsidP="00982118">
            <w:pPr>
              <w:jc w:val="center"/>
              <w:rPr>
                <w:color w:val="000000"/>
              </w:rPr>
            </w:pPr>
            <w:r w:rsidRPr="004F5FB4">
              <w:rPr>
                <w:color w:val="000000"/>
              </w:rPr>
              <w:t>20 mg jede zweite Woche</w:t>
            </w:r>
          </w:p>
        </w:tc>
      </w:tr>
      <w:tr w:rsidR="001D51F9" w:rsidRPr="004F5FB4" w14:paraId="36A2CBB2" w14:textId="77777777" w:rsidTr="009A75C3">
        <w:tc>
          <w:tcPr>
            <w:tcW w:w="4651" w:type="dxa"/>
            <w:tcBorders>
              <w:right w:val="nil"/>
            </w:tcBorders>
            <w:shd w:val="clear" w:color="auto" w:fill="auto"/>
          </w:tcPr>
          <w:p w14:paraId="07F28075" w14:textId="77777777" w:rsidR="001D51F9" w:rsidRPr="004F5FB4" w:rsidRDefault="001D51F9" w:rsidP="00982118">
            <w:pPr>
              <w:jc w:val="center"/>
              <w:rPr>
                <w:color w:val="000000"/>
              </w:rPr>
            </w:pPr>
            <w:r w:rsidRPr="004F5FB4">
              <w:rPr>
                <w:color w:val="000000"/>
              </w:rPr>
              <w:t>≥</w:t>
            </w:r>
            <w:r w:rsidR="00D73FD8" w:rsidRPr="004F5FB4">
              <w:rPr>
                <w:color w:val="000000"/>
              </w:rPr>
              <w:t> </w:t>
            </w:r>
            <w:r w:rsidRPr="004F5FB4">
              <w:rPr>
                <w:color w:val="000000"/>
              </w:rPr>
              <w:t>30 kg</w:t>
            </w:r>
          </w:p>
        </w:tc>
        <w:tc>
          <w:tcPr>
            <w:tcW w:w="4652" w:type="dxa"/>
            <w:tcBorders>
              <w:left w:val="nil"/>
            </w:tcBorders>
            <w:shd w:val="clear" w:color="auto" w:fill="auto"/>
          </w:tcPr>
          <w:p w14:paraId="7D36B3F5" w14:textId="77777777" w:rsidR="001D51F9" w:rsidRPr="004F5FB4" w:rsidRDefault="001D51F9" w:rsidP="00982118">
            <w:pPr>
              <w:jc w:val="center"/>
              <w:rPr>
                <w:color w:val="000000"/>
              </w:rPr>
            </w:pPr>
            <w:r w:rsidRPr="004F5FB4">
              <w:rPr>
                <w:color w:val="000000"/>
              </w:rPr>
              <w:t>40 mg jede zweite Woche</w:t>
            </w:r>
          </w:p>
        </w:tc>
      </w:tr>
    </w:tbl>
    <w:p w14:paraId="1E6D31B9" w14:textId="77777777" w:rsidR="001D51F9" w:rsidRPr="004F5FB4" w:rsidRDefault="001D51F9" w:rsidP="00982118">
      <w:pPr>
        <w:keepNext/>
        <w:rPr>
          <w:color w:val="000000"/>
          <w:lang w:val="en-GB"/>
        </w:rPr>
      </w:pPr>
    </w:p>
    <w:p w14:paraId="5E1959AD" w14:textId="77777777" w:rsidR="00C46587" w:rsidRPr="004F5FB4" w:rsidRDefault="00C46587" w:rsidP="00982118">
      <w:pPr>
        <w:rPr>
          <w:color w:val="000000"/>
        </w:rPr>
      </w:pPr>
      <w:r w:rsidRPr="004F5FB4">
        <w:rPr>
          <w:color w:val="000000"/>
        </w:rPr>
        <w:t>Die verfügbaren Daten weisen darauf hin, dass ein klinisches Ansprechen üblicherweise innerhalb von 12</w:t>
      </w:r>
      <w:r w:rsidR="00D73FD8" w:rsidRPr="004F5FB4">
        <w:rPr>
          <w:color w:val="000000"/>
        </w:rPr>
        <w:t> </w:t>
      </w:r>
      <w:r w:rsidRPr="004F5FB4">
        <w:rPr>
          <w:color w:val="000000"/>
        </w:rPr>
        <w:t>Behandlungswochen erreicht wird. Die Fortsetzung der Therapie sollte bei einem Patienten, der innerhalb dieser Zeitspanne nicht anspricht, nochmals sorgfältig überdacht werden.</w:t>
      </w:r>
    </w:p>
    <w:p w14:paraId="0D922907" w14:textId="77777777" w:rsidR="00C46587" w:rsidRPr="004F5FB4" w:rsidRDefault="00C46587" w:rsidP="00982118">
      <w:pPr>
        <w:rPr>
          <w:color w:val="000000"/>
        </w:rPr>
      </w:pPr>
    </w:p>
    <w:p w14:paraId="3B3CA997" w14:textId="77777777" w:rsidR="00C46587" w:rsidRPr="004F5FB4" w:rsidRDefault="00401A02" w:rsidP="00982118">
      <w:pPr>
        <w:rPr>
          <w:color w:val="000000"/>
        </w:rPr>
      </w:pPr>
      <w:r w:rsidRPr="004F5FB4">
        <w:rPr>
          <w:color w:val="000000"/>
        </w:rPr>
        <w:t xml:space="preserve">Es gibt in </w:t>
      </w:r>
      <w:r w:rsidR="00C46587" w:rsidRPr="004F5FB4">
        <w:rPr>
          <w:color w:val="000000"/>
        </w:rPr>
        <w:t xml:space="preserve">dieser Indikation </w:t>
      </w:r>
      <w:r w:rsidRPr="004F5FB4">
        <w:rPr>
          <w:color w:val="000000"/>
        </w:rPr>
        <w:t xml:space="preserve">keinen relevanten Nutzen von Adalimumab </w:t>
      </w:r>
      <w:r w:rsidR="00C46587" w:rsidRPr="004F5FB4">
        <w:rPr>
          <w:color w:val="000000"/>
        </w:rPr>
        <w:t xml:space="preserve">bei </w:t>
      </w:r>
      <w:r w:rsidRPr="004F5FB4">
        <w:rPr>
          <w:color w:val="000000"/>
        </w:rPr>
        <w:t>Kindern</w:t>
      </w:r>
      <w:r w:rsidR="00C46587" w:rsidRPr="004F5FB4">
        <w:rPr>
          <w:color w:val="000000"/>
        </w:rPr>
        <w:t>, die jünger als 2</w:t>
      </w:r>
      <w:r w:rsidR="00D73FD8" w:rsidRPr="004F5FB4">
        <w:rPr>
          <w:color w:val="000000"/>
        </w:rPr>
        <w:t> </w:t>
      </w:r>
      <w:r w:rsidR="00C46587" w:rsidRPr="004F5FB4">
        <w:rPr>
          <w:color w:val="000000"/>
        </w:rPr>
        <w:t>Jahre sind.</w:t>
      </w:r>
    </w:p>
    <w:p w14:paraId="2142DA9A" w14:textId="77777777" w:rsidR="004D46DF" w:rsidRPr="004F5FB4" w:rsidRDefault="004D46DF" w:rsidP="00982118">
      <w:pPr>
        <w:autoSpaceDE w:val="0"/>
        <w:autoSpaceDN w:val="0"/>
        <w:adjustRightInd w:val="0"/>
        <w:rPr>
          <w:color w:val="000000"/>
        </w:rPr>
      </w:pPr>
    </w:p>
    <w:p w14:paraId="1CC90A22" w14:textId="77777777" w:rsidR="009A75C3" w:rsidRPr="004F5FB4" w:rsidRDefault="006A1144" w:rsidP="00982118">
      <w:pPr>
        <w:autoSpaceDE w:val="0"/>
        <w:autoSpaceDN w:val="0"/>
        <w:adjustRightInd w:val="0"/>
        <w:rPr>
          <w:color w:val="000000"/>
        </w:rPr>
      </w:pPr>
      <w:r w:rsidRPr="004F5FB4">
        <w:rPr>
          <w:color w:val="000000"/>
        </w:rPr>
        <w:t xml:space="preserve">Abhängig von den individuellen Behandlungsbedürfnissen kann Amsparity auch in anderen Stärken </w:t>
      </w:r>
      <w:r w:rsidR="00F35054" w:rsidRPr="004F5FB4">
        <w:rPr>
          <w:color w:val="000000"/>
        </w:rPr>
        <w:t>und/ oder</w:t>
      </w:r>
      <w:r w:rsidRPr="004F5FB4">
        <w:rPr>
          <w:color w:val="000000"/>
        </w:rPr>
        <w:t xml:space="preserve"> Darreichungsformen erhältlich sein.</w:t>
      </w:r>
    </w:p>
    <w:p w14:paraId="67967911" w14:textId="77777777" w:rsidR="00C46587" w:rsidRPr="004F5FB4" w:rsidRDefault="00C46587" w:rsidP="00982118">
      <w:pPr>
        <w:rPr>
          <w:color w:val="000000"/>
        </w:rPr>
      </w:pPr>
    </w:p>
    <w:p w14:paraId="12AF5C4B" w14:textId="77777777" w:rsidR="00C46587" w:rsidRPr="004F5FB4" w:rsidRDefault="00C46587" w:rsidP="00150D33">
      <w:pPr>
        <w:keepNext/>
        <w:rPr>
          <w:i/>
          <w:color w:val="000000"/>
          <w:u w:val="single"/>
        </w:rPr>
      </w:pPr>
      <w:r w:rsidRPr="004F5FB4">
        <w:rPr>
          <w:i/>
          <w:color w:val="000000"/>
          <w:u w:val="single"/>
        </w:rPr>
        <w:t>Enthesitis-assoziierte Arthritis</w:t>
      </w:r>
    </w:p>
    <w:p w14:paraId="6C7457ED" w14:textId="77777777" w:rsidR="00C46587" w:rsidRPr="004F5FB4" w:rsidRDefault="00C46587" w:rsidP="00DC3A99">
      <w:pPr>
        <w:keepNext/>
        <w:rPr>
          <w:color w:val="000000"/>
        </w:rPr>
      </w:pPr>
    </w:p>
    <w:p w14:paraId="465DFF28" w14:textId="77777777" w:rsidR="00C46587" w:rsidRPr="004F5FB4" w:rsidRDefault="00C46587" w:rsidP="00982118">
      <w:pPr>
        <w:rPr>
          <w:color w:val="000000"/>
        </w:rPr>
      </w:pPr>
      <w:r w:rsidRPr="004F5FB4">
        <w:rPr>
          <w:color w:val="000000"/>
        </w:rPr>
        <w:t>Die empfohlene Dosis von Amsparity für Patienten mit Enthesitis</w:t>
      </w:r>
      <w:r w:rsidRPr="004F5FB4">
        <w:rPr>
          <w:color w:val="000000"/>
        </w:rPr>
        <w:noBreakHyphen/>
        <w:t>assoziierter Arthritis ab einem Alter von 6 Jahren wird anhand des Körpergewichtes bestimmt (Tabelle</w:t>
      </w:r>
      <w:r w:rsidR="00D73FD8" w:rsidRPr="004F5FB4">
        <w:rPr>
          <w:color w:val="000000"/>
        </w:rPr>
        <w:t> </w:t>
      </w:r>
      <w:r w:rsidRPr="004F5FB4">
        <w:rPr>
          <w:color w:val="000000"/>
        </w:rPr>
        <w:t>2). Amsparity wird jede zweite Woche subkutan injiziert.</w:t>
      </w:r>
    </w:p>
    <w:p w14:paraId="1F127647" w14:textId="77777777" w:rsidR="00C46587" w:rsidRPr="004F5FB4" w:rsidRDefault="00C46587" w:rsidP="00982118">
      <w:pPr>
        <w:rPr>
          <w:color w:val="000000"/>
        </w:rPr>
      </w:pPr>
    </w:p>
    <w:p w14:paraId="225045FB" w14:textId="77777777" w:rsidR="00613A33" w:rsidRPr="004F5FB4" w:rsidRDefault="00A67540" w:rsidP="00687087">
      <w:pPr>
        <w:rPr>
          <w:b/>
          <w:color w:val="000000"/>
        </w:rPr>
      </w:pPr>
      <w:r w:rsidRPr="004F5FB4">
        <w:rPr>
          <w:b/>
          <w:color w:val="000000"/>
        </w:rPr>
        <w:t xml:space="preserve">Tabelle 2 </w:t>
      </w:r>
    </w:p>
    <w:p w14:paraId="7C996CE5" w14:textId="77777777" w:rsidR="00A67540" w:rsidRPr="004F5FB4" w:rsidRDefault="00A67540" w:rsidP="00687087">
      <w:pPr>
        <w:rPr>
          <w:b/>
          <w:color w:val="000000"/>
        </w:rPr>
      </w:pPr>
      <w:r w:rsidRPr="004F5FB4">
        <w:rPr>
          <w:b/>
          <w:color w:val="000000"/>
        </w:rPr>
        <w:t>Amsparity-Dosis für Patienten mit Enthesitis</w:t>
      </w:r>
      <w:r w:rsidRPr="004F5FB4">
        <w:rPr>
          <w:b/>
          <w:color w:val="000000"/>
        </w:rPr>
        <w:noBreakHyphen/>
        <w:t>assoziierter Arthritis</w:t>
      </w:r>
    </w:p>
    <w:p w14:paraId="24F38EAB" w14:textId="77777777" w:rsidR="001D51F9" w:rsidRPr="004F5FB4" w:rsidRDefault="001D51F9" w:rsidP="00982118">
      <w:pPr>
        <w:rPr>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21"/>
        <w:gridCol w:w="4554"/>
      </w:tblGrid>
      <w:tr w:rsidR="001D51F9" w:rsidRPr="004F5FB4" w14:paraId="53B63A05" w14:textId="77777777" w:rsidTr="009A75C3">
        <w:tc>
          <w:tcPr>
            <w:tcW w:w="4651" w:type="dxa"/>
            <w:tcBorders>
              <w:right w:val="nil"/>
            </w:tcBorders>
            <w:shd w:val="clear" w:color="auto" w:fill="auto"/>
          </w:tcPr>
          <w:p w14:paraId="2EB50B2B" w14:textId="77777777" w:rsidR="001D51F9" w:rsidRPr="004F5FB4" w:rsidRDefault="001D51F9" w:rsidP="00982118">
            <w:pPr>
              <w:jc w:val="center"/>
              <w:rPr>
                <w:b/>
                <w:color w:val="000000"/>
              </w:rPr>
            </w:pPr>
            <w:r w:rsidRPr="004F5FB4">
              <w:rPr>
                <w:b/>
                <w:color w:val="000000"/>
              </w:rPr>
              <w:t>Gewicht des Patienten</w:t>
            </w:r>
          </w:p>
        </w:tc>
        <w:tc>
          <w:tcPr>
            <w:tcW w:w="4652" w:type="dxa"/>
            <w:tcBorders>
              <w:left w:val="nil"/>
            </w:tcBorders>
            <w:shd w:val="clear" w:color="auto" w:fill="auto"/>
          </w:tcPr>
          <w:p w14:paraId="727A2A50" w14:textId="77777777" w:rsidR="001D51F9" w:rsidRPr="004F5FB4" w:rsidRDefault="001D51F9" w:rsidP="00982118">
            <w:pPr>
              <w:jc w:val="center"/>
              <w:rPr>
                <w:b/>
                <w:color w:val="000000"/>
              </w:rPr>
            </w:pPr>
            <w:r w:rsidRPr="004F5FB4">
              <w:rPr>
                <w:b/>
                <w:color w:val="000000"/>
              </w:rPr>
              <w:t>Dosierungsschema</w:t>
            </w:r>
          </w:p>
        </w:tc>
      </w:tr>
      <w:tr w:rsidR="001D51F9" w:rsidRPr="004F5FB4" w14:paraId="369E13A0" w14:textId="77777777" w:rsidTr="009A75C3">
        <w:tc>
          <w:tcPr>
            <w:tcW w:w="4651" w:type="dxa"/>
            <w:tcBorders>
              <w:right w:val="nil"/>
            </w:tcBorders>
            <w:shd w:val="clear" w:color="auto" w:fill="auto"/>
          </w:tcPr>
          <w:p w14:paraId="10DCAE82" w14:textId="77777777" w:rsidR="001D51F9" w:rsidRPr="004F5FB4" w:rsidRDefault="001D51F9" w:rsidP="00982118">
            <w:pPr>
              <w:jc w:val="center"/>
              <w:rPr>
                <w:color w:val="000000"/>
              </w:rPr>
            </w:pPr>
            <w:r w:rsidRPr="004F5FB4">
              <w:rPr>
                <w:color w:val="000000"/>
              </w:rPr>
              <w:t>15 kg bis &lt; 30 kg</w:t>
            </w:r>
          </w:p>
        </w:tc>
        <w:tc>
          <w:tcPr>
            <w:tcW w:w="4652" w:type="dxa"/>
            <w:tcBorders>
              <w:left w:val="nil"/>
            </w:tcBorders>
            <w:shd w:val="clear" w:color="auto" w:fill="auto"/>
          </w:tcPr>
          <w:p w14:paraId="7D1F58C9" w14:textId="77777777" w:rsidR="001D51F9" w:rsidRPr="004F5FB4" w:rsidRDefault="001D51F9" w:rsidP="00982118">
            <w:pPr>
              <w:jc w:val="center"/>
              <w:rPr>
                <w:color w:val="000000"/>
              </w:rPr>
            </w:pPr>
            <w:r w:rsidRPr="004F5FB4">
              <w:rPr>
                <w:color w:val="000000"/>
              </w:rPr>
              <w:t>20 mg jede zweite Woche</w:t>
            </w:r>
          </w:p>
        </w:tc>
      </w:tr>
      <w:tr w:rsidR="001D51F9" w:rsidRPr="004F5FB4" w14:paraId="095A97E0" w14:textId="77777777" w:rsidTr="009A75C3">
        <w:tc>
          <w:tcPr>
            <w:tcW w:w="4651" w:type="dxa"/>
            <w:tcBorders>
              <w:right w:val="nil"/>
            </w:tcBorders>
            <w:shd w:val="clear" w:color="auto" w:fill="auto"/>
          </w:tcPr>
          <w:p w14:paraId="6963BDA9" w14:textId="77777777" w:rsidR="001D51F9" w:rsidRPr="004F5FB4" w:rsidRDefault="001D51F9" w:rsidP="00982118">
            <w:pPr>
              <w:jc w:val="center"/>
              <w:rPr>
                <w:color w:val="000000"/>
              </w:rPr>
            </w:pPr>
            <w:r w:rsidRPr="004F5FB4">
              <w:rPr>
                <w:color w:val="000000"/>
              </w:rPr>
              <w:t>≥</w:t>
            </w:r>
            <w:r w:rsidR="00D73FD8" w:rsidRPr="004F5FB4">
              <w:rPr>
                <w:color w:val="000000"/>
              </w:rPr>
              <w:t> </w:t>
            </w:r>
            <w:r w:rsidRPr="004F5FB4">
              <w:rPr>
                <w:color w:val="000000"/>
              </w:rPr>
              <w:t>30 kg</w:t>
            </w:r>
          </w:p>
        </w:tc>
        <w:tc>
          <w:tcPr>
            <w:tcW w:w="4652" w:type="dxa"/>
            <w:tcBorders>
              <w:left w:val="nil"/>
            </w:tcBorders>
            <w:shd w:val="clear" w:color="auto" w:fill="auto"/>
          </w:tcPr>
          <w:p w14:paraId="326FE2BF" w14:textId="77777777" w:rsidR="001D51F9" w:rsidRPr="004F5FB4" w:rsidRDefault="001D51F9" w:rsidP="00982118">
            <w:pPr>
              <w:jc w:val="center"/>
              <w:rPr>
                <w:color w:val="000000"/>
              </w:rPr>
            </w:pPr>
            <w:r w:rsidRPr="004F5FB4">
              <w:rPr>
                <w:color w:val="000000"/>
              </w:rPr>
              <w:t>40 mg jede zweite Woche</w:t>
            </w:r>
          </w:p>
        </w:tc>
      </w:tr>
    </w:tbl>
    <w:p w14:paraId="738121B9" w14:textId="77777777" w:rsidR="001D51F9" w:rsidRPr="004F5FB4" w:rsidRDefault="001D51F9" w:rsidP="00982118">
      <w:pPr>
        <w:rPr>
          <w:color w:val="000000"/>
          <w:lang w:val="en-GB"/>
        </w:rPr>
      </w:pPr>
    </w:p>
    <w:p w14:paraId="3BF79CA2" w14:textId="77777777" w:rsidR="00C46587" w:rsidRPr="004F5FB4" w:rsidRDefault="005A4709" w:rsidP="00982118">
      <w:pPr>
        <w:rPr>
          <w:color w:val="000000"/>
        </w:rPr>
      </w:pPr>
      <w:r w:rsidRPr="004F5FB4">
        <w:rPr>
          <w:color w:val="000000"/>
        </w:rPr>
        <w:t>Adalimumab wurde bei Patienten mit Enthesitis</w:t>
      </w:r>
      <w:r w:rsidRPr="004F5FB4">
        <w:rPr>
          <w:color w:val="000000"/>
        </w:rPr>
        <w:noBreakHyphen/>
        <w:t>assoziierter Arthritis, die jünger als 6</w:t>
      </w:r>
      <w:r w:rsidR="00756B78" w:rsidRPr="004F5FB4">
        <w:rPr>
          <w:color w:val="000000"/>
        </w:rPr>
        <w:t> </w:t>
      </w:r>
      <w:r w:rsidRPr="004F5FB4">
        <w:rPr>
          <w:color w:val="000000"/>
        </w:rPr>
        <w:t>Jahre sind, nicht untersucht.</w:t>
      </w:r>
    </w:p>
    <w:p w14:paraId="2540D862" w14:textId="77777777" w:rsidR="00C46587" w:rsidRPr="004F5FB4" w:rsidRDefault="00C46587" w:rsidP="00982118">
      <w:pPr>
        <w:rPr>
          <w:color w:val="000000"/>
        </w:rPr>
      </w:pPr>
    </w:p>
    <w:p w14:paraId="43B9DFCC" w14:textId="77777777" w:rsidR="009A75C3" w:rsidRPr="004F5FB4" w:rsidRDefault="006A1144" w:rsidP="00982118">
      <w:pPr>
        <w:autoSpaceDE w:val="0"/>
        <w:autoSpaceDN w:val="0"/>
        <w:adjustRightInd w:val="0"/>
        <w:rPr>
          <w:color w:val="000000"/>
        </w:rPr>
      </w:pPr>
      <w:r w:rsidRPr="004F5FB4">
        <w:rPr>
          <w:color w:val="000000"/>
        </w:rPr>
        <w:t>Abhängig von den individuellen Behandlungsbedürfnissen kann Amsparity auch in anderen Stärken und/</w:t>
      </w:r>
      <w:r w:rsidR="00D73FD8" w:rsidRPr="004F5FB4">
        <w:rPr>
          <w:color w:val="000000"/>
        </w:rPr>
        <w:t xml:space="preserve"> </w:t>
      </w:r>
      <w:r w:rsidRPr="004F5FB4">
        <w:rPr>
          <w:color w:val="000000"/>
        </w:rPr>
        <w:t>oder Darreichungsformen erhältlich sein.</w:t>
      </w:r>
    </w:p>
    <w:p w14:paraId="4CCB77CA" w14:textId="77777777" w:rsidR="009A75C3" w:rsidRDefault="009A75C3" w:rsidP="00982118">
      <w:pPr>
        <w:rPr>
          <w:color w:val="000000"/>
        </w:rPr>
      </w:pPr>
    </w:p>
    <w:p w14:paraId="34BF62B1" w14:textId="77777777" w:rsidR="00E76AD2" w:rsidRDefault="00E76AD2" w:rsidP="00E76AD2">
      <w:pPr>
        <w:rPr>
          <w:i/>
          <w:iCs/>
          <w:color w:val="000000"/>
        </w:rPr>
      </w:pPr>
      <w:r w:rsidRPr="00E76AD2">
        <w:rPr>
          <w:i/>
          <w:iCs/>
          <w:color w:val="000000"/>
        </w:rPr>
        <w:t>Psoriasis-Arthritis und axiale Spondyloarthritis, einschließlich ankylosierender Spondylitis</w:t>
      </w:r>
    </w:p>
    <w:p w14:paraId="2D39DFC4" w14:textId="77777777" w:rsidR="00E76AD2" w:rsidRPr="00E76AD2" w:rsidRDefault="00E76AD2" w:rsidP="00E76AD2">
      <w:pPr>
        <w:rPr>
          <w:i/>
          <w:iCs/>
          <w:color w:val="000000"/>
        </w:rPr>
      </w:pPr>
    </w:p>
    <w:p w14:paraId="204A3646" w14:textId="77777777" w:rsidR="00E76AD2" w:rsidRDefault="00E76AD2" w:rsidP="00982118">
      <w:pPr>
        <w:rPr>
          <w:color w:val="000000"/>
        </w:rPr>
      </w:pPr>
      <w:r w:rsidRPr="00E76AD2">
        <w:rPr>
          <w:color w:val="000000"/>
        </w:rPr>
        <w:t>Es gibt in den Indikationen ankylosierende Spondylitis und Psoriasis-Arthritis keinen relevanten</w:t>
      </w:r>
      <w:r>
        <w:rPr>
          <w:color w:val="000000"/>
        </w:rPr>
        <w:t xml:space="preserve"> </w:t>
      </w:r>
      <w:r w:rsidRPr="00E76AD2">
        <w:rPr>
          <w:color w:val="000000"/>
        </w:rPr>
        <w:t xml:space="preserve">Nutzen von </w:t>
      </w:r>
      <w:r>
        <w:rPr>
          <w:color w:val="000000"/>
        </w:rPr>
        <w:t>Adalimumab</w:t>
      </w:r>
      <w:r w:rsidRPr="00E76AD2">
        <w:rPr>
          <w:color w:val="000000"/>
        </w:rPr>
        <w:t xml:space="preserve"> bei Kindern und Jugendlichen.</w:t>
      </w:r>
    </w:p>
    <w:p w14:paraId="5A10EDA0" w14:textId="77777777" w:rsidR="00E76AD2" w:rsidRPr="004F5FB4" w:rsidRDefault="00E76AD2" w:rsidP="00982118">
      <w:pPr>
        <w:rPr>
          <w:color w:val="000000"/>
        </w:rPr>
      </w:pPr>
    </w:p>
    <w:p w14:paraId="5678F6EE" w14:textId="77777777" w:rsidR="00C46587" w:rsidRPr="004F5FB4" w:rsidRDefault="00C46587" w:rsidP="00DC3A99">
      <w:pPr>
        <w:keepNext/>
        <w:rPr>
          <w:i/>
          <w:color w:val="000000"/>
        </w:rPr>
      </w:pPr>
      <w:r w:rsidRPr="004F5FB4">
        <w:rPr>
          <w:i/>
          <w:color w:val="000000"/>
        </w:rPr>
        <w:lastRenderedPageBreak/>
        <w:t>Plaque-Psoriasis bei Kindern und Jugendlichen</w:t>
      </w:r>
    </w:p>
    <w:p w14:paraId="79A5E033" w14:textId="77777777" w:rsidR="00C46587" w:rsidRPr="004F5FB4" w:rsidRDefault="00C46587" w:rsidP="00DC3A99">
      <w:pPr>
        <w:keepNext/>
        <w:rPr>
          <w:color w:val="000000"/>
        </w:rPr>
      </w:pPr>
    </w:p>
    <w:p w14:paraId="6B96F943" w14:textId="77777777" w:rsidR="00C46587" w:rsidRPr="004F5FB4" w:rsidRDefault="00C46587" w:rsidP="00982118">
      <w:pPr>
        <w:rPr>
          <w:color w:val="000000"/>
        </w:rPr>
      </w:pPr>
      <w:r w:rsidRPr="004F5FB4">
        <w:rPr>
          <w:color w:val="000000"/>
        </w:rPr>
        <w:t>Die empfohlene Amsparity-Dosis wird für Patienten mit Plaque-Psoriasis im Alter von 4 bis 17</w:t>
      </w:r>
      <w:r w:rsidR="00D73FD8" w:rsidRPr="004F5FB4">
        <w:rPr>
          <w:color w:val="000000"/>
        </w:rPr>
        <w:t> </w:t>
      </w:r>
      <w:r w:rsidRPr="004F5FB4">
        <w:rPr>
          <w:color w:val="000000"/>
        </w:rPr>
        <w:t>Jahren anhand des Körpergewichtes bestimmt (Tabelle</w:t>
      </w:r>
      <w:r w:rsidR="00D73FD8" w:rsidRPr="004F5FB4">
        <w:rPr>
          <w:color w:val="000000"/>
        </w:rPr>
        <w:t> </w:t>
      </w:r>
      <w:r w:rsidRPr="004F5FB4">
        <w:rPr>
          <w:color w:val="000000"/>
        </w:rPr>
        <w:t xml:space="preserve">3). Amsparity wird subkutan injiziert. </w:t>
      </w:r>
    </w:p>
    <w:p w14:paraId="19E57F8B" w14:textId="77777777" w:rsidR="00C46587" w:rsidRPr="004F5FB4" w:rsidRDefault="00C46587" w:rsidP="00982118">
      <w:pPr>
        <w:rPr>
          <w:color w:val="000000"/>
        </w:rPr>
      </w:pPr>
    </w:p>
    <w:p w14:paraId="145AC93F" w14:textId="77777777" w:rsidR="00613A33" w:rsidRPr="004F5FB4" w:rsidRDefault="00A67540" w:rsidP="00D4051F">
      <w:pPr>
        <w:keepNext/>
        <w:keepLines/>
        <w:rPr>
          <w:b/>
          <w:color w:val="000000"/>
        </w:rPr>
      </w:pPr>
      <w:r w:rsidRPr="004F5FB4">
        <w:rPr>
          <w:b/>
          <w:color w:val="000000"/>
        </w:rPr>
        <w:t xml:space="preserve">Tabelle 3 </w:t>
      </w:r>
    </w:p>
    <w:p w14:paraId="79E72FE1" w14:textId="77777777" w:rsidR="00A67540" w:rsidRPr="004F5FB4" w:rsidRDefault="00A67540" w:rsidP="00D4051F">
      <w:pPr>
        <w:keepNext/>
        <w:keepLines/>
        <w:rPr>
          <w:b/>
          <w:color w:val="000000"/>
        </w:rPr>
      </w:pPr>
      <w:r w:rsidRPr="004F5FB4">
        <w:rPr>
          <w:b/>
          <w:color w:val="000000"/>
        </w:rPr>
        <w:t>Amsparity-Dosis für Kinder und Jugendliche mit Plaque-Psoriasis</w:t>
      </w:r>
    </w:p>
    <w:p w14:paraId="3524BB35" w14:textId="77777777" w:rsidR="00917E35" w:rsidRPr="004F5FB4" w:rsidRDefault="00917E35" w:rsidP="00D4051F">
      <w:pPr>
        <w:keepNext/>
        <w:keepLines/>
        <w:rPr>
          <w:color w:val="00000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133"/>
        <w:gridCol w:w="4942"/>
      </w:tblGrid>
      <w:tr w:rsidR="00917E35" w:rsidRPr="004F5FB4" w14:paraId="68C1199D" w14:textId="77777777" w:rsidTr="00150D33">
        <w:tc>
          <w:tcPr>
            <w:tcW w:w="4248" w:type="dxa"/>
            <w:tcBorders>
              <w:right w:val="nil"/>
            </w:tcBorders>
            <w:shd w:val="clear" w:color="auto" w:fill="auto"/>
          </w:tcPr>
          <w:p w14:paraId="5D2EAC74" w14:textId="77777777" w:rsidR="00917E35" w:rsidRPr="004F5FB4" w:rsidRDefault="00917E35" w:rsidP="00D4051F">
            <w:pPr>
              <w:keepNext/>
              <w:keepLines/>
              <w:jc w:val="center"/>
              <w:rPr>
                <w:b/>
                <w:color w:val="000000"/>
              </w:rPr>
            </w:pPr>
            <w:r w:rsidRPr="004F5FB4">
              <w:rPr>
                <w:b/>
                <w:color w:val="000000"/>
              </w:rPr>
              <w:t>Gewicht des Patienten</w:t>
            </w:r>
          </w:p>
        </w:tc>
        <w:tc>
          <w:tcPr>
            <w:tcW w:w="5055" w:type="dxa"/>
            <w:tcBorders>
              <w:left w:val="nil"/>
            </w:tcBorders>
            <w:shd w:val="clear" w:color="auto" w:fill="auto"/>
          </w:tcPr>
          <w:p w14:paraId="629AD3ED" w14:textId="77777777" w:rsidR="00917E35" w:rsidRPr="004F5FB4" w:rsidRDefault="00917E35" w:rsidP="00D4051F">
            <w:pPr>
              <w:keepNext/>
              <w:keepLines/>
              <w:jc w:val="center"/>
              <w:rPr>
                <w:b/>
                <w:color w:val="000000"/>
              </w:rPr>
            </w:pPr>
            <w:r w:rsidRPr="004F5FB4">
              <w:rPr>
                <w:b/>
                <w:color w:val="000000"/>
              </w:rPr>
              <w:t>Dosierungsschema</w:t>
            </w:r>
          </w:p>
        </w:tc>
      </w:tr>
      <w:tr w:rsidR="00917E35" w:rsidRPr="004F5FB4" w14:paraId="0DE44C41" w14:textId="77777777" w:rsidTr="00150D33">
        <w:tc>
          <w:tcPr>
            <w:tcW w:w="4248" w:type="dxa"/>
            <w:tcBorders>
              <w:right w:val="nil"/>
            </w:tcBorders>
            <w:shd w:val="clear" w:color="auto" w:fill="auto"/>
          </w:tcPr>
          <w:p w14:paraId="5300992A" w14:textId="77777777" w:rsidR="00917E35" w:rsidRPr="004F5FB4" w:rsidRDefault="00917E35" w:rsidP="00D4051F">
            <w:pPr>
              <w:keepNext/>
              <w:keepLines/>
              <w:jc w:val="center"/>
              <w:rPr>
                <w:color w:val="000000"/>
              </w:rPr>
            </w:pPr>
            <w:r w:rsidRPr="004F5FB4">
              <w:rPr>
                <w:color w:val="000000"/>
              </w:rPr>
              <w:t>15 kg bis &lt; 30</w:t>
            </w:r>
            <w:r w:rsidR="00D73FD8" w:rsidRPr="004F5FB4">
              <w:rPr>
                <w:color w:val="000000"/>
              </w:rPr>
              <w:t> </w:t>
            </w:r>
            <w:r w:rsidRPr="004F5FB4">
              <w:rPr>
                <w:color w:val="000000"/>
              </w:rPr>
              <w:t>kg</w:t>
            </w:r>
          </w:p>
        </w:tc>
        <w:tc>
          <w:tcPr>
            <w:tcW w:w="5055" w:type="dxa"/>
            <w:tcBorders>
              <w:left w:val="nil"/>
            </w:tcBorders>
            <w:shd w:val="clear" w:color="auto" w:fill="auto"/>
          </w:tcPr>
          <w:p w14:paraId="5900C722" w14:textId="77777777" w:rsidR="00917E35" w:rsidRPr="004F5FB4" w:rsidRDefault="00917E35" w:rsidP="00D4051F">
            <w:pPr>
              <w:keepNext/>
              <w:keepLines/>
              <w:rPr>
                <w:color w:val="000000"/>
              </w:rPr>
            </w:pPr>
            <w:r w:rsidRPr="004F5FB4">
              <w:rPr>
                <w:color w:val="000000"/>
              </w:rPr>
              <w:t>Anfangsdosis von 20 mg, gefolgt von einer Dosis von 20 mg jede zweite Woche, beginnend eine Woche nach der Anfangsdosis</w:t>
            </w:r>
          </w:p>
        </w:tc>
      </w:tr>
      <w:tr w:rsidR="00917E35" w:rsidRPr="004F5FB4" w14:paraId="3DBEAE50" w14:textId="77777777" w:rsidTr="00150D33">
        <w:tc>
          <w:tcPr>
            <w:tcW w:w="4248" w:type="dxa"/>
            <w:tcBorders>
              <w:right w:val="nil"/>
            </w:tcBorders>
            <w:shd w:val="clear" w:color="auto" w:fill="auto"/>
          </w:tcPr>
          <w:p w14:paraId="0A4E187B" w14:textId="77777777" w:rsidR="00917E35" w:rsidRPr="004F5FB4" w:rsidRDefault="00917E35" w:rsidP="00982118">
            <w:pPr>
              <w:jc w:val="center"/>
              <w:rPr>
                <w:color w:val="000000"/>
              </w:rPr>
            </w:pPr>
            <w:r w:rsidRPr="004F5FB4">
              <w:rPr>
                <w:color w:val="000000"/>
              </w:rPr>
              <w:t>≥</w:t>
            </w:r>
            <w:r w:rsidR="00D73FD8" w:rsidRPr="004F5FB4">
              <w:rPr>
                <w:color w:val="000000"/>
              </w:rPr>
              <w:t> </w:t>
            </w:r>
            <w:r w:rsidRPr="004F5FB4">
              <w:rPr>
                <w:color w:val="000000"/>
              </w:rPr>
              <w:t>30 kg</w:t>
            </w:r>
          </w:p>
        </w:tc>
        <w:tc>
          <w:tcPr>
            <w:tcW w:w="5055" w:type="dxa"/>
            <w:tcBorders>
              <w:left w:val="nil"/>
            </w:tcBorders>
            <w:shd w:val="clear" w:color="auto" w:fill="auto"/>
          </w:tcPr>
          <w:p w14:paraId="710DE95E" w14:textId="77777777" w:rsidR="00917E35" w:rsidRPr="004F5FB4" w:rsidRDefault="00917E35" w:rsidP="00150D33">
            <w:pPr>
              <w:rPr>
                <w:color w:val="000000"/>
              </w:rPr>
            </w:pPr>
            <w:r w:rsidRPr="004F5FB4">
              <w:rPr>
                <w:color w:val="000000"/>
              </w:rPr>
              <w:t>Anfangsdosis von 40 mg, gefolgt von einer Dosis von 40 mg jede zweite Woche, beginnend eine Woche nach der Anfangsdosis</w:t>
            </w:r>
          </w:p>
        </w:tc>
      </w:tr>
    </w:tbl>
    <w:p w14:paraId="573213F2" w14:textId="77777777" w:rsidR="00917E35" w:rsidRPr="004F5FB4" w:rsidRDefault="00917E35" w:rsidP="00982118">
      <w:pPr>
        <w:rPr>
          <w:color w:val="000000"/>
        </w:rPr>
      </w:pPr>
    </w:p>
    <w:p w14:paraId="3733FF6F" w14:textId="77777777" w:rsidR="00C46587" w:rsidRPr="004F5FB4" w:rsidRDefault="00C46587" w:rsidP="00982118">
      <w:pPr>
        <w:rPr>
          <w:color w:val="000000"/>
        </w:rPr>
      </w:pPr>
      <w:r w:rsidRPr="004F5FB4">
        <w:rPr>
          <w:color w:val="000000"/>
        </w:rPr>
        <w:t>Die Fortsetzung der Therapie länger als 16</w:t>
      </w:r>
      <w:r w:rsidR="00D73FD8" w:rsidRPr="004F5FB4">
        <w:rPr>
          <w:color w:val="000000"/>
        </w:rPr>
        <w:t> </w:t>
      </w:r>
      <w:r w:rsidRPr="004F5FB4">
        <w:rPr>
          <w:color w:val="000000"/>
        </w:rPr>
        <w:t>Wochen sollte bei Patienten, die innerhalb dieser Zeitspanne nicht ansprechen, sorgfältig abgewogen werden.</w:t>
      </w:r>
    </w:p>
    <w:p w14:paraId="60DB1AF7" w14:textId="77777777" w:rsidR="00C46587" w:rsidRPr="004F5FB4" w:rsidRDefault="00C46587" w:rsidP="00982118">
      <w:pPr>
        <w:rPr>
          <w:color w:val="000000"/>
        </w:rPr>
      </w:pPr>
    </w:p>
    <w:p w14:paraId="50A6672C" w14:textId="77777777" w:rsidR="00C46587" w:rsidRPr="004F5FB4" w:rsidRDefault="00C46587" w:rsidP="00982118">
      <w:pPr>
        <w:rPr>
          <w:color w:val="000000"/>
        </w:rPr>
      </w:pPr>
      <w:r w:rsidRPr="004F5FB4">
        <w:rPr>
          <w:color w:val="000000"/>
        </w:rPr>
        <w:t>Wenn die Wiederaufnahme der Therapie mit Amsparity angezeigt ist, sollte bezüglich Dosis und Behandlungsdauer die oben beschriebene Anleitung befolgt werden.</w:t>
      </w:r>
    </w:p>
    <w:p w14:paraId="1AD0DCFA" w14:textId="77777777" w:rsidR="00C46587" w:rsidRPr="004F5FB4" w:rsidRDefault="00C46587" w:rsidP="00982118">
      <w:pPr>
        <w:rPr>
          <w:color w:val="000000"/>
        </w:rPr>
      </w:pPr>
    </w:p>
    <w:p w14:paraId="59BA1C10" w14:textId="77777777" w:rsidR="00C46587" w:rsidRPr="004F5FB4" w:rsidRDefault="00C46587" w:rsidP="00982118">
      <w:pPr>
        <w:rPr>
          <w:color w:val="000000"/>
        </w:rPr>
      </w:pPr>
      <w:r w:rsidRPr="004F5FB4">
        <w:rPr>
          <w:color w:val="000000"/>
        </w:rPr>
        <w:t>Die Sicherheit von Adalimumab bei Kindern und Jugendlichen mit Plaque-Psoriasis wurde für durchschnittlich 13 Monate beurteilt.</w:t>
      </w:r>
    </w:p>
    <w:p w14:paraId="53D38952" w14:textId="77777777" w:rsidR="00C46587" w:rsidRPr="004F5FB4" w:rsidRDefault="00C46587" w:rsidP="00982118">
      <w:pPr>
        <w:rPr>
          <w:color w:val="000000"/>
        </w:rPr>
      </w:pPr>
    </w:p>
    <w:p w14:paraId="75480420" w14:textId="77777777" w:rsidR="00C46587" w:rsidRPr="004F5FB4" w:rsidRDefault="00401A02" w:rsidP="00982118">
      <w:pPr>
        <w:rPr>
          <w:color w:val="000000"/>
        </w:rPr>
      </w:pPr>
      <w:r w:rsidRPr="004F5FB4">
        <w:rPr>
          <w:color w:val="000000"/>
        </w:rPr>
        <w:t>Es gibt in dieser Indikation keinen relevanten Nutzen von Adalimumab bei Kindern, die jünger als 4 Jahre sind</w:t>
      </w:r>
      <w:r w:rsidR="00C46587" w:rsidRPr="004F5FB4">
        <w:rPr>
          <w:color w:val="000000"/>
        </w:rPr>
        <w:t>.</w:t>
      </w:r>
    </w:p>
    <w:p w14:paraId="66D32AB2" w14:textId="77777777" w:rsidR="00C46587" w:rsidRPr="004F5FB4" w:rsidRDefault="00C46587" w:rsidP="00982118">
      <w:pPr>
        <w:rPr>
          <w:color w:val="000000"/>
        </w:rPr>
      </w:pPr>
    </w:p>
    <w:p w14:paraId="4E19DE3B" w14:textId="77777777" w:rsidR="005E5466" w:rsidRPr="004F5FB4" w:rsidRDefault="006A1144" w:rsidP="00982118">
      <w:pPr>
        <w:autoSpaceDE w:val="0"/>
        <w:autoSpaceDN w:val="0"/>
        <w:adjustRightInd w:val="0"/>
        <w:rPr>
          <w:color w:val="000000"/>
        </w:rPr>
      </w:pPr>
      <w:r w:rsidRPr="004F5FB4">
        <w:rPr>
          <w:color w:val="000000"/>
        </w:rPr>
        <w:t>Abhängig von den individuellen Behandlungsbedürfnissen kann Amsparity auch in anderen Stärken und/</w:t>
      </w:r>
      <w:r w:rsidR="00D73FD8" w:rsidRPr="004F5FB4">
        <w:rPr>
          <w:color w:val="000000"/>
        </w:rPr>
        <w:t xml:space="preserve"> </w:t>
      </w:r>
      <w:r w:rsidRPr="004F5FB4">
        <w:rPr>
          <w:color w:val="000000"/>
        </w:rPr>
        <w:t>oder Darreichungsformen erhältlich sein.</w:t>
      </w:r>
    </w:p>
    <w:p w14:paraId="516F6908" w14:textId="77777777" w:rsidR="005E5466" w:rsidRPr="004F5FB4" w:rsidRDefault="005E5466" w:rsidP="00982118">
      <w:pPr>
        <w:rPr>
          <w:color w:val="000000"/>
        </w:rPr>
      </w:pPr>
    </w:p>
    <w:p w14:paraId="3A1D2B74" w14:textId="77777777" w:rsidR="00C46587" w:rsidRPr="004F5FB4" w:rsidRDefault="00C46587" w:rsidP="00687087">
      <w:pPr>
        <w:keepNext/>
        <w:rPr>
          <w:i/>
          <w:color w:val="000000"/>
        </w:rPr>
      </w:pPr>
      <w:r w:rsidRPr="004F5FB4">
        <w:rPr>
          <w:i/>
          <w:color w:val="000000"/>
        </w:rPr>
        <w:t>Hidradenitis suppurativa (Acne inversa) bei Jugendlichen (ab 12</w:t>
      </w:r>
      <w:r w:rsidR="00D73FD8" w:rsidRPr="004F5FB4">
        <w:rPr>
          <w:i/>
          <w:color w:val="000000"/>
        </w:rPr>
        <w:t> </w:t>
      </w:r>
      <w:r w:rsidRPr="004F5FB4">
        <w:rPr>
          <w:i/>
          <w:color w:val="000000"/>
        </w:rPr>
        <w:t>Jahren und mit einem Gewicht von mindestens 30 kg)</w:t>
      </w:r>
    </w:p>
    <w:p w14:paraId="0C18C8ED" w14:textId="77777777" w:rsidR="00C46587" w:rsidRPr="004F5FB4" w:rsidRDefault="00C46587" w:rsidP="00687087">
      <w:pPr>
        <w:keepNext/>
        <w:rPr>
          <w:color w:val="000000"/>
        </w:rPr>
      </w:pPr>
    </w:p>
    <w:p w14:paraId="2DE0E006" w14:textId="77777777" w:rsidR="00C46587" w:rsidRPr="004F5FB4" w:rsidRDefault="00C46587" w:rsidP="00982118">
      <w:pPr>
        <w:rPr>
          <w:color w:val="000000"/>
        </w:rPr>
      </w:pPr>
      <w:r w:rsidRPr="004F5FB4">
        <w:rPr>
          <w:color w:val="000000"/>
        </w:rPr>
        <w:t>Es gibt keine klinischen Studien mit Adalimumab bei jugendlichen Patienten mit HS. Die Dosierung von Adalimumab bei diesen Patienten wurde in pharmakokinetischen Modellen und Simulationen bestimmt (siehe Abschnitt</w:t>
      </w:r>
      <w:r w:rsidR="00D73FD8" w:rsidRPr="004F5FB4">
        <w:rPr>
          <w:color w:val="000000"/>
        </w:rPr>
        <w:t> </w:t>
      </w:r>
      <w:r w:rsidRPr="004F5FB4">
        <w:rPr>
          <w:color w:val="000000"/>
        </w:rPr>
        <w:t>5.2).</w:t>
      </w:r>
    </w:p>
    <w:p w14:paraId="26FF1B4D" w14:textId="77777777" w:rsidR="00C46587" w:rsidRPr="004F5FB4" w:rsidRDefault="00C46587" w:rsidP="00982118">
      <w:pPr>
        <w:rPr>
          <w:color w:val="000000"/>
        </w:rPr>
      </w:pPr>
    </w:p>
    <w:p w14:paraId="23C719A3" w14:textId="77777777" w:rsidR="00C46587" w:rsidRPr="004F5FB4" w:rsidRDefault="00C46587" w:rsidP="00982118">
      <w:pPr>
        <w:rPr>
          <w:color w:val="000000"/>
        </w:rPr>
      </w:pPr>
      <w:r w:rsidRPr="004F5FB4">
        <w:rPr>
          <w:color w:val="000000"/>
        </w:rPr>
        <w:t>Die empfohlene Dosis von Amsparity beträgt 80 mg in Woche</w:t>
      </w:r>
      <w:r w:rsidR="00D73FD8" w:rsidRPr="004F5FB4">
        <w:rPr>
          <w:color w:val="000000"/>
        </w:rPr>
        <w:t> </w:t>
      </w:r>
      <w:r w:rsidRPr="004F5FB4">
        <w:rPr>
          <w:color w:val="000000"/>
        </w:rPr>
        <w:t>0, gefolgt von 40 mg jede zweite Woche ab Woche</w:t>
      </w:r>
      <w:r w:rsidR="00D73FD8" w:rsidRPr="004F5FB4">
        <w:rPr>
          <w:color w:val="000000"/>
        </w:rPr>
        <w:t> </w:t>
      </w:r>
      <w:r w:rsidRPr="004F5FB4">
        <w:rPr>
          <w:color w:val="000000"/>
        </w:rPr>
        <w:t>1 als subkutane Injektion.</w:t>
      </w:r>
    </w:p>
    <w:p w14:paraId="282F52B1" w14:textId="77777777" w:rsidR="00C46587" w:rsidRPr="004F5FB4" w:rsidRDefault="00C46587" w:rsidP="00982118">
      <w:pPr>
        <w:rPr>
          <w:color w:val="000000"/>
        </w:rPr>
      </w:pPr>
    </w:p>
    <w:p w14:paraId="3A8406ED" w14:textId="77777777" w:rsidR="00C46587" w:rsidRPr="004F5FB4" w:rsidRDefault="00C46587" w:rsidP="00982118">
      <w:pPr>
        <w:rPr>
          <w:color w:val="000000"/>
        </w:rPr>
      </w:pPr>
      <w:r w:rsidRPr="004F5FB4">
        <w:rPr>
          <w:color w:val="000000"/>
        </w:rPr>
        <w:t xml:space="preserve">Bei jugendlichen Patienten, die unzureichend auf 40 mg </w:t>
      </w:r>
      <w:r w:rsidR="00FE401C" w:rsidRPr="004F5FB4">
        <w:rPr>
          <w:color w:val="000000"/>
        </w:rPr>
        <w:t xml:space="preserve">Amsparity </w:t>
      </w:r>
      <w:r w:rsidRPr="004F5FB4">
        <w:rPr>
          <w:color w:val="000000"/>
        </w:rPr>
        <w:t>jede zweite Woche ansprechen, kann eine Erhöhung der Dosierung auf 40 mg jede Woche oder 80 mg jede zweite Woche erwogen werden.</w:t>
      </w:r>
    </w:p>
    <w:p w14:paraId="760A7588" w14:textId="77777777" w:rsidR="00C46587" w:rsidRPr="004F5FB4" w:rsidRDefault="00C46587" w:rsidP="00982118">
      <w:pPr>
        <w:rPr>
          <w:color w:val="000000"/>
        </w:rPr>
      </w:pPr>
    </w:p>
    <w:p w14:paraId="0A4BCE88" w14:textId="77777777" w:rsidR="00C46587" w:rsidRPr="004F5FB4" w:rsidRDefault="00C46587" w:rsidP="00982118">
      <w:pPr>
        <w:rPr>
          <w:color w:val="000000"/>
        </w:rPr>
      </w:pPr>
      <w:r w:rsidRPr="004F5FB4">
        <w:rPr>
          <w:color w:val="000000"/>
        </w:rPr>
        <w:t>Falls notwendig, kann eine Antibiotikatherapie während der Behandlung mit Amsparity weitergeführt werden. Es wird empfohlen, dass die Patienten während der Behandlung mit Amsparity täglich eine topische antiseptische Waschlösung an ihren HS-Läsionen anwenden.</w:t>
      </w:r>
    </w:p>
    <w:p w14:paraId="193EEF15" w14:textId="77777777" w:rsidR="00C46587" w:rsidRPr="004F5FB4" w:rsidRDefault="00C46587" w:rsidP="00982118">
      <w:pPr>
        <w:rPr>
          <w:color w:val="000000"/>
        </w:rPr>
      </w:pPr>
    </w:p>
    <w:p w14:paraId="1E66AA89" w14:textId="77777777" w:rsidR="00C46587" w:rsidRPr="004F5FB4" w:rsidRDefault="00C46587" w:rsidP="00982118">
      <w:pPr>
        <w:rPr>
          <w:color w:val="000000"/>
        </w:rPr>
      </w:pPr>
      <w:r w:rsidRPr="004F5FB4">
        <w:rPr>
          <w:color w:val="000000"/>
        </w:rPr>
        <w:t>Eine Fortsetzung der Therapie länger als 12 Wochen sollte sorgfältig abgewogen werden bei Patienten, die innerhalb dieser Zeitspanne keine Verbesserung zeigen.</w:t>
      </w:r>
    </w:p>
    <w:p w14:paraId="63A8FC32" w14:textId="77777777" w:rsidR="00C46587" w:rsidRPr="004F5FB4" w:rsidRDefault="00C46587" w:rsidP="00982118">
      <w:pPr>
        <w:rPr>
          <w:color w:val="000000"/>
        </w:rPr>
      </w:pPr>
    </w:p>
    <w:p w14:paraId="64DFED5E" w14:textId="77777777" w:rsidR="00C46587" w:rsidRPr="004F5FB4" w:rsidRDefault="00C46587" w:rsidP="00982118">
      <w:pPr>
        <w:rPr>
          <w:color w:val="000000"/>
        </w:rPr>
      </w:pPr>
      <w:r w:rsidRPr="004F5FB4">
        <w:rPr>
          <w:color w:val="000000"/>
        </w:rPr>
        <w:t>Sollte eine Unterbrechung der Behandlung erforderlich sein, kann Amsparity nach Bedarf erneut gegeben werden.</w:t>
      </w:r>
    </w:p>
    <w:p w14:paraId="7DA21BDE" w14:textId="77777777" w:rsidR="00C46587" w:rsidRPr="004F5FB4" w:rsidRDefault="00C46587" w:rsidP="00982118">
      <w:pPr>
        <w:rPr>
          <w:color w:val="000000"/>
        </w:rPr>
      </w:pPr>
    </w:p>
    <w:p w14:paraId="4F1402FE" w14:textId="77777777" w:rsidR="00C46587" w:rsidRPr="004F5FB4" w:rsidRDefault="00C46587" w:rsidP="00982118">
      <w:pPr>
        <w:rPr>
          <w:color w:val="000000"/>
        </w:rPr>
      </w:pPr>
      <w:r w:rsidRPr="004F5FB4">
        <w:rPr>
          <w:color w:val="000000"/>
        </w:rPr>
        <w:t>Nutzen und Risiko einer fortgesetzten Langzeitbehandlung sollten regelmäßig beurteilt werden (siehe Daten zu Erwachsenen in Abschnitt</w:t>
      </w:r>
      <w:r w:rsidR="00D73FD8" w:rsidRPr="004F5FB4">
        <w:rPr>
          <w:color w:val="000000"/>
        </w:rPr>
        <w:t> </w:t>
      </w:r>
      <w:r w:rsidRPr="004F5FB4">
        <w:rPr>
          <w:color w:val="000000"/>
        </w:rPr>
        <w:t>5.1).</w:t>
      </w:r>
    </w:p>
    <w:p w14:paraId="4DC3A11D" w14:textId="77777777" w:rsidR="00C46587" w:rsidRPr="004F5FB4" w:rsidRDefault="00C46587" w:rsidP="00982118">
      <w:pPr>
        <w:rPr>
          <w:color w:val="000000"/>
        </w:rPr>
      </w:pPr>
    </w:p>
    <w:p w14:paraId="6508C361" w14:textId="77777777" w:rsidR="00C46587" w:rsidRPr="004F5FB4" w:rsidRDefault="00401A02" w:rsidP="00982118">
      <w:pPr>
        <w:rPr>
          <w:color w:val="000000"/>
        </w:rPr>
      </w:pPr>
      <w:r w:rsidRPr="004F5FB4">
        <w:rPr>
          <w:color w:val="000000"/>
        </w:rPr>
        <w:t>Es gibt in dieser Indikation keinen relevanten Nutzen von Adalimumab bei Kindern, die jünger als 12 Jahre sind</w:t>
      </w:r>
      <w:r w:rsidR="00C46587" w:rsidRPr="004F5FB4">
        <w:rPr>
          <w:color w:val="000000"/>
        </w:rPr>
        <w:t>.</w:t>
      </w:r>
    </w:p>
    <w:p w14:paraId="1C3C4505" w14:textId="77777777" w:rsidR="00C46587" w:rsidRPr="004F5FB4" w:rsidRDefault="00C46587" w:rsidP="00982118">
      <w:pPr>
        <w:rPr>
          <w:color w:val="000000"/>
        </w:rPr>
      </w:pPr>
    </w:p>
    <w:p w14:paraId="4F30900E" w14:textId="77777777" w:rsidR="00DF64F0" w:rsidRPr="004F5FB4" w:rsidRDefault="006A1144" w:rsidP="00982118">
      <w:pPr>
        <w:rPr>
          <w:color w:val="000000"/>
        </w:rPr>
      </w:pPr>
      <w:r w:rsidRPr="004F5FB4">
        <w:rPr>
          <w:color w:val="000000"/>
        </w:rPr>
        <w:t xml:space="preserve">Abhängig von den individuellen Behandlungsbedürfnissen kann Amsparity auch in anderen Stärken </w:t>
      </w:r>
      <w:r w:rsidR="00F35054" w:rsidRPr="004F5FB4">
        <w:rPr>
          <w:color w:val="000000"/>
        </w:rPr>
        <w:t>und/</w:t>
      </w:r>
      <w:r w:rsidR="00613A33" w:rsidRPr="004F5FB4">
        <w:rPr>
          <w:color w:val="000000"/>
        </w:rPr>
        <w:t> </w:t>
      </w:r>
      <w:r w:rsidR="00F35054" w:rsidRPr="004F5FB4">
        <w:rPr>
          <w:color w:val="000000"/>
        </w:rPr>
        <w:t>oder</w:t>
      </w:r>
      <w:r w:rsidRPr="004F5FB4">
        <w:rPr>
          <w:color w:val="000000"/>
        </w:rPr>
        <w:t xml:space="preserve"> Darreichungsformen erhältlich sein.</w:t>
      </w:r>
    </w:p>
    <w:p w14:paraId="15134E9E" w14:textId="77777777" w:rsidR="00DF64F0" w:rsidRPr="004F5FB4" w:rsidRDefault="00DF64F0" w:rsidP="00982118">
      <w:pPr>
        <w:rPr>
          <w:color w:val="000000"/>
        </w:rPr>
      </w:pPr>
    </w:p>
    <w:p w14:paraId="20BBBB99" w14:textId="77777777" w:rsidR="00C46587" w:rsidRPr="004F5FB4" w:rsidRDefault="00C46587" w:rsidP="00DC3A99">
      <w:pPr>
        <w:keepNext/>
        <w:rPr>
          <w:i/>
          <w:color w:val="000000"/>
        </w:rPr>
      </w:pPr>
      <w:r w:rsidRPr="004F5FB4">
        <w:rPr>
          <w:i/>
          <w:color w:val="000000"/>
        </w:rPr>
        <w:t>Morbus Crohn bei Kindern und Jugendlichen</w:t>
      </w:r>
    </w:p>
    <w:p w14:paraId="5D1898E6" w14:textId="77777777" w:rsidR="00E4038A" w:rsidRPr="004F5FB4" w:rsidRDefault="00E4038A" w:rsidP="00DC3A99">
      <w:pPr>
        <w:keepNext/>
        <w:rPr>
          <w:i/>
          <w:color w:val="000000"/>
          <w:u w:val="single"/>
        </w:rPr>
      </w:pPr>
    </w:p>
    <w:p w14:paraId="13AE91DD" w14:textId="77777777" w:rsidR="00E0473B" w:rsidRPr="004F5FB4" w:rsidRDefault="00C46587" w:rsidP="00982118">
      <w:pPr>
        <w:rPr>
          <w:color w:val="000000"/>
        </w:rPr>
      </w:pPr>
      <w:r w:rsidRPr="004F5FB4">
        <w:rPr>
          <w:color w:val="000000"/>
        </w:rPr>
        <w:t>Die empfohlene Dosis von Amsparity für Patienten mit Morbus Crohn im Alter von 6 bis 17</w:t>
      </w:r>
      <w:r w:rsidR="00473976" w:rsidRPr="004F5FB4">
        <w:rPr>
          <w:color w:val="000000"/>
        </w:rPr>
        <w:t> </w:t>
      </w:r>
      <w:r w:rsidRPr="004F5FB4">
        <w:rPr>
          <w:color w:val="000000"/>
        </w:rPr>
        <w:t>Jahren wird anhand des Körpergewichts bestimmt (Tabelle</w:t>
      </w:r>
      <w:r w:rsidR="00473976" w:rsidRPr="004F5FB4">
        <w:rPr>
          <w:color w:val="000000"/>
        </w:rPr>
        <w:t> </w:t>
      </w:r>
      <w:r w:rsidRPr="004F5FB4">
        <w:rPr>
          <w:color w:val="000000"/>
        </w:rPr>
        <w:t>4). Amsparity wird subkutan injiziert.</w:t>
      </w:r>
    </w:p>
    <w:p w14:paraId="2B1E8AC0" w14:textId="77777777" w:rsidR="00C57DA3" w:rsidRPr="004F5FB4" w:rsidRDefault="00C57DA3" w:rsidP="00982118">
      <w:pPr>
        <w:rPr>
          <w:color w:val="000000"/>
          <w:highlight w:val="green"/>
        </w:rPr>
      </w:pPr>
    </w:p>
    <w:p w14:paraId="4DBDBBD2" w14:textId="77777777" w:rsidR="00613A33" w:rsidRPr="004F5FB4" w:rsidRDefault="00A67540" w:rsidP="00687087">
      <w:pPr>
        <w:rPr>
          <w:b/>
          <w:color w:val="000000"/>
        </w:rPr>
      </w:pPr>
      <w:r w:rsidRPr="004F5FB4">
        <w:rPr>
          <w:b/>
          <w:color w:val="000000"/>
        </w:rPr>
        <w:t xml:space="preserve">Tabelle 4 </w:t>
      </w:r>
    </w:p>
    <w:p w14:paraId="02DB397D" w14:textId="77777777" w:rsidR="00A67540" w:rsidRPr="004F5FB4" w:rsidRDefault="00A67540" w:rsidP="00687087">
      <w:pPr>
        <w:rPr>
          <w:color w:val="000000"/>
        </w:rPr>
      </w:pPr>
      <w:r w:rsidRPr="004F5FB4">
        <w:rPr>
          <w:b/>
          <w:color w:val="000000"/>
        </w:rPr>
        <w:t>Amsparity-Dosis für Kinder und Jugendliche mit Morbus Crohn</w:t>
      </w:r>
    </w:p>
    <w:p w14:paraId="2F392DDA" w14:textId="77777777" w:rsidR="00C57DA3" w:rsidRPr="004F5FB4" w:rsidRDefault="00C57DA3" w:rsidP="0098211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5812"/>
        <w:gridCol w:w="1984"/>
      </w:tblGrid>
      <w:tr w:rsidR="00C57DA3" w:rsidRPr="004F5FB4" w14:paraId="114BD089" w14:textId="77777777" w:rsidTr="00150D33">
        <w:trPr>
          <w:cantSplit/>
          <w:tblHeader/>
        </w:trPr>
        <w:tc>
          <w:tcPr>
            <w:tcW w:w="1278" w:type="dxa"/>
            <w:shd w:val="clear" w:color="auto" w:fill="auto"/>
          </w:tcPr>
          <w:p w14:paraId="3FA0DBF0" w14:textId="77777777" w:rsidR="00C57DA3" w:rsidRPr="004F5FB4" w:rsidRDefault="00C57DA3" w:rsidP="00982118">
            <w:pPr>
              <w:jc w:val="center"/>
              <w:rPr>
                <w:b/>
                <w:color w:val="000000"/>
              </w:rPr>
            </w:pPr>
            <w:r w:rsidRPr="004F5FB4">
              <w:rPr>
                <w:b/>
                <w:color w:val="000000"/>
              </w:rPr>
              <w:t>Gewicht des Patienten</w:t>
            </w:r>
          </w:p>
        </w:tc>
        <w:tc>
          <w:tcPr>
            <w:tcW w:w="6030" w:type="dxa"/>
            <w:shd w:val="clear" w:color="auto" w:fill="auto"/>
          </w:tcPr>
          <w:p w14:paraId="19226B91" w14:textId="77777777" w:rsidR="00C57DA3" w:rsidRPr="004F5FB4" w:rsidRDefault="00FE401C" w:rsidP="00982118">
            <w:pPr>
              <w:jc w:val="center"/>
              <w:rPr>
                <w:b/>
                <w:color w:val="000000"/>
              </w:rPr>
            </w:pPr>
            <w:r w:rsidRPr="004F5FB4">
              <w:rPr>
                <w:b/>
                <w:color w:val="000000"/>
              </w:rPr>
              <w:t>Anfang</w:t>
            </w:r>
            <w:r w:rsidR="00C57DA3" w:rsidRPr="004F5FB4">
              <w:rPr>
                <w:b/>
                <w:color w:val="000000"/>
              </w:rPr>
              <w:t>sdosis</w:t>
            </w:r>
          </w:p>
        </w:tc>
        <w:tc>
          <w:tcPr>
            <w:tcW w:w="1995" w:type="dxa"/>
            <w:shd w:val="clear" w:color="auto" w:fill="auto"/>
          </w:tcPr>
          <w:p w14:paraId="58856A4C" w14:textId="77777777" w:rsidR="00C57DA3" w:rsidRPr="004F5FB4" w:rsidRDefault="00C57DA3" w:rsidP="00A67540">
            <w:pPr>
              <w:jc w:val="center"/>
              <w:rPr>
                <w:b/>
                <w:color w:val="000000"/>
              </w:rPr>
            </w:pPr>
            <w:r w:rsidRPr="004F5FB4">
              <w:rPr>
                <w:b/>
                <w:color w:val="000000"/>
              </w:rPr>
              <w:t>Erhaltungsdosis, beginnend in Woche</w:t>
            </w:r>
            <w:r w:rsidR="00A67540" w:rsidRPr="004F5FB4">
              <w:rPr>
                <w:b/>
                <w:color w:val="000000"/>
              </w:rPr>
              <w:t> </w:t>
            </w:r>
            <w:r w:rsidRPr="004F5FB4">
              <w:rPr>
                <w:b/>
                <w:color w:val="000000"/>
              </w:rPr>
              <w:t>4</w:t>
            </w:r>
          </w:p>
        </w:tc>
      </w:tr>
      <w:tr w:rsidR="00C57DA3" w:rsidRPr="004F5FB4" w14:paraId="11F7CB33" w14:textId="77777777" w:rsidTr="00150D33">
        <w:trPr>
          <w:cantSplit/>
        </w:trPr>
        <w:tc>
          <w:tcPr>
            <w:tcW w:w="1278" w:type="dxa"/>
            <w:shd w:val="clear" w:color="auto" w:fill="auto"/>
          </w:tcPr>
          <w:p w14:paraId="248BD2F7" w14:textId="77777777" w:rsidR="00C57DA3" w:rsidRPr="004F5FB4" w:rsidRDefault="00C57DA3" w:rsidP="00982118">
            <w:pPr>
              <w:jc w:val="center"/>
              <w:rPr>
                <w:color w:val="000000"/>
              </w:rPr>
            </w:pPr>
            <w:r w:rsidRPr="004F5FB4">
              <w:rPr>
                <w:color w:val="000000"/>
              </w:rPr>
              <w:t>&lt;</w:t>
            </w:r>
            <w:r w:rsidR="00473976" w:rsidRPr="004F5FB4">
              <w:rPr>
                <w:color w:val="000000"/>
              </w:rPr>
              <w:t> </w:t>
            </w:r>
            <w:r w:rsidRPr="004F5FB4">
              <w:rPr>
                <w:color w:val="000000"/>
              </w:rPr>
              <w:t>40</w:t>
            </w:r>
            <w:r w:rsidR="00473976" w:rsidRPr="004F5FB4">
              <w:rPr>
                <w:color w:val="000000"/>
              </w:rPr>
              <w:t> </w:t>
            </w:r>
            <w:r w:rsidRPr="004F5FB4">
              <w:rPr>
                <w:color w:val="000000"/>
              </w:rPr>
              <w:t>kg</w:t>
            </w:r>
          </w:p>
        </w:tc>
        <w:tc>
          <w:tcPr>
            <w:tcW w:w="6030" w:type="dxa"/>
            <w:shd w:val="clear" w:color="auto" w:fill="auto"/>
          </w:tcPr>
          <w:p w14:paraId="2329143D" w14:textId="77777777" w:rsidR="00C57DA3" w:rsidRPr="004F5FB4" w:rsidRDefault="00922EFB" w:rsidP="00982118">
            <w:pPr>
              <w:numPr>
                <w:ilvl w:val="0"/>
                <w:numId w:val="17"/>
              </w:numPr>
              <w:rPr>
                <w:color w:val="000000"/>
              </w:rPr>
            </w:pPr>
            <w:r w:rsidRPr="004F5FB4">
              <w:rPr>
                <w:color w:val="000000"/>
              </w:rPr>
              <w:t>40 mg in Woche</w:t>
            </w:r>
            <w:r w:rsidR="00473976" w:rsidRPr="004F5FB4">
              <w:rPr>
                <w:color w:val="000000"/>
              </w:rPr>
              <w:t> </w:t>
            </w:r>
            <w:r w:rsidRPr="004F5FB4">
              <w:rPr>
                <w:color w:val="000000"/>
              </w:rPr>
              <w:t>0 und 20 mg in Woche</w:t>
            </w:r>
            <w:r w:rsidR="00473976" w:rsidRPr="004F5FB4">
              <w:rPr>
                <w:color w:val="000000"/>
              </w:rPr>
              <w:t> </w:t>
            </w:r>
            <w:r w:rsidRPr="004F5FB4">
              <w:rPr>
                <w:color w:val="000000"/>
              </w:rPr>
              <w:t>2</w:t>
            </w:r>
          </w:p>
          <w:p w14:paraId="79FA3F13" w14:textId="77777777" w:rsidR="00C57DA3" w:rsidRPr="004F5FB4" w:rsidRDefault="00C57DA3" w:rsidP="00982118">
            <w:pPr>
              <w:rPr>
                <w:color w:val="000000"/>
              </w:rPr>
            </w:pPr>
          </w:p>
          <w:p w14:paraId="1052B0B8" w14:textId="77777777" w:rsidR="00C57DA3" w:rsidRPr="004F5FB4" w:rsidRDefault="00C57DA3" w:rsidP="00982118">
            <w:pPr>
              <w:rPr>
                <w:color w:val="000000"/>
              </w:rPr>
            </w:pPr>
            <w:r w:rsidRPr="004F5FB4">
              <w:rPr>
                <w:color w:val="000000"/>
              </w:rPr>
              <w:t xml:space="preserve">In Fällen, in denen ein schnelleres Ansprechen auf die Therapie erforderlich ist, kann – unter Berücksichtigung, dass bei einer höheren Induktionsdosis auch das Risiko für Nebenwirkungen höher sein kann – folgende Dosis angewandt werden: </w:t>
            </w:r>
          </w:p>
          <w:p w14:paraId="4F523D36" w14:textId="77777777" w:rsidR="00C57DA3" w:rsidRPr="004F5FB4" w:rsidRDefault="00922EFB" w:rsidP="00982118">
            <w:pPr>
              <w:numPr>
                <w:ilvl w:val="0"/>
                <w:numId w:val="17"/>
              </w:numPr>
              <w:rPr>
                <w:color w:val="000000"/>
              </w:rPr>
            </w:pPr>
            <w:r w:rsidRPr="004F5FB4">
              <w:rPr>
                <w:color w:val="000000"/>
              </w:rPr>
              <w:t>80 mg in Woche</w:t>
            </w:r>
            <w:r w:rsidR="00473976" w:rsidRPr="004F5FB4">
              <w:rPr>
                <w:color w:val="000000"/>
              </w:rPr>
              <w:t> </w:t>
            </w:r>
            <w:r w:rsidRPr="004F5FB4">
              <w:rPr>
                <w:color w:val="000000"/>
              </w:rPr>
              <w:t>0 und 40 mg in Woche</w:t>
            </w:r>
            <w:r w:rsidR="00473976" w:rsidRPr="004F5FB4">
              <w:rPr>
                <w:color w:val="000000"/>
              </w:rPr>
              <w:t> </w:t>
            </w:r>
            <w:r w:rsidRPr="004F5FB4">
              <w:rPr>
                <w:color w:val="000000"/>
              </w:rPr>
              <w:t>2</w:t>
            </w:r>
          </w:p>
        </w:tc>
        <w:tc>
          <w:tcPr>
            <w:tcW w:w="1995" w:type="dxa"/>
            <w:shd w:val="clear" w:color="auto" w:fill="auto"/>
          </w:tcPr>
          <w:p w14:paraId="21032D91" w14:textId="77777777" w:rsidR="00C57DA3" w:rsidRPr="004F5FB4" w:rsidRDefault="00C57DA3" w:rsidP="00982118">
            <w:pPr>
              <w:jc w:val="center"/>
              <w:rPr>
                <w:color w:val="000000"/>
              </w:rPr>
            </w:pPr>
            <w:r w:rsidRPr="004F5FB4">
              <w:rPr>
                <w:color w:val="000000"/>
              </w:rPr>
              <w:t>20 mg jede zweite Woche</w:t>
            </w:r>
          </w:p>
        </w:tc>
      </w:tr>
      <w:tr w:rsidR="00C57DA3" w:rsidRPr="004F5FB4" w14:paraId="666627D3" w14:textId="77777777" w:rsidTr="00150D33">
        <w:trPr>
          <w:cantSplit/>
        </w:trPr>
        <w:tc>
          <w:tcPr>
            <w:tcW w:w="1278" w:type="dxa"/>
            <w:shd w:val="clear" w:color="auto" w:fill="auto"/>
          </w:tcPr>
          <w:p w14:paraId="6A3B2DDB" w14:textId="77777777" w:rsidR="00C57DA3" w:rsidRPr="004F5FB4" w:rsidRDefault="00C57DA3" w:rsidP="00982118">
            <w:pPr>
              <w:jc w:val="center"/>
              <w:rPr>
                <w:color w:val="000000"/>
              </w:rPr>
            </w:pPr>
            <w:r w:rsidRPr="004F5FB4">
              <w:rPr>
                <w:color w:val="000000"/>
              </w:rPr>
              <w:t>≥</w:t>
            </w:r>
            <w:r w:rsidR="00473976" w:rsidRPr="004F5FB4">
              <w:rPr>
                <w:color w:val="000000"/>
              </w:rPr>
              <w:t> </w:t>
            </w:r>
            <w:r w:rsidRPr="004F5FB4">
              <w:rPr>
                <w:color w:val="000000"/>
              </w:rPr>
              <w:t>40 kg</w:t>
            </w:r>
          </w:p>
        </w:tc>
        <w:tc>
          <w:tcPr>
            <w:tcW w:w="6030" w:type="dxa"/>
            <w:shd w:val="clear" w:color="auto" w:fill="auto"/>
          </w:tcPr>
          <w:p w14:paraId="7B5B0B96" w14:textId="77777777" w:rsidR="00C57DA3" w:rsidRPr="004F5FB4" w:rsidRDefault="00922EFB" w:rsidP="00982118">
            <w:pPr>
              <w:numPr>
                <w:ilvl w:val="0"/>
                <w:numId w:val="17"/>
              </w:numPr>
              <w:rPr>
                <w:color w:val="000000"/>
              </w:rPr>
            </w:pPr>
            <w:r w:rsidRPr="004F5FB4">
              <w:rPr>
                <w:color w:val="000000"/>
              </w:rPr>
              <w:t>80 mg in Woche</w:t>
            </w:r>
            <w:r w:rsidR="00473976" w:rsidRPr="004F5FB4">
              <w:rPr>
                <w:color w:val="000000"/>
              </w:rPr>
              <w:t> </w:t>
            </w:r>
            <w:r w:rsidRPr="004F5FB4">
              <w:rPr>
                <w:color w:val="000000"/>
              </w:rPr>
              <w:t>0 und 40 mg in Woche</w:t>
            </w:r>
            <w:r w:rsidR="00473976" w:rsidRPr="004F5FB4">
              <w:rPr>
                <w:color w:val="000000"/>
              </w:rPr>
              <w:t> </w:t>
            </w:r>
            <w:r w:rsidRPr="004F5FB4">
              <w:rPr>
                <w:color w:val="000000"/>
              </w:rPr>
              <w:t>2</w:t>
            </w:r>
          </w:p>
          <w:p w14:paraId="6ED8824F" w14:textId="77777777" w:rsidR="00C57DA3" w:rsidRPr="004F5FB4" w:rsidRDefault="00C57DA3" w:rsidP="00982118">
            <w:pPr>
              <w:rPr>
                <w:color w:val="000000"/>
              </w:rPr>
            </w:pPr>
          </w:p>
          <w:p w14:paraId="030C049E" w14:textId="77777777" w:rsidR="00C57DA3" w:rsidRPr="004F5FB4" w:rsidRDefault="00C57DA3" w:rsidP="00982118">
            <w:pPr>
              <w:rPr>
                <w:color w:val="000000"/>
              </w:rPr>
            </w:pPr>
            <w:r w:rsidRPr="004F5FB4">
              <w:rPr>
                <w:color w:val="000000"/>
              </w:rPr>
              <w:t xml:space="preserve">In Fällen, in denen ein schnelleres Ansprechen auf die Therapie erforderlich ist, kann – unter Berücksichtigung, dass bei einer höheren Induktionsdosis auch das Risiko für Nebenwirkungen höher sein kann – folgende Dosis angewandt werden: </w:t>
            </w:r>
          </w:p>
          <w:p w14:paraId="7F19D4DF" w14:textId="77777777" w:rsidR="00C57DA3" w:rsidRPr="004F5FB4" w:rsidRDefault="00922EFB" w:rsidP="00982118">
            <w:pPr>
              <w:numPr>
                <w:ilvl w:val="0"/>
                <w:numId w:val="17"/>
              </w:numPr>
              <w:rPr>
                <w:color w:val="000000"/>
              </w:rPr>
            </w:pPr>
            <w:r w:rsidRPr="004F5FB4">
              <w:rPr>
                <w:color w:val="000000"/>
              </w:rPr>
              <w:t>160 mg in Woche</w:t>
            </w:r>
            <w:r w:rsidR="00473976" w:rsidRPr="004F5FB4">
              <w:rPr>
                <w:color w:val="000000"/>
              </w:rPr>
              <w:t> </w:t>
            </w:r>
            <w:r w:rsidRPr="004F5FB4">
              <w:rPr>
                <w:color w:val="000000"/>
              </w:rPr>
              <w:t>0 und 80 mg in Woche</w:t>
            </w:r>
            <w:r w:rsidR="00473976" w:rsidRPr="004F5FB4">
              <w:rPr>
                <w:color w:val="000000"/>
              </w:rPr>
              <w:t> </w:t>
            </w:r>
            <w:r w:rsidRPr="004F5FB4">
              <w:rPr>
                <w:color w:val="000000"/>
              </w:rPr>
              <w:t>2</w:t>
            </w:r>
          </w:p>
        </w:tc>
        <w:tc>
          <w:tcPr>
            <w:tcW w:w="1995" w:type="dxa"/>
            <w:shd w:val="clear" w:color="auto" w:fill="auto"/>
          </w:tcPr>
          <w:p w14:paraId="1D08670D" w14:textId="77777777" w:rsidR="00C57DA3" w:rsidRPr="004F5FB4" w:rsidRDefault="00C57DA3" w:rsidP="00982118">
            <w:pPr>
              <w:jc w:val="center"/>
              <w:rPr>
                <w:color w:val="000000"/>
              </w:rPr>
            </w:pPr>
            <w:r w:rsidRPr="004F5FB4">
              <w:rPr>
                <w:color w:val="000000"/>
              </w:rPr>
              <w:t>40 mg jede zweite Woche</w:t>
            </w:r>
          </w:p>
        </w:tc>
      </w:tr>
    </w:tbl>
    <w:p w14:paraId="7812BC24" w14:textId="77777777" w:rsidR="00E0473B" w:rsidRPr="004F5FB4" w:rsidRDefault="00E0473B" w:rsidP="00982118">
      <w:pPr>
        <w:rPr>
          <w:color w:val="000000"/>
          <w:lang w:val="en-GB"/>
        </w:rPr>
      </w:pPr>
    </w:p>
    <w:p w14:paraId="01C89FE7" w14:textId="77777777" w:rsidR="00C57DA3" w:rsidRPr="004F5FB4" w:rsidRDefault="00C57DA3" w:rsidP="00982118">
      <w:pPr>
        <w:rPr>
          <w:color w:val="000000"/>
        </w:rPr>
      </w:pPr>
      <w:r w:rsidRPr="004F5FB4">
        <w:rPr>
          <w:color w:val="000000"/>
        </w:rPr>
        <w:t>Patienten, die unzureichend ansprechen, können unter Umständen von einer Erhöhung der Dosierung profitieren:</w:t>
      </w:r>
    </w:p>
    <w:p w14:paraId="08AB06E9" w14:textId="77777777" w:rsidR="00C57DA3" w:rsidRPr="004F5FB4" w:rsidRDefault="00C57DA3" w:rsidP="00150D33">
      <w:pPr>
        <w:numPr>
          <w:ilvl w:val="0"/>
          <w:numId w:val="17"/>
        </w:numPr>
        <w:ind w:left="562" w:hanging="562"/>
        <w:rPr>
          <w:color w:val="000000"/>
        </w:rPr>
      </w:pPr>
      <w:r w:rsidRPr="004F5FB4">
        <w:rPr>
          <w:color w:val="000000"/>
        </w:rPr>
        <w:t>&lt;</w:t>
      </w:r>
      <w:r w:rsidR="00756B78" w:rsidRPr="004F5FB4">
        <w:rPr>
          <w:color w:val="000000"/>
        </w:rPr>
        <w:t> </w:t>
      </w:r>
      <w:r w:rsidRPr="004F5FB4">
        <w:rPr>
          <w:color w:val="000000"/>
        </w:rPr>
        <w:t>40 kg: 20 mg jede Woche</w:t>
      </w:r>
    </w:p>
    <w:p w14:paraId="2434CFA5" w14:textId="77777777" w:rsidR="00C46587" w:rsidRPr="004F5FB4" w:rsidRDefault="00C57DA3" w:rsidP="00150D33">
      <w:pPr>
        <w:numPr>
          <w:ilvl w:val="0"/>
          <w:numId w:val="17"/>
        </w:numPr>
        <w:ind w:left="562" w:hanging="562"/>
        <w:rPr>
          <w:color w:val="000000"/>
        </w:rPr>
      </w:pPr>
      <w:r w:rsidRPr="004F5FB4">
        <w:rPr>
          <w:color w:val="000000"/>
        </w:rPr>
        <w:t>≥</w:t>
      </w:r>
      <w:r w:rsidR="00756B78" w:rsidRPr="004F5FB4">
        <w:rPr>
          <w:color w:val="000000"/>
        </w:rPr>
        <w:t> </w:t>
      </w:r>
      <w:r w:rsidRPr="004F5FB4">
        <w:rPr>
          <w:color w:val="000000"/>
        </w:rPr>
        <w:t>40 kg: 40 mg jede Woche oder 80 mg jede zweite Woche</w:t>
      </w:r>
    </w:p>
    <w:p w14:paraId="190EC3DA" w14:textId="77777777" w:rsidR="00C57DA3" w:rsidRPr="004F5FB4" w:rsidRDefault="00C57DA3" w:rsidP="00982118">
      <w:pPr>
        <w:rPr>
          <w:color w:val="000000"/>
        </w:rPr>
      </w:pPr>
    </w:p>
    <w:p w14:paraId="667C4165" w14:textId="77777777" w:rsidR="00C46587" w:rsidRPr="004F5FB4" w:rsidRDefault="00C46587" w:rsidP="00982118">
      <w:pPr>
        <w:rPr>
          <w:color w:val="000000"/>
        </w:rPr>
      </w:pPr>
      <w:r w:rsidRPr="004F5FB4">
        <w:rPr>
          <w:color w:val="000000"/>
        </w:rPr>
        <w:t>Die Fortsetzung der Therapie sollte bei einem Patienten, der bis Woche</w:t>
      </w:r>
      <w:r w:rsidR="00756B78" w:rsidRPr="004F5FB4">
        <w:rPr>
          <w:color w:val="000000"/>
        </w:rPr>
        <w:t> </w:t>
      </w:r>
      <w:r w:rsidRPr="004F5FB4">
        <w:rPr>
          <w:color w:val="000000"/>
        </w:rPr>
        <w:t>12 nicht angesprochen hat, nochmals sorgfältig überdacht werden.</w:t>
      </w:r>
    </w:p>
    <w:p w14:paraId="47E5B4EB" w14:textId="77777777" w:rsidR="00C46587" w:rsidRPr="004F5FB4" w:rsidRDefault="00C46587" w:rsidP="00982118">
      <w:pPr>
        <w:rPr>
          <w:color w:val="000000"/>
        </w:rPr>
      </w:pPr>
    </w:p>
    <w:p w14:paraId="525A68D9" w14:textId="77777777" w:rsidR="00C46587" w:rsidRPr="004F5FB4" w:rsidRDefault="00401A02" w:rsidP="00982118">
      <w:pPr>
        <w:rPr>
          <w:color w:val="000000"/>
        </w:rPr>
      </w:pPr>
      <w:r w:rsidRPr="004F5FB4">
        <w:rPr>
          <w:color w:val="000000"/>
        </w:rPr>
        <w:t>Es gibt in dieser Indikation keinen relevanten Nutzen von Adalimumab bei Kindern, die jünger als 6 Jahre sind</w:t>
      </w:r>
      <w:r w:rsidR="00C46587" w:rsidRPr="004F5FB4">
        <w:rPr>
          <w:color w:val="000000"/>
        </w:rPr>
        <w:t>.</w:t>
      </w:r>
    </w:p>
    <w:p w14:paraId="71751FA0" w14:textId="77777777" w:rsidR="00C46587" w:rsidRPr="004F5FB4" w:rsidRDefault="00C46587" w:rsidP="00982118">
      <w:pPr>
        <w:rPr>
          <w:color w:val="000000"/>
        </w:rPr>
      </w:pPr>
    </w:p>
    <w:p w14:paraId="354B3250" w14:textId="77777777" w:rsidR="00DF64F0" w:rsidRDefault="006A1144" w:rsidP="00982118">
      <w:pPr>
        <w:rPr>
          <w:color w:val="000000"/>
        </w:rPr>
      </w:pPr>
      <w:r w:rsidRPr="004F5FB4">
        <w:rPr>
          <w:color w:val="000000"/>
        </w:rPr>
        <w:t>Abhängig von den individuellen Behandlungsbedürfnissen kann Amsparity auch in anderen Stärken und/</w:t>
      </w:r>
      <w:r w:rsidR="00473976" w:rsidRPr="004F5FB4">
        <w:rPr>
          <w:color w:val="000000"/>
        </w:rPr>
        <w:t xml:space="preserve"> </w:t>
      </w:r>
      <w:r w:rsidRPr="004F5FB4">
        <w:rPr>
          <w:color w:val="000000"/>
        </w:rPr>
        <w:t>oder Darreichungsformen erhältlich sein.</w:t>
      </w:r>
    </w:p>
    <w:p w14:paraId="20D60433" w14:textId="77777777" w:rsidR="00E76AD2" w:rsidRDefault="00E76AD2" w:rsidP="00982118">
      <w:pPr>
        <w:rPr>
          <w:color w:val="000000"/>
        </w:rPr>
      </w:pPr>
    </w:p>
    <w:p w14:paraId="4D6BE9E6" w14:textId="77777777" w:rsidR="00BF430C" w:rsidRPr="00BF430C" w:rsidRDefault="00BF430C" w:rsidP="00BF430C">
      <w:pPr>
        <w:rPr>
          <w:i/>
          <w:iCs/>
          <w:color w:val="000000"/>
        </w:rPr>
      </w:pPr>
      <w:r w:rsidRPr="00BF430C">
        <w:rPr>
          <w:i/>
          <w:iCs/>
          <w:color w:val="000000"/>
        </w:rPr>
        <w:t>Colitis ulcerosa bei Kindern und Jugendlichen</w:t>
      </w:r>
    </w:p>
    <w:p w14:paraId="3FF9006F" w14:textId="77777777" w:rsidR="00BF430C" w:rsidRPr="00BF430C" w:rsidRDefault="00BF430C" w:rsidP="00BF430C">
      <w:pPr>
        <w:rPr>
          <w:i/>
          <w:color w:val="000000"/>
        </w:rPr>
      </w:pPr>
    </w:p>
    <w:p w14:paraId="4E928108" w14:textId="77777777" w:rsidR="00BF430C" w:rsidRPr="00BF430C" w:rsidRDefault="00BF430C" w:rsidP="00BF430C">
      <w:pPr>
        <w:rPr>
          <w:color w:val="000000"/>
        </w:rPr>
      </w:pPr>
      <w:r w:rsidRPr="00BF430C">
        <w:rPr>
          <w:color w:val="000000"/>
        </w:rPr>
        <w:t>Die empfohlene Dosis von Amsparity für Patienten im Alter von 6 bis 17 Jahren mit Colitis ulcerosa wird anhand des Körpergewichts bestimmt (Tabelle 5). Amsparity wird subkutan injiziert.</w:t>
      </w:r>
    </w:p>
    <w:p w14:paraId="656D0086" w14:textId="77777777" w:rsidR="00BF430C" w:rsidRPr="00BF430C" w:rsidRDefault="00BF430C" w:rsidP="00BF430C">
      <w:pPr>
        <w:rPr>
          <w:color w:val="000000"/>
        </w:rPr>
      </w:pPr>
    </w:p>
    <w:p w14:paraId="21B9EEBF" w14:textId="77777777" w:rsidR="00BF430C" w:rsidRPr="00C325BF" w:rsidRDefault="00BF430C" w:rsidP="00BF430C">
      <w:pPr>
        <w:keepNext/>
        <w:rPr>
          <w:b/>
        </w:rPr>
      </w:pPr>
      <w:r w:rsidRPr="00C325BF">
        <w:rPr>
          <w:b/>
        </w:rPr>
        <w:lastRenderedPageBreak/>
        <w:t>Tabelle 5</w:t>
      </w:r>
    </w:p>
    <w:p w14:paraId="7508D599" w14:textId="77777777" w:rsidR="00BF430C" w:rsidRPr="00C325BF" w:rsidRDefault="00BF430C" w:rsidP="00BF430C">
      <w:pPr>
        <w:keepNext/>
        <w:rPr>
          <w:b/>
        </w:rPr>
      </w:pPr>
      <w:r w:rsidRPr="00C325BF">
        <w:rPr>
          <w:b/>
        </w:rPr>
        <w:t>Amsparity-Dosis für Kinder und Jugendliche mit Colitis ulcerosa</w:t>
      </w:r>
    </w:p>
    <w:p w14:paraId="6EF741F8" w14:textId="77777777" w:rsidR="00BF430C" w:rsidRPr="00C325BF" w:rsidRDefault="00BF430C" w:rsidP="00BF430C">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4124"/>
        <w:gridCol w:w="2913"/>
      </w:tblGrid>
      <w:tr w:rsidR="00BF430C" w:rsidRPr="00BF430C" w14:paraId="4F650D96" w14:textId="77777777" w:rsidTr="0023205F">
        <w:tc>
          <w:tcPr>
            <w:tcW w:w="2085" w:type="dxa"/>
            <w:shd w:val="clear" w:color="auto" w:fill="auto"/>
          </w:tcPr>
          <w:p w14:paraId="1EAABCCF" w14:textId="77777777" w:rsidR="00BF430C" w:rsidRPr="00BF430C" w:rsidRDefault="00BF430C" w:rsidP="00BF430C">
            <w:pPr>
              <w:keepNext/>
              <w:jc w:val="center"/>
              <w:rPr>
                <w:lang w:val="en-GB"/>
              </w:rPr>
            </w:pPr>
            <w:proofErr w:type="spellStart"/>
            <w:r w:rsidRPr="00BF430C">
              <w:rPr>
                <w:b/>
                <w:lang w:val="en-GB"/>
              </w:rPr>
              <w:t>Gewicht</w:t>
            </w:r>
            <w:proofErr w:type="spellEnd"/>
            <w:r w:rsidRPr="00BF430C">
              <w:rPr>
                <w:b/>
                <w:lang w:val="en-GB"/>
              </w:rPr>
              <w:t xml:space="preserve"> des </w:t>
            </w:r>
            <w:proofErr w:type="spellStart"/>
            <w:r w:rsidRPr="00BF430C">
              <w:rPr>
                <w:b/>
                <w:lang w:val="en-GB"/>
              </w:rPr>
              <w:t>Patienten</w:t>
            </w:r>
            <w:proofErr w:type="spellEnd"/>
          </w:p>
        </w:tc>
        <w:tc>
          <w:tcPr>
            <w:tcW w:w="4224" w:type="dxa"/>
            <w:shd w:val="clear" w:color="auto" w:fill="auto"/>
          </w:tcPr>
          <w:p w14:paraId="171A1277" w14:textId="77777777" w:rsidR="00BF430C" w:rsidRPr="00BF430C" w:rsidRDefault="00BF430C" w:rsidP="00BF430C">
            <w:pPr>
              <w:keepNext/>
              <w:jc w:val="center"/>
              <w:rPr>
                <w:lang w:val="en-GB"/>
              </w:rPr>
            </w:pPr>
            <w:proofErr w:type="spellStart"/>
            <w:r w:rsidRPr="00BF430C">
              <w:rPr>
                <w:b/>
                <w:lang w:val="en-GB"/>
              </w:rPr>
              <w:t>Anfangsdosis</w:t>
            </w:r>
            <w:proofErr w:type="spellEnd"/>
          </w:p>
        </w:tc>
        <w:tc>
          <w:tcPr>
            <w:tcW w:w="2982" w:type="dxa"/>
          </w:tcPr>
          <w:p w14:paraId="5E431AB9" w14:textId="77777777" w:rsidR="00BF430C" w:rsidRPr="00BF430C" w:rsidRDefault="00BF430C" w:rsidP="00BF430C">
            <w:pPr>
              <w:keepNext/>
              <w:jc w:val="center"/>
              <w:rPr>
                <w:b/>
                <w:lang w:val="en-GB"/>
              </w:rPr>
            </w:pPr>
            <w:proofErr w:type="spellStart"/>
            <w:r w:rsidRPr="00BF430C">
              <w:rPr>
                <w:b/>
                <w:lang w:val="en-GB"/>
              </w:rPr>
              <w:t>Erhaltungsdosis</w:t>
            </w:r>
            <w:proofErr w:type="spellEnd"/>
            <w:r w:rsidRPr="00BF430C">
              <w:rPr>
                <w:b/>
                <w:lang w:val="en-GB"/>
              </w:rPr>
              <w:t xml:space="preserve">, </w:t>
            </w:r>
            <w:proofErr w:type="spellStart"/>
            <w:r w:rsidRPr="00BF430C">
              <w:rPr>
                <w:b/>
                <w:lang w:val="en-GB"/>
              </w:rPr>
              <w:t>beginnend</w:t>
            </w:r>
            <w:proofErr w:type="spellEnd"/>
            <w:r w:rsidRPr="00BF430C">
              <w:rPr>
                <w:b/>
                <w:lang w:val="en-GB"/>
              </w:rPr>
              <w:t xml:space="preserve"> in </w:t>
            </w:r>
            <w:proofErr w:type="spellStart"/>
            <w:r w:rsidRPr="00BF430C">
              <w:rPr>
                <w:b/>
                <w:lang w:val="en-GB"/>
              </w:rPr>
              <w:t>Woche</w:t>
            </w:r>
            <w:proofErr w:type="spellEnd"/>
            <w:r w:rsidRPr="00BF430C">
              <w:rPr>
                <w:b/>
                <w:lang w:val="en-GB"/>
              </w:rPr>
              <w:t> 4</w:t>
            </w:r>
            <w:r w:rsidR="00C20DA3">
              <w:rPr>
                <w:b/>
                <w:lang w:val="en-GB"/>
              </w:rPr>
              <w:t>*</w:t>
            </w:r>
          </w:p>
        </w:tc>
      </w:tr>
      <w:tr w:rsidR="00BF430C" w:rsidRPr="00BF430C" w14:paraId="338EA67D" w14:textId="77777777" w:rsidTr="008419B6">
        <w:tc>
          <w:tcPr>
            <w:tcW w:w="2085" w:type="dxa"/>
            <w:shd w:val="clear" w:color="auto" w:fill="auto"/>
          </w:tcPr>
          <w:p w14:paraId="72C72049" w14:textId="77777777" w:rsidR="00BF430C" w:rsidRPr="00BF430C" w:rsidRDefault="00BF430C" w:rsidP="00BF430C">
            <w:pPr>
              <w:jc w:val="center"/>
              <w:rPr>
                <w:lang w:val="en-GB"/>
              </w:rPr>
            </w:pPr>
            <w:r w:rsidRPr="00BF430C">
              <w:rPr>
                <w:lang w:val="en-GB"/>
              </w:rPr>
              <w:t>&lt; 40 kg</w:t>
            </w:r>
          </w:p>
        </w:tc>
        <w:tc>
          <w:tcPr>
            <w:tcW w:w="4224" w:type="dxa"/>
            <w:shd w:val="clear" w:color="auto" w:fill="auto"/>
          </w:tcPr>
          <w:p w14:paraId="5C2E86D4" w14:textId="77777777" w:rsidR="00BF430C" w:rsidRPr="00BF430C" w:rsidRDefault="00BF430C" w:rsidP="00BF430C">
            <w:pPr>
              <w:numPr>
                <w:ilvl w:val="0"/>
                <w:numId w:val="71"/>
              </w:numPr>
              <w:autoSpaceDE w:val="0"/>
              <w:autoSpaceDN w:val="0"/>
              <w:adjustRightInd w:val="0"/>
              <w:ind w:left="360"/>
            </w:pPr>
            <w:r w:rsidRPr="00BF430C">
              <w:t>80</w:t>
            </w:r>
            <w:r w:rsidRPr="00C325BF">
              <w:t> </w:t>
            </w:r>
            <w:r w:rsidRPr="00BF430C">
              <w:t>mg in Woche</w:t>
            </w:r>
            <w:r w:rsidRPr="00C325BF">
              <w:t> </w:t>
            </w:r>
            <w:r w:rsidRPr="00BF430C">
              <w:t>0 (verabreicht als zwei Injektionen von 40</w:t>
            </w:r>
            <w:r w:rsidRPr="00C325BF">
              <w:t> </w:t>
            </w:r>
            <w:r w:rsidRPr="00BF430C">
              <w:t>mg innerhalb eines Tages) und</w:t>
            </w:r>
          </w:p>
          <w:p w14:paraId="7FF76C05" w14:textId="77777777" w:rsidR="00BF430C" w:rsidRPr="00BF430C" w:rsidRDefault="00BF430C" w:rsidP="00BF430C">
            <w:pPr>
              <w:numPr>
                <w:ilvl w:val="0"/>
                <w:numId w:val="71"/>
              </w:numPr>
              <w:autoSpaceDE w:val="0"/>
              <w:autoSpaceDN w:val="0"/>
              <w:adjustRightInd w:val="0"/>
              <w:ind w:left="360"/>
            </w:pPr>
            <w:r w:rsidRPr="00BF430C">
              <w:t>40</w:t>
            </w:r>
            <w:r w:rsidRPr="00C325BF">
              <w:t> </w:t>
            </w:r>
            <w:r w:rsidRPr="00BF430C">
              <w:t>mg in Woche</w:t>
            </w:r>
            <w:r w:rsidRPr="00C325BF">
              <w:t> </w:t>
            </w:r>
            <w:r w:rsidRPr="00BF430C">
              <w:t>2 (verabreicht als eine Injektion von 40</w:t>
            </w:r>
            <w:r w:rsidRPr="00C325BF">
              <w:t> </w:t>
            </w:r>
            <w:r w:rsidRPr="00BF430C">
              <w:t>mg)</w:t>
            </w:r>
          </w:p>
        </w:tc>
        <w:tc>
          <w:tcPr>
            <w:tcW w:w="2982" w:type="dxa"/>
          </w:tcPr>
          <w:p w14:paraId="51F8096E" w14:textId="77777777" w:rsidR="00BF430C" w:rsidRPr="00BF430C" w:rsidRDefault="00BF430C" w:rsidP="008419B6">
            <w:pPr>
              <w:numPr>
                <w:ilvl w:val="0"/>
                <w:numId w:val="74"/>
              </w:numPr>
              <w:ind w:left="351"/>
              <w:rPr>
                <w:lang w:val="en-GB"/>
              </w:rPr>
            </w:pPr>
            <w:r w:rsidRPr="00BF430C">
              <w:t>40</w:t>
            </w:r>
            <w:r w:rsidRPr="00BF430C">
              <w:rPr>
                <w:lang w:val="en-GB"/>
              </w:rPr>
              <w:t> </w:t>
            </w:r>
            <w:r w:rsidRPr="00BF430C">
              <w:t>mg jede zweite Woche</w:t>
            </w:r>
          </w:p>
        </w:tc>
      </w:tr>
      <w:tr w:rsidR="00BF430C" w:rsidRPr="00BF430C" w14:paraId="38290EA4" w14:textId="77777777" w:rsidTr="0023205F">
        <w:tc>
          <w:tcPr>
            <w:tcW w:w="2085" w:type="dxa"/>
            <w:shd w:val="clear" w:color="auto" w:fill="auto"/>
          </w:tcPr>
          <w:p w14:paraId="0295E7F9" w14:textId="77777777" w:rsidR="00BF430C" w:rsidRPr="00BF430C" w:rsidRDefault="00BF430C" w:rsidP="00BF430C">
            <w:pPr>
              <w:jc w:val="center"/>
              <w:rPr>
                <w:lang w:val="en-GB"/>
              </w:rPr>
            </w:pPr>
            <w:r w:rsidRPr="00BF430C">
              <w:rPr>
                <w:lang w:val="en-GB"/>
              </w:rPr>
              <w:t>≥ 40 kg</w:t>
            </w:r>
          </w:p>
        </w:tc>
        <w:tc>
          <w:tcPr>
            <w:tcW w:w="4224" w:type="dxa"/>
            <w:shd w:val="clear" w:color="auto" w:fill="auto"/>
          </w:tcPr>
          <w:p w14:paraId="4BF0F7C6" w14:textId="77777777" w:rsidR="00BF430C" w:rsidRPr="00BF430C" w:rsidRDefault="00BF430C" w:rsidP="00BF430C">
            <w:pPr>
              <w:numPr>
                <w:ilvl w:val="0"/>
                <w:numId w:val="72"/>
              </w:numPr>
              <w:autoSpaceDE w:val="0"/>
              <w:autoSpaceDN w:val="0"/>
              <w:adjustRightInd w:val="0"/>
              <w:ind w:left="360"/>
            </w:pPr>
            <w:r w:rsidRPr="00BF430C">
              <w:t>160</w:t>
            </w:r>
            <w:r w:rsidRPr="00C325BF">
              <w:t> </w:t>
            </w:r>
            <w:r w:rsidRPr="00BF430C">
              <w:t>mg in Woche</w:t>
            </w:r>
            <w:r w:rsidRPr="00C325BF">
              <w:t> </w:t>
            </w:r>
            <w:r w:rsidRPr="00BF430C">
              <w:t>0 (verabreicht als vier Injektionen von 40</w:t>
            </w:r>
            <w:r w:rsidRPr="00C325BF">
              <w:t> </w:t>
            </w:r>
            <w:r w:rsidRPr="00BF430C">
              <w:t>mg innerhalb eines Tages oder als zwei Injektionen von 40</w:t>
            </w:r>
            <w:r w:rsidRPr="00C325BF">
              <w:t> </w:t>
            </w:r>
            <w:r w:rsidRPr="00BF430C">
              <w:t>mg pro Tag an zwei aufeinanderfolgenden Tagen) und</w:t>
            </w:r>
          </w:p>
          <w:p w14:paraId="765E493C" w14:textId="77777777" w:rsidR="00BF430C" w:rsidRPr="00BF430C" w:rsidRDefault="00BF430C" w:rsidP="00BF430C">
            <w:pPr>
              <w:numPr>
                <w:ilvl w:val="0"/>
                <w:numId w:val="73"/>
              </w:numPr>
              <w:autoSpaceDE w:val="0"/>
              <w:autoSpaceDN w:val="0"/>
              <w:adjustRightInd w:val="0"/>
              <w:ind w:left="360"/>
            </w:pPr>
            <w:r w:rsidRPr="00BF430C">
              <w:t>80</w:t>
            </w:r>
            <w:r w:rsidRPr="00C325BF">
              <w:t> </w:t>
            </w:r>
            <w:r w:rsidRPr="00BF430C">
              <w:t>mg in Woche 2 (verabreicht als zwei Injektionen von 40</w:t>
            </w:r>
            <w:r w:rsidRPr="00C325BF">
              <w:t> </w:t>
            </w:r>
            <w:r w:rsidRPr="00BF430C">
              <w:t>mg innerhalb eines Tages)</w:t>
            </w:r>
          </w:p>
        </w:tc>
        <w:tc>
          <w:tcPr>
            <w:tcW w:w="2982" w:type="dxa"/>
          </w:tcPr>
          <w:p w14:paraId="1A2C7FA1" w14:textId="77777777" w:rsidR="00BF430C" w:rsidRPr="00BF430C" w:rsidRDefault="00BF430C" w:rsidP="008419B6">
            <w:pPr>
              <w:numPr>
                <w:ilvl w:val="0"/>
                <w:numId w:val="74"/>
              </w:numPr>
              <w:ind w:left="351"/>
              <w:rPr>
                <w:lang w:val="en-GB"/>
              </w:rPr>
            </w:pPr>
            <w:r w:rsidRPr="00BF430C">
              <w:t>80</w:t>
            </w:r>
            <w:r w:rsidRPr="008419B6">
              <w:t> </w:t>
            </w:r>
            <w:r w:rsidRPr="00BF430C">
              <w:t>mg jede zweite Woche</w:t>
            </w:r>
          </w:p>
        </w:tc>
      </w:tr>
    </w:tbl>
    <w:p w14:paraId="1A238A8A" w14:textId="77777777" w:rsidR="00BF430C" w:rsidRPr="00206AEA" w:rsidRDefault="00BF430C" w:rsidP="00BF430C">
      <w:pPr>
        <w:tabs>
          <w:tab w:val="left" w:pos="142"/>
        </w:tabs>
        <w:rPr>
          <w:color w:val="000000"/>
          <w:sz w:val="20"/>
          <w:szCs w:val="20"/>
        </w:rPr>
      </w:pPr>
      <w:r w:rsidRPr="00206AEA">
        <w:rPr>
          <w:color w:val="000000"/>
          <w:sz w:val="20"/>
          <w:szCs w:val="20"/>
        </w:rPr>
        <w:t>*</w:t>
      </w:r>
      <w:r w:rsidRPr="00206AEA">
        <w:rPr>
          <w:color w:val="000000"/>
          <w:sz w:val="20"/>
          <w:szCs w:val="20"/>
        </w:rPr>
        <w:tab/>
        <w:t>Kinder</w:t>
      </w:r>
      <w:r w:rsidR="000D3832" w:rsidRPr="00206AEA">
        <w:rPr>
          <w:color w:val="000000"/>
          <w:sz w:val="20"/>
          <w:szCs w:val="20"/>
        </w:rPr>
        <w:t xml:space="preserve"> und Jugendliche</w:t>
      </w:r>
      <w:r w:rsidRPr="00206AEA">
        <w:rPr>
          <w:color w:val="000000"/>
          <w:sz w:val="20"/>
          <w:szCs w:val="20"/>
        </w:rPr>
        <w:t>, die 18 Jahre alt werden, während sie mit Amsparity behandelt werden, sollten die jeweils verordnete Erhaltungsdosis beibehalten.</w:t>
      </w:r>
    </w:p>
    <w:p w14:paraId="60868541" w14:textId="77777777" w:rsidR="00BF430C" w:rsidRPr="00BF430C" w:rsidRDefault="00BF430C" w:rsidP="00BF430C">
      <w:pPr>
        <w:tabs>
          <w:tab w:val="left" w:pos="142"/>
        </w:tabs>
        <w:rPr>
          <w:color w:val="000000"/>
        </w:rPr>
      </w:pPr>
    </w:p>
    <w:p w14:paraId="23B30680" w14:textId="77777777" w:rsidR="00BF430C" w:rsidRPr="00BF430C" w:rsidRDefault="00BF430C" w:rsidP="00BF430C">
      <w:pPr>
        <w:tabs>
          <w:tab w:val="left" w:pos="142"/>
        </w:tabs>
        <w:rPr>
          <w:color w:val="000000"/>
        </w:rPr>
      </w:pPr>
      <w:r w:rsidRPr="00BF430C">
        <w:rPr>
          <w:color w:val="000000"/>
        </w:rPr>
        <w:t>Die Fortsetzung der Therapie länger als 8</w:t>
      </w:r>
      <w:r>
        <w:rPr>
          <w:color w:val="000000"/>
        </w:rPr>
        <w:t> </w:t>
      </w:r>
      <w:r w:rsidRPr="00BF430C">
        <w:rPr>
          <w:color w:val="000000"/>
        </w:rPr>
        <w:t>Wochen sollte bei Patienten, die innerhalb dieser Zeitspanne keine Anzeichen eines Ansprechens aufweisen, sorgfältig abgewogen werden.</w:t>
      </w:r>
    </w:p>
    <w:p w14:paraId="260D27F4" w14:textId="77777777" w:rsidR="00BF430C" w:rsidRPr="00BF430C" w:rsidRDefault="00BF430C" w:rsidP="00BF430C">
      <w:pPr>
        <w:tabs>
          <w:tab w:val="left" w:pos="142"/>
        </w:tabs>
        <w:rPr>
          <w:color w:val="000000"/>
        </w:rPr>
      </w:pPr>
    </w:p>
    <w:p w14:paraId="61C2921B" w14:textId="77777777" w:rsidR="00BF430C" w:rsidRPr="00BF430C" w:rsidRDefault="00BF430C" w:rsidP="00BF430C">
      <w:pPr>
        <w:tabs>
          <w:tab w:val="left" w:pos="142"/>
        </w:tabs>
        <w:rPr>
          <w:color w:val="000000"/>
        </w:rPr>
      </w:pPr>
      <w:r w:rsidRPr="00BF430C">
        <w:rPr>
          <w:color w:val="000000"/>
        </w:rPr>
        <w:t>Es gibt in dieser Indikation keinen relevanten Nutzen von Adalimumab bei Kindern, die jünger als 6 Jahre sind.</w:t>
      </w:r>
    </w:p>
    <w:p w14:paraId="006C072E" w14:textId="77777777" w:rsidR="00BF430C" w:rsidRPr="00BF430C" w:rsidRDefault="00BF430C" w:rsidP="00BF430C">
      <w:pPr>
        <w:tabs>
          <w:tab w:val="left" w:pos="142"/>
        </w:tabs>
        <w:rPr>
          <w:color w:val="000000"/>
        </w:rPr>
      </w:pPr>
    </w:p>
    <w:p w14:paraId="4B5C1C5E" w14:textId="77777777" w:rsidR="00E76AD2" w:rsidRPr="004F5FB4" w:rsidRDefault="00BF430C" w:rsidP="008419B6">
      <w:pPr>
        <w:tabs>
          <w:tab w:val="left" w:pos="142"/>
        </w:tabs>
        <w:rPr>
          <w:color w:val="000000"/>
        </w:rPr>
      </w:pPr>
      <w:r w:rsidRPr="00BF430C">
        <w:rPr>
          <w:color w:val="000000"/>
        </w:rPr>
        <w:t>Abhängig von den individuellen Behandlungsbedürfnissen kann Amsparity auch in anderen Stärken und/oder Darreichungsformen erhältlich sein.</w:t>
      </w:r>
    </w:p>
    <w:p w14:paraId="27B925E2" w14:textId="77777777" w:rsidR="00DF64F0" w:rsidRPr="004F5FB4" w:rsidRDefault="00DF64F0" w:rsidP="00982118">
      <w:pPr>
        <w:rPr>
          <w:color w:val="000000"/>
        </w:rPr>
      </w:pPr>
    </w:p>
    <w:p w14:paraId="04EF04FB" w14:textId="77777777" w:rsidR="007D2614" w:rsidRPr="004F5FB4" w:rsidRDefault="007D2614" w:rsidP="00150D33">
      <w:pPr>
        <w:keepNext/>
        <w:rPr>
          <w:color w:val="000000"/>
        </w:rPr>
      </w:pPr>
      <w:r w:rsidRPr="004F5FB4">
        <w:rPr>
          <w:i/>
          <w:color w:val="000000"/>
        </w:rPr>
        <w:t>Uveitis bei Kindern und Jugendlichen</w:t>
      </w:r>
    </w:p>
    <w:p w14:paraId="609EB54C" w14:textId="77777777" w:rsidR="007D2614" w:rsidRPr="004F5FB4" w:rsidRDefault="007D2614" w:rsidP="00150D33">
      <w:pPr>
        <w:keepNext/>
        <w:rPr>
          <w:color w:val="000000"/>
        </w:rPr>
      </w:pPr>
    </w:p>
    <w:p w14:paraId="439E1394" w14:textId="77777777" w:rsidR="007D2614" w:rsidRPr="004F5FB4" w:rsidRDefault="007D2614" w:rsidP="00982118">
      <w:pPr>
        <w:rPr>
          <w:color w:val="000000"/>
        </w:rPr>
      </w:pPr>
      <w:r w:rsidRPr="004F5FB4">
        <w:rPr>
          <w:color w:val="000000"/>
        </w:rPr>
        <w:t>Die empfohlene Dosis von Amsparity bei Kindern und Jugendlichen mit Uveitis ab einem Alter von 2</w:t>
      </w:r>
      <w:r w:rsidR="00204144" w:rsidRPr="004F5FB4">
        <w:rPr>
          <w:color w:val="000000"/>
        </w:rPr>
        <w:t> </w:t>
      </w:r>
      <w:r w:rsidRPr="004F5FB4">
        <w:rPr>
          <w:color w:val="000000"/>
        </w:rPr>
        <w:t>Jahren wird anhand des Körpergewichts bestimmt (Tabelle</w:t>
      </w:r>
      <w:r w:rsidR="00473976" w:rsidRPr="004F5FB4">
        <w:rPr>
          <w:color w:val="000000"/>
        </w:rPr>
        <w:t> </w:t>
      </w:r>
      <w:r w:rsidR="00A7183E">
        <w:rPr>
          <w:color w:val="000000"/>
        </w:rPr>
        <w:t>6</w:t>
      </w:r>
      <w:r w:rsidRPr="004F5FB4">
        <w:rPr>
          <w:color w:val="000000"/>
        </w:rPr>
        <w:t>). Amsparity wird subkutan injiziert.</w:t>
      </w:r>
    </w:p>
    <w:p w14:paraId="2261EEFB" w14:textId="77777777" w:rsidR="007D2614" w:rsidRPr="004F5FB4" w:rsidRDefault="007D2614" w:rsidP="00982118">
      <w:pPr>
        <w:rPr>
          <w:color w:val="000000"/>
        </w:rPr>
      </w:pPr>
    </w:p>
    <w:p w14:paraId="2219E156" w14:textId="77777777" w:rsidR="00C57DA3" w:rsidRPr="004F5FB4" w:rsidRDefault="00C57DA3" w:rsidP="00982118">
      <w:pPr>
        <w:rPr>
          <w:color w:val="000000"/>
        </w:rPr>
      </w:pPr>
      <w:r w:rsidRPr="004F5FB4">
        <w:rPr>
          <w:color w:val="000000"/>
        </w:rPr>
        <w:t>Es gibt keine Erfahrungen für die Behandlung der Uveitis bei Kindern und Jugendlichen mit Adalimumab ohne die gleichzeitige Behandlung mit Methotrexat.</w:t>
      </w:r>
    </w:p>
    <w:p w14:paraId="55E66506" w14:textId="77777777" w:rsidR="00C57DA3" w:rsidRPr="004F5FB4" w:rsidRDefault="00C57DA3" w:rsidP="00982118">
      <w:pPr>
        <w:rPr>
          <w:color w:val="000000"/>
          <w:u w:val="single"/>
        </w:rPr>
      </w:pPr>
    </w:p>
    <w:p w14:paraId="02BE8DA5" w14:textId="77777777" w:rsidR="00613A33" w:rsidRPr="004F5FB4" w:rsidRDefault="00A67540" w:rsidP="00D4051F">
      <w:pPr>
        <w:keepNext/>
        <w:keepLines/>
        <w:rPr>
          <w:b/>
          <w:color w:val="000000"/>
        </w:rPr>
      </w:pPr>
      <w:r w:rsidRPr="004F5FB4">
        <w:rPr>
          <w:b/>
          <w:color w:val="000000"/>
        </w:rPr>
        <w:t>Tabelle</w:t>
      </w:r>
      <w:r w:rsidR="00A7183E">
        <w:rPr>
          <w:b/>
          <w:color w:val="000000"/>
        </w:rPr>
        <w:t> 6</w:t>
      </w:r>
      <w:r w:rsidRPr="004F5FB4">
        <w:rPr>
          <w:b/>
          <w:color w:val="000000"/>
        </w:rPr>
        <w:t xml:space="preserve"> </w:t>
      </w:r>
    </w:p>
    <w:p w14:paraId="634CAD15" w14:textId="77777777" w:rsidR="00A67540" w:rsidRPr="004F5FB4" w:rsidRDefault="00A67540" w:rsidP="00D4051F">
      <w:pPr>
        <w:keepNext/>
        <w:keepLines/>
        <w:rPr>
          <w:b/>
          <w:color w:val="000000"/>
        </w:rPr>
      </w:pPr>
      <w:r w:rsidRPr="004F5FB4">
        <w:rPr>
          <w:b/>
          <w:color w:val="000000"/>
        </w:rPr>
        <w:t>Amsparity-Dosis für Kinder und Jugendliche mit Uveitis</w:t>
      </w:r>
    </w:p>
    <w:p w14:paraId="0F98FD0A" w14:textId="77777777" w:rsidR="00C57DA3" w:rsidRPr="004F5FB4" w:rsidRDefault="00C57DA3" w:rsidP="00D4051F">
      <w:pPr>
        <w:keepNext/>
        <w:keepLines/>
        <w:rPr>
          <w:color w:val="000000"/>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21"/>
        <w:gridCol w:w="4554"/>
      </w:tblGrid>
      <w:tr w:rsidR="00C57DA3" w:rsidRPr="004F5FB4" w14:paraId="20191554" w14:textId="77777777" w:rsidTr="009D0E37">
        <w:tc>
          <w:tcPr>
            <w:tcW w:w="4651" w:type="dxa"/>
            <w:tcBorders>
              <w:right w:val="nil"/>
            </w:tcBorders>
            <w:shd w:val="clear" w:color="auto" w:fill="auto"/>
          </w:tcPr>
          <w:p w14:paraId="7B301D27" w14:textId="77777777" w:rsidR="00C57DA3" w:rsidRPr="004F5FB4" w:rsidRDefault="00C57DA3" w:rsidP="00D4051F">
            <w:pPr>
              <w:keepNext/>
              <w:keepLines/>
              <w:jc w:val="center"/>
              <w:rPr>
                <w:color w:val="000000"/>
              </w:rPr>
            </w:pPr>
            <w:r w:rsidRPr="004F5FB4">
              <w:rPr>
                <w:b/>
                <w:color w:val="000000"/>
              </w:rPr>
              <w:t>Gewicht des Patienten</w:t>
            </w:r>
          </w:p>
        </w:tc>
        <w:tc>
          <w:tcPr>
            <w:tcW w:w="4652" w:type="dxa"/>
            <w:tcBorders>
              <w:left w:val="nil"/>
            </w:tcBorders>
            <w:shd w:val="clear" w:color="auto" w:fill="auto"/>
          </w:tcPr>
          <w:p w14:paraId="7FDB6E08" w14:textId="77777777" w:rsidR="00C57DA3" w:rsidRPr="004F5FB4" w:rsidRDefault="00C57DA3" w:rsidP="00D4051F">
            <w:pPr>
              <w:keepNext/>
              <w:keepLines/>
              <w:jc w:val="center"/>
              <w:rPr>
                <w:color w:val="000000"/>
              </w:rPr>
            </w:pPr>
            <w:r w:rsidRPr="004F5FB4">
              <w:rPr>
                <w:b/>
                <w:color w:val="000000"/>
              </w:rPr>
              <w:t>Dosierungsschema</w:t>
            </w:r>
          </w:p>
        </w:tc>
      </w:tr>
      <w:tr w:rsidR="00C57DA3" w:rsidRPr="004F5FB4" w14:paraId="58709DA8" w14:textId="77777777" w:rsidTr="009D0E37">
        <w:tc>
          <w:tcPr>
            <w:tcW w:w="4651" w:type="dxa"/>
            <w:tcBorders>
              <w:right w:val="nil"/>
            </w:tcBorders>
            <w:shd w:val="clear" w:color="auto" w:fill="auto"/>
          </w:tcPr>
          <w:p w14:paraId="7D540B0F" w14:textId="77777777" w:rsidR="00C57DA3" w:rsidRPr="004F5FB4" w:rsidRDefault="00C57DA3" w:rsidP="00D4051F">
            <w:pPr>
              <w:keepNext/>
              <w:keepLines/>
              <w:jc w:val="center"/>
              <w:rPr>
                <w:color w:val="000000"/>
              </w:rPr>
            </w:pPr>
            <w:r w:rsidRPr="004F5FB4">
              <w:rPr>
                <w:color w:val="000000"/>
              </w:rPr>
              <w:t>&lt;</w:t>
            </w:r>
            <w:r w:rsidR="00473976" w:rsidRPr="004F5FB4">
              <w:rPr>
                <w:color w:val="000000"/>
              </w:rPr>
              <w:t> </w:t>
            </w:r>
            <w:r w:rsidRPr="004F5FB4">
              <w:rPr>
                <w:color w:val="000000"/>
              </w:rPr>
              <w:t>30</w:t>
            </w:r>
            <w:r w:rsidR="00473976" w:rsidRPr="004F5FB4">
              <w:rPr>
                <w:color w:val="000000"/>
              </w:rPr>
              <w:t> </w:t>
            </w:r>
            <w:r w:rsidRPr="004F5FB4">
              <w:rPr>
                <w:color w:val="000000"/>
              </w:rPr>
              <w:t>kg</w:t>
            </w:r>
          </w:p>
        </w:tc>
        <w:tc>
          <w:tcPr>
            <w:tcW w:w="4652" w:type="dxa"/>
            <w:tcBorders>
              <w:left w:val="nil"/>
            </w:tcBorders>
            <w:shd w:val="clear" w:color="auto" w:fill="auto"/>
          </w:tcPr>
          <w:p w14:paraId="1C392C99" w14:textId="77777777" w:rsidR="00C57DA3" w:rsidRPr="004F5FB4" w:rsidRDefault="00C57DA3" w:rsidP="00D4051F">
            <w:pPr>
              <w:keepNext/>
              <w:keepLines/>
              <w:rPr>
                <w:color w:val="000000"/>
              </w:rPr>
            </w:pPr>
            <w:r w:rsidRPr="004F5FB4">
              <w:rPr>
                <w:color w:val="000000"/>
              </w:rPr>
              <w:t>20 mg jede zweite Woche in Kombination mit Methotrexat</w:t>
            </w:r>
          </w:p>
        </w:tc>
      </w:tr>
      <w:tr w:rsidR="00C57DA3" w:rsidRPr="004F5FB4" w14:paraId="4CD38697" w14:textId="77777777" w:rsidTr="009D0E37">
        <w:tc>
          <w:tcPr>
            <w:tcW w:w="4651" w:type="dxa"/>
            <w:tcBorders>
              <w:right w:val="nil"/>
            </w:tcBorders>
            <w:shd w:val="clear" w:color="auto" w:fill="auto"/>
          </w:tcPr>
          <w:p w14:paraId="735D1915" w14:textId="77777777" w:rsidR="00C57DA3" w:rsidRPr="004F5FB4" w:rsidRDefault="00C57DA3" w:rsidP="00982118">
            <w:pPr>
              <w:jc w:val="center"/>
              <w:rPr>
                <w:color w:val="000000"/>
              </w:rPr>
            </w:pPr>
            <w:r w:rsidRPr="004F5FB4">
              <w:rPr>
                <w:color w:val="000000"/>
              </w:rPr>
              <w:t>≥</w:t>
            </w:r>
            <w:r w:rsidR="00473976" w:rsidRPr="004F5FB4">
              <w:rPr>
                <w:color w:val="000000"/>
              </w:rPr>
              <w:t> </w:t>
            </w:r>
            <w:r w:rsidRPr="004F5FB4">
              <w:rPr>
                <w:color w:val="000000"/>
              </w:rPr>
              <w:t>30 kg</w:t>
            </w:r>
          </w:p>
        </w:tc>
        <w:tc>
          <w:tcPr>
            <w:tcW w:w="4652" w:type="dxa"/>
            <w:tcBorders>
              <w:left w:val="nil"/>
            </w:tcBorders>
            <w:shd w:val="clear" w:color="auto" w:fill="auto"/>
          </w:tcPr>
          <w:p w14:paraId="55983FC7" w14:textId="77777777" w:rsidR="00C57DA3" w:rsidRPr="004F5FB4" w:rsidRDefault="00C57DA3" w:rsidP="00150D33">
            <w:pPr>
              <w:rPr>
                <w:color w:val="000000"/>
              </w:rPr>
            </w:pPr>
            <w:r w:rsidRPr="004F5FB4">
              <w:rPr>
                <w:color w:val="000000"/>
              </w:rPr>
              <w:t>40 mg jede zweite Woche in Kombination mit Methotrexat</w:t>
            </w:r>
          </w:p>
        </w:tc>
      </w:tr>
    </w:tbl>
    <w:p w14:paraId="69DF2BC4" w14:textId="77777777" w:rsidR="00C57DA3" w:rsidRPr="004F5FB4" w:rsidRDefault="00C57DA3" w:rsidP="00982118">
      <w:pPr>
        <w:rPr>
          <w:color w:val="000000"/>
        </w:rPr>
      </w:pPr>
    </w:p>
    <w:p w14:paraId="319EE109" w14:textId="77777777" w:rsidR="007D2614" w:rsidRPr="004F5FB4" w:rsidRDefault="007D2614" w:rsidP="00982118">
      <w:pPr>
        <w:rPr>
          <w:color w:val="000000"/>
        </w:rPr>
      </w:pPr>
      <w:r w:rsidRPr="004F5FB4">
        <w:rPr>
          <w:color w:val="000000"/>
        </w:rPr>
        <w:t>Wenn mit der Amsparity-Therapie begonnen wird, kann eine Woche vor Beginn der Erhaltungstherapie eine Induktionsdosis von 40 mg bei Patienten &lt;</w:t>
      </w:r>
      <w:r w:rsidR="00756B78" w:rsidRPr="004F5FB4">
        <w:rPr>
          <w:color w:val="000000"/>
        </w:rPr>
        <w:t> </w:t>
      </w:r>
      <w:r w:rsidRPr="004F5FB4">
        <w:rPr>
          <w:color w:val="000000"/>
        </w:rPr>
        <w:t>30 kg bzw. 80 mg bei Patienten ≥</w:t>
      </w:r>
      <w:r w:rsidR="00204144" w:rsidRPr="004F5FB4">
        <w:rPr>
          <w:color w:val="000000"/>
        </w:rPr>
        <w:t> </w:t>
      </w:r>
      <w:r w:rsidRPr="004F5FB4">
        <w:rPr>
          <w:color w:val="000000"/>
        </w:rPr>
        <w:t>30 kg verabreicht werden. Zur Anwendung einer Amsparity-Induktionsdosis bei Kindern &lt;</w:t>
      </w:r>
      <w:r w:rsidR="00473976" w:rsidRPr="004F5FB4">
        <w:rPr>
          <w:color w:val="000000"/>
        </w:rPr>
        <w:t> </w:t>
      </w:r>
      <w:r w:rsidRPr="004F5FB4">
        <w:rPr>
          <w:color w:val="000000"/>
        </w:rPr>
        <w:t>6</w:t>
      </w:r>
      <w:r w:rsidR="00473976" w:rsidRPr="004F5FB4">
        <w:rPr>
          <w:color w:val="000000"/>
        </w:rPr>
        <w:t> </w:t>
      </w:r>
      <w:r w:rsidRPr="004F5FB4">
        <w:rPr>
          <w:color w:val="000000"/>
        </w:rPr>
        <w:t>Jahren sind keine klinischen Daten vorhanden (siehe Abschnitt</w:t>
      </w:r>
      <w:r w:rsidR="00473976" w:rsidRPr="004F5FB4">
        <w:rPr>
          <w:color w:val="000000"/>
        </w:rPr>
        <w:t> </w:t>
      </w:r>
      <w:r w:rsidRPr="004F5FB4">
        <w:rPr>
          <w:color w:val="000000"/>
        </w:rPr>
        <w:t>5.2).</w:t>
      </w:r>
    </w:p>
    <w:p w14:paraId="372BE026" w14:textId="77777777" w:rsidR="007D2614" w:rsidRPr="004F5FB4" w:rsidRDefault="007D2614" w:rsidP="00982118">
      <w:pPr>
        <w:rPr>
          <w:i/>
          <w:color w:val="000000"/>
          <w:u w:val="single"/>
        </w:rPr>
      </w:pPr>
    </w:p>
    <w:p w14:paraId="2942EF64" w14:textId="77777777" w:rsidR="007D2614" w:rsidRPr="004F5FB4" w:rsidRDefault="007D2614" w:rsidP="00982118">
      <w:pPr>
        <w:rPr>
          <w:color w:val="000000"/>
        </w:rPr>
      </w:pPr>
      <w:r w:rsidRPr="004F5FB4">
        <w:rPr>
          <w:color w:val="000000"/>
        </w:rPr>
        <w:t>Für diese Indikation gibt es bei Kindern, die jünger als 2</w:t>
      </w:r>
      <w:r w:rsidR="00473976" w:rsidRPr="004F5FB4">
        <w:rPr>
          <w:color w:val="000000"/>
        </w:rPr>
        <w:t> </w:t>
      </w:r>
      <w:r w:rsidRPr="004F5FB4">
        <w:rPr>
          <w:color w:val="000000"/>
        </w:rPr>
        <w:t>Jahre sind, keine relevante Anwendung von Adalimumab.</w:t>
      </w:r>
    </w:p>
    <w:p w14:paraId="07E6A427" w14:textId="77777777" w:rsidR="007D2614" w:rsidRPr="004F5FB4" w:rsidRDefault="007D2614" w:rsidP="00982118">
      <w:pPr>
        <w:rPr>
          <w:color w:val="000000"/>
        </w:rPr>
      </w:pPr>
    </w:p>
    <w:p w14:paraId="363410F5" w14:textId="77777777" w:rsidR="007D2614" w:rsidRPr="004F5FB4" w:rsidRDefault="007D2614" w:rsidP="00982118">
      <w:pPr>
        <w:rPr>
          <w:color w:val="000000"/>
        </w:rPr>
      </w:pPr>
      <w:r w:rsidRPr="004F5FB4">
        <w:rPr>
          <w:color w:val="000000"/>
        </w:rPr>
        <w:t>Es wird empfohlen, Nutzen und Risiko einer Langzeitbehandlung jährlich zu beurteilen (siehe Abschnitt</w:t>
      </w:r>
      <w:r w:rsidR="00473976" w:rsidRPr="004F5FB4">
        <w:rPr>
          <w:color w:val="000000"/>
        </w:rPr>
        <w:t> </w:t>
      </w:r>
      <w:r w:rsidRPr="004F5FB4">
        <w:rPr>
          <w:color w:val="000000"/>
        </w:rPr>
        <w:t>5.1).</w:t>
      </w:r>
    </w:p>
    <w:p w14:paraId="067B67F7" w14:textId="77777777" w:rsidR="00C46587" w:rsidRPr="004F5FB4" w:rsidRDefault="00C46587" w:rsidP="00982118">
      <w:pPr>
        <w:rPr>
          <w:color w:val="000000"/>
        </w:rPr>
      </w:pPr>
    </w:p>
    <w:p w14:paraId="475023DB" w14:textId="77777777" w:rsidR="00287241" w:rsidRPr="004F5FB4" w:rsidRDefault="006A1144" w:rsidP="00982118">
      <w:pPr>
        <w:rPr>
          <w:color w:val="000000"/>
        </w:rPr>
      </w:pPr>
      <w:r w:rsidRPr="004F5FB4">
        <w:rPr>
          <w:color w:val="000000"/>
        </w:rPr>
        <w:t xml:space="preserve">Abhängig von den individuellen Behandlungsbedürfnissen kann Amsparity auch in anderen Stärken </w:t>
      </w:r>
      <w:r w:rsidR="00F35054" w:rsidRPr="004F5FB4">
        <w:rPr>
          <w:color w:val="000000"/>
        </w:rPr>
        <w:t>und/</w:t>
      </w:r>
      <w:r w:rsidR="00613A33" w:rsidRPr="004F5FB4">
        <w:rPr>
          <w:color w:val="000000"/>
        </w:rPr>
        <w:t> </w:t>
      </w:r>
      <w:r w:rsidR="00F35054" w:rsidRPr="004F5FB4">
        <w:rPr>
          <w:color w:val="000000"/>
        </w:rPr>
        <w:t>oder</w:t>
      </w:r>
      <w:r w:rsidRPr="004F5FB4">
        <w:rPr>
          <w:color w:val="000000"/>
        </w:rPr>
        <w:t xml:space="preserve"> Darreichungsformen erhältlich sein.</w:t>
      </w:r>
    </w:p>
    <w:p w14:paraId="687C5A14" w14:textId="77777777" w:rsidR="00947BFC" w:rsidRPr="004F5FB4" w:rsidRDefault="00947BFC" w:rsidP="00982118">
      <w:pPr>
        <w:rPr>
          <w:color w:val="000000"/>
        </w:rPr>
      </w:pPr>
    </w:p>
    <w:p w14:paraId="0598A316" w14:textId="77777777" w:rsidR="00C46587" w:rsidRPr="004F5FB4" w:rsidRDefault="00C46587" w:rsidP="00982118">
      <w:pPr>
        <w:keepNext/>
        <w:rPr>
          <w:color w:val="000000"/>
          <w:u w:val="single"/>
        </w:rPr>
      </w:pPr>
      <w:r w:rsidRPr="004F5FB4">
        <w:rPr>
          <w:color w:val="000000"/>
          <w:u w:val="single"/>
        </w:rPr>
        <w:t>Art der Anwendung</w:t>
      </w:r>
    </w:p>
    <w:p w14:paraId="4BB53319" w14:textId="77777777" w:rsidR="00C46587" w:rsidRPr="004F5FB4" w:rsidRDefault="00C46587" w:rsidP="00982118">
      <w:pPr>
        <w:keepNext/>
        <w:rPr>
          <w:color w:val="000000"/>
        </w:rPr>
      </w:pPr>
    </w:p>
    <w:p w14:paraId="01761117" w14:textId="77777777" w:rsidR="00C46587" w:rsidRPr="004F5FB4" w:rsidRDefault="006A1144" w:rsidP="00982118">
      <w:pPr>
        <w:rPr>
          <w:color w:val="000000"/>
        </w:rPr>
      </w:pPr>
      <w:r w:rsidRPr="004F5FB4">
        <w:rPr>
          <w:color w:val="000000"/>
        </w:rPr>
        <w:t>Amsparity wird mittels subkutaner Injektion verabreicht. Die vollständige Anweisung für die Anwendung findet sich in der Packungsbeilage.</w:t>
      </w:r>
    </w:p>
    <w:p w14:paraId="297A4C04" w14:textId="77777777" w:rsidR="00C46587" w:rsidRPr="004F5FB4" w:rsidRDefault="00C46587" w:rsidP="00982118">
      <w:pPr>
        <w:rPr>
          <w:color w:val="000000"/>
        </w:rPr>
      </w:pPr>
    </w:p>
    <w:p w14:paraId="53C2F2D2" w14:textId="77777777" w:rsidR="00C46587" w:rsidRPr="004F5FB4" w:rsidRDefault="006A1144" w:rsidP="00982118">
      <w:pPr>
        <w:rPr>
          <w:color w:val="000000"/>
        </w:rPr>
      </w:pPr>
      <w:r w:rsidRPr="004F5FB4">
        <w:rPr>
          <w:color w:val="000000"/>
        </w:rPr>
        <w:t>Amsparity ist auch in anderen Stärken und Darreichungsformen verfügbar.</w:t>
      </w:r>
    </w:p>
    <w:p w14:paraId="78EA3E8F" w14:textId="77777777" w:rsidR="002327BB" w:rsidRPr="004F5FB4" w:rsidRDefault="002327BB" w:rsidP="00982118">
      <w:pPr>
        <w:rPr>
          <w:color w:val="000000"/>
        </w:rPr>
      </w:pPr>
    </w:p>
    <w:p w14:paraId="4D6EFB6B" w14:textId="77777777" w:rsidR="00C46587" w:rsidRPr="004F5FB4" w:rsidRDefault="00C46587" w:rsidP="00982118">
      <w:pPr>
        <w:keepNext/>
        <w:tabs>
          <w:tab w:val="left" w:pos="562"/>
        </w:tabs>
        <w:rPr>
          <w:b/>
          <w:color w:val="000000"/>
        </w:rPr>
      </w:pPr>
      <w:r w:rsidRPr="004F5FB4">
        <w:rPr>
          <w:b/>
          <w:color w:val="000000"/>
        </w:rPr>
        <w:t>4.3</w:t>
      </w:r>
      <w:r w:rsidR="00497E38" w:rsidRPr="004F5FB4">
        <w:rPr>
          <w:b/>
          <w:color w:val="000000"/>
        </w:rPr>
        <w:tab/>
      </w:r>
      <w:r w:rsidRPr="004F5FB4">
        <w:rPr>
          <w:b/>
          <w:color w:val="000000"/>
        </w:rPr>
        <w:t xml:space="preserve">Gegenanzeigen </w:t>
      </w:r>
    </w:p>
    <w:p w14:paraId="35B0214C" w14:textId="77777777" w:rsidR="00C46587" w:rsidRPr="004F5FB4" w:rsidRDefault="00C46587" w:rsidP="00982118">
      <w:pPr>
        <w:keepNext/>
        <w:rPr>
          <w:color w:val="000000"/>
        </w:rPr>
      </w:pPr>
    </w:p>
    <w:p w14:paraId="40FA29E4" w14:textId="77777777" w:rsidR="00C46587" w:rsidRPr="004F5FB4" w:rsidRDefault="00C46587" w:rsidP="00982118">
      <w:pPr>
        <w:rPr>
          <w:color w:val="000000"/>
        </w:rPr>
      </w:pPr>
      <w:r w:rsidRPr="004F5FB4">
        <w:rPr>
          <w:color w:val="000000"/>
        </w:rPr>
        <w:t>Überempfindlichkeit gegen den Wirkstoff oder einen der in Abschnitt</w:t>
      </w:r>
      <w:r w:rsidR="00473976" w:rsidRPr="004F5FB4">
        <w:rPr>
          <w:color w:val="000000"/>
        </w:rPr>
        <w:t> </w:t>
      </w:r>
      <w:r w:rsidRPr="004F5FB4">
        <w:rPr>
          <w:color w:val="000000"/>
        </w:rPr>
        <w:t xml:space="preserve">6.1 genannten sonstigen Bestandteile. </w:t>
      </w:r>
    </w:p>
    <w:p w14:paraId="5825DC07" w14:textId="77777777" w:rsidR="00C46587" w:rsidRPr="004F5FB4" w:rsidRDefault="00C46587" w:rsidP="00982118">
      <w:pPr>
        <w:rPr>
          <w:color w:val="000000"/>
        </w:rPr>
      </w:pPr>
    </w:p>
    <w:p w14:paraId="3F76EE55" w14:textId="77777777" w:rsidR="00C46587" w:rsidRPr="004F5FB4" w:rsidRDefault="00C46587" w:rsidP="00982118">
      <w:pPr>
        <w:rPr>
          <w:color w:val="000000"/>
        </w:rPr>
      </w:pPr>
      <w:r w:rsidRPr="004F5FB4">
        <w:rPr>
          <w:color w:val="000000"/>
        </w:rPr>
        <w:t>Aktive Tuberkulose oder andere schwere Infektionen wie Sepsis und opportunistische Infektionen (siehe Abschnitt</w:t>
      </w:r>
      <w:r w:rsidR="00473976" w:rsidRPr="004F5FB4">
        <w:rPr>
          <w:color w:val="000000"/>
        </w:rPr>
        <w:t> </w:t>
      </w:r>
      <w:r w:rsidRPr="004F5FB4">
        <w:rPr>
          <w:color w:val="000000"/>
        </w:rPr>
        <w:t xml:space="preserve">4.4). </w:t>
      </w:r>
    </w:p>
    <w:p w14:paraId="50A1FB09" w14:textId="77777777" w:rsidR="00C46587" w:rsidRPr="004F5FB4" w:rsidRDefault="00C46587" w:rsidP="00982118">
      <w:pPr>
        <w:rPr>
          <w:color w:val="000000"/>
        </w:rPr>
      </w:pPr>
    </w:p>
    <w:p w14:paraId="71285F09" w14:textId="77777777" w:rsidR="00C46587" w:rsidRPr="004F5FB4" w:rsidRDefault="00C46587" w:rsidP="00982118">
      <w:pPr>
        <w:rPr>
          <w:color w:val="000000"/>
        </w:rPr>
      </w:pPr>
      <w:r w:rsidRPr="004F5FB4">
        <w:rPr>
          <w:color w:val="000000"/>
        </w:rPr>
        <w:t>Mäßige bis schwere Herzinsuffizienz (NYHA-Klasse III/IV) (siehe Abschnitt</w:t>
      </w:r>
      <w:r w:rsidR="00473976" w:rsidRPr="004F5FB4">
        <w:rPr>
          <w:color w:val="000000"/>
        </w:rPr>
        <w:t> </w:t>
      </w:r>
      <w:r w:rsidRPr="004F5FB4">
        <w:rPr>
          <w:color w:val="000000"/>
        </w:rPr>
        <w:t xml:space="preserve">4.4). </w:t>
      </w:r>
    </w:p>
    <w:p w14:paraId="34D2C326" w14:textId="77777777" w:rsidR="00C46587" w:rsidRPr="004F5FB4" w:rsidRDefault="00C46587" w:rsidP="00982118">
      <w:pPr>
        <w:rPr>
          <w:color w:val="000000"/>
        </w:rPr>
      </w:pPr>
    </w:p>
    <w:p w14:paraId="14954B6B" w14:textId="77777777" w:rsidR="00C46587" w:rsidRPr="004F5FB4" w:rsidRDefault="00C46587" w:rsidP="00DC3A99">
      <w:pPr>
        <w:keepNext/>
        <w:tabs>
          <w:tab w:val="left" w:pos="562"/>
        </w:tabs>
        <w:rPr>
          <w:b/>
          <w:color w:val="000000"/>
        </w:rPr>
      </w:pPr>
      <w:r w:rsidRPr="004F5FB4">
        <w:rPr>
          <w:b/>
          <w:color w:val="000000"/>
        </w:rPr>
        <w:t>4.4</w:t>
      </w:r>
      <w:r w:rsidR="00497E38" w:rsidRPr="004F5FB4">
        <w:rPr>
          <w:b/>
          <w:color w:val="000000"/>
        </w:rPr>
        <w:tab/>
      </w:r>
      <w:r w:rsidRPr="004F5FB4">
        <w:rPr>
          <w:b/>
          <w:color w:val="000000"/>
        </w:rPr>
        <w:t xml:space="preserve">Besondere Warnhinweise und Vorsichtsmaßnahmen für die Anwendung </w:t>
      </w:r>
    </w:p>
    <w:p w14:paraId="3E7B0DB4" w14:textId="77777777" w:rsidR="00C46587" w:rsidRPr="004F5FB4" w:rsidRDefault="00C46587" w:rsidP="00DC3A99">
      <w:pPr>
        <w:keepNext/>
        <w:rPr>
          <w:color w:val="000000"/>
        </w:rPr>
      </w:pPr>
    </w:p>
    <w:p w14:paraId="11C99752" w14:textId="77777777" w:rsidR="00C57DA3" w:rsidRPr="004F5FB4" w:rsidRDefault="00C57DA3" w:rsidP="00DC3A99">
      <w:pPr>
        <w:keepNext/>
        <w:rPr>
          <w:color w:val="000000"/>
          <w:u w:val="single"/>
        </w:rPr>
      </w:pPr>
      <w:r w:rsidRPr="004F5FB4">
        <w:rPr>
          <w:color w:val="000000"/>
          <w:u w:val="single"/>
        </w:rPr>
        <w:t>Rückverfolgbarkeit</w:t>
      </w:r>
    </w:p>
    <w:p w14:paraId="7DBEF1F6" w14:textId="77777777" w:rsidR="00C57DA3" w:rsidRPr="004F5FB4" w:rsidRDefault="00C57DA3" w:rsidP="00DC3A99">
      <w:pPr>
        <w:keepNext/>
        <w:rPr>
          <w:color w:val="000000"/>
        </w:rPr>
      </w:pPr>
    </w:p>
    <w:p w14:paraId="21556E05" w14:textId="77777777" w:rsidR="00C46587" w:rsidRPr="004F5FB4" w:rsidRDefault="00C46587" w:rsidP="00982118">
      <w:pPr>
        <w:rPr>
          <w:color w:val="000000"/>
        </w:rPr>
      </w:pPr>
      <w:r w:rsidRPr="004F5FB4">
        <w:rPr>
          <w:color w:val="000000"/>
        </w:rPr>
        <w:t>Um die Rückverfolgbarkeit biologischer Arzneimittel zu verbessern, müssen die Bezeichnung des Arzneimittels und die Chargenbezeichnung des angewendeten Arzneimittels eindeutig dokumentiert werden.</w:t>
      </w:r>
    </w:p>
    <w:p w14:paraId="656A6ED6" w14:textId="77777777" w:rsidR="00C46587" w:rsidRPr="004F5FB4" w:rsidRDefault="00C46587" w:rsidP="00982118">
      <w:pPr>
        <w:rPr>
          <w:color w:val="000000"/>
        </w:rPr>
      </w:pPr>
    </w:p>
    <w:p w14:paraId="3F2AEA59" w14:textId="77777777" w:rsidR="00C46587" w:rsidRPr="004F5FB4" w:rsidRDefault="00C46587" w:rsidP="00DC3A99">
      <w:pPr>
        <w:keepNext/>
        <w:rPr>
          <w:color w:val="000000"/>
          <w:u w:val="single"/>
        </w:rPr>
      </w:pPr>
      <w:r w:rsidRPr="004F5FB4">
        <w:rPr>
          <w:color w:val="000000"/>
          <w:u w:val="single"/>
        </w:rPr>
        <w:t>Infektionen</w:t>
      </w:r>
    </w:p>
    <w:p w14:paraId="6C6D33AB" w14:textId="77777777" w:rsidR="00C46587" w:rsidRPr="004F5FB4" w:rsidRDefault="00C46587" w:rsidP="00DC3A99">
      <w:pPr>
        <w:keepNext/>
        <w:rPr>
          <w:color w:val="000000"/>
        </w:rPr>
      </w:pPr>
    </w:p>
    <w:p w14:paraId="34641112" w14:textId="77777777" w:rsidR="00C46587" w:rsidRPr="004F5FB4" w:rsidRDefault="00C46587" w:rsidP="00982118">
      <w:pPr>
        <w:rPr>
          <w:color w:val="000000"/>
        </w:rPr>
      </w:pPr>
      <w:r w:rsidRPr="004F5FB4">
        <w:rPr>
          <w:color w:val="000000"/>
        </w:rPr>
        <w:t>Patienten, die mit TNF</w:t>
      </w:r>
      <w:r w:rsidRPr="004F5FB4">
        <w:rPr>
          <w:color w:val="000000"/>
        </w:rPr>
        <w:noBreakHyphen/>
        <w:t xml:space="preserve">Antagonisten behandelt werden, sind für schwere Infektionen empfänglicher. Eine beeinträchtigte Lungenfunktion kann das Risiko für die Entwicklung von Infektionen erhöhen. Patienten müssen daher im Hinblick auf Infektionen, einschließlich Tuberkulose, vor, während und nach der Behandlung mit Amsparity engmaschig überwacht werden. Da die Elimination von Adalimumab bis zu vier Monate dauern kann, sollte die Überwachung über diesen Zeitraum fortgesetzt werden. </w:t>
      </w:r>
    </w:p>
    <w:p w14:paraId="7DEFB361" w14:textId="77777777" w:rsidR="00C46587" w:rsidRPr="004F5FB4" w:rsidRDefault="00C46587" w:rsidP="00982118">
      <w:pPr>
        <w:rPr>
          <w:color w:val="000000"/>
        </w:rPr>
      </w:pPr>
    </w:p>
    <w:p w14:paraId="6FC19A41" w14:textId="77777777" w:rsidR="00C46587" w:rsidRPr="004F5FB4" w:rsidRDefault="00C46587" w:rsidP="00982118">
      <w:pPr>
        <w:rPr>
          <w:color w:val="000000"/>
        </w:rPr>
      </w:pPr>
      <w:r w:rsidRPr="004F5FB4">
        <w:rPr>
          <w:color w:val="000000"/>
        </w:rPr>
        <w:t>Eine Behandlung mit Amsparity sollte bei Patienten mit aktiven Infektionen, einschließlich chronischer oder lokalisierter Infektionen, erst eingeleitet werden, wenn die Infektionen unter Kontrolle sind. Bei Patienten, die Tuberkulose ausgesetzt waren und bei Patienten, die in Hochrisikogebiete von Tuberkulose oder von endemischen Mykosen wie z.</w:t>
      </w:r>
      <w:r w:rsidR="00473976" w:rsidRPr="004F5FB4">
        <w:rPr>
          <w:color w:val="000000"/>
        </w:rPr>
        <w:t> </w:t>
      </w:r>
      <w:r w:rsidRPr="004F5FB4">
        <w:rPr>
          <w:color w:val="000000"/>
        </w:rPr>
        <w:t xml:space="preserve">B. Histoplasmose, Kokzidioidomykose oder Blastomykose gereist sind, müssen vor Beginn der Therapie Risiko und Vorteile einer Behandlung mit Amsparity sorgfältig überdacht werden (siehe </w:t>
      </w:r>
      <w:r w:rsidRPr="004F5FB4">
        <w:rPr>
          <w:i/>
          <w:iCs/>
          <w:color w:val="000000"/>
        </w:rPr>
        <w:t>Andere opportunistische Infektionen</w:t>
      </w:r>
      <w:r w:rsidRPr="004F5FB4">
        <w:rPr>
          <w:color w:val="000000"/>
        </w:rPr>
        <w:t>).</w:t>
      </w:r>
    </w:p>
    <w:p w14:paraId="71479FEE" w14:textId="77777777" w:rsidR="00C46587" w:rsidRPr="004F5FB4" w:rsidRDefault="00C46587" w:rsidP="00982118">
      <w:pPr>
        <w:rPr>
          <w:color w:val="000000"/>
        </w:rPr>
      </w:pPr>
    </w:p>
    <w:p w14:paraId="63CF5216" w14:textId="77777777" w:rsidR="00C46587" w:rsidRPr="004F5FB4" w:rsidRDefault="00C46587" w:rsidP="00982118">
      <w:pPr>
        <w:rPr>
          <w:color w:val="000000"/>
        </w:rPr>
      </w:pPr>
      <w:r w:rsidRPr="004F5FB4">
        <w:rPr>
          <w:color w:val="000000"/>
        </w:rPr>
        <w:t>Patienten, bei denen sich unter Behandlung mit Amsparity eine neue Infektion entwickelt, sollten engmaschig beobachtet werden und sich einer vollständigen diagnostischen Beurteilung unterziehen. Tritt bei einem Patienten eine schwere Infektion oder Sepsis neu auf, sollte Amsparity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Amsparity durch den behandelnden Arzt mit Vorsicht abgewogen werden.</w:t>
      </w:r>
    </w:p>
    <w:p w14:paraId="238D1419" w14:textId="77777777" w:rsidR="00C46587" w:rsidRPr="004F5FB4" w:rsidRDefault="00C46587" w:rsidP="00982118">
      <w:pPr>
        <w:rPr>
          <w:color w:val="000000"/>
        </w:rPr>
      </w:pPr>
    </w:p>
    <w:p w14:paraId="7648D174" w14:textId="77777777" w:rsidR="00C46587" w:rsidRPr="004F5FB4" w:rsidRDefault="00C46587" w:rsidP="00DC3A99">
      <w:pPr>
        <w:keepNext/>
        <w:rPr>
          <w:i/>
          <w:color w:val="000000"/>
        </w:rPr>
      </w:pPr>
      <w:r w:rsidRPr="004F5FB4">
        <w:rPr>
          <w:i/>
          <w:color w:val="000000"/>
        </w:rPr>
        <w:lastRenderedPageBreak/>
        <w:t>Schwere Infektionen</w:t>
      </w:r>
    </w:p>
    <w:p w14:paraId="62984F31" w14:textId="77777777" w:rsidR="00C46587" w:rsidRPr="004F5FB4" w:rsidRDefault="00C46587" w:rsidP="00DC3A99">
      <w:pPr>
        <w:keepNext/>
        <w:rPr>
          <w:color w:val="000000"/>
        </w:rPr>
      </w:pPr>
    </w:p>
    <w:p w14:paraId="0822F4FA" w14:textId="77777777" w:rsidR="00C46587" w:rsidRPr="004F5FB4" w:rsidRDefault="00C46587" w:rsidP="00982118">
      <w:pPr>
        <w:rPr>
          <w:color w:val="000000"/>
        </w:rPr>
      </w:pPr>
      <w:r w:rsidRPr="004F5FB4">
        <w:rPr>
          <w:color w:val="000000"/>
        </w:rPr>
        <w:t>Schwere Infektionen, einschließlich Sepsis, aufgrund von bakteriellen, mykobakteriellen, invasiven Pilz-, Parasiten-, viralen oder anderen opportunistischen Infektionen, wie z.</w:t>
      </w:r>
      <w:r w:rsidR="00473976" w:rsidRPr="004F5FB4">
        <w:rPr>
          <w:color w:val="000000"/>
        </w:rPr>
        <w:t> </w:t>
      </w:r>
      <w:r w:rsidRPr="004F5FB4">
        <w:rPr>
          <w:color w:val="000000"/>
        </w:rPr>
        <w:t>B. Listeriose, Legionellose und Pneumocystisinfektion, sind im Zusammenhang mit Adalimumab beschrieben worden.</w:t>
      </w:r>
    </w:p>
    <w:p w14:paraId="401CDD0F" w14:textId="77777777" w:rsidR="00C46587" w:rsidRPr="004F5FB4" w:rsidRDefault="00C46587" w:rsidP="00982118">
      <w:pPr>
        <w:rPr>
          <w:color w:val="000000"/>
        </w:rPr>
      </w:pPr>
    </w:p>
    <w:p w14:paraId="2E5951CE" w14:textId="77777777" w:rsidR="00C46587" w:rsidRPr="004F5FB4" w:rsidRDefault="00C46587" w:rsidP="00982118">
      <w:pPr>
        <w:rPr>
          <w:color w:val="000000"/>
        </w:rPr>
      </w:pPr>
      <w:r w:rsidRPr="004F5FB4">
        <w:rPr>
          <w:color w:val="000000"/>
        </w:rPr>
        <w:t>Andere schwere Infektionen in klinischen Studien schließen Pneumonie, Pyelonephritis, septische Arthritis und Septikämie ein. Über Hospitalisierung oder Todesfälle in Verbindung mit Infektionen wurde berichtet.</w:t>
      </w:r>
    </w:p>
    <w:p w14:paraId="33A41F02" w14:textId="77777777" w:rsidR="00C46587" w:rsidRPr="004F5FB4" w:rsidRDefault="00C46587" w:rsidP="00982118">
      <w:pPr>
        <w:rPr>
          <w:color w:val="000000"/>
        </w:rPr>
      </w:pPr>
    </w:p>
    <w:p w14:paraId="3A465B08" w14:textId="77777777" w:rsidR="00C46587" w:rsidRPr="004F5FB4" w:rsidRDefault="00C46587" w:rsidP="00982118">
      <w:pPr>
        <w:keepNext/>
        <w:rPr>
          <w:i/>
          <w:color w:val="000000"/>
        </w:rPr>
      </w:pPr>
      <w:r w:rsidRPr="004F5FB4">
        <w:rPr>
          <w:i/>
          <w:color w:val="000000"/>
        </w:rPr>
        <w:t>Tuberkulose</w:t>
      </w:r>
    </w:p>
    <w:p w14:paraId="381F0A70" w14:textId="77777777" w:rsidR="00C46587" w:rsidRPr="004F5FB4" w:rsidRDefault="00C46587" w:rsidP="00982118">
      <w:pPr>
        <w:keepNext/>
        <w:rPr>
          <w:color w:val="000000"/>
        </w:rPr>
      </w:pPr>
    </w:p>
    <w:p w14:paraId="19E03DEF" w14:textId="77777777" w:rsidR="00C46587" w:rsidRPr="004F5FB4" w:rsidRDefault="00C46587" w:rsidP="00982118">
      <w:pPr>
        <w:rPr>
          <w:color w:val="000000"/>
        </w:rPr>
      </w:pPr>
      <w:r w:rsidRPr="004F5FB4">
        <w:rPr>
          <w:color w:val="000000"/>
        </w:rPr>
        <w:t>Es gab Berichte von Tuberkulose, einschließlich Reaktivierung und Tuberkuloseneuerkrankungen, bei Patienten, die Adalimumab erhielten. Die Berichte umfassten pulmonale und extrapulmonale (d. h. disseminierte) Tuberkulosefälle.</w:t>
      </w:r>
    </w:p>
    <w:p w14:paraId="4AB4CC18" w14:textId="77777777" w:rsidR="00C46587" w:rsidRPr="004F5FB4" w:rsidRDefault="00C46587" w:rsidP="00982118">
      <w:pPr>
        <w:rPr>
          <w:color w:val="000000"/>
        </w:rPr>
      </w:pPr>
    </w:p>
    <w:p w14:paraId="15069F7F" w14:textId="77777777" w:rsidR="00C46587" w:rsidRPr="004F5FB4" w:rsidRDefault="00C46587" w:rsidP="00982118">
      <w:pPr>
        <w:rPr>
          <w:color w:val="000000"/>
        </w:rPr>
      </w:pPr>
      <w:r w:rsidRPr="004F5FB4">
        <w:rPr>
          <w:color w:val="000000"/>
        </w:rPr>
        <w:t>Vor Beginn der Behandlung mit Amsparity müssen alle Patienten sowohl auf aktive als auch auf inaktive („latente“) Tuberkuloseinfektionen untersucht werden. Zu dieser Untersuchung sollte eine eingehende medizinische Anamnese des Patienten gehören. Diese sollte eine persönliche Tuberkulosevorerkrankung, mögliche frühere Kontakte zu Personen mit aktiver Tuberkulose und eine frühere bzw. derzeitige Behandlung mit Immunsuppressiva abklären. Geeignete Screeningtests (d. h. Tuberkulinhauttest und Röntgen-Thoraxaufnahme) sollten bei allen Patienten durchgeführt werden (nationale Empfehlungen sollten befolgt werden). Es wird empfohlen, die Durchführung und Ergebnisse dieser Tests auf dem Patientenpass zu dokumentieren. Verschreibende Ärzte werden an das Risiko der falsch negativen Ergebnisse des Tuberkulinhauttests, insbesondere bei schwer erkrankten oder immunsupprimierten Patienten, erinnert.</w:t>
      </w:r>
    </w:p>
    <w:p w14:paraId="3A217865" w14:textId="77777777" w:rsidR="00C46587" w:rsidRPr="004F5FB4" w:rsidRDefault="00C46587" w:rsidP="00982118">
      <w:pPr>
        <w:rPr>
          <w:color w:val="000000"/>
        </w:rPr>
      </w:pPr>
    </w:p>
    <w:p w14:paraId="31148971" w14:textId="77777777" w:rsidR="00C46587" w:rsidRPr="004F5FB4" w:rsidRDefault="00C46587" w:rsidP="00982118">
      <w:pPr>
        <w:rPr>
          <w:color w:val="000000"/>
        </w:rPr>
      </w:pPr>
      <w:r w:rsidRPr="004F5FB4">
        <w:rPr>
          <w:color w:val="000000"/>
        </w:rPr>
        <w:t>Wird eine aktive Tuberkulose diagnostiziert, darf die Behandlung mit Amsparity nicht eingeleitet werden (siehe Abschnitt</w:t>
      </w:r>
      <w:r w:rsidR="00473976" w:rsidRPr="004F5FB4">
        <w:rPr>
          <w:color w:val="000000"/>
        </w:rPr>
        <w:t> </w:t>
      </w:r>
      <w:r w:rsidRPr="004F5FB4">
        <w:rPr>
          <w:color w:val="000000"/>
        </w:rPr>
        <w:t>4.3).</w:t>
      </w:r>
    </w:p>
    <w:p w14:paraId="7BE98A37" w14:textId="77777777" w:rsidR="00C46587" w:rsidRPr="004F5FB4" w:rsidRDefault="00C46587" w:rsidP="00982118">
      <w:pPr>
        <w:rPr>
          <w:color w:val="000000"/>
        </w:rPr>
      </w:pPr>
    </w:p>
    <w:p w14:paraId="49685BD6" w14:textId="77777777" w:rsidR="00C46587" w:rsidRPr="004F5FB4" w:rsidRDefault="00C46587" w:rsidP="00982118">
      <w:pPr>
        <w:rPr>
          <w:color w:val="000000"/>
        </w:rPr>
      </w:pPr>
      <w:r w:rsidRPr="004F5FB4">
        <w:rPr>
          <w:color w:val="000000"/>
        </w:rPr>
        <w:t xml:space="preserve">In allen nachstehend beschriebenen Situationen sollte das Nutzen-Risiko-Verhältnis einer Amsparity-Therapie sehr sorgfältig abgewogen werden. </w:t>
      </w:r>
    </w:p>
    <w:p w14:paraId="43980452" w14:textId="77777777" w:rsidR="00C46587" w:rsidRPr="004F5FB4" w:rsidRDefault="00C46587" w:rsidP="00982118">
      <w:pPr>
        <w:rPr>
          <w:color w:val="000000"/>
        </w:rPr>
      </w:pPr>
    </w:p>
    <w:p w14:paraId="39EAA6FD" w14:textId="77777777" w:rsidR="00C46587" w:rsidRPr="004F5FB4" w:rsidRDefault="00C46587" w:rsidP="00982118">
      <w:pPr>
        <w:rPr>
          <w:color w:val="000000"/>
        </w:rPr>
      </w:pPr>
      <w:r w:rsidRPr="004F5FB4">
        <w:rPr>
          <w:color w:val="000000"/>
        </w:rPr>
        <w:t>Bei Verdacht auf latente Tuberkulose sollte ein in der Tuberkulosebehandlung erfahrener Arzt aufgesucht werden.</w:t>
      </w:r>
    </w:p>
    <w:p w14:paraId="7A1512A5" w14:textId="77777777" w:rsidR="00C46587" w:rsidRPr="004F5FB4" w:rsidRDefault="00C46587" w:rsidP="00982118">
      <w:pPr>
        <w:rPr>
          <w:color w:val="000000"/>
        </w:rPr>
      </w:pPr>
    </w:p>
    <w:p w14:paraId="157942DF" w14:textId="77777777" w:rsidR="00C46587" w:rsidRPr="004F5FB4" w:rsidRDefault="00C46587" w:rsidP="00982118">
      <w:pPr>
        <w:rPr>
          <w:color w:val="000000"/>
        </w:rPr>
      </w:pPr>
      <w:r w:rsidRPr="004F5FB4">
        <w:rPr>
          <w:color w:val="000000"/>
        </w:rPr>
        <w:t>Wird eine latente Tuberkulose diagnostiziert, muss vor der ersten Gabe von Amsparity eine geeignete Tuberkuloseprophylaxe entsprechend den nationalen Empfehlungen begonnen werden.</w:t>
      </w:r>
    </w:p>
    <w:p w14:paraId="68073376" w14:textId="77777777" w:rsidR="00C46587" w:rsidRPr="004F5FB4" w:rsidRDefault="00C46587" w:rsidP="00982118">
      <w:pPr>
        <w:rPr>
          <w:color w:val="000000"/>
        </w:rPr>
      </w:pPr>
    </w:p>
    <w:p w14:paraId="774E1686" w14:textId="77777777" w:rsidR="00C46587" w:rsidRPr="004F5FB4" w:rsidRDefault="00C46587" w:rsidP="00982118">
      <w:pPr>
        <w:rPr>
          <w:color w:val="000000"/>
        </w:rPr>
      </w:pPr>
      <w:r w:rsidRPr="004F5FB4">
        <w:rPr>
          <w:color w:val="000000"/>
        </w:rPr>
        <w:t>Eine Tuberkuloseprophylaxe vor Beginn der Behandlung mit Amsparity sollte ebenfalls bei Patienten 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09C2F8A9" w14:textId="77777777" w:rsidR="00C46587" w:rsidRPr="004F5FB4" w:rsidRDefault="00C46587" w:rsidP="00982118">
      <w:pPr>
        <w:rPr>
          <w:color w:val="000000"/>
        </w:rPr>
      </w:pPr>
    </w:p>
    <w:p w14:paraId="17CA271D" w14:textId="77777777" w:rsidR="00C46587" w:rsidRPr="004F5FB4" w:rsidRDefault="00C46587" w:rsidP="00982118">
      <w:pPr>
        <w:rPr>
          <w:color w:val="000000"/>
        </w:rPr>
      </w:pPr>
      <w:r w:rsidRPr="004F5FB4">
        <w:rPr>
          <w:color w:val="000000"/>
        </w:rPr>
        <w:t>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w:t>
      </w:r>
    </w:p>
    <w:p w14:paraId="414B5475" w14:textId="77777777" w:rsidR="00C46587" w:rsidRPr="004F5FB4" w:rsidRDefault="00C46587" w:rsidP="00982118">
      <w:pPr>
        <w:rPr>
          <w:color w:val="000000"/>
        </w:rPr>
      </w:pPr>
    </w:p>
    <w:p w14:paraId="01F3ECF1" w14:textId="77777777" w:rsidR="00C46587" w:rsidRPr="004F5FB4" w:rsidRDefault="00C46587" w:rsidP="00982118">
      <w:pPr>
        <w:rPr>
          <w:color w:val="000000"/>
        </w:rPr>
      </w:pPr>
      <w:r w:rsidRPr="004F5FB4">
        <w:rPr>
          <w:color w:val="000000"/>
        </w:rPr>
        <w:t>Die Patienten sind anzuweisen, ärztlichen Rat einzuholen, falls es während oder nach der Behandlung mit Amsparity zu klinischen Anzeichen/</w:t>
      </w:r>
      <w:r w:rsidR="00473976" w:rsidRPr="004F5FB4">
        <w:rPr>
          <w:color w:val="000000"/>
        </w:rPr>
        <w:t xml:space="preserve"> </w:t>
      </w:r>
      <w:r w:rsidRPr="004F5FB4">
        <w:rPr>
          <w:color w:val="000000"/>
        </w:rPr>
        <w:t>Symptomen kommt, die auf eine Tuberkuloseinfektion hinweisen (z. B. anhaltender Husten, Kräfteschwund/</w:t>
      </w:r>
      <w:r w:rsidR="00473976" w:rsidRPr="004F5FB4">
        <w:rPr>
          <w:color w:val="000000"/>
        </w:rPr>
        <w:t xml:space="preserve"> </w:t>
      </w:r>
      <w:r w:rsidRPr="004F5FB4">
        <w:rPr>
          <w:color w:val="000000"/>
        </w:rPr>
        <w:t>Gewichtsverlust, leicht erhöhte Körpertemperatur, Teilnahmslosigkeit).</w:t>
      </w:r>
    </w:p>
    <w:p w14:paraId="05D58444" w14:textId="77777777" w:rsidR="00C46587" w:rsidRPr="004F5FB4" w:rsidRDefault="00C46587" w:rsidP="00982118">
      <w:pPr>
        <w:rPr>
          <w:color w:val="000000"/>
        </w:rPr>
      </w:pPr>
    </w:p>
    <w:p w14:paraId="6B3FC659" w14:textId="77777777" w:rsidR="00C46587" w:rsidRPr="004F5FB4" w:rsidRDefault="00C46587" w:rsidP="00DC3A99">
      <w:pPr>
        <w:keepNext/>
        <w:rPr>
          <w:i/>
          <w:color w:val="000000"/>
        </w:rPr>
      </w:pPr>
      <w:r w:rsidRPr="004F5FB4">
        <w:rPr>
          <w:i/>
          <w:color w:val="000000"/>
        </w:rPr>
        <w:lastRenderedPageBreak/>
        <w:t>Andere opportunistische Infektionen</w:t>
      </w:r>
    </w:p>
    <w:p w14:paraId="08A92429" w14:textId="77777777" w:rsidR="00C46587" w:rsidRPr="004F5FB4" w:rsidRDefault="00C46587" w:rsidP="00DC3A99">
      <w:pPr>
        <w:keepNext/>
        <w:rPr>
          <w:color w:val="000000"/>
        </w:rPr>
      </w:pPr>
    </w:p>
    <w:p w14:paraId="5BDCE95F" w14:textId="77777777" w:rsidR="00C46587" w:rsidRPr="004F5FB4" w:rsidRDefault="00C46587" w:rsidP="00982118">
      <w:pPr>
        <w:rPr>
          <w:color w:val="000000"/>
        </w:rPr>
      </w:pPr>
      <w:r w:rsidRPr="004F5FB4">
        <w:rPr>
          <w:color w:val="000000"/>
        </w:rPr>
        <w:t>Opportunistische Infektionen, einschließlich invasiver Pilzinfektionen, wurden bei Patienten beobachtet, die Adalimumab erhielten. Diese Infektionen wurden nicht lückenlos bei Patienten erkannt, die TNF</w:t>
      </w:r>
      <w:r w:rsidRPr="004F5FB4">
        <w:rPr>
          <w:color w:val="000000"/>
        </w:rPr>
        <w:noBreakHyphen/>
        <w:t>Antagonisten anwendeten. Dies führte zu Verzögerungen bei der geeigneten Therapie, manchmal mit tödlichem Ausgang.</w:t>
      </w:r>
    </w:p>
    <w:p w14:paraId="44F1CF5B" w14:textId="77777777" w:rsidR="00C46587" w:rsidRPr="004F5FB4" w:rsidRDefault="00C46587" w:rsidP="00982118">
      <w:pPr>
        <w:rPr>
          <w:color w:val="000000"/>
        </w:rPr>
      </w:pPr>
    </w:p>
    <w:p w14:paraId="0BACBAD7" w14:textId="77777777" w:rsidR="00C46587" w:rsidRPr="004F5FB4" w:rsidRDefault="00C46587" w:rsidP="00982118">
      <w:pPr>
        <w:rPr>
          <w:color w:val="000000"/>
        </w:rPr>
      </w:pPr>
      <w:r w:rsidRPr="004F5FB4">
        <w:rPr>
          <w:color w:val="000000"/>
        </w:rPr>
        <w:t xml:space="preserve">Bei Patienten, die Anzeichen oder Symptome wie z. B. Fieber, Unwohlsein, Gewichtsverlust, Schweißausbrüche, Husten, Atemnot </w:t>
      </w:r>
      <w:r w:rsidR="00F35054" w:rsidRPr="004F5FB4">
        <w:rPr>
          <w:color w:val="000000"/>
        </w:rPr>
        <w:t>und/</w:t>
      </w:r>
      <w:r w:rsidR="00613A33" w:rsidRPr="004F5FB4">
        <w:rPr>
          <w:color w:val="000000"/>
        </w:rPr>
        <w:t> </w:t>
      </w:r>
      <w:r w:rsidR="00F35054" w:rsidRPr="004F5FB4">
        <w:rPr>
          <w:color w:val="000000"/>
        </w:rPr>
        <w:t>oder</w:t>
      </w:r>
      <w:r w:rsidRPr="004F5FB4">
        <w:rPr>
          <w:color w:val="000000"/>
        </w:rPr>
        <w:t xml:space="preserve"> Lungeninfiltrate oder eine andere schwere systemische Erkrankung mit oder ohne gleichzeitigem Schock entwickeln, ist eine invasive Pilzinfektion zu </w:t>
      </w:r>
      <w:r w:rsidR="00FE401C" w:rsidRPr="004F5FB4">
        <w:rPr>
          <w:color w:val="000000"/>
        </w:rPr>
        <w:t>befürchten</w:t>
      </w:r>
      <w:r w:rsidRPr="004F5FB4">
        <w:rPr>
          <w:color w:val="000000"/>
        </w:rPr>
        <w:t>. Die Verabreichung von Amsparity muss sofort unterbrochen werden. Bei diesen Patienten sollten die Diagnose und die Einleitung einer empirischen Antimykotikatherapie mit einem Arzt abgesprochen werden, der in der Behandlung von Patienten mit invasiven Pilzinfektionen Erfahrung hat.</w:t>
      </w:r>
    </w:p>
    <w:p w14:paraId="7C888957" w14:textId="77777777" w:rsidR="00C46587" w:rsidRPr="004F5FB4" w:rsidRDefault="00C46587" w:rsidP="00982118">
      <w:pPr>
        <w:rPr>
          <w:color w:val="000000"/>
        </w:rPr>
      </w:pPr>
    </w:p>
    <w:p w14:paraId="1D09DA80" w14:textId="77777777" w:rsidR="00C46587" w:rsidRPr="004F5FB4" w:rsidRDefault="00C46587" w:rsidP="00982118">
      <w:pPr>
        <w:keepNext/>
        <w:rPr>
          <w:color w:val="000000"/>
          <w:u w:val="single"/>
        </w:rPr>
      </w:pPr>
      <w:r w:rsidRPr="004F5FB4">
        <w:rPr>
          <w:color w:val="000000"/>
          <w:u w:val="single"/>
        </w:rPr>
        <w:t>Hepatitis-B-Reaktivierung</w:t>
      </w:r>
    </w:p>
    <w:p w14:paraId="1E1018C6" w14:textId="77777777" w:rsidR="00C46587" w:rsidRPr="004F5FB4" w:rsidRDefault="00C46587" w:rsidP="00982118">
      <w:pPr>
        <w:keepNext/>
        <w:rPr>
          <w:color w:val="000000"/>
        </w:rPr>
      </w:pPr>
    </w:p>
    <w:p w14:paraId="6A932737" w14:textId="77777777" w:rsidR="00C46587" w:rsidRPr="004F5FB4" w:rsidRDefault="00C46587" w:rsidP="00982118">
      <w:pPr>
        <w:rPr>
          <w:color w:val="000000"/>
        </w:rPr>
      </w:pPr>
      <w:r w:rsidRPr="004F5FB4">
        <w:rPr>
          <w:color w:val="000000"/>
        </w:rPr>
        <w:t>Die Reaktivierung einer Hepatitis</w:t>
      </w:r>
      <w:r w:rsidR="00BC409B" w:rsidRPr="004F5FB4">
        <w:rPr>
          <w:color w:val="000000"/>
        </w:rPr>
        <w:t> </w:t>
      </w:r>
      <w:r w:rsidRPr="004F5FB4">
        <w:rPr>
          <w:color w:val="000000"/>
        </w:rPr>
        <w:t>B trat bei Patienten auf, die einen TNF</w:t>
      </w:r>
      <w:r w:rsidRPr="004F5FB4">
        <w:rPr>
          <w:color w:val="000000"/>
        </w:rPr>
        <w:noBreakHyphen/>
        <w:t>Antagonisten, einschließlich Adalimumab, erhielten und chronische Träger dieses Virus waren (d.</w:t>
      </w:r>
      <w:r w:rsidR="00473976" w:rsidRPr="004F5FB4">
        <w:rPr>
          <w:color w:val="000000"/>
        </w:rPr>
        <w:t> </w:t>
      </w:r>
      <w:r w:rsidRPr="004F5FB4">
        <w:rPr>
          <w:color w:val="000000"/>
        </w:rPr>
        <w:t>h. HBsAg-positiv). Einige Fälle nahmen einen tödlichen Ausgang. Patienten müssen vor Beginn der Therapie mit Amsparity auf eine HBV-Infektion untersucht werden. Patienten, die positiv auf eine Hepatitis-B-Infektion getestet wurden, sollten Rücksprache mit einem Arzt halten, der Fachkenntnisse zur Behandlung von Hepatitis</w:t>
      </w:r>
      <w:r w:rsidR="00BC409B" w:rsidRPr="004F5FB4">
        <w:rPr>
          <w:color w:val="000000"/>
        </w:rPr>
        <w:t> </w:t>
      </w:r>
      <w:r w:rsidRPr="004F5FB4">
        <w:rPr>
          <w:color w:val="000000"/>
        </w:rPr>
        <w:t>B hat.</w:t>
      </w:r>
    </w:p>
    <w:p w14:paraId="2A54472B" w14:textId="77777777" w:rsidR="00C46587" w:rsidRPr="004F5FB4" w:rsidRDefault="00C46587" w:rsidP="00982118">
      <w:pPr>
        <w:rPr>
          <w:color w:val="000000"/>
        </w:rPr>
      </w:pPr>
    </w:p>
    <w:p w14:paraId="7E3AFC75" w14:textId="77777777" w:rsidR="00C46587" w:rsidRPr="004F5FB4" w:rsidRDefault="00C46587" w:rsidP="00982118">
      <w:pPr>
        <w:rPr>
          <w:color w:val="000000"/>
        </w:rPr>
      </w:pPr>
      <w:r w:rsidRPr="004F5FB4">
        <w:rPr>
          <w:color w:val="000000"/>
        </w:rPr>
        <w:t>Träger von HBV, die eine Behandlung mit Amsparity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TNF-Antagonisten behandelt werden und Träger von HBV sind. Patienten, bei denen eine HBV-Reaktivierung auftritt, müssen Amsparity absetzen, und eine effektive antivirale Therapie mit geeigneter unterstützender Behandlung muss eingeleitet werden.</w:t>
      </w:r>
    </w:p>
    <w:p w14:paraId="37F40B6A" w14:textId="77777777" w:rsidR="00C46587" w:rsidRPr="004F5FB4" w:rsidRDefault="00C46587" w:rsidP="00982118">
      <w:pPr>
        <w:rPr>
          <w:color w:val="000000"/>
        </w:rPr>
      </w:pPr>
    </w:p>
    <w:p w14:paraId="2866C58A" w14:textId="77777777" w:rsidR="00C46587" w:rsidRPr="004F5FB4" w:rsidRDefault="00C46587" w:rsidP="00982118">
      <w:pPr>
        <w:keepNext/>
        <w:rPr>
          <w:color w:val="000000"/>
          <w:u w:val="single"/>
        </w:rPr>
      </w:pPr>
      <w:r w:rsidRPr="004F5FB4">
        <w:rPr>
          <w:color w:val="000000"/>
          <w:u w:val="single"/>
        </w:rPr>
        <w:t>Neurologische Ereignisse</w:t>
      </w:r>
    </w:p>
    <w:p w14:paraId="09B5056B" w14:textId="77777777" w:rsidR="00C46587" w:rsidRPr="004F5FB4" w:rsidRDefault="00C46587" w:rsidP="00982118">
      <w:pPr>
        <w:keepNext/>
        <w:rPr>
          <w:color w:val="000000"/>
        </w:rPr>
      </w:pPr>
    </w:p>
    <w:p w14:paraId="009D9BE3" w14:textId="77777777" w:rsidR="00C46587" w:rsidRPr="004F5FB4" w:rsidRDefault="00C46587" w:rsidP="00982118">
      <w:pPr>
        <w:rPr>
          <w:color w:val="000000"/>
        </w:rPr>
      </w:pPr>
      <w:r w:rsidRPr="004F5FB4">
        <w:rPr>
          <w:color w:val="000000"/>
        </w:rPr>
        <w:t>TNF</w:t>
      </w:r>
      <w:r w:rsidRPr="004F5FB4">
        <w:rPr>
          <w:color w:val="000000"/>
        </w:rPr>
        <w:noBreakHyphen/>
        <w:t>Antagonisten, einschließlich Adalimumab, wurden in seltenen Fällen mit dem neuen Auftreten oder der Verstärkung der klinischen Symptomatik und/</w:t>
      </w:r>
      <w:r w:rsidR="00473976" w:rsidRPr="004F5FB4">
        <w:rPr>
          <w:color w:val="000000"/>
        </w:rPr>
        <w:t xml:space="preserve"> </w:t>
      </w:r>
      <w:r w:rsidRPr="004F5FB4">
        <w:rPr>
          <w:color w:val="000000"/>
        </w:rPr>
        <w:t xml:space="preserve">oder dem radiologischen Nachweis von demyelinisierenden Erkrankungen im zentralen Nervensystem, einschließlich </w:t>
      </w:r>
      <w:r w:rsidR="00A63F9C" w:rsidRPr="004F5FB4">
        <w:rPr>
          <w:color w:val="000000"/>
        </w:rPr>
        <w:t>M</w:t>
      </w:r>
      <w:r w:rsidRPr="004F5FB4">
        <w:rPr>
          <w:color w:val="000000"/>
        </w:rPr>
        <w:t>ultipler Sklerose und Optikusneuritis, und demyelinisierenden Erkrankungen im peripheren Nervensystem, einschließlich Guillain</w:t>
      </w:r>
      <w:r w:rsidRPr="004F5FB4">
        <w:rPr>
          <w:color w:val="000000"/>
        </w:rPr>
        <w:noBreakHyphen/>
        <w:t>Barré-Syndrom, in Verbindung gebracht. Die Verordnung von Amsparity sollte bei Patienten mit vorbestehenden oder beginnenden demyelinisierenden Erkrankungen des ZNS oder des peripheren Nervensystems vom verschreibenden Arzt sorgfältig abgewogen werden. Tritt eine dieser Erkrankungen auf, sollte in Betracht gezogen werden, Amsparity abzusetzen. Es besteht ein bekannter Zusammenhang zwischen einer Uveitis intermedia und demyelinisierenden Erkrankungen des ZNS. Patienten mit nicht infektiöser Uveitis intermedia sollten vor der Einleitung einer Amsparity-Therapie und regelmäßig während der Behandlung neurologisch untersucht werden, um vorbestehende oder beginnende demyelinisierende Erkrankungen des ZNS zu erfassen.</w:t>
      </w:r>
    </w:p>
    <w:p w14:paraId="397207EA" w14:textId="77777777" w:rsidR="00C46587" w:rsidRPr="004F5FB4" w:rsidRDefault="00C46587" w:rsidP="00982118">
      <w:pPr>
        <w:rPr>
          <w:color w:val="000000"/>
        </w:rPr>
      </w:pPr>
    </w:p>
    <w:p w14:paraId="66A67B8A" w14:textId="77777777" w:rsidR="00C46587" w:rsidRPr="004F5FB4" w:rsidRDefault="00C46587" w:rsidP="00DC3A99">
      <w:pPr>
        <w:keepNext/>
        <w:rPr>
          <w:color w:val="000000"/>
          <w:u w:val="single"/>
        </w:rPr>
      </w:pPr>
      <w:r w:rsidRPr="004F5FB4">
        <w:rPr>
          <w:color w:val="000000"/>
          <w:u w:val="single"/>
        </w:rPr>
        <w:t>Allergische Reaktionen</w:t>
      </w:r>
    </w:p>
    <w:p w14:paraId="1BDE5924" w14:textId="77777777" w:rsidR="00C46587" w:rsidRPr="004F5FB4" w:rsidRDefault="00C46587" w:rsidP="00DC3A99">
      <w:pPr>
        <w:keepNext/>
        <w:rPr>
          <w:color w:val="000000"/>
        </w:rPr>
      </w:pPr>
    </w:p>
    <w:p w14:paraId="3C0E8528" w14:textId="77777777" w:rsidR="00C46587" w:rsidRPr="004F5FB4" w:rsidRDefault="00C46587" w:rsidP="00982118">
      <w:pPr>
        <w:rPr>
          <w:color w:val="000000"/>
        </w:rPr>
      </w:pPr>
      <w:r w:rsidRPr="004F5FB4">
        <w:rPr>
          <w:color w:val="000000"/>
        </w:rPr>
        <w:t>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Amsparity sofort abgesetzt und eine geeignete Behandlung eingeleitet werden.</w:t>
      </w:r>
    </w:p>
    <w:p w14:paraId="14172986" w14:textId="77777777" w:rsidR="00C46587" w:rsidRPr="004F5FB4" w:rsidRDefault="00C46587" w:rsidP="00982118">
      <w:pPr>
        <w:rPr>
          <w:color w:val="000000"/>
        </w:rPr>
      </w:pPr>
    </w:p>
    <w:p w14:paraId="57A0B2EC" w14:textId="77777777" w:rsidR="00C46587" w:rsidRPr="004F5FB4" w:rsidRDefault="00C46587" w:rsidP="00982118">
      <w:pPr>
        <w:keepNext/>
        <w:rPr>
          <w:color w:val="000000"/>
          <w:u w:val="single"/>
        </w:rPr>
      </w:pPr>
      <w:r w:rsidRPr="004F5FB4">
        <w:rPr>
          <w:color w:val="000000"/>
          <w:u w:val="single"/>
        </w:rPr>
        <w:lastRenderedPageBreak/>
        <w:t>Immunsuppression</w:t>
      </w:r>
    </w:p>
    <w:p w14:paraId="4AFCFF3F" w14:textId="77777777" w:rsidR="00C46587" w:rsidRPr="004F5FB4" w:rsidRDefault="00C46587" w:rsidP="00982118">
      <w:pPr>
        <w:keepNext/>
        <w:rPr>
          <w:color w:val="000000"/>
        </w:rPr>
      </w:pPr>
    </w:p>
    <w:p w14:paraId="66D8E2DC" w14:textId="77777777" w:rsidR="00C46587" w:rsidRPr="004F5FB4" w:rsidRDefault="00C46587" w:rsidP="00982118">
      <w:pPr>
        <w:rPr>
          <w:color w:val="000000"/>
        </w:rPr>
      </w:pPr>
      <w:r w:rsidRPr="004F5FB4">
        <w:rPr>
          <w:color w:val="000000"/>
        </w:rPr>
        <w:t>In einer Studie mit 64</w:t>
      </w:r>
      <w:r w:rsidR="00BC409B" w:rsidRPr="004F5FB4">
        <w:rPr>
          <w:color w:val="000000"/>
        </w:rPr>
        <w:t> </w:t>
      </w:r>
      <w:r w:rsidRPr="004F5FB4">
        <w:rPr>
          <w:color w:val="000000"/>
        </w:rPr>
        <w:t>Patienten mit rheumatoider Arthritis, die mit Adalimumab behandelt wurden, ergab sich kein Beleg für eine Abschwächung der Überempfindlichkeitsreaktion vom verzögerten Typ, für eine Abnahme der Immunglobulinkonzentration oder für Veränderungen der Zahl von Effektor-T</w:t>
      </w:r>
      <w:r w:rsidRPr="004F5FB4">
        <w:rPr>
          <w:color w:val="000000"/>
        </w:rPr>
        <w:noBreakHyphen/>
        <w:t>, B</w:t>
      </w:r>
      <w:r w:rsidRPr="004F5FB4">
        <w:rPr>
          <w:color w:val="000000"/>
        </w:rPr>
        <w:noBreakHyphen/>
        <w:t>, NK</w:t>
      </w:r>
      <w:r w:rsidRPr="004F5FB4">
        <w:rPr>
          <w:color w:val="000000"/>
        </w:rPr>
        <w:noBreakHyphen/>
        <w:t>Zellen, Monozyten/Makrophagen und neutrophilen Granulozyten.</w:t>
      </w:r>
    </w:p>
    <w:p w14:paraId="2983FCFF" w14:textId="77777777" w:rsidR="00C46587" w:rsidRPr="004F5FB4" w:rsidRDefault="00C46587" w:rsidP="00982118">
      <w:pPr>
        <w:rPr>
          <w:color w:val="000000"/>
        </w:rPr>
      </w:pPr>
    </w:p>
    <w:p w14:paraId="478D8BC4" w14:textId="77777777" w:rsidR="00C46587" w:rsidRPr="004F5FB4" w:rsidRDefault="00C46587" w:rsidP="00DC3A99">
      <w:pPr>
        <w:keepNext/>
        <w:rPr>
          <w:color w:val="000000"/>
          <w:u w:val="single"/>
        </w:rPr>
      </w:pPr>
      <w:r w:rsidRPr="004F5FB4">
        <w:rPr>
          <w:color w:val="000000"/>
          <w:u w:val="single"/>
        </w:rPr>
        <w:t>Maligne und lymphoproliferative Erkrankungen</w:t>
      </w:r>
    </w:p>
    <w:p w14:paraId="1C37C2D6" w14:textId="77777777" w:rsidR="00C46587" w:rsidRPr="004F5FB4" w:rsidRDefault="00C46587" w:rsidP="00DC3A99">
      <w:pPr>
        <w:keepNext/>
        <w:rPr>
          <w:color w:val="000000"/>
        </w:rPr>
      </w:pPr>
    </w:p>
    <w:p w14:paraId="223A3D0C" w14:textId="77777777" w:rsidR="00C46587" w:rsidRPr="004F5FB4" w:rsidRDefault="00C46587" w:rsidP="00982118">
      <w:pPr>
        <w:rPr>
          <w:color w:val="000000"/>
        </w:rPr>
      </w:pPr>
      <w:r w:rsidRPr="004F5FB4">
        <w:rPr>
          <w:color w:val="000000"/>
        </w:rPr>
        <w:t xml:space="preserve">Innerhalb kontrollierter Phasen von klinischen Studien </w:t>
      </w:r>
      <w:r w:rsidR="00401A02" w:rsidRPr="004F5FB4">
        <w:rPr>
          <w:color w:val="000000"/>
        </w:rPr>
        <w:t xml:space="preserve">mit TNF-Antagonisten </w:t>
      </w:r>
      <w:r w:rsidRPr="004F5FB4">
        <w:rPr>
          <w:color w:val="000000"/>
        </w:rPr>
        <w:t xml:space="preserve">wurden </w:t>
      </w:r>
      <w:r w:rsidR="00401A02" w:rsidRPr="004F5FB4">
        <w:rPr>
          <w:color w:val="000000"/>
        </w:rPr>
        <w:t xml:space="preserve">mehr Fälle von malignen Erkrankungen, einschließlich Lymphome, </w:t>
      </w:r>
      <w:r w:rsidRPr="004F5FB4">
        <w:rPr>
          <w:color w:val="000000"/>
        </w:rPr>
        <w:t>bei Patienten unter TNF</w:t>
      </w:r>
      <w:r w:rsidRPr="004F5FB4">
        <w:rPr>
          <w:color w:val="000000"/>
        </w:rPr>
        <w:noBreakHyphen/>
        <w:t>Antagonisten im Vergleich zu Kontrollpatienten beobachtet. Allerdings war das Auftreten selten. In der Phase nach Markteinführung wurden Fälle von Leukämie bei Patienten, die mit einem TNF</w:t>
      </w:r>
      <w:r w:rsidRPr="004F5FB4">
        <w:rPr>
          <w:color w:val="000000"/>
        </w:rPr>
        <w:noBreakHyphen/>
        <w:t>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w:t>
      </w:r>
      <w:r w:rsidRPr="004F5FB4">
        <w:rPr>
          <w:color w:val="000000"/>
        </w:rPr>
        <w:noBreakHyphen/>
        <w:t>Antagonisten behandelt werden, nicht ausgeschlossen werden.</w:t>
      </w:r>
    </w:p>
    <w:p w14:paraId="2F44BCC4" w14:textId="77777777" w:rsidR="00C46587" w:rsidRPr="004F5FB4" w:rsidRDefault="00C46587" w:rsidP="00982118">
      <w:pPr>
        <w:rPr>
          <w:color w:val="000000"/>
        </w:rPr>
      </w:pPr>
    </w:p>
    <w:p w14:paraId="7B0A8903" w14:textId="77777777" w:rsidR="00C46587" w:rsidRPr="004F5FB4" w:rsidRDefault="00C46587" w:rsidP="00982118">
      <w:pPr>
        <w:rPr>
          <w:color w:val="000000"/>
        </w:rPr>
      </w:pPr>
      <w:r w:rsidRPr="004F5FB4">
        <w:rPr>
          <w:color w:val="000000"/>
        </w:rPr>
        <w:t>Bei Kindern, Jugendlichen und jungen Erwachsenen (bis 22 Jahre), die mit TNF</w:t>
      </w:r>
      <w:r w:rsidRPr="004F5FB4">
        <w:rPr>
          <w:color w:val="000000"/>
        </w:rPr>
        <w:noBreakHyphen/>
        <w:t>Antagonisten (einschließlich Adalimumab in der Phase nach der Markteinführung) behandelt wurden (Therapieeinleitung ≤</w:t>
      </w:r>
      <w:r w:rsidR="00473976" w:rsidRPr="004F5FB4">
        <w:rPr>
          <w:color w:val="000000"/>
        </w:rPr>
        <w:t> </w:t>
      </w:r>
      <w:r w:rsidRPr="004F5FB4">
        <w:rPr>
          <w:color w:val="000000"/>
        </w:rPr>
        <w:t>18</w:t>
      </w:r>
      <w:r w:rsidR="00473976" w:rsidRPr="004F5FB4">
        <w:rPr>
          <w:color w:val="000000"/>
        </w:rPr>
        <w:t> </w:t>
      </w:r>
      <w:r w:rsidRPr="004F5FB4">
        <w:rPr>
          <w:color w:val="000000"/>
        </w:rPr>
        <w:t>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w:t>
      </w:r>
      <w:r w:rsidRPr="004F5FB4">
        <w:rPr>
          <w:color w:val="000000"/>
        </w:rPr>
        <w:noBreakHyphen/>
        <w:t>Antagonisten ein Risiko für die Entwicklung maligner Erkrankungen nicht ausgeschlossen werden.</w:t>
      </w:r>
    </w:p>
    <w:p w14:paraId="5E3721D0" w14:textId="77777777" w:rsidR="00C46587" w:rsidRPr="004F5FB4" w:rsidRDefault="00C46587" w:rsidP="00982118">
      <w:pPr>
        <w:rPr>
          <w:color w:val="000000"/>
        </w:rPr>
      </w:pPr>
    </w:p>
    <w:p w14:paraId="04190DCB" w14:textId="77777777" w:rsidR="00C46587" w:rsidRPr="004F5FB4" w:rsidRDefault="00C46587" w:rsidP="00982118">
      <w:pPr>
        <w:rPr>
          <w:color w:val="000000"/>
        </w:rPr>
      </w:pPr>
      <w:r w:rsidRPr="004F5FB4">
        <w:rPr>
          <w:color w:val="000000"/>
        </w:rPr>
        <w:t>Nach Markteinführung wurden bei Patienten, die mit Adalimumab behandelt wurden, seltene Fälle von hepatosplenalen T-Zell-Lymphomen beobachtet. Diese seltene Form eines T</w:t>
      </w:r>
      <w:r w:rsidRPr="004F5FB4">
        <w:rPr>
          <w:color w:val="000000"/>
        </w:rPr>
        <w:noBreakHyphen/>
        <w:t>Zell-Lymphoms hat einen sehr aggressiven Krankheitsverlauf und führt in der Regel zum Tode. Einige der hepatosplenalen T</w:t>
      </w:r>
      <w:r w:rsidRPr="004F5FB4">
        <w:rPr>
          <w:color w:val="000000"/>
        </w:rPr>
        <w:noBreakHyphen/>
        <w:t>Zell-Lymphome sind bei jungen Erwachsenen aufgetreten, die Adalimumab in Kombination mit Azathioprin oder 6</w:t>
      </w:r>
      <w:r w:rsidRPr="004F5FB4">
        <w:rPr>
          <w:color w:val="000000"/>
        </w:rPr>
        <w:noBreakHyphen/>
        <w:t>Mercaptopurin zur Behandlung einer chronisch entzündlichen Darmerkrankung erhielten. Ein mögliches Risiko von Adalimumab in Kombination mit Azathioprin oder 6-Mercaptopurin sollte sorgfältig geprüft werden. Es kann nicht ausgeschlossen werden, dass bei Patienten, die mit Amsparity behandelt werden, ein Risiko für die Entwicklung eines hepatosplenalen T</w:t>
      </w:r>
      <w:r w:rsidRPr="004F5FB4">
        <w:rPr>
          <w:color w:val="000000"/>
        </w:rPr>
        <w:noBreakHyphen/>
        <w:t>Zell-Lymphoms besteht (siehe Abschnitt 4.8).</w:t>
      </w:r>
    </w:p>
    <w:p w14:paraId="5032E76E" w14:textId="77777777" w:rsidR="00C46587" w:rsidRPr="004F5FB4" w:rsidRDefault="00C46587" w:rsidP="00982118">
      <w:pPr>
        <w:rPr>
          <w:color w:val="000000"/>
        </w:rPr>
      </w:pPr>
    </w:p>
    <w:p w14:paraId="4BE55A20" w14:textId="77777777" w:rsidR="00C46587" w:rsidRPr="004F5FB4" w:rsidRDefault="00C46587" w:rsidP="00982118">
      <w:pPr>
        <w:rPr>
          <w:color w:val="000000"/>
        </w:rPr>
      </w:pPr>
      <w:r w:rsidRPr="004F5FB4">
        <w:rPr>
          <w:color w:val="000000"/>
        </w:rPr>
        <w:t>Es wurden keine Studien durchgeführt, in die Patienten mit einer malignen Erkrankung in der Vorgeschichte eingeschlossen wurden oder in denen die Behandlung bei Patienten fortgesetzt wurde, nachdem sich eine maligne Erkrankung entwickelte. Daher sollte zusätzliche Vorsicht bei der Behandlung dieser Patienten mit Adalimumab angewandt werden (siehe Abschnitt</w:t>
      </w:r>
      <w:r w:rsidR="00497E38" w:rsidRPr="004F5FB4">
        <w:rPr>
          <w:color w:val="000000"/>
        </w:rPr>
        <w:t> </w:t>
      </w:r>
      <w:r w:rsidRPr="004F5FB4">
        <w:rPr>
          <w:color w:val="000000"/>
        </w:rPr>
        <w:t>4.8).</w:t>
      </w:r>
    </w:p>
    <w:p w14:paraId="38BF5E6F" w14:textId="77777777" w:rsidR="00C46587" w:rsidRPr="004F5FB4" w:rsidRDefault="00C46587" w:rsidP="00982118">
      <w:pPr>
        <w:rPr>
          <w:color w:val="000000"/>
        </w:rPr>
      </w:pPr>
    </w:p>
    <w:p w14:paraId="209695E1" w14:textId="77777777" w:rsidR="00C46587" w:rsidRPr="004F5FB4" w:rsidRDefault="00C46587" w:rsidP="00982118">
      <w:pPr>
        <w:rPr>
          <w:color w:val="000000"/>
        </w:rPr>
      </w:pPr>
      <w:r w:rsidRPr="004F5FB4">
        <w:rPr>
          <w:color w:val="000000"/>
        </w:rPr>
        <w:t>Alle Patienten, insbesondere Patienten mit einer intensiven immunsuppressiven Therapie in der Vorgeschichte oder Psoriasispatienten, die zuvor eine PUVA-Therapie erhalten haben, sollten vor und während der Behandlung mit Amsparity auf das Vorliegen von nicht melanomartigen Hauttumoren untersucht werden. Ebenso wurde das Auftreten von Melanomen und Merkelzellkarzinomen bei Patienten, die mit TNF</w:t>
      </w:r>
      <w:r w:rsidRPr="004F5FB4">
        <w:rPr>
          <w:color w:val="000000"/>
        </w:rPr>
        <w:noBreakHyphen/>
        <w:t>Antagonisten, einschließlich Adalimumab, behandelt wurden, berichtet (siehe Abschnitt 4.8).</w:t>
      </w:r>
    </w:p>
    <w:p w14:paraId="4C008C24" w14:textId="77777777" w:rsidR="00C46587" w:rsidRPr="004F5FB4" w:rsidRDefault="00C46587" w:rsidP="00982118">
      <w:pPr>
        <w:rPr>
          <w:color w:val="000000"/>
        </w:rPr>
      </w:pPr>
    </w:p>
    <w:p w14:paraId="4C0D0BC8" w14:textId="77777777" w:rsidR="00C46587" w:rsidRPr="004F5FB4" w:rsidRDefault="00C46587" w:rsidP="00982118">
      <w:pPr>
        <w:rPr>
          <w:color w:val="000000"/>
        </w:rPr>
      </w:pPr>
      <w:r w:rsidRPr="004F5FB4">
        <w:rPr>
          <w:color w:val="000000"/>
        </w:rPr>
        <w:t>In einer exploratorischen klinischen Studie zur Evaluierung der Anwendung eines anderen TNF-Antagonisten, Infliximab, bei Patienten mit mäßiger bis schwerer chronischer obstruktiver Lungenerkrankung (COPD) wurden bei mit Infliximab behandelten Patienten im Vergleich zu Kontrollpatienten mehr maligne Erkrankungen, meistens der Lunge oder des Kopfes und Halses, berichtet. Alle Patienten waren in der Vorgeschichte starke Raucher. Daher müssen TNF</w:t>
      </w:r>
      <w:r w:rsidRPr="004F5FB4">
        <w:rPr>
          <w:color w:val="000000"/>
        </w:rPr>
        <w:noBreakHyphen/>
        <w:t xml:space="preserve">Antagonisten </w:t>
      </w:r>
      <w:r w:rsidRPr="004F5FB4">
        <w:rPr>
          <w:color w:val="000000"/>
        </w:rPr>
        <w:lastRenderedPageBreak/>
        <w:t>bei COPD-Patienten mit Vorsicht angewendet werden, ebenso bei Patienten mit erhöhtem Risiko für maligne Erkrankungen als Folge starken Rauchens.</w:t>
      </w:r>
    </w:p>
    <w:p w14:paraId="2B89D52B" w14:textId="77777777" w:rsidR="00C46587" w:rsidRPr="004F5FB4" w:rsidRDefault="00C46587" w:rsidP="00982118">
      <w:pPr>
        <w:rPr>
          <w:color w:val="000000"/>
        </w:rPr>
      </w:pPr>
    </w:p>
    <w:p w14:paraId="61C3A078" w14:textId="77777777" w:rsidR="00C46587" w:rsidRPr="004F5FB4" w:rsidRDefault="00C46587" w:rsidP="00982118">
      <w:pPr>
        <w:rPr>
          <w:color w:val="000000"/>
        </w:rPr>
      </w:pPr>
      <w:r w:rsidRPr="004F5FB4">
        <w:rPr>
          <w:color w:val="000000"/>
        </w:rPr>
        <w:t>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des Krankheitsverlaufs in regelmäßigen Intervallen auf Dysplasien untersucht werden. Die Untersuchung sollte Koloskopie und Biopsien entsprechend den nationalen Empfehlungen umfassen.</w:t>
      </w:r>
    </w:p>
    <w:p w14:paraId="28F0113C" w14:textId="77777777" w:rsidR="00C46587" w:rsidRPr="004F5FB4" w:rsidRDefault="00C46587" w:rsidP="00982118">
      <w:pPr>
        <w:rPr>
          <w:color w:val="000000"/>
        </w:rPr>
      </w:pPr>
    </w:p>
    <w:p w14:paraId="1CD1E505" w14:textId="77777777" w:rsidR="00C46587" w:rsidRPr="004F5FB4" w:rsidRDefault="00150D33" w:rsidP="00982118">
      <w:pPr>
        <w:keepNext/>
        <w:rPr>
          <w:color w:val="000000"/>
          <w:u w:val="single"/>
        </w:rPr>
      </w:pPr>
      <w:r w:rsidRPr="004F5FB4">
        <w:rPr>
          <w:color w:val="000000"/>
          <w:u w:val="single"/>
        </w:rPr>
        <w:t>Hämatologische Reaktionen</w:t>
      </w:r>
    </w:p>
    <w:p w14:paraId="3B4BA976" w14:textId="77777777" w:rsidR="00C46587" w:rsidRPr="004F5FB4" w:rsidRDefault="00C46587" w:rsidP="00982118">
      <w:pPr>
        <w:keepNext/>
        <w:rPr>
          <w:color w:val="000000"/>
        </w:rPr>
      </w:pPr>
    </w:p>
    <w:p w14:paraId="60B0F9FE" w14:textId="77777777" w:rsidR="00C46587" w:rsidRPr="004F5FB4" w:rsidRDefault="00C46587" w:rsidP="00982118">
      <w:pPr>
        <w:rPr>
          <w:color w:val="000000"/>
        </w:rPr>
      </w:pPr>
      <w:r w:rsidRPr="004F5FB4">
        <w:rPr>
          <w:color w:val="000000"/>
        </w:rPr>
        <w:t>Im Zusammenhang mit TNF</w:t>
      </w:r>
      <w:r w:rsidRPr="004F5FB4">
        <w:rPr>
          <w:color w:val="000000"/>
        </w:rPr>
        <w:noBreakHyphen/>
        <w:t>Antagonisten wurde in seltenen Fällen über das Auftreten von Panzytopenie, einschließlich aplastischer Anämie, berichtet. Unerwünschte Ereignisse des blutbildenden Systems, einschließlich medizinisch signifikanter Zytopenie (z. B. Thrombozytopenie, Leukopenie), wurden unter Adalimumab berichtet. Alle Patienten sollten darauf hingewiesen werden, dass sie sofort einen Arzt aufsuchen sollten, wenn sie unter der Amsparity-Therapie Anzeichen und Symptome entwickeln, die auf eine Blutdyskrasie hindeuten (z.</w:t>
      </w:r>
      <w:r w:rsidR="00473976" w:rsidRPr="004F5FB4">
        <w:rPr>
          <w:color w:val="000000"/>
        </w:rPr>
        <w:t> </w:t>
      </w:r>
      <w:r w:rsidRPr="004F5FB4">
        <w:rPr>
          <w:color w:val="000000"/>
        </w:rPr>
        <w:t>B. anhaltendes Fieber, Blutergüsse, Blutung, Blässe). Bei Patienten mit bestätigten signifikanten hämatologischen Abnormalitäten sollte eine Unterbrechung der Amsparity-Therapie in Betracht gezogen werden.</w:t>
      </w:r>
    </w:p>
    <w:p w14:paraId="00737538" w14:textId="77777777" w:rsidR="00C46587" w:rsidRPr="004F5FB4" w:rsidRDefault="00C46587" w:rsidP="00982118">
      <w:pPr>
        <w:rPr>
          <w:color w:val="000000"/>
        </w:rPr>
      </w:pPr>
    </w:p>
    <w:p w14:paraId="6864A70E" w14:textId="77777777" w:rsidR="00C46587" w:rsidRPr="004F5FB4" w:rsidRDefault="00150D33" w:rsidP="00982118">
      <w:pPr>
        <w:keepNext/>
        <w:rPr>
          <w:color w:val="000000"/>
          <w:u w:val="single"/>
        </w:rPr>
      </w:pPr>
      <w:r w:rsidRPr="004F5FB4">
        <w:rPr>
          <w:color w:val="000000"/>
          <w:u w:val="single"/>
        </w:rPr>
        <w:t>Impfungen</w:t>
      </w:r>
    </w:p>
    <w:p w14:paraId="7869A963" w14:textId="77777777" w:rsidR="00C46587" w:rsidRPr="004F5FB4" w:rsidRDefault="00C46587" w:rsidP="00DC3A99">
      <w:pPr>
        <w:keepNext/>
        <w:rPr>
          <w:color w:val="000000"/>
        </w:rPr>
      </w:pPr>
    </w:p>
    <w:p w14:paraId="08943673" w14:textId="77777777" w:rsidR="00C46587" w:rsidRPr="004F5FB4" w:rsidRDefault="00C46587" w:rsidP="00982118">
      <w:pPr>
        <w:rPr>
          <w:color w:val="000000"/>
        </w:rPr>
      </w:pPr>
      <w:r w:rsidRPr="004F5FB4">
        <w:rPr>
          <w:color w:val="000000"/>
        </w:rPr>
        <w:t>Vergleichbare Antikörperantworten auf einen 23</w:t>
      </w:r>
      <w:r w:rsidRPr="004F5FB4">
        <w:rPr>
          <w:color w:val="000000"/>
        </w:rPr>
        <w:noBreakHyphen/>
        <w:t xml:space="preserve">valenten Standardpneumokokkenimpfstoff und einen trivalenten Influenzaimpfstoff wurden in einer Studie bei 226 Erwachsenen mit rheumatoider Arthritis, die mit Adalimumab oder Placebo behandelt wurden, beobachtet. Es liegen keine Daten vor über eine sekundäre Infektionsübertragung durch Lebendimpfstoffe bei Patienten, die Adalimumab erhielten. </w:t>
      </w:r>
    </w:p>
    <w:p w14:paraId="38F99A71" w14:textId="77777777" w:rsidR="00C46587" w:rsidRPr="004F5FB4" w:rsidRDefault="00C46587" w:rsidP="00982118">
      <w:pPr>
        <w:rPr>
          <w:color w:val="000000"/>
        </w:rPr>
      </w:pPr>
    </w:p>
    <w:p w14:paraId="5AA6B186" w14:textId="77777777" w:rsidR="00C46587" w:rsidRPr="004F5FB4" w:rsidRDefault="00C46587" w:rsidP="00982118">
      <w:pPr>
        <w:rPr>
          <w:color w:val="000000"/>
        </w:rPr>
      </w:pPr>
      <w:r w:rsidRPr="004F5FB4">
        <w:rPr>
          <w:color w:val="000000"/>
        </w:rPr>
        <w:t xml:space="preserve">Bei </w:t>
      </w:r>
      <w:r w:rsidR="00401A02" w:rsidRPr="004F5FB4">
        <w:rPr>
          <w:color w:val="000000"/>
        </w:rPr>
        <w:t>Kindern und Jugendlichen</w:t>
      </w:r>
      <w:r w:rsidRPr="004F5FB4">
        <w:rPr>
          <w:color w:val="000000"/>
        </w:rPr>
        <w:t xml:space="preserve"> wird empfohlen, nach Möglichkeit vor Therapiebeginn mit Adalimumab alle Immunisierungen in Übereinstimmung mit den gegenwärtigen Richtlinien auf den aktuellen Stand zu bringen.</w:t>
      </w:r>
    </w:p>
    <w:p w14:paraId="47F53EAA" w14:textId="77777777" w:rsidR="00C46587" w:rsidRPr="004F5FB4" w:rsidRDefault="00C46587" w:rsidP="00982118">
      <w:pPr>
        <w:rPr>
          <w:color w:val="000000"/>
        </w:rPr>
      </w:pPr>
    </w:p>
    <w:p w14:paraId="2671E98F" w14:textId="77777777" w:rsidR="00C46587" w:rsidRPr="004F5FB4" w:rsidRDefault="00C46587" w:rsidP="00982118">
      <w:pPr>
        <w:rPr>
          <w:color w:val="000000"/>
        </w:rPr>
      </w:pPr>
      <w:r w:rsidRPr="004F5FB4">
        <w:rPr>
          <w:color w:val="000000"/>
        </w:rPr>
        <w:t xml:space="preserve">Patienten können gleichzeitig zur Adalimumab-Therapie Impfungen erhalten, mit Ausnahme von Lebendimpfstoffen. Es wird empfohlen, Säuglinge, die </w:t>
      </w:r>
      <w:r w:rsidRPr="004F5FB4">
        <w:rPr>
          <w:i/>
          <w:color w:val="000000"/>
        </w:rPr>
        <w:t>in utero</w:t>
      </w:r>
      <w:r w:rsidRPr="004F5FB4">
        <w:rPr>
          <w:color w:val="000000"/>
        </w:rPr>
        <w:t xml:space="preserve"> Adalimumab ausgesetzt waren, nicht vor Ablauf von 5 Monaten nach der letzten Gabe von Adalimumab bei der Mutter während der Schwangerschaft mit Lebendimpfstoffen (z.</w:t>
      </w:r>
      <w:r w:rsidR="00473976" w:rsidRPr="004F5FB4">
        <w:rPr>
          <w:color w:val="000000"/>
        </w:rPr>
        <w:t> </w:t>
      </w:r>
      <w:r w:rsidRPr="004F5FB4">
        <w:rPr>
          <w:color w:val="000000"/>
        </w:rPr>
        <w:t>B. BCG-Vakzine) zu impfen.</w:t>
      </w:r>
    </w:p>
    <w:p w14:paraId="7B19D8B4" w14:textId="77777777" w:rsidR="00C46587" w:rsidRPr="004F5FB4" w:rsidRDefault="00C46587" w:rsidP="00982118">
      <w:pPr>
        <w:rPr>
          <w:color w:val="000000"/>
        </w:rPr>
      </w:pPr>
    </w:p>
    <w:p w14:paraId="299B75B7" w14:textId="77777777" w:rsidR="00C46587" w:rsidRPr="004F5FB4" w:rsidRDefault="00150D33" w:rsidP="00DC3A99">
      <w:pPr>
        <w:keepNext/>
        <w:rPr>
          <w:color w:val="000000"/>
          <w:u w:val="single"/>
        </w:rPr>
      </w:pPr>
      <w:r w:rsidRPr="004F5FB4">
        <w:rPr>
          <w:color w:val="000000"/>
          <w:u w:val="single"/>
        </w:rPr>
        <w:t>Dekompensierte Herzinsuffizienz</w:t>
      </w:r>
    </w:p>
    <w:p w14:paraId="4BFFBEED" w14:textId="77777777" w:rsidR="00C46587" w:rsidRPr="004F5FB4" w:rsidRDefault="00C46587" w:rsidP="00DC3A99">
      <w:pPr>
        <w:keepNext/>
        <w:rPr>
          <w:color w:val="000000"/>
        </w:rPr>
      </w:pPr>
    </w:p>
    <w:p w14:paraId="2D4C74F2" w14:textId="77777777" w:rsidR="00C46587" w:rsidRPr="004F5FB4" w:rsidRDefault="00C46587" w:rsidP="00982118">
      <w:pPr>
        <w:rPr>
          <w:color w:val="000000"/>
        </w:rPr>
      </w:pPr>
      <w:r w:rsidRPr="004F5FB4">
        <w:rPr>
          <w:color w:val="000000"/>
        </w:rPr>
        <w:t>In einer klinischen Studie mit einem anderen TNF</w:t>
      </w:r>
      <w:r w:rsidRPr="004F5FB4">
        <w:rPr>
          <w:color w:val="000000"/>
        </w:rPr>
        <w:noBreakHyphen/>
        <w:t>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Amsparity sollte bei Patienten mit leichter Herzinsuffizienz (NYHA-Klasse I/II) mit Vorsicht eingesetzt werden. Amsparity darf nicht bei mäßiger bis schwerer Herzinsuffizienz angewendet werden (siehe Abschnitt 4.3). Die Behandlung mit Amsparity muss bei Patienten, die neue oder sich verschlechternde Symptome einer dekompensierten Herzinsuffizienz entwickeln, abgesetzt werden.</w:t>
      </w:r>
    </w:p>
    <w:p w14:paraId="692F4280" w14:textId="77777777" w:rsidR="00C46587" w:rsidRPr="004F5FB4" w:rsidRDefault="00C46587" w:rsidP="00982118">
      <w:pPr>
        <w:rPr>
          <w:color w:val="000000"/>
        </w:rPr>
      </w:pPr>
    </w:p>
    <w:p w14:paraId="5517197E" w14:textId="77777777" w:rsidR="00C46587" w:rsidRPr="004F5FB4" w:rsidRDefault="00C46587" w:rsidP="00982118">
      <w:pPr>
        <w:keepNext/>
        <w:rPr>
          <w:color w:val="000000"/>
          <w:u w:val="single"/>
        </w:rPr>
      </w:pPr>
      <w:r w:rsidRPr="004F5FB4">
        <w:rPr>
          <w:color w:val="000000"/>
          <w:u w:val="single"/>
        </w:rPr>
        <w:t>Autoimmunprozesse</w:t>
      </w:r>
    </w:p>
    <w:p w14:paraId="7239CD50" w14:textId="77777777" w:rsidR="00C46587" w:rsidRPr="004F5FB4" w:rsidRDefault="00C46587" w:rsidP="00982118">
      <w:pPr>
        <w:keepNext/>
        <w:rPr>
          <w:color w:val="000000"/>
        </w:rPr>
      </w:pPr>
    </w:p>
    <w:p w14:paraId="2E866E66" w14:textId="77777777" w:rsidR="00C46587" w:rsidRPr="004F5FB4" w:rsidRDefault="00C46587" w:rsidP="00982118">
      <w:pPr>
        <w:rPr>
          <w:color w:val="000000"/>
        </w:rPr>
      </w:pPr>
      <w:r w:rsidRPr="004F5FB4">
        <w:rPr>
          <w:color w:val="000000"/>
        </w:rPr>
        <w:t>Die Behandlung mit Amsparity kann zur Bildung von Autoantikörpern führen. Der Einfluss einer Langzeitbehandlung mit Adalimumab auf die Entwicklung von Autoimmunerkrankungen ist nicht bekannt. Entwickelt ein Patient nach der Behandlung mit Amsparity Symptome, die auf ein lupusähnliches Syndrom hindeuten und wird positiv auf Antikörper gegen doppelsträngige DNA getestet, darf die Behandlung mit Amsparity nicht weitergeführt werden (siehe Abschnitt 4.8).</w:t>
      </w:r>
    </w:p>
    <w:p w14:paraId="76460E1A" w14:textId="77777777" w:rsidR="00C46587" w:rsidRPr="004F5FB4" w:rsidRDefault="00C46587" w:rsidP="00982118">
      <w:pPr>
        <w:rPr>
          <w:color w:val="000000"/>
        </w:rPr>
      </w:pPr>
    </w:p>
    <w:p w14:paraId="7897ED7C" w14:textId="77777777" w:rsidR="00C46587" w:rsidRPr="004F5FB4" w:rsidRDefault="00C46587" w:rsidP="00DC3A99">
      <w:pPr>
        <w:keepNext/>
        <w:rPr>
          <w:color w:val="000000"/>
          <w:u w:val="single"/>
        </w:rPr>
      </w:pPr>
      <w:r w:rsidRPr="004F5FB4">
        <w:rPr>
          <w:color w:val="000000"/>
          <w:u w:val="single"/>
        </w:rPr>
        <w:lastRenderedPageBreak/>
        <w:t>Gleichzeitige Anwendung von biologischen DMARDs oder TNF</w:t>
      </w:r>
      <w:r w:rsidRPr="004F5FB4">
        <w:rPr>
          <w:color w:val="000000"/>
          <w:u w:val="single"/>
        </w:rPr>
        <w:noBreakHyphen/>
        <w:t>Antagonisten</w:t>
      </w:r>
    </w:p>
    <w:p w14:paraId="777E9991" w14:textId="77777777" w:rsidR="00C46587" w:rsidRPr="004F5FB4" w:rsidRDefault="00C46587" w:rsidP="00DC3A99">
      <w:pPr>
        <w:keepNext/>
        <w:rPr>
          <w:color w:val="000000"/>
        </w:rPr>
      </w:pPr>
    </w:p>
    <w:p w14:paraId="4ED642B1" w14:textId="77777777" w:rsidR="00C46587" w:rsidRPr="004F5FB4" w:rsidRDefault="00C46587" w:rsidP="00982118">
      <w:pPr>
        <w:rPr>
          <w:color w:val="000000"/>
        </w:rPr>
      </w:pPr>
      <w:r w:rsidRPr="004F5FB4">
        <w:rPr>
          <w:color w:val="000000"/>
        </w:rPr>
        <w:t>In klinischen Studien wurden bei gleichzeitiger Anwendung von Anakinra und einem anderen TNF</w:t>
      </w:r>
      <w:r w:rsidRPr="004F5FB4">
        <w:rPr>
          <w:color w:val="000000"/>
        </w:rPr>
        <w:noBreakHyphen/>
        <w:t>Antagonisten, Etanercept, schwere Infektionen beobachtet, während die Kombinationstherapie im Vergleich zur Etanercept-Monotherapie keinen zusätzlichen klinischen Nutzen aufwies. Aufgrund der Art der unerwünschten Ereignisse, die unter der Kombinationstherapie mit Etanercept und Anakinra beobachtet wurden, könnten ähnliche Toxizitäten auch aus der Kombination von Anakinra und anderen TNF</w:t>
      </w:r>
      <w:r w:rsidRPr="004F5FB4">
        <w:rPr>
          <w:color w:val="000000"/>
        </w:rPr>
        <w:noBreakHyphen/>
        <w:t>Antagonisten resultieren. Daher wird die Kombination von Adalimumab und Anakinra nicht empfohlen (siehe Abschnitt 4.5).</w:t>
      </w:r>
    </w:p>
    <w:p w14:paraId="0CC95340" w14:textId="77777777" w:rsidR="00C46587" w:rsidRPr="004F5FB4" w:rsidRDefault="00C46587" w:rsidP="00982118">
      <w:pPr>
        <w:rPr>
          <w:color w:val="000000"/>
        </w:rPr>
      </w:pPr>
    </w:p>
    <w:p w14:paraId="228B74A6" w14:textId="77777777" w:rsidR="00C46587" w:rsidRPr="004F5FB4" w:rsidRDefault="00C46587" w:rsidP="00982118">
      <w:pPr>
        <w:rPr>
          <w:color w:val="000000"/>
        </w:rPr>
      </w:pPr>
      <w:r w:rsidRPr="004F5FB4">
        <w:rPr>
          <w:color w:val="000000"/>
        </w:rPr>
        <w:t>Die gleichzeitige Anwendung von Adalimumab mit anderen biologischen DMARDs (z. B. Anakinra und Abatacept) oder anderen TNF</w:t>
      </w:r>
      <w:r w:rsidRPr="004F5FB4">
        <w:rPr>
          <w:color w:val="000000"/>
        </w:rPr>
        <w:noBreakHyphen/>
        <w:t>Antagonisten wird aufgrund des möglichen erhöhten Infektionsrisikos, einschließlich schwerwiegender Infektionen, und anderer möglicher pharmakologischer Interaktionen nicht empfohlen (siehe Abschnitt 4.5).</w:t>
      </w:r>
    </w:p>
    <w:p w14:paraId="5B06D932" w14:textId="77777777" w:rsidR="00C46587" w:rsidRPr="004F5FB4" w:rsidRDefault="00C46587" w:rsidP="00982118">
      <w:pPr>
        <w:rPr>
          <w:color w:val="000000"/>
        </w:rPr>
      </w:pPr>
    </w:p>
    <w:p w14:paraId="30C74BA6" w14:textId="77777777" w:rsidR="00C46587" w:rsidRPr="004F5FB4" w:rsidRDefault="00C46587" w:rsidP="00DC3A99">
      <w:pPr>
        <w:keepNext/>
        <w:rPr>
          <w:color w:val="000000"/>
          <w:u w:val="single"/>
        </w:rPr>
      </w:pPr>
      <w:r w:rsidRPr="004F5FB4">
        <w:rPr>
          <w:color w:val="000000"/>
          <w:u w:val="single"/>
        </w:rPr>
        <w:t>Operationen</w:t>
      </w:r>
    </w:p>
    <w:p w14:paraId="68ADFC24" w14:textId="77777777" w:rsidR="00C46587" w:rsidRPr="004F5FB4" w:rsidRDefault="00C46587" w:rsidP="00DC3A99">
      <w:pPr>
        <w:keepNext/>
        <w:rPr>
          <w:color w:val="000000"/>
        </w:rPr>
      </w:pPr>
    </w:p>
    <w:p w14:paraId="75AECCF0" w14:textId="77777777" w:rsidR="00C46587" w:rsidRPr="004F5FB4" w:rsidRDefault="00C46587" w:rsidP="00982118">
      <w:pPr>
        <w:rPr>
          <w:color w:val="000000"/>
        </w:rPr>
      </w:pPr>
      <w:r w:rsidRPr="004F5FB4">
        <w:rPr>
          <w:color w:val="000000"/>
        </w:rPr>
        <w:t>Es liegen begrenzte Erfahrungen hinsichtlich der Sicherheit von Adalimumab</w:t>
      </w:r>
      <w:r w:rsidR="008C0580" w:rsidRPr="004F5FB4">
        <w:rPr>
          <w:color w:val="000000"/>
        </w:rPr>
        <w:t xml:space="preserve"> im Rahmen von operativen Eingriffen</w:t>
      </w:r>
      <w:r w:rsidRPr="004F5FB4">
        <w:rPr>
          <w:color w:val="000000"/>
        </w:rPr>
        <w:t xml:space="preserve"> vor. Bei der Planung von operativen Eingriffen sollte die lange Halbwertszeit von Adalimumab berücksichtigt werden. Patienten, die während der Therapie mit Amsparity operiert werden, sollten im Hinblick auf Infektionen engmaschig überwacht und es sollten geeignete Maßnahmen ergriffen werden. Es liegen begrenzte Erfahrungen hinsichtlich der Sicherheit </w:t>
      </w:r>
      <w:r w:rsidR="00511E30" w:rsidRPr="004F5FB4">
        <w:rPr>
          <w:color w:val="000000"/>
        </w:rPr>
        <w:t>von Adalimumab im Rahmen von</w:t>
      </w:r>
      <w:r w:rsidRPr="004F5FB4">
        <w:rPr>
          <w:color w:val="000000"/>
        </w:rPr>
        <w:t xml:space="preserve"> Gelenkersatzoperation </w:t>
      </w:r>
      <w:r w:rsidR="00511E30" w:rsidRPr="004F5FB4">
        <w:rPr>
          <w:color w:val="000000"/>
        </w:rPr>
        <w:t>vor</w:t>
      </w:r>
      <w:r w:rsidRPr="004F5FB4">
        <w:rPr>
          <w:color w:val="000000"/>
        </w:rPr>
        <w:t>.</w:t>
      </w:r>
    </w:p>
    <w:p w14:paraId="4DF9078D" w14:textId="77777777" w:rsidR="00C46587" w:rsidRPr="004F5FB4" w:rsidRDefault="00C46587" w:rsidP="00982118">
      <w:pPr>
        <w:rPr>
          <w:color w:val="000000"/>
        </w:rPr>
      </w:pPr>
    </w:p>
    <w:p w14:paraId="65A38982" w14:textId="77777777" w:rsidR="00C46587" w:rsidRPr="004F5FB4" w:rsidRDefault="00150D33" w:rsidP="00982118">
      <w:pPr>
        <w:keepNext/>
        <w:rPr>
          <w:color w:val="000000"/>
          <w:u w:val="single"/>
        </w:rPr>
      </w:pPr>
      <w:r w:rsidRPr="004F5FB4">
        <w:rPr>
          <w:color w:val="000000"/>
          <w:u w:val="single"/>
        </w:rPr>
        <w:t>Dünndarmstenose</w:t>
      </w:r>
    </w:p>
    <w:p w14:paraId="4DDF1F89" w14:textId="77777777" w:rsidR="00C46587" w:rsidRPr="004F5FB4" w:rsidRDefault="00C46587" w:rsidP="00982118">
      <w:pPr>
        <w:keepNext/>
        <w:rPr>
          <w:color w:val="000000"/>
        </w:rPr>
      </w:pPr>
    </w:p>
    <w:p w14:paraId="03C9A669" w14:textId="77777777" w:rsidR="00C46587" w:rsidRPr="004F5FB4" w:rsidRDefault="00C46587" w:rsidP="00982118">
      <w:pPr>
        <w:rPr>
          <w:color w:val="000000"/>
        </w:rPr>
      </w:pPr>
      <w:r w:rsidRPr="004F5FB4">
        <w:rPr>
          <w:color w:val="000000"/>
        </w:rPr>
        <w:t>Ein unzureichendes Ansprechen auf die Behandlung bei Morbus Crohn kann ein Hinweis für eine fibrotische Stenose sein, die gegebenenfalls chirurgisch behandelt werden sollte. Nach den verfügbaren Daten scheint Adalimumab eine Stenose weder zu verschlimmern noch zu verursachen.</w:t>
      </w:r>
    </w:p>
    <w:p w14:paraId="6A01C33D" w14:textId="77777777" w:rsidR="00C46587" w:rsidRPr="004F5FB4" w:rsidRDefault="00C46587" w:rsidP="00982118">
      <w:pPr>
        <w:rPr>
          <w:color w:val="000000"/>
        </w:rPr>
      </w:pPr>
    </w:p>
    <w:p w14:paraId="60ABE4BC" w14:textId="77777777" w:rsidR="00C46587" w:rsidRPr="004F5FB4" w:rsidRDefault="00150D33" w:rsidP="00982118">
      <w:pPr>
        <w:keepNext/>
        <w:rPr>
          <w:color w:val="000000"/>
          <w:u w:val="single"/>
        </w:rPr>
      </w:pPr>
      <w:r w:rsidRPr="004F5FB4">
        <w:rPr>
          <w:color w:val="000000"/>
          <w:u w:val="single"/>
        </w:rPr>
        <w:t>Ältere Patienten</w:t>
      </w:r>
    </w:p>
    <w:p w14:paraId="3D72D784" w14:textId="77777777" w:rsidR="00C46587" w:rsidRPr="004F5FB4" w:rsidRDefault="00C46587" w:rsidP="00DC3A99">
      <w:pPr>
        <w:keepNext/>
        <w:rPr>
          <w:color w:val="000000"/>
        </w:rPr>
      </w:pPr>
    </w:p>
    <w:p w14:paraId="79C2A6E9" w14:textId="77777777" w:rsidR="00C46587" w:rsidRPr="004F5FB4" w:rsidRDefault="00C46587" w:rsidP="00982118">
      <w:pPr>
        <w:rPr>
          <w:color w:val="000000"/>
        </w:rPr>
      </w:pPr>
      <w:r w:rsidRPr="004F5FB4">
        <w:rPr>
          <w:color w:val="000000"/>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3B8A2F2F" w14:textId="77777777" w:rsidR="00C46587" w:rsidRPr="004F5FB4" w:rsidRDefault="00C46587" w:rsidP="00982118">
      <w:pPr>
        <w:rPr>
          <w:color w:val="000000"/>
        </w:rPr>
      </w:pPr>
    </w:p>
    <w:p w14:paraId="3F40DF56" w14:textId="77777777" w:rsidR="00C46587" w:rsidRPr="004F5FB4" w:rsidRDefault="00C46587" w:rsidP="00982118">
      <w:pPr>
        <w:keepNext/>
        <w:rPr>
          <w:color w:val="000000"/>
          <w:u w:val="single"/>
        </w:rPr>
      </w:pPr>
      <w:r w:rsidRPr="004F5FB4">
        <w:rPr>
          <w:color w:val="000000"/>
          <w:u w:val="single"/>
        </w:rPr>
        <w:t>Kinder und Jugendliche</w:t>
      </w:r>
    </w:p>
    <w:p w14:paraId="36C4C819" w14:textId="77777777" w:rsidR="00C46587" w:rsidRPr="004F5FB4" w:rsidRDefault="00C46587" w:rsidP="00982118">
      <w:pPr>
        <w:keepNext/>
        <w:rPr>
          <w:color w:val="000000"/>
        </w:rPr>
      </w:pPr>
    </w:p>
    <w:p w14:paraId="363D4977" w14:textId="77777777" w:rsidR="00C46587" w:rsidRPr="004F5FB4" w:rsidRDefault="00C46587" w:rsidP="00982118">
      <w:pPr>
        <w:rPr>
          <w:color w:val="000000"/>
        </w:rPr>
      </w:pPr>
      <w:r w:rsidRPr="004F5FB4">
        <w:rPr>
          <w:color w:val="000000"/>
        </w:rPr>
        <w:t>Zu Impfungen siehe oben.</w:t>
      </w:r>
    </w:p>
    <w:p w14:paraId="683820A9" w14:textId="77777777" w:rsidR="00CA2D0E" w:rsidRPr="004F5FB4" w:rsidRDefault="00CA2D0E" w:rsidP="00982118">
      <w:pPr>
        <w:rPr>
          <w:color w:val="000000"/>
          <w:u w:val="single"/>
        </w:rPr>
      </w:pPr>
    </w:p>
    <w:p w14:paraId="4C49E9B5" w14:textId="34AFD7F9" w:rsidR="00CA2D0E" w:rsidRPr="004F5FB4" w:rsidRDefault="00CA2D0E" w:rsidP="00DC3A99">
      <w:pPr>
        <w:keepNext/>
        <w:rPr>
          <w:color w:val="000000"/>
          <w:u w:val="single"/>
        </w:rPr>
      </w:pPr>
      <w:r w:rsidRPr="004F5FB4">
        <w:rPr>
          <w:color w:val="000000"/>
          <w:u w:val="single"/>
        </w:rPr>
        <w:t>Sonstige Bestandteil</w:t>
      </w:r>
      <w:r w:rsidR="00410062">
        <w:rPr>
          <w:color w:val="000000"/>
          <w:u w:val="single"/>
        </w:rPr>
        <w:t>e</w:t>
      </w:r>
      <w:r w:rsidR="00C33795">
        <w:rPr>
          <w:color w:val="000000"/>
          <w:u w:val="single"/>
        </w:rPr>
        <w:t xml:space="preserve"> </w:t>
      </w:r>
      <w:r w:rsidR="00C33795" w:rsidRPr="004F5FB4">
        <w:rPr>
          <w:color w:val="000000"/>
          <w:u w:val="single"/>
        </w:rPr>
        <w:t>mit bekannter Wirkung</w:t>
      </w:r>
    </w:p>
    <w:p w14:paraId="11C0A3BB" w14:textId="77777777" w:rsidR="00410062" w:rsidRDefault="00410062" w:rsidP="00410062">
      <w:pPr>
        <w:rPr>
          <w:i/>
        </w:rPr>
      </w:pPr>
    </w:p>
    <w:p w14:paraId="389BBE05" w14:textId="328775D8" w:rsidR="00410062" w:rsidRPr="007F47A9" w:rsidRDefault="00410062" w:rsidP="00410062">
      <w:pPr>
        <w:rPr>
          <w:i/>
          <w:iCs/>
        </w:rPr>
      </w:pPr>
      <w:r>
        <w:rPr>
          <w:i/>
        </w:rPr>
        <w:t>Polysorbat</w:t>
      </w:r>
      <w:r>
        <w:rPr>
          <w:i/>
        </w:rPr>
        <w:br/>
      </w:r>
    </w:p>
    <w:p w14:paraId="49D5A127" w14:textId="58FD3AE2" w:rsidR="00410062" w:rsidRPr="007F47A9" w:rsidRDefault="00410062" w:rsidP="00410062">
      <w:pPr>
        <w:rPr>
          <w:i/>
          <w:iCs/>
        </w:rPr>
      </w:pPr>
      <w:r>
        <w:t xml:space="preserve">Dieses Arzneimittel enthält Polysorbat 80. </w:t>
      </w:r>
      <w:r w:rsidR="00AF3097" w:rsidRPr="0004490E">
        <w:t xml:space="preserve">Amsparity 40 mg Injektionslösung enthält 0,16 mg Polysorbat 80 </w:t>
      </w:r>
      <w:r w:rsidR="004B4BD9">
        <w:t>pro</w:t>
      </w:r>
      <w:r w:rsidR="00AF3097" w:rsidRPr="0004490E">
        <w:t xml:space="preserve"> 0,8 ml Einzeldosis-Fertigspritze und Einzeldosis-Fertigpen, was 0,2 mg/ml Polysorbat 80 entspricht.</w:t>
      </w:r>
      <w:r w:rsidR="00AF3097">
        <w:t xml:space="preserve"> </w:t>
      </w:r>
      <w:r w:rsidR="005F7D13">
        <w:t xml:space="preserve">Polysorbate können allergische Reaktionen </w:t>
      </w:r>
      <w:r>
        <w:t>hervorrufen.</w:t>
      </w:r>
    </w:p>
    <w:p w14:paraId="23943F1E" w14:textId="77777777" w:rsidR="00410062" w:rsidRPr="00EC03BF" w:rsidRDefault="00410062" w:rsidP="00410062">
      <w:pPr>
        <w:rPr>
          <w:i/>
          <w:iCs/>
        </w:rPr>
      </w:pPr>
    </w:p>
    <w:p w14:paraId="4A979753" w14:textId="1E59292C" w:rsidR="00CA2D0E" w:rsidRPr="004F5FB4" w:rsidRDefault="00410062" w:rsidP="00EC03BF">
      <w:pPr>
        <w:rPr>
          <w:color w:val="000000"/>
        </w:rPr>
      </w:pPr>
      <w:r>
        <w:rPr>
          <w:i/>
        </w:rPr>
        <w:t>Natrium</w:t>
      </w:r>
      <w:r>
        <w:rPr>
          <w:i/>
        </w:rPr>
        <w:br/>
      </w:r>
    </w:p>
    <w:p w14:paraId="34952B70" w14:textId="77777777" w:rsidR="00C46587" w:rsidRPr="004F5FB4" w:rsidRDefault="0046573A" w:rsidP="00982118">
      <w:pPr>
        <w:rPr>
          <w:color w:val="000000"/>
        </w:rPr>
      </w:pPr>
      <w:r w:rsidRPr="004F5FB4">
        <w:rPr>
          <w:color w:val="000000"/>
        </w:rPr>
        <w:t>Amsparity</w:t>
      </w:r>
      <w:r w:rsidR="00CA2D0E" w:rsidRPr="004F5FB4">
        <w:rPr>
          <w:color w:val="000000"/>
        </w:rPr>
        <w:t xml:space="preserve"> enthält weniger als 1 mmol Natrium (23 mg) pro 0,8 ml Dosis, d</w:t>
      </w:r>
      <w:r w:rsidR="00953312" w:rsidRPr="004F5FB4">
        <w:rPr>
          <w:color w:val="000000"/>
        </w:rPr>
        <w:t>. h.</w:t>
      </w:r>
      <w:r w:rsidR="00511E30" w:rsidRPr="004F5FB4">
        <w:rPr>
          <w:color w:val="000000"/>
        </w:rPr>
        <w:t>,</w:t>
      </w:r>
      <w:r w:rsidR="00CA2D0E" w:rsidRPr="004F5FB4">
        <w:rPr>
          <w:color w:val="000000"/>
        </w:rPr>
        <w:t xml:space="preserve"> es ist nahezu „natriumfrei“.</w:t>
      </w:r>
    </w:p>
    <w:p w14:paraId="59B02AD2" w14:textId="77777777" w:rsidR="00CA2D0E" w:rsidRPr="004F5FB4" w:rsidRDefault="00CA2D0E" w:rsidP="00982118">
      <w:pPr>
        <w:rPr>
          <w:color w:val="000000"/>
        </w:rPr>
      </w:pPr>
    </w:p>
    <w:p w14:paraId="5667B0E6" w14:textId="77777777" w:rsidR="00C46587" w:rsidRPr="004F5FB4" w:rsidRDefault="00C46587" w:rsidP="00DC3A99">
      <w:pPr>
        <w:keepNext/>
        <w:tabs>
          <w:tab w:val="left" w:pos="562"/>
        </w:tabs>
        <w:rPr>
          <w:b/>
          <w:color w:val="000000"/>
        </w:rPr>
      </w:pPr>
      <w:r w:rsidRPr="004F5FB4">
        <w:rPr>
          <w:b/>
          <w:color w:val="000000"/>
        </w:rPr>
        <w:lastRenderedPageBreak/>
        <w:t>4.5</w:t>
      </w:r>
      <w:r w:rsidRPr="004F5FB4">
        <w:rPr>
          <w:b/>
          <w:color w:val="000000"/>
        </w:rPr>
        <w:tab/>
        <w:t>Wechselwirkungen mit anderen Arzneimitteln und sonstige Wechselwirkungen</w:t>
      </w:r>
    </w:p>
    <w:p w14:paraId="62FA55FF" w14:textId="77777777" w:rsidR="00C46587" w:rsidRPr="004F5FB4" w:rsidRDefault="00C46587" w:rsidP="00DC3A99">
      <w:pPr>
        <w:keepNext/>
        <w:rPr>
          <w:color w:val="000000"/>
        </w:rPr>
      </w:pPr>
    </w:p>
    <w:p w14:paraId="38C20DCD" w14:textId="77777777" w:rsidR="00C46587" w:rsidRPr="004F5FB4" w:rsidRDefault="005A4709" w:rsidP="00982118">
      <w:pPr>
        <w:rPr>
          <w:color w:val="000000"/>
        </w:rPr>
      </w:pPr>
      <w:r w:rsidRPr="004F5FB4">
        <w:rPr>
          <w:color w:val="000000"/>
        </w:rPr>
        <w:t>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Clearance und einer verminderten Wirksamkeit von Adalimumab (siehe Abschnitt</w:t>
      </w:r>
      <w:r w:rsidR="00473976" w:rsidRPr="004F5FB4">
        <w:rPr>
          <w:color w:val="000000"/>
        </w:rPr>
        <w:t> </w:t>
      </w:r>
      <w:r w:rsidRPr="004F5FB4">
        <w:rPr>
          <w:color w:val="000000"/>
        </w:rPr>
        <w:t>5.1).</w:t>
      </w:r>
    </w:p>
    <w:p w14:paraId="0798361C" w14:textId="77777777" w:rsidR="00C46587" w:rsidRPr="004F5FB4" w:rsidRDefault="00C46587" w:rsidP="00982118">
      <w:pPr>
        <w:rPr>
          <w:color w:val="000000"/>
        </w:rPr>
      </w:pPr>
    </w:p>
    <w:p w14:paraId="75609255" w14:textId="77777777" w:rsidR="00C46587" w:rsidRPr="004F5FB4" w:rsidRDefault="00C46587" w:rsidP="00982118">
      <w:pPr>
        <w:rPr>
          <w:color w:val="000000"/>
        </w:rPr>
      </w:pPr>
      <w:r w:rsidRPr="004F5FB4">
        <w:rPr>
          <w:color w:val="000000"/>
        </w:rPr>
        <w:t>Die Kombination von Amsparity und Anakinra wird nicht empfohlen (siehe in Abschnitt</w:t>
      </w:r>
      <w:r w:rsidR="00473976" w:rsidRPr="004F5FB4">
        <w:rPr>
          <w:color w:val="000000"/>
        </w:rPr>
        <w:t> </w:t>
      </w:r>
      <w:r w:rsidRPr="004F5FB4">
        <w:rPr>
          <w:color w:val="000000"/>
        </w:rPr>
        <w:t>4.4 „Gleichzeitige Anwendung von biologischen DMARDs oder TNF</w:t>
      </w:r>
      <w:r w:rsidRPr="004F5FB4">
        <w:rPr>
          <w:color w:val="000000"/>
        </w:rPr>
        <w:noBreakHyphen/>
        <w:t>Antagonisten“).</w:t>
      </w:r>
    </w:p>
    <w:p w14:paraId="14DAAFA2" w14:textId="77777777" w:rsidR="00C46587" w:rsidRPr="004F5FB4" w:rsidRDefault="00C46587" w:rsidP="00982118">
      <w:pPr>
        <w:rPr>
          <w:color w:val="000000"/>
        </w:rPr>
      </w:pPr>
    </w:p>
    <w:p w14:paraId="24908AEE" w14:textId="77777777" w:rsidR="00C46587" w:rsidRPr="004F5FB4" w:rsidRDefault="00C46587" w:rsidP="00982118">
      <w:pPr>
        <w:rPr>
          <w:color w:val="000000"/>
        </w:rPr>
      </w:pPr>
      <w:r w:rsidRPr="004F5FB4">
        <w:rPr>
          <w:color w:val="000000"/>
        </w:rPr>
        <w:t>Die Kombination von Amsparity und Abatacept wird nicht empfohlen (siehe in Abschnitt</w:t>
      </w:r>
      <w:r w:rsidR="00473976" w:rsidRPr="004F5FB4">
        <w:rPr>
          <w:color w:val="000000"/>
        </w:rPr>
        <w:t> </w:t>
      </w:r>
      <w:r w:rsidRPr="004F5FB4">
        <w:rPr>
          <w:color w:val="000000"/>
        </w:rPr>
        <w:t>4.4 „Gleichzeitige Anwendung von biologischen DMARDs oder TNF</w:t>
      </w:r>
      <w:r w:rsidRPr="004F5FB4">
        <w:rPr>
          <w:color w:val="000000"/>
        </w:rPr>
        <w:noBreakHyphen/>
        <w:t>Antagonisten“).</w:t>
      </w:r>
    </w:p>
    <w:p w14:paraId="582EA553" w14:textId="77777777" w:rsidR="00C46587" w:rsidRPr="004F5FB4" w:rsidRDefault="00C46587" w:rsidP="00982118">
      <w:pPr>
        <w:rPr>
          <w:color w:val="000000"/>
        </w:rPr>
      </w:pPr>
    </w:p>
    <w:p w14:paraId="10894B54" w14:textId="77777777" w:rsidR="00C46587" w:rsidRPr="004F5FB4" w:rsidRDefault="00C46587" w:rsidP="00DC3A99">
      <w:pPr>
        <w:keepNext/>
        <w:tabs>
          <w:tab w:val="left" w:pos="562"/>
        </w:tabs>
        <w:rPr>
          <w:b/>
          <w:color w:val="000000"/>
        </w:rPr>
      </w:pPr>
      <w:r w:rsidRPr="004F5FB4">
        <w:rPr>
          <w:b/>
          <w:color w:val="000000"/>
        </w:rPr>
        <w:t>4.6</w:t>
      </w:r>
      <w:r w:rsidRPr="004F5FB4">
        <w:rPr>
          <w:b/>
          <w:color w:val="000000"/>
        </w:rPr>
        <w:tab/>
        <w:t>Fertilität, Schwangerschaft und Stillzeit</w:t>
      </w:r>
    </w:p>
    <w:p w14:paraId="7E1B97C0" w14:textId="77777777" w:rsidR="00C46587" w:rsidRPr="004F5FB4" w:rsidRDefault="00C46587" w:rsidP="00DC3A99">
      <w:pPr>
        <w:keepNext/>
        <w:rPr>
          <w:color w:val="000000"/>
        </w:rPr>
      </w:pPr>
    </w:p>
    <w:p w14:paraId="03999079" w14:textId="77777777" w:rsidR="00065271" w:rsidRPr="004F5FB4" w:rsidRDefault="00065271" w:rsidP="00DC3A99">
      <w:pPr>
        <w:keepNext/>
        <w:rPr>
          <w:color w:val="000000"/>
          <w:u w:val="single"/>
        </w:rPr>
      </w:pPr>
      <w:r w:rsidRPr="004F5FB4">
        <w:rPr>
          <w:color w:val="000000"/>
          <w:u w:val="single"/>
        </w:rPr>
        <w:t>Frauen im gebärfähigen Alter</w:t>
      </w:r>
    </w:p>
    <w:p w14:paraId="35481ED7" w14:textId="77777777" w:rsidR="00065271" w:rsidRPr="004F5FB4" w:rsidRDefault="00065271" w:rsidP="00DC3A99">
      <w:pPr>
        <w:keepNext/>
        <w:rPr>
          <w:color w:val="000000"/>
        </w:rPr>
      </w:pPr>
    </w:p>
    <w:p w14:paraId="2AD3F061" w14:textId="77777777" w:rsidR="00065271" w:rsidRPr="004F5FB4" w:rsidRDefault="00065271" w:rsidP="00982118">
      <w:pPr>
        <w:autoSpaceDE w:val="0"/>
        <w:autoSpaceDN w:val="0"/>
        <w:adjustRightInd w:val="0"/>
        <w:rPr>
          <w:color w:val="000000"/>
        </w:rPr>
      </w:pPr>
      <w:r w:rsidRPr="004F5FB4">
        <w:rPr>
          <w:color w:val="000000"/>
        </w:rPr>
        <w:t>Frauen im gebärfähigen Alter sollten zur Vermeidung einer Schwangerschaft geeignete Empfängnisverhütungsmethoden in Erwägung ziehen und diese für mindestens fünf Monate nach der letzten Gabe von Amsparity fortführen.</w:t>
      </w:r>
    </w:p>
    <w:p w14:paraId="1FB97DA6" w14:textId="77777777" w:rsidR="00065271" w:rsidRPr="004F5FB4" w:rsidRDefault="00065271" w:rsidP="00982118">
      <w:pPr>
        <w:rPr>
          <w:color w:val="000000"/>
        </w:rPr>
      </w:pPr>
    </w:p>
    <w:p w14:paraId="2A161CED" w14:textId="77777777" w:rsidR="00065271" w:rsidRPr="004F5FB4" w:rsidRDefault="00065271" w:rsidP="00DC3A99">
      <w:pPr>
        <w:keepNext/>
        <w:rPr>
          <w:color w:val="000000"/>
          <w:u w:val="single"/>
        </w:rPr>
      </w:pPr>
      <w:r w:rsidRPr="004F5FB4">
        <w:rPr>
          <w:color w:val="000000"/>
          <w:u w:val="single"/>
        </w:rPr>
        <w:t>Schwangerschaft</w:t>
      </w:r>
    </w:p>
    <w:p w14:paraId="2D607ED9" w14:textId="77777777" w:rsidR="00065271" w:rsidRPr="004F5FB4" w:rsidRDefault="00065271" w:rsidP="00DC3A99">
      <w:pPr>
        <w:keepNext/>
        <w:rPr>
          <w:color w:val="000000"/>
        </w:rPr>
      </w:pPr>
    </w:p>
    <w:p w14:paraId="69EF20FF" w14:textId="77777777" w:rsidR="00065271" w:rsidRPr="004F5FB4" w:rsidRDefault="00065271" w:rsidP="00982118">
      <w:pPr>
        <w:autoSpaceDE w:val="0"/>
        <w:autoSpaceDN w:val="0"/>
        <w:adjustRightInd w:val="0"/>
        <w:rPr>
          <w:color w:val="000000"/>
        </w:rPr>
      </w:pPr>
      <w:r w:rsidRPr="004F5FB4">
        <w:rPr>
          <w:color w:val="000000"/>
        </w:rPr>
        <w:t>Die Auswertung einer großen Anzahl (etwa 2</w:t>
      </w:r>
      <w:r w:rsidR="00497E38" w:rsidRPr="004F5FB4">
        <w:rPr>
          <w:color w:val="000000"/>
        </w:rPr>
        <w:t>.</w:t>
      </w:r>
      <w:r w:rsidRPr="004F5FB4">
        <w:rPr>
          <w:color w:val="000000"/>
        </w:rPr>
        <w:t>100) prospektiv erfasster Schwangerschaften mit Exposition gegenüber Adalimumab und mit Lebendgeburten mit bekanntem Ausgang deutete nicht auf eine erhöhte Rate von Missbildungen bei Neugeborenen hin. Bei über 1</w:t>
      </w:r>
      <w:r w:rsidR="00497E38" w:rsidRPr="004F5FB4">
        <w:rPr>
          <w:color w:val="000000"/>
        </w:rPr>
        <w:t>.</w:t>
      </w:r>
      <w:r w:rsidRPr="004F5FB4">
        <w:rPr>
          <w:color w:val="000000"/>
        </w:rPr>
        <w:t>500 dieser Schwangerschaften fand die Exposition während des ersten Trimesters statt.</w:t>
      </w:r>
    </w:p>
    <w:p w14:paraId="15D1D27F" w14:textId="77777777" w:rsidR="00065271" w:rsidRPr="004F5FB4" w:rsidRDefault="00065271" w:rsidP="00982118">
      <w:pPr>
        <w:autoSpaceDE w:val="0"/>
        <w:autoSpaceDN w:val="0"/>
        <w:adjustRightInd w:val="0"/>
        <w:rPr>
          <w:color w:val="000000"/>
        </w:rPr>
      </w:pPr>
    </w:p>
    <w:p w14:paraId="2D850F48" w14:textId="77777777" w:rsidR="00A67540" w:rsidRPr="004F5FB4" w:rsidRDefault="00A67540" w:rsidP="00A67540">
      <w:pPr>
        <w:pStyle w:val="BodyText"/>
        <w:widowControl/>
        <w:kinsoku w:val="0"/>
        <w:overflowPunct w:val="0"/>
        <w:ind w:left="0"/>
        <w:rPr>
          <w:color w:val="000000"/>
        </w:rPr>
      </w:pPr>
      <w:r w:rsidRPr="004F5FB4">
        <w:rPr>
          <w:color w:val="000000"/>
        </w:rPr>
        <w:t>Folgende Probanden wurden in eine prospektive Kohortenstudie eingeschlossen: 257 Frauen mit rheumatoider Arthritis (RA) oder Morbus Crohn (MC), die mindestens während des ersten Trimesters mit Adalimumab behandelt wurden, sowie 120 Frauen mit RA oder MC, die nicht mit Adalimumab behandelt wurden. Der primäre Endpunkt war die Prävalenz schwerwiegender Geburtsfehler. Der Anteil an Schwangerschaften mit mindestens einem lebend geborenen Kind, das einen schwerwiegenden Geburtsfehler hatte, betrug 6/69 (8,7 %) bei mit Adalimumab behandelten Patientinnen mit RA, 5/74 (6,8 %) bei unbehandelten Frauen mit RA (nicht bereinigte OR</w:t>
      </w:r>
      <w:r w:rsidR="00FE614B" w:rsidRPr="004F5FB4">
        <w:rPr>
          <w:color w:val="000000"/>
        </w:rPr>
        <w:t> </w:t>
      </w:r>
      <w:r w:rsidRPr="004F5FB4">
        <w:rPr>
          <w:color w:val="000000"/>
        </w:rPr>
        <w:t>1,31; 95 % CI</w:t>
      </w:r>
      <w:r w:rsidR="00FE614B" w:rsidRPr="004F5FB4">
        <w:rPr>
          <w:color w:val="000000"/>
        </w:rPr>
        <w:t> </w:t>
      </w:r>
      <w:r w:rsidRPr="004F5FB4">
        <w:rPr>
          <w:color w:val="000000"/>
        </w:rPr>
        <w:t>0,38 – 4,52); 16/152 (10,5 %) bei mit Adalimumab behandelten Patientinnen mit MC und 3/32 (9,4 %) bei unbehandelten Frauen mit MC (nicht bereinigte OR 1,14; 95 % CI</w:t>
      </w:r>
      <w:r w:rsidR="00FE614B" w:rsidRPr="004F5FB4">
        <w:rPr>
          <w:color w:val="000000"/>
        </w:rPr>
        <w:t> </w:t>
      </w:r>
      <w:r w:rsidRPr="004F5FB4">
        <w:rPr>
          <w:color w:val="000000"/>
        </w:rPr>
        <w:t>0,31 – 4,16). Die bereinigte OR (die Unterschiede bei Baseline miteinbezieht) betrug für RA und MC zusammen insgesamt 1,10 (95 %</w:t>
      </w:r>
      <w:r w:rsidR="00FE614B" w:rsidRPr="004F5FB4">
        <w:rPr>
          <w:color w:val="000000"/>
        </w:rPr>
        <w:t> </w:t>
      </w:r>
      <w:r w:rsidRPr="004F5FB4">
        <w:rPr>
          <w:color w:val="000000"/>
        </w:rPr>
        <w:t>CI</w:t>
      </w:r>
      <w:r w:rsidR="00FE614B" w:rsidRPr="004F5FB4">
        <w:rPr>
          <w:color w:val="000000"/>
        </w:rPr>
        <w:t> </w:t>
      </w:r>
      <w:r w:rsidRPr="004F5FB4">
        <w:rPr>
          <w:color w:val="000000"/>
        </w:rPr>
        <w:t>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Infektionen. Es wurden keine Totgeburten oder maligne Erkrankungen berichtet. Die Auswertung der Daten kann durch die methodologischen Einschränkungen der Registerstudie beeinflusst sein, darunter eine kleine Fallzahl und ein nicht randomisiertes Design.</w:t>
      </w:r>
    </w:p>
    <w:p w14:paraId="64A7F906" w14:textId="77777777" w:rsidR="00065271" w:rsidRPr="004F5FB4" w:rsidRDefault="00065271" w:rsidP="00982118">
      <w:pPr>
        <w:autoSpaceDE w:val="0"/>
        <w:autoSpaceDN w:val="0"/>
        <w:adjustRightInd w:val="0"/>
        <w:rPr>
          <w:color w:val="000000"/>
        </w:rPr>
      </w:pPr>
    </w:p>
    <w:p w14:paraId="1B093A0B" w14:textId="77777777" w:rsidR="00065271" w:rsidRPr="004F5FB4" w:rsidRDefault="00065271" w:rsidP="00982118">
      <w:pPr>
        <w:autoSpaceDE w:val="0"/>
        <w:autoSpaceDN w:val="0"/>
        <w:adjustRightInd w:val="0"/>
        <w:rPr>
          <w:color w:val="000000"/>
        </w:rPr>
      </w:pPr>
      <w:r w:rsidRPr="004F5FB4">
        <w:rPr>
          <w:color w:val="000000"/>
        </w:rPr>
        <w:t>Eine Studie zur Entwicklungstoxizität an Affen ergab keine Hinweise auf eine maternale Toxizität, Embryotoxizität oder Teratogenität. Präklinische Daten zur postnatalen Toxizität von Adalimumab liegen nicht vor (siehe Abschnitt 5.3).</w:t>
      </w:r>
    </w:p>
    <w:p w14:paraId="4C0469D3" w14:textId="77777777" w:rsidR="00065271" w:rsidRPr="004F5FB4" w:rsidRDefault="00065271" w:rsidP="00982118">
      <w:pPr>
        <w:rPr>
          <w:color w:val="000000"/>
        </w:rPr>
      </w:pPr>
    </w:p>
    <w:p w14:paraId="605C9579" w14:textId="77777777" w:rsidR="00065271" w:rsidRPr="004F5FB4" w:rsidRDefault="00065271" w:rsidP="00982118">
      <w:pPr>
        <w:autoSpaceDE w:val="0"/>
        <w:autoSpaceDN w:val="0"/>
        <w:adjustRightInd w:val="0"/>
        <w:rPr>
          <w:color w:val="000000"/>
        </w:rPr>
      </w:pPr>
      <w:r w:rsidRPr="004F5FB4">
        <w:rPr>
          <w:color w:val="000000"/>
        </w:rPr>
        <w:t>Bei Anwendung von Adalimumab während der Schwangerschaft könnten wegen der TNF-α-Hemmung die normalen Immunreaktionen des Neugeborenen beeinflusst werden. Adalimumab sollte während einer Schwangerschaft nur angewendet werden, wenn dies eindeutig erforderlich ist.</w:t>
      </w:r>
    </w:p>
    <w:p w14:paraId="5ADF2A48" w14:textId="77777777" w:rsidR="00065271" w:rsidRPr="004F5FB4" w:rsidRDefault="00065271" w:rsidP="00982118">
      <w:pPr>
        <w:autoSpaceDE w:val="0"/>
        <w:autoSpaceDN w:val="0"/>
        <w:adjustRightInd w:val="0"/>
        <w:rPr>
          <w:color w:val="000000"/>
        </w:rPr>
      </w:pPr>
    </w:p>
    <w:p w14:paraId="3E65F881" w14:textId="77777777" w:rsidR="00065271" w:rsidRPr="004F5FB4" w:rsidRDefault="00065271" w:rsidP="00982118">
      <w:pPr>
        <w:autoSpaceDE w:val="0"/>
        <w:autoSpaceDN w:val="0"/>
        <w:adjustRightInd w:val="0"/>
        <w:rPr>
          <w:color w:val="000000"/>
        </w:rPr>
      </w:pPr>
      <w:r w:rsidRPr="004F5FB4">
        <w:rPr>
          <w:color w:val="000000"/>
        </w:rPr>
        <w:lastRenderedPageBreak/>
        <w:t xml:space="preserve">Wenn Mütter während der Schwangerschaft mit Adalimumab behandelt wurden, gelangt Adalimumab möglicherweise über die Plazenta in das Serum von Säuglingen. Infolgedessen haben diese Säuglinge eventuell ein erhöhtes Risiko für Infektionen. </w:t>
      </w:r>
      <w:r w:rsidR="003F4867" w:rsidRPr="004F5FB4">
        <w:rPr>
          <w:color w:val="000000"/>
        </w:rPr>
        <w:t>Die Verabreichung von Lebendimpfstoffen (z. B. BCG-Vakzine) an</w:t>
      </w:r>
      <w:r w:rsidRPr="004F5FB4">
        <w:rPr>
          <w:color w:val="000000"/>
        </w:rPr>
        <w:t xml:space="preserve"> Säuglinge, die </w:t>
      </w:r>
      <w:r w:rsidRPr="004F5FB4">
        <w:rPr>
          <w:i/>
          <w:color w:val="000000"/>
        </w:rPr>
        <w:t>in utero</w:t>
      </w:r>
      <w:r w:rsidRPr="004F5FB4">
        <w:rPr>
          <w:color w:val="000000"/>
        </w:rPr>
        <w:t xml:space="preserve"> Adalimumab ausgesetzt waren, </w:t>
      </w:r>
      <w:r w:rsidR="003F4867" w:rsidRPr="004F5FB4">
        <w:rPr>
          <w:color w:val="000000"/>
        </w:rPr>
        <w:t>ist für</w:t>
      </w:r>
      <w:r w:rsidRPr="004F5FB4">
        <w:rPr>
          <w:color w:val="000000"/>
        </w:rPr>
        <w:t xml:space="preserve"> 5 Monate nach der letzten Gabe von Adalimumab bei der Mutter während der Schwangerschaft </w:t>
      </w:r>
      <w:r w:rsidR="003F4867" w:rsidRPr="004F5FB4">
        <w:rPr>
          <w:color w:val="000000"/>
        </w:rPr>
        <w:t>nicht empfohlen</w:t>
      </w:r>
      <w:r w:rsidRPr="004F5FB4">
        <w:rPr>
          <w:color w:val="000000"/>
        </w:rPr>
        <w:t>.</w:t>
      </w:r>
    </w:p>
    <w:p w14:paraId="68FB395D" w14:textId="77777777" w:rsidR="00065271" w:rsidRPr="004F5FB4" w:rsidRDefault="00065271" w:rsidP="00982118">
      <w:pPr>
        <w:autoSpaceDE w:val="0"/>
        <w:autoSpaceDN w:val="0"/>
        <w:adjustRightInd w:val="0"/>
        <w:rPr>
          <w:color w:val="000000"/>
        </w:rPr>
      </w:pPr>
    </w:p>
    <w:p w14:paraId="08D49016" w14:textId="77777777" w:rsidR="00065271" w:rsidRPr="004F5FB4" w:rsidRDefault="00065271" w:rsidP="00DC3A99">
      <w:pPr>
        <w:keepNext/>
        <w:rPr>
          <w:color w:val="000000"/>
          <w:u w:val="single"/>
        </w:rPr>
      </w:pPr>
      <w:r w:rsidRPr="004F5FB4">
        <w:rPr>
          <w:color w:val="000000"/>
          <w:u w:val="single"/>
        </w:rPr>
        <w:t>Stillzeit</w:t>
      </w:r>
    </w:p>
    <w:p w14:paraId="5DA853AA" w14:textId="77777777" w:rsidR="00065271" w:rsidRPr="004F5FB4" w:rsidRDefault="00065271" w:rsidP="00DC3A99">
      <w:pPr>
        <w:keepNext/>
        <w:rPr>
          <w:color w:val="000000"/>
        </w:rPr>
      </w:pPr>
    </w:p>
    <w:p w14:paraId="1D9E7907" w14:textId="77777777" w:rsidR="00065271" w:rsidRPr="004F5FB4" w:rsidRDefault="00065271" w:rsidP="00982118">
      <w:pPr>
        <w:autoSpaceDE w:val="0"/>
        <w:autoSpaceDN w:val="0"/>
        <w:adjustRightInd w:val="0"/>
        <w:rPr>
          <w:color w:val="000000"/>
        </w:rPr>
      </w:pPr>
      <w:r w:rsidRPr="004F5FB4">
        <w:rPr>
          <w:color w:val="000000"/>
        </w:rPr>
        <w:t>Eingeschränkte Informationen aus der veröffentlichten Literatur lassen darauf schließen, dass Adalimumab in sehr geringer Konzentration (zwischen 0,1 – 1 % des Serumspiegels der Mutter) in die Muttermilch übergeht. Bei oraler Anwendung durchlaufen Proteine des Typs Immunglobulin G eine intestinale Proteolyse und weisen eine schlechte Bioverfügbarkeit auf. Es werden keine Auswirkungen auf die gestillten Neugeborenen/</w:t>
      </w:r>
      <w:r w:rsidR="006C10EE" w:rsidRPr="004F5FB4">
        <w:rPr>
          <w:color w:val="000000"/>
        </w:rPr>
        <w:t xml:space="preserve"> </w:t>
      </w:r>
      <w:r w:rsidRPr="004F5FB4">
        <w:rPr>
          <w:color w:val="000000"/>
        </w:rPr>
        <w:t>Säuglinge erwartet. Folglich kann Amsparity während der Stillzeit angewendet werden.</w:t>
      </w:r>
    </w:p>
    <w:p w14:paraId="6395B3F8" w14:textId="77777777" w:rsidR="00065271" w:rsidRPr="004F5FB4" w:rsidRDefault="00065271" w:rsidP="00982118">
      <w:pPr>
        <w:autoSpaceDE w:val="0"/>
        <w:autoSpaceDN w:val="0"/>
        <w:adjustRightInd w:val="0"/>
        <w:rPr>
          <w:color w:val="000000"/>
        </w:rPr>
      </w:pPr>
    </w:p>
    <w:p w14:paraId="0126144E" w14:textId="77777777" w:rsidR="00065271" w:rsidRPr="004F5FB4" w:rsidRDefault="00065271" w:rsidP="00DC3A99">
      <w:pPr>
        <w:keepNext/>
        <w:rPr>
          <w:color w:val="000000"/>
          <w:u w:val="single"/>
        </w:rPr>
      </w:pPr>
      <w:r w:rsidRPr="004F5FB4">
        <w:rPr>
          <w:color w:val="000000"/>
          <w:u w:val="single"/>
        </w:rPr>
        <w:t>Fertilität</w:t>
      </w:r>
    </w:p>
    <w:p w14:paraId="2CE59455" w14:textId="77777777" w:rsidR="00065271" w:rsidRPr="004F5FB4" w:rsidRDefault="00065271" w:rsidP="00DC3A99">
      <w:pPr>
        <w:keepNext/>
        <w:rPr>
          <w:color w:val="000000"/>
        </w:rPr>
      </w:pPr>
    </w:p>
    <w:p w14:paraId="7E7849DB" w14:textId="77777777" w:rsidR="00065271" w:rsidRPr="004F5FB4" w:rsidRDefault="00065271" w:rsidP="00982118">
      <w:pPr>
        <w:rPr>
          <w:color w:val="000000"/>
        </w:rPr>
      </w:pPr>
      <w:r w:rsidRPr="004F5FB4">
        <w:rPr>
          <w:color w:val="000000"/>
        </w:rPr>
        <w:t>Präklinische Daten zu Auswirkungen von Adalimumab auf die Fertilität liegen nicht vor.</w:t>
      </w:r>
    </w:p>
    <w:p w14:paraId="67B65F1D" w14:textId="77777777" w:rsidR="00065271" w:rsidRPr="004F5FB4" w:rsidRDefault="00065271" w:rsidP="00982118">
      <w:pPr>
        <w:rPr>
          <w:color w:val="000000"/>
        </w:rPr>
      </w:pPr>
    </w:p>
    <w:p w14:paraId="5A6BCA34" w14:textId="77777777" w:rsidR="00C46587" w:rsidRPr="004F5FB4" w:rsidRDefault="00C46587" w:rsidP="00D4051F">
      <w:pPr>
        <w:keepNext/>
        <w:tabs>
          <w:tab w:val="left" w:pos="562"/>
        </w:tabs>
        <w:ind w:left="561" w:hanging="561"/>
        <w:rPr>
          <w:b/>
          <w:color w:val="000000"/>
        </w:rPr>
      </w:pPr>
      <w:r w:rsidRPr="004F5FB4">
        <w:rPr>
          <w:b/>
          <w:color w:val="000000"/>
        </w:rPr>
        <w:t>4.7</w:t>
      </w:r>
      <w:r w:rsidRPr="004F5FB4">
        <w:rPr>
          <w:b/>
          <w:color w:val="000000"/>
        </w:rPr>
        <w:tab/>
        <w:t xml:space="preserve">Auswirkungen auf die Verkehrstüchtigkeit und die Fähigkeit zum Bedienen von Maschinen </w:t>
      </w:r>
    </w:p>
    <w:p w14:paraId="74391197" w14:textId="77777777" w:rsidR="00C46587" w:rsidRPr="004F5FB4" w:rsidRDefault="00C46587" w:rsidP="00150D33">
      <w:pPr>
        <w:keepNext/>
        <w:rPr>
          <w:color w:val="000000"/>
        </w:rPr>
      </w:pPr>
    </w:p>
    <w:p w14:paraId="4C64D2DA" w14:textId="77777777" w:rsidR="00C46587" w:rsidRPr="004F5FB4" w:rsidRDefault="005A4709" w:rsidP="00982118">
      <w:pPr>
        <w:rPr>
          <w:color w:val="000000"/>
        </w:rPr>
      </w:pPr>
      <w:r w:rsidRPr="004F5FB4">
        <w:rPr>
          <w:color w:val="000000"/>
        </w:rPr>
        <w:t>A</w:t>
      </w:r>
      <w:r w:rsidR="0046573A" w:rsidRPr="004F5FB4">
        <w:rPr>
          <w:color w:val="000000"/>
        </w:rPr>
        <w:t>msparity</w:t>
      </w:r>
      <w:r w:rsidRPr="004F5FB4">
        <w:rPr>
          <w:color w:val="000000"/>
        </w:rPr>
        <w:t xml:space="preserve"> kann einen geringen Einfluss auf die Verkehrstüchtigkeit und die Fähigkeit zum Bedienen von Maschinen haben. Es können nach Verabreichung von Amsparity Schwindel und eine Beeinträchtigung des Sehvermögens auftreten (siehe Abschnitt</w:t>
      </w:r>
      <w:r w:rsidR="006C10EE" w:rsidRPr="004F5FB4">
        <w:rPr>
          <w:color w:val="000000"/>
        </w:rPr>
        <w:t> </w:t>
      </w:r>
      <w:r w:rsidRPr="004F5FB4">
        <w:rPr>
          <w:color w:val="000000"/>
        </w:rPr>
        <w:t>4.8).</w:t>
      </w:r>
    </w:p>
    <w:p w14:paraId="52F9DEEB" w14:textId="77777777" w:rsidR="00C46587" w:rsidRPr="004F5FB4" w:rsidRDefault="00C46587" w:rsidP="00982118">
      <w:pPr>
        <w:rPr>
          <w:color w:val="000000"/>
        </w:rPr>
      </w:pPr>
    </w:p>
    <w:p w14:paraId="56E9C286" w14:textId="77777777" w:rsidR="00C46587" w:rsidRPr="004F5FB4" w:rsidRDefault="00C46587" w:rsidP="00DC3A99">
      <w:pPr>
        <w:keepNext/>
        <w:tabs>
          <w:tab w:val="left" w:pos="562"/>
        </w:tabs>
        <w:rPr>
          <w:b/>
          <w:color w:val="000000"/>
        </w:rPr>
      </w:pPr>
      <w:r w:rsidRPr="004F5FB4">
        <w:rPr>
          <w:b/>
          <w:color w:val="000000"/>
        </w:rPr>
        <w:t>4.8</w:t>
      </w:r>
      <w:r w:rsidR="00F17530" w:rsidRPr="004F5FB4">
        <w:rPr>
          <w:b/>
          <w:color w:val="000000"/>
        </w:rPr>
        <w:tab/>
      </w:r>
      <w:r w:rsidRPr="004F5FB4">
        <w:rPr>
          <w:b/>
          <w:color w:val="000000"/>
        </w:rPr>
        <w:t xml:space="preserve">Nebenwirkungen </w:t>
      </w:r>
    </w:p>
    <w:p w14:paraId="60D870C2" w14:textId="77777777" w:rsidR="00C46587" w:rsidRPr="004F5FB4" w:rsidRDefault="00C46587" w:rsidP="00DC3A99">
      <w:pPr>
        <w:keepNext/>
        <w:rPr>
          <w:color w:val="000000"/>
        </w:rPr>
      </w:pPr>
    </w:p>
    <w:p w14:paraId="6A6AB9C3" w14:textId="77777777" w:rsidR="00C46587" w:rsidRPr="004F5FB4" w:rsidRDefault="00C46587" w:rsidP="00DC3A99">
      <w:pPr>
        <w:keepNext/>
        <w:rPr>
          <w:color w:val="000000"/>
          <w:u w:val="single"/>
        </w:rPr>
      </w:pPr>
      <w:r w:rsidRPr="004F5FB4">
        <w:rPr>
          <w:color w:val="000000"/>
          <w:u w:val="single"/>
        </w:rPr>
        <w:t>Zusammenfassung des Sicherheitsprofils</w:t>
      </w:r>
    </w:p>
    <w:p w14:paraId="1B654E46" w14:textId="77777777" w:rsidR="00C46587" w:rsidRPr="004F5FB4" w:rsidRDefault="00C46587" w:rsidP="00DC3A99">
      <w:pPr>
        <w:keepNext/>
        <w:rPr>
          <w:color w:val="000000"/>
        </w:rPr>
      </w:pPr>
    </w:p>
    <w:p w14:paraId="1878A481" w14:textId="77777777" w:rsidR="00C46587" w:rsidRPr="004F5FB4" w:rsidRDefault="005A4709" w:rsidP="00982118">
      <w:pPr>
        <w:rPr>
          <w:color w:val="000000"/>
        </w:rPr>
      </w:pPr>
      <w:r w:rsidRPr="004F5FB4">
        <w:rPr>
          <w:color w:val="000000"/>
        </w:rPr>
        <w:t>Adalimumab wurde bei 9.506</w:t>
      </w:r>
      <w:r w:rsidR="006C10EE" w:rsidRPr="004F5FB4">
        <w:rPr>
          <w:color w:val="000000"/>
        </w:rPr>
        <w:t> </w:t>
      </w:r>
      <w:r w:rsidRPr="004F5FB4">
        <w:rPr>
          <w:color w:val="000000"/>
        </w:rPr>
        <w:t xml:space="preserve">Patienten in kontrollierten Zulassungsstudien und offenen </w:t>
      </w:r>
      <w:r w:rsidR="003F4867" w:rsidRPr="004F5FB4">
        <w:rPr>
          <w:color w:val="000000"/>
        </w:rPr>
        <w:t>Erweiterungss</w:t>
      </w:r>
      <w:r w:rsidRPr="004F5FB4">
        <w:rPr>
          <w:color w:val="000000"/>
        </w:rPr>
        <w:t>tudien über einen Zeitraum von bis zu 60</w:t>
      </w:r>
      <w:r w:rsidR="006C10EE" w:rsidRPr="004F5FB4">
        <w:rPr>
          <w:color w:val="000000"/>
        </w:rPr>
        <w:t> </w:t>
      </w:r>
      <w:r w:rsidRPr="004F5FB4">
        <w:rPr>
          <w:color w:val="000000"/>
        </w:rPr>
        <w:t>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und Uveitis. Die pivotalen kontrollierten Studien umfassten 6.089 mit Adalimumab behandelte Patienten und 3.801</w:t>
      </w:r>
      <w:r w:rsidR="006C10EE" w:rsidRPr="004F5FB4">
        <w:rPr>
          <w:color w:val="000000"/>
        </w:rPr>
        <w:t> </w:t>
      </w:r>
      <w:r w:rsidRPr="004F5FB4">
        <w:rPr>
          <w:color w:val="000000"/>
        </w:rPr>
        <w:t>Patienten, die während der kontrollierten Studienphase Placebo oder eine aktive Vergleichssubstanz erhielten.</w:t>
      </w:r>
    </w:p>
    <w:p w14:paraId="674BB0DE" w14:textId="77777777" w:rsidR="00C46587" w:rsidRPr="004F5FB4" w:rsidRDefault="00C46587" w:rsidP="00982118">
      <w:pPr>
        <w:rPr>
          <w:color w:val="000000"/>
        </w:rPr>
      </w:pPr>
    </w:p>
    <w:p w14:paraId="5DCD23D7" w14:textId="77777777" w:rsidR="00C46587" w:rsidRPr="004F5FB4" w:rsidRDefault="00C46587" w:rsidP="00982118">
      <w:pPr>
        <w:rPr>
          <w:color w:val="000000"/>
        </w:rPr>
      </w:pPr>
      <w:r w:rsidRPr="004F5FB4">
        <w:rPr>
          <w:color w:val="000000"/>
        </w:rPr>
        <w:t>Der Anteil der Patienten, die die Behandlung während der doppelblinden, kontrollierten Phase der pivotalen Studien aufgrund unerwünschter Ereignisse abbrachen, betrug 5,9 % in der Adalimumab -Gruppe und 5,4 % in der Kontrollgruppe.</w:t>
      </w:r>
    </w:p>
    <w:p w14:paraId="21E4DE3A" w14:textId="77777777" w:rsidR="00C46587" w:rsidRPr="004F5FB4" w:rsidRDefault="00C46587" w:rsidP="00982118">
      <w:pPr>
        <w:rPr>
          <w:color w:val="000000"/>
        </w:rPr>
      </w:pPr>
    </w:p>
    <w:p w14:paraId="642E18DB" w14:textId="77777777" w:rsidR="00C46587" w:rsidRPr="004F5FB4" w:rsidRDefault="00C46587" w:rsidP="00982118">
      <w:pPr>
        <w:rPr>
          <w:color w:val="000000"/>
        </w:rPr>
      </w:pPr>
      <w:r w:rsidRPr="004F5FB4">
        <w:rPr>
          <w:color w:val="000000"/>
        </w:rPr>
        <w:t>Die am häufigsten berichteten Nebenwirkungen sind Infektionen (wie z. B. Nasopharyngitis, Infektion im oberen Respirationstrakt und Sinusitis), Reaktionen an der Injektionsstelle (Erytheme, Juckreiz, Hämorrhagien, Schmerzen oder Schwellungen), Kopfschmerzen und muskuloskelettale Schmerzen.</w:t>
      </w:r>
    </w:p>
    <w:p w14:paraId="577C75D4" w14:textId="77777777" w:rsidR="00C46587" w:rsidRPr="004F5FB4" w:rsidRDefault="00C46587" w:rsidP="00982118">
      <w:pPr>
        <w:rPr>
          <w:color w:val="000000"/>
        </w:rPr>
      </w:pPr>
    </w:p>
    <w:p w14:paraId="5CC131E9" w14:textId="77777777" w:rsidR="00CA2D0E" w:rsidRPr="004F5FB4" w:rsidRDefault="00C46587" w:rsidP="00982118">
      <w:pPr>
        <w:rPr>
          <w:color w:val="000000"/>
        </w:rPr>
      </w:pPr>
      <w:r w:rsidRPr="004F5FB4">
        <w:rPr>
          <w:color w:val="000000"/>
        </w:rPr>
        <w:t>Es wurden für Adalimumab schwerwiegende Nebenwirkungen berichtet. TNF</w:t>
      </w:r>
      <w:r w:rsidRPr="004F5FB4">
        <w:rPr>
          <w:color w:val="000000"/>
        </w:rPr>
        <w:noBreakHyphen/>
        <w:t>Antagonisten, wie z. B. Adalimumab, beeinflussen das Immunsystem, und ihre Anwendung kann die körpereigene Abwehr gegen Infektionen und Krebs beeinflussen.</w:t>
      </w:r>
    </w:p>
    <w:p w14:paraId="7AA4A70F" w14:textId="77777777" w:rsidR="00CA2D0E" w:rsidRPr="004F5FB4" w:rsidRDefault="00CA2D0E" w:rsidP="00982118">
      <w:pPr>
        <w:rPr>
          <w:color w:val="000000"/>
        </w:rPr>
      </w:pPr>
    </w:p>
    <w:p w14:paraId="19A9EE7A" w14:textId="77777777" w:rsidR="00C46587" w:rsidRPr="004F5FB4" w:rsidRDefault="00C46587" w:rsidP="00982118">
      <w:pPr>
        <w:rPr>
          <w:color w:val="000000"/>
        </w:rPr>
      </w:pPr>
      <w:r w:rsidRPr="004F5FB4">
        <w:rPr>
          <w:color w:val="000000"/>
        </w:rPr>
        <w:t>Tödlich verlaufende und lebensbedrohende Infektionen (einschließlich Sepsis, opportunistischer Infektionen und TB), HBV-Reaktivierung und verschiedene maligne Erkrankungen (einschließlich Leukämie, Lymphome und HSTCL) sind auch unter der Anwendung von Adalimumab berichtet worden.</w:t>
      </w:r>
    </w:p>
    <w:p w14:paraId="272E73E5" w14:textId="77777777" w:rsidR="00C46587" w:rsidRPr="004F5FB4" w:rsidRDefault="00C46587" w:rsidP="00982118">
      <w:pPr>
        <w:rPr>
          <w:color w:val="000000"/>
        </w:rPr>
      </w:pPr>
    </w:p>
    <w:p w14:paraId="3C20ED29" w14:textId="77777777" w:rsidR="00C46587" w:rsidRPr="004F5FB4" w:rsidRDefault="00C46587" w:rsidP="00982118">
      <w:pPr>
        <w:rPr>
          <w:color w:val="000000"/>
        </w:rPr>
      </w:pPr>
      <w:r w:rsidRPr="004F5FB4">
        <w:rPr>
          <w:color w:val="000000"/>
        </w:rPr>
        <w:lastRenderedPageBreak/>
        <w:t>Schwerwiegende hämatologische, neurologische und Autoimmunreaktionen sind ebenfalls berichtet worden. Diese umfassen seltene Berichte zu Panzytopenie, aplastischer Anämie, zentralen und peripheren Demyelinisierungen und Berichte zu Lupus, lupusähnlichen Zuständen und Stevens</w:t>
      </w:r>
      <w:r w:rsidRPr="004F5FB4">
        <w:rPr>
          <w:color w:val="000000"/>
        </w:rPr>
        <w:noBreakHyphen/>
        <w:t>Johnson-Syndrom.</w:t>
      </w:r>
    </w:p>
    <w:p w14:paraId="563716FC" w14:textId="77777777" w:rsidR="00C46587" w:rsidRPr="004F5FB4" w:rsidRDefault="00C46587" w:rsidP="00982118">
      <w:pPr>
        <w:rPr>
          <w:color w:val="000000"/>
        </w:rPr>
      </w:pPr>
    </w:p>
    <w:p w14:paraId="1A799A44" w14:textId="77777777" w:rsidR="00C46587" w:rsidRPr="004F5FB4" w:rsidRDefault="00C46587" w:rsidP="00982118">
      <w:pPr>
        <w:keepNext/>
        <w:rPr>
          <w:color w:val="000000"/>
          <w:u w:val="single"/>
        </w:rPr>
      </w:pPr>
      <w:r w:rsidRPr="004F5FB4">
        <w:rPr>
          <w:color w:val="000000"/>
          <w:u w:val="single"/>
        </w:rPr>
        <w:t>Kinder und Jugendliche</w:t>
      </w:r>
    </w:p>
    <w:p w14:paraId="461FD894" w14:textId="77777777" w:rsidR="00C46587" w:rsidRPr="004F5FB4" w:rsidRDefault="00C46587" w:rsidP="00DC3A99">
      <w:pPr>
        <w:keepNext/>
        <w:rPr>
          <w:color w:val="000000"/>
        </w:rPr>
      </w:pPr>
    </w:p>
    <w:p w14:paraId="4EC4703E" w14:textId="77777777" w:rsidR="00C46587" w:rsidRPr="004F5FB4" w:rsidRDefault="00C46587" w:rsidP="00982118">
      <w:pPr>
        <w:rPr>
          <w:color w:val="000000"/>
        </w:rPr>
      </w:pPr>
      <w:r w:rsidRPr="004F5FB4">
        <w:rPr>
          <w:color w:val="000000"/>
        </w:rPr>
        <w:t xml:space="preserve">Im Allgemeinen waren die bei </w:t>
      </w:r>
      <w:r w:rsidR="00401A02" w:rsidRPr="004F5FB4">
        <w:rPr>
          <w:color w:val="000000"/>
        </w:rPr>
        <w:t>Kindern und Jugendlichen</w:t>
      </w:r>
      <w:r w:rsidRPr="004F5FB4">
        <w:rPr>
          <w:color w:val="000000"/>
        </w:rPr>
        <w:t xml:space="preserve"> beobachteten unerwünschten Ereignisse bezüglich Häufigkeit und Art ähnlich denjenigen, die bei erwachsenen Patienten beobachtet wurden.</w:t>
      </w:r>
    </w:p>
    <w:p w14:paraId="6112E97E" w14:textId="77777777" w:rsidR="00C46587" w:rsidRPr="004F5FB4" w:rsidRDefault="00C46587" w:rsidP="00982118">
      <w:pPr>
        <w:rPr>
          <w:color w:val="000000"/>
        </w:rPr>
      </w:pPr>
    </w:p>
    <w:p w14:paraId="2D9460FD" w14:textId="77777777" w:rsidR="00C46587" w:rsidRPr="004F5FB4" w:rsidRDefault="00C46587" w:rsidP="00982118">
      <w:pPr>
        <w:keepNext/>
        <w:rPr>
          <w:color w:val="000000"/>
          <w:u w:val="single"/>
        </w:rPr>
      </w:pPr>
      <w:r w:rsidRPr="004F5FB4">
        <w:rPr>
          <w:color w:val="000000"/>
          <w:u w:val="single"/>
        </w:rPr>
        <w:t>Tabellarische Auflistung der Nebenwirkungen</w:t>
      </w:r>
    </w:p>
    <w:p w14:paraId="30599810" w14:textId="77777777" w:rsidR="00C46587" w:rsidRPr="004F5FB4" w:rsidRDefault="00C46587" w:rsidP="00DC3A99">
      <w:pPr>
        <w:keepNext/>
        <w:rPr>
          <w:color w:val="000000"/>
        </w:rPr>
      </w:pPr>
    </w:p>
    <w:p w14:paraId="782B6298" w14:textId="77777777" w:rsidR="00A67540" w:rsidRPr="004F5FB4" w:rsidRDefault="00A67540" w:rsidP="00A67540">
      <w:pPr>
        <w:pStyle w:val="BodyText"/>
        <w:widowControl/>
        <w:kinsoku w:val="0"/>
        <w:overflowPunct w:val="0"/>
        <w:ind w:left="0"/>
        <w:rPr>
          <w:color w:val="000000"/>
        </w:rPr>
      </w:pPr>
      <w:r w:rsidRPr="004F5FB4">
        <w:rPr>
          <w:color w:val="000000"/>
        </w:rPr>
        <w:t>Die folgende Auflistung von Nebenwirkungen basiert auf der Erfahrung aus klinischen Studien und auf der Erfahrung nach der Markteinführung und ist in der nachstehenden Tabelle </w:t>
      </w:r>
      <w:r w:rsidR="00A7183E">
        <w:rPr>
          <w:color w:val="000000"/>
        </w:rPr>
        <w:t>7</w:t>
      </w:r>
      <w:r w:rsidRPr="004F5FB4">
        <w:rPr>
          <w:color w:val="000000"/>
        </w:rPr>
        <w:t xml:space="preserve"> nach Systemorganklasse und Häufigkeit dargestellt: sehr häufig (≥ 1/10); häufig (≥ 1/100 bis &lt; 1/10); gelegentlich (≥ 1/1.000 bis &lt; 1/100); selten (≥ 1/10.000 bis &lt; 1/1.000)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337257AE" w14:textId="77777777" w:rsidR="00CA2D0E" w:rsidRPr="004F5FB4" w:rsidRDefault="00CA2D0E" w:rsidP="00982118">
      <w:pPr>
        <w:rPr>
          <w:color w:val="000000"/>
        </w:rPr>
      </w:pPr>
    </w:p>
    <w:p w14:paraId="449A8ECB" w14:textId="77777777" w:rsidR="00FA0342" w:rsidRPr="004F5FB4" w:rsidRDefault="00A67540" w:rsidP="00D4051F">
      <w:pPr>
        <w:pStyle w:val="BodyText"/>
        <w:keepNext/>
        <w:keepLines/>
        <w:widowControl/>
        <w:kinsoku w:val="0"/>
        <w:overflowPunct w:val="0"/>
        <w:ind w:left="0"/>
        <w:rPr>
          <w:b/>
          <w:color w:val="000000"/>
        </w:rPr>
      </w:pPr>
      <w:r w:rsidRPr="004F5FB4">
        <w:rPr>
          <w:b/>
          <w:color w:val="000000"/>
        </w:rPr>
        <w:lastRenderedPageBreak/>
        <w:t>Tabelle</w:t>
      </w:r>
      <w:r w:rsidR="00A7183E">
        <w:rPr>
          <w:b/>
          <w:color w:val="000000"/>
        </w:rPr>
        <w:t> 7</w:t>
      </w:r>
    </w:p>
    <w:p w14:paraId="7864E0C1" w14:textId="77777777" w:rsidR="00A67540" w:rsidRPr="004F5FB4" w:rsidRDefault="00A67540" w:rsidP="00D4051F">
      <w:pPr>
        <w:pStyle w:val="BodyText"/>
        <w:keepNext/>
        <w:keepLines/>
        <w:widowControl/>
        <w:kinsoku w:val="0"/>
        <w:overflowPunct w:val="0"/>
        <w:ind w:left="0"/>
        <w:rPr>
          <w:b/>
          <w:color w:val="000000"/>
        </w:rPr>
      </w:pPr>
      <w:r w:rsidRPr="004F5FB4">
        <w:rPr>
          <w:b/>
          <w:color w:val="000000"/>
        </w:rPr>
        <w:t>Nebenwirkungen</w:t>
      </w:r>
    </w:p>
    <w:p w14:paraId="510F323D" w14:textId="77777777" w:rsidR="00C46587" w:rsidRPr="004F5FB4" w:rsidRDefault="00C46587" w:rsidP="00800BA5">
      <w:pPr>
        <w:keepNext/>
        <w:rPr>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2462"/>
        <w:gridCol w:w="2587"/>
      </w:tblGrid>
      <w:tr w:rsidR="00CA2D0E" w:rsidRPr="004F5FB4" w14:paraId="40CDBF9F" w14:textId="77777777" w:rsidTr="008419B6">
        <w:trPr>
          <w:cantSplit/>
          <w:tblHeader/>
        </w:trPr>
        <w:tc>
          <w:tcPr>
            <w:tcW w:w="4147" w:type="dxa"/>
            <w:tcBorders>
              <w:top w:val="single" w:sz="4" w:space="0" w:color="auto"/>
              <w:left w:val="single" w:sz="4" w:space="0" w:color="auto"/>
              <w:bottom w:val="single" w:sz="4" w:space="0" w:color="auto"/>
              <w:right w:val="single" w:sz="4" w:space="0" w:color="auto"/>
            </w:tcBorders>
            <w:hideMark/>
          </w:tcPr>
          <w:p w14:paraId="4F073E2D" w14:textId="77777777" w:rsidR="00CA2D0E" w:rsidRPr="004F5FB4" w:rsidRDefault="00CA2D0E" w:rsidP="00800BA5">
            <w:pPr>
              <w:keepNext/>
              <w:jc w:val="center"/>
              <w:rPr>
                <w:b/>
                <w:color w:val="000000"/>
              </w:rPr>
            </w:pPr>
            <w:r w:rsidRPr="004F5FB4">
              <w:rPr>
                <w:b/>
                <w:color w:val="000000"/>
              </w:rPr>
              <w:t>Systemorganklasse</w:t>
            </w:r>
          </w:p>
        </w:tc>
        <w:tc>
          <w:tcPr>
            <w:tcW w:w="2557" w:type="dxa"/>
            <w:tcBorders>
              <w:top w:val="single" w:sz="4" w:space="0" w:color="auto"/>
              <w:left w:val="single" w:sz="4" w:space="0" w:color="auto"/>
              <w:bottom w:val="single" w:sz="4" w:space="0" w:color="auto"/>
              <w:right w:val="single" w:sz="4" w:space="0" w:color="auto"/>
            </w:tcBorders>
            <w:hideMark/>
          </w:tcPr>
          <w:p w14:paraId="63E93364" w14:textId="77777777" w:rsidR="00CA2D0E" w:rsidRPr="004F5FB4" w:rsidRDefault="00CA2D0E" w:rsidP="00800BA5">
            <w:pPr>
              <w:keepNext/>
              <w:jc w:val="center"/>
              <w:rPr>
                <w:b/>
                <w:color w:val="000000"/>
              </w:rPr>
            </w:pPr>
            <w:r w:rsidRPr="004F5FB4">
              <w:rPr>
                <w:b/>
                <w:color w:val="000000"/>
              </w:rPr>
              <w:t>Häufigkeit</w:t>
            </w:r>
          </w:p>
        </w:tc>
        <w:tc>
          <w:tcPr>
            <w:tcW w:w="0" w:type="auto"/>
            <w:tcBorders>
              <w:top w:val="single" w:sz="4" w:space="0" w:color="auto"/>
              <w:left w:val="single" w:sz="4" w:space="0" w:color="auto"/>
              <w:bottom w:val="single" w:sz="4" w:space="0" w:color="auto"/>
              <w:right w:val="single" w:sz="4" w:space="0" w:color="auto"/>
            </w:tcBorders>
            <w:hideMark/>
          </w:tcPr>
          <w:p w14:paraId="04656484" w14:textId="77777777" w:rsidR="00CA2D0E" w:rsidRPr="004F5FB4" w:rsidRDefault="00CA2D0E" w:rsidP="00800BA5">
            <w:pPr>
              <w:keepNext/>
              <w:jc w:val="center"/>
              <w:rPr>
                <w:b/>
                <w:color w:val="000000"/>
              </w:rPr>
            </w:pPr>
            <w:r w:rsidRPr="004F5FB4">
              <w:rPr>
                <w:b/>
                <w:color w:val="000000"/>
              </w:rPr>
              <w:t>Nebenwirkung</w:t>
            </w:r>
          </w:p>
        </w:tc>
      </w:tr>
      <w:tr w:rsidR="00CA2D0E" w:rsidRPr="004F5FB4" w14:paraId="3EB4A095"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303CFBEC" w14:textId="77777777" w:rsidR="00CA2D0E" w:rsidRPr="004F5FB4" w:rsidRDefault="00CA2D0E" w:rsidP="00800BA5">
            <w:pPr>
              <w:keepNext/>
              <w:rPr>
                <w:color w:val="000000"/>
              </w:rPr>
            </w:pPr>
            <w:r w:rsidRPr="004F5FB4">
              <w:rPr>
                <w:color w:val="000000"/>
              </w:rPr>
              <w:t>Infektionen und parasitäre Erkrankungen*</w:t>
            </w:r>
          </w:p>
        </w:tc>
        <w:tc>
          <w:tcPr>
            <w:tcW w:w="2557" w:type="dxa"/>
            <w:tcBorders>
              <w:top w:val="single" w:sz="4" w:space="0" w:color="auto"/>
              <w:left w:val="single" w:sz="4" w:space="0" w:color="auto"/>
              <w:right w:val="single" w:sz="4" w:space="0" w:color="auto"/>
            </w:tcBorders>
          </w:tcPr>
          <w:p w14:paraId="2E995950" w14:textId="77777777" w:rsidR="00CA2D0E" w:rsidRPr="004F5FB4" w:rsidRDefault="00CA2D0E" w:rsidP="00800BA5">
            <w:pPr>
              <w:keepNext/>
              <w:rPr>
                <w:color w:val="000000"/>
              </w:rPr>
            </w:pPr>
            <w:r w:rsidRPr="004F5FB4">
              <w:rPr>
                <w:color w:val="000000"/>
              </w:rPr>
              <w:t>Sehr häufig</w:t>
            </w:r>
          </w:p>
          <w:p w14:paraId="4C041DF7" w14:textId="77777777" w:rsidR="00CA2D0E" w:rsidRPr="004F5FB4" w:rsidRDefault="00CA2D0E" w:rsidP="00800BA5">
            <w:pPr>
              <w:keepNext/>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54FE66A5" w14:textId="77777777" w:rsidR="00CA2D0E" w:rsidRPr="004F5FB4" w:rsidRDefault="00CA2D0E" w:rsidP="00D4051F">
            <w:pPr>
              <w:keepNext/>
              <w:rPr>
                <w:color w:val="000000"/>
              </w:rPr>
            </w:pPr>
            <w:r w:rsidRPr="004F5FB4">
              <w:rPr>
                <w:color w:val="000000"/>
              </w:rPr>
              <w:t>Infektionen des Respirationstraktes (einschließlich des unteren und oberen Respirationstraktes, Pneumonie, Sinusitis, Pharyngitis, Nasopharyngitis und virale Herpespneumonie)</w:t>
            </w:r>
          </w:p>
        </w:tc>
      </w:tr>
      <w:tr w:rsidR="00CA2D0E" w:rsidRPr="004F5FB4" w14:paraId="405ED213" w14:textId="77777777" w:rsidTr="008419B6">
        <w:trPr>
          <w:cantSplit/>
        </w:trPr>
        <w:tc>
          <w:tcPr>
            <w:tcW w:w="4147" w:type="dxa"/>
            <w:vMerge/>
            <w:tcBorders>
              <w:left w:val="single" w:sz="4" w:space="0" w:color="auto"/>
              <w:right w:val="single" w:sz="4" w:space="0" w:color="auto"/>
            </w:tcBorders>
          </w:tcPr>
          <w:p w14:paraId="32814966" w14:textId="77777777" w:rsidR="00CA2D0E" w:rsidRPr="004F5FB4" w:rsidRDefault="00CA2D0E" w:rsidP="00982118">
            <w:pPr>
              <w:rPr>
                <w:color w:val="000000"/>
              </w:rPr>
            </w:pPr>
          </w:p>
        </w:tc>
        <w:tc>
          <w:tcPr>
            <w:tcW w:w="2557" w:type="dxa"/>
            <w:tcBorders>
              <w:left w:val="single" w:sz="4" w:space="0" w:color="auto"/>
              <w:right w:val="single" w:sz="4" w:space="0" w:color="auto"/>
            </w:tcBorders>
          </w:tcPr>
          <w:p w14:paraId="24E99CA8" w14:textId="77777777" w:rsidR="00CA2D0E" w:rsidRPr="004F5FB4" w:rsidRDefault="00CA2D0E" w:rsidP="00982118">
            <w:pPr>
              <w:rPr>
                <w:color w:val="000000"/>
              </w:rPr>
            </w:pPr>
            <w:r w:rsidRPr="004F5FB4">
              <w:rPr>
                <w:color w:val="000000"/>
              </w:rPr>
              <w:t>Häufig</w:t>
            </w:r>
          </w:p>
          <w:p w14:paraId="312BA143" w14:textId="77777777" w:rsidR="00CA2D0E" w:rsidRPr="004F5FB4" w:rsidRDefault="00CA2D0E" w:rsidP="00982118">
            <w:pPr>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71D66513" w14:textId="77777777" w:rsidR="00CA2D0E" w:rsidRPr="004F5FB4" w:rsidRDefault="00CA2D0E" w:rsidP="00982118">
            <w:pPr>
              <w:rPr>
                <w:color w:val="000000"/>
              </w:rPr>
            </w:pPr>
            <w:r w:rsidRPr="004F5FB4">
              <w:rPr>
                <w:color w:val="000000"/>
              </w:rPr>
              <w:t xml:space="preserve">systemische Infektionen (einschließlich Sepsis, Candidiasis und Influenza), </w:t>
            </w:r>
          </w:p>
          <w:p w14:paraId="48F06CA8" w14:textId="77777777" w:rsidR="00CA2D0E" w:rsidRPr="004F5FB4" w:rsidRDefault="00CA2D0E" w:rsidP="00982118">
            <w:pPr>
              <w:rPr>
                <w:color w:val="000000"/>
              </w:rPr>
            </w:pPr>
            <w:r w:rsidRPr="004F5FB4">
              <w:rPr>
                <w:color w:val="000000"/>
              </w:rPr>
              <w:t xml:space="preserve">intestinale Infektionen (einschließlich viraler Gastroenteritis), </w:t>
            </w:r>
          </w:p>
          <w:p w14:paraId="4A855274" w14:textId="77777777" w:rsidR="00CA2D0E" w:rsidRPr="004F5FB4" w:rsidRDefault="00CA2D0E" w:rsidP="00982118">
            <w:pPr>
              <w:rPr>
                <w:color w:val="000000"/>
              </w:rPr>
            </w:pPr>
            <w:r w:rsidRPr="004F5FB4">
              <w:rPr>
                <w:color w:val="000000"/>
              </w:rPr>
              <w:t xml:space="preserve">Haut- und Weichteilinfektionen (einschließlich Paronychie, Zellgewebsentzündung, Impetigo, nekrotisierender Fasciitis und Herpes zoster), </w:t>
            </w:r>
          </w:p>
          <w:p w14:paraId="77B91BC8" w14:textId="77777777" w:rsidR="00CA2D0E" w:rsidRPr="004F5FB4" w:rsidRDefault="00CA2D0E" w:rsidP="00982118">
            <w:pPr>
              <w:rPr>
                <w:color w:val="000000"/>
              </w:rPr>
            </w:pPr>
            <w:r w:rsidRPr="004F5FB4">
              <w:rPr>
                <w:color w:val="000000"/>
              </w:rPr>
              <w:t xml:space="preserve">Ohrinfektionen, </w:t>
            </w:r>
          </w:p>
          <w:p w14:paraId="136BBA3A" w14:textId="77777777" w:rsidR="00CA2D0E" w:rsidRPr="004F5FB4" w:rsidRDefault="00CA2D0E" w:rsidP="00982118">
            <w:pPr>
              <w:rPr>
                <w:color w:val="000000"/>
              </w:rPr>
            </w:pPr>
            <w:r w:rsidRPr="004F5FB4">
              <w:rPr>
                <w:color w:val="000000"/>
              </w:rPr>
              <w:t xml:space="preserve">Mundinfektionen (einschließlich Herpes simplex, Mundherpes und Zahninfektionen), </w:t>
            </w:r>
          </w:p>
          <w:p w14:paraId="26D3EC35" w14:textId="77777777" w:rsidR="00CA2D0E" w:rsidRPr="004F5FB4" w:rsidRDefault="00CA2D0E" w:rsidP="00982118">
            <w:pPr>
              <w:rPr>
                <w:color w:val="000000"/>
              </w:rPr>
            </w:pPr>
            <w:r w:rsidRPr="004F5FB4">
              <w:rPr>
                <w:color w:val="000000"/>
              </w:rPr>
              <w:t xml:space="preserve">Genitaltraktinfektionen (einschließlich vulvovaginaler Pilzinfektion), </w:t>
            </w:r>
          </w:p>
          <w:p w14:paraId="2B197C61" w14:textId="77777777" w:rsidR="00CA2D0E" w:rsidRPr="004F5FB4" w:rsidRDefault="00CA2D0E" w:rsidP="00982118">
            <w:pPr>
              <w:rPr>
                <w:color w:val="000000"/>
              </w:rPr>
            </w:pPr>
            <w:r w:rsidRPr="004F5FB4">
              <w:rPr>
                <w:color w:val="000000"/>
              </w:rPr>
              <w:t xml:space="preserve">Harnwegsinfektionen (einschließlich Pyelonephritis), </w:t>
            </w:r>
          </w:p>
          <w:p w14:paraId="0BC567E3" w14:textId="77777777" w:rsidR="00CA2D0E" w:rsidRPr="004F5FB4" w:rsidRDefault="00CA2D0E" w:rsidP="00982118">
            <w:pPr>
              <w:rPr>
                <w:color w:val="000000"/>
              </w:rPr>
            </w:pPr>
            <w:r w:rsidRPr="004F5FB4">
              <w:rPr>
                <w:color w:val="000000"/>
              </w:rPr>
              <w:t xml:space="preserve">Pilzinfektionen, </w:t>
            </w:r>
          </w:p>
          <w:p w14:paraId="2F2F305B" w14:textId="77777777" w:rsidR="00CA2D0E" w:rsidRPr="004F5FB4" w:rsidDel="00955F88" w:rsidRDefault="00CA2D0E" w:rsidP="00D4051F">
            <w:pPr>
              <w:rPr>
                <w:color w:val="000000"/>
                <w:lang w:val="en-GB"/>
              </w:rPr>
            </w:pPr>
            <w:r w:rsidRPr="004F5FB4">
              <w:rPr>
                <w:color w:val="000000"/>
              </w:rPr>
              <w:t>Gelenkinfektionen</w:t>
            </w:r>
          </w:p>
        </w:tc>
      </w:tr>
      <w:tr w:rsidR="00CA2D0E" w:rsidRPr="004F5FB4" w14:paraId="32EE2430" w14:textId="77777777" w:rsidTr="008419B6">
        <w:trPr>
          <w:cantSplit/>
        </w:trPr>
        <w:tc>
          <w:tcPr>
            <w:tcW w:w="4147" w:type="dxa"/>
            <w:vMerge/>
            <w:tcBorders>
              <w:left w:val="single" w:sz="4" w:space="0" w:color="auto"/>
              <w:bottom w:val="single" w:sz="4" w:space="0" w:color="auto"/>
              <w:right w:val="single" w:sz="4" w:space="0" w:color="auto"/>
            </w:tcBorders>
          </w:tcPr>
          <w:p w14:paraId="10ADF387" w14:textId="77777777" w:rsidR="00CA2D0E" w:rsidRPr="004F5FB4" w:rsidRDefault="00CA2D0E" w:rsidP="00982118">
            <w:pPr>
              <w:rPr>
                <w:color w:val="000000"/>
                <w:lang w:val="en-GB"/>
              </w:rPr>
            </w:pPr>
          </w:p>
        </w:tc>
        <w:tc>
          <w:tcPr>
            <w:tcW w:w="2557" w:type="dxa"/>
            <w:tcBorders>
              <w:left w:val="single" w:sz="4" w:space="0" w:color="auto"/>
              <w:bottom w:val="single" w:sz="4" w:space="0" w:color="auto"/>
              <w:right w:val="single" w:sz="4" w:space="0" w:color="auto"/>
            </w:tcBorders>
          </w:tcPr>
          <w:p w14:paraId="7C644699" w14:textId="77777777" w:rsidR="00CA2D0E" w:rsidRPr="004F5FB4" w:rsidRDefault="00CA2D0E" w:rsidP="00982118">
            <w:pPr>
              <w:rPr>
                <w:color w:val="000000"/>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2DF56381" w14:textId="77777777" w:rsidR="00CA2D0E" w:rsidRPr="004F5FB4" w:rsidRDefault="00CA2D0E" w:rsidP="00982118">
            <w:pPr>
              <w:keepNext/>
              <w:autoSpaceDE w:val="0"/>
              <w:autoSpaceDN w:val="0"/>
              <w:adjustRightInd w:val="0"/>
              <w:rPr>
                <w:color w:val="000000"/>
              </w:rPr>
            </w:pPr>
            <w:r w:rsidRPr="004F5FB4">
              <w:rPr>
                <w:color w:val="000000"/>
              </w:rPr>
              <w:t>neurologische Infektionen (einschließlich viraler Meningitis),</w:t>
            </w:r>
          </w:p>
          <w:p w14:paraId="39F71285" w14:textId="77777777" w:rsidR="00CA2D0E" w:rsidRPr="004F5FB4" w:rsidRDefault="00CA2D0E" w:rsidP="00982118">
            <w:pPr>
              <w:keepNext/>
              <w:autoSpaceDE w:val="0"/>
              <w:autoSpaceDN w:val="0"/>
              <w:adjustRightInd w:val="0"/>
              <w:rPr>
                <w:color w:val="000000"/>
              </w:rPr>
            </w:pPr>
            <w:r w:rsidRPr="004F5FB4">
              <w:rPr>
                <w:color w:val="000000"/>
              </w:rPr>
              <w:t>opportunistische Infektionen und Tuberkulose (einschließlich Kokzidioidomykose, Histoplasmose und komplexe Infektion durch Mycobacterium avium),</w:t>
            </w:r>
          </w:p>
          <w:p w14:paraId="568E5D2B" w14:textId="77777777" w:rsidR="00CA2D0E" w:rsidRPr="004F5FB4" w:rsidRDefault="00CA2D0E" w:rsidP="00982118">
            <w:pPr>
              <w:keepNext/>
              <w:autoSpaceDE w:val="0"/>
              <w:autoSpaceDN w:val="0"/>
              <w:adjustRightInd w:val="0"/>
              <w:rPr>
                <w:color w:val="000000"/>
              </w:rPr>
            </w:pPr>
            <w:r w:rsidRPr="004F5FB4">
              <w:rPr>
                <w:color w:val="000000"/>
              </w:rPr>
              <w:t>bakterielle Infektionen,</w:t>
            </w:r>
          </w:p>
          <w:p w14:paraId="2E992732" w14:textId="77777777" w:rsidR="00CA2D0E" w:rsidRPr="004F5FB4" w:rsidRDefault="00CA2D0E" w:rsidP="00982118">
            <w:pPr>
              <w:keepNext/>
              <w:autoSpaceDE w:val="0"/>
              <w:autoSpaceDN w:val="0"/>
              <w:adjustRightInd w:val="0"/>
              <w:rPr>
                <w:color w:val="000000"/>
              </w:rPr>
            </w:pPr>
            <w:r w:rsidRPr="004F5FB4">
              <w:rPr>
                <w:color w:val="000000"/>
              </w:rPr>
              <w:t>Augeninfektionen,</w:t>
            </w:r>
          </w:p>
          <w:p w14:paraId="44816435" w14:textId="77777777" w:rsidR="00CA2D0E" w:rsidRPr="004F5FB4" w:rsidDel="00955F88" w:rsidRDefault="00CA2D0E" w:rsidP="00D4051F">
            <w:pPr>
              <w:rPr>
                <w:color w:val="000000"/>
                <w:lang w:val="en-GB"/>
              </w:rPr>
            </w:pPr>
            <w:r w:rsidRPr="004F5FB4">
              <w:rPr>
                <w:color w:val="000000"/>
              </w:rPr>
              <w:t>Divertikulitis</w:t>
            </w:r>
            <w:r w:rsidRPr="004F5FB4">
              <w:rPr>
                <w:color w:val="000000"/>
                <w:vertAlign w:val="superscript"/>
              </w:rPr>
              <w:t>1</w:t>
            </w:r>
          </w:p>
        </w:tc>
      </w:tr>
      <w:tr w:rsidR="00CA2D0E" w:rsidRPr="004F5FB4" w14:paraId="1A9EEC5F"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4EF2498" w14:textId="77777777" w:rsidR="00CA2D0E" w:rsidRPr="004F5FB4" w:rsidRDefault="00CA2D0E" w:rsidP="00982118">
            <w:pPr>
              <w:keepNext/>
              <w:rPr>
                <w:color w:val="000000"/>
              </w:rPr>
            </w:pPr>
            <w:r w:rsidRPr="004F5FB4">
              <w:rPr>
                <w:color w:val="000000"/>
              </w:rPr>
              <w:lastRenderedPageBreak/>
              <w:t>Gutartige, bösartige und unspezifische Neubildungen (einschließlich Zysten und Polypen)*</w:t>
            </w:r>
          </w:p>
        </w:tc>
        <w:tc>
          <w:tcPr>
            <w:tcW w:w="2557" w:type="dxa"/>
            <w:tcBorders>
              <w:top w:val="single" w:sz="4" w:space="0" w:color="auto"/>
              <w:left w:val="single" w:sz="4" w:space="0" w:color="auto"/>
              <w:bottom w:val="single" w:sz="4" w:space="0" w:color="auto"/>
              <w:right w:val="single" w:sz="4" w:space="0" w:color="auto"/>
            </w:tcBorders>
          </w:tcPr>
          <w:p w14:paraId="155BCF49" w14:textId="77777777" w:rsidR="00CA2D0E" w:rsidRPr="004F5FB4" w:rsidRDefault="00CA2D0E" w:rsidP="00982118">
            <w:pPr>
              <w:keepNext/>
              <w:rPr>
                <w:color w:val="000000"/>
              </w:rPr>
            </w:pPr>
            <w:r w:rsidRPr="004F5FB4">
              <w:rPr>
                <w:color w:val="000000"/>
              </w:rPr>
              <w:t>Häufig</w:t>
            </w:r>
          </w:p>
          <w:p w14:paraId="7E2BE4EE" w14:textId="77777777" w:rsidR="00CA2D0E" w:rsidRPr="004F5FB4" w:rsidRDefault="00CA2D0E" w:rsidP="00982118">
            <w:pPr>
              <w:keepNext/>
              <w:rPr>
                <w:color w:val="000000"/>
                <w:lang w:val="en-GB"/>
              </w:rPr>
            </w:pPr>
          </w:p>
        </w:tc>
        <w:tc>
          <w:tcPr>
            <w:tcW w:w="0" w:type="auto"/>
            <w:tcBorders>
              <w:top w:val="single" w:sz="4" w:space="0" w:color="auto"/>
              <w:left w:val="single" w:sz="4" w:space="0" w:color="auto"/>
              <w:right w:val="single" w:sz="4" w:space="0" w:color="auto"/>
            </w:tcBorders>
          </w:tcPr>
          <w:p w14:paraId="74FA6E40" w14:textId="77777777" w:rsidR="00CA2D0E" w:rsidRPr="004F5FB4" w:rsidRDefault="00CA2D0E" w:rsidP="00982118">
            <w:pPr>
              <w:keepNext/>
              <w:rPr>
                <w:color w:val="000000"/>
              </w:rPr>
            </w:pPr>
            <w:r w:rsidRPr="004F5FB4">
              <w:rPr>
                <w:color w:val="000000"/>
              </w:rPr>
              <w:t>Hautkrebs außer Melanom (einschließlich Basalzellkarzinom und Plattenepithelkarzinom),</w:t>
            </w:r>
          </w:p>
          <w:p w14:paraId="46648DC1" w14:textId="77777777" w:rsidR="00CA2D0E" w:rsidRPr="004F5FB4" w:rsidRDefault="00CA2D0E" w:rsidP="00D4051F">
            <w:pPr>
              <w:keepNext/>
              <w:rPr>
                <w:color w:val="000000"/>
                <w:lang w:val="en-GB"/>
              </w:rPr>
            </w:pPr>
            <w:r w:rsidRPr="004F5FB4">
              <w:rPr>
                <w:color w:val="000000"/>
              </w:rPr>
              <w:t>gutartiges Neoplasma</w:t>
            </w:r>
          </w:p>
        </w:tc>
      </w:tr>
      <w:tr w:rsidR="00CA2D0E" w:rsidRPr="004F5FB4" w14:paraId="1D2CE7A4" w14:textId="77777777" w:rsidTr="008419B6">
        <w:trPr>
          <w:cantSplit/>
        </w:trPr>
        <w:tc>
          <w:tcPr>
            <w:tcW w:w="4147" w:type="dxa"/>
            <w:vMerge/>
            <w:tcBorders>
              <w:left w:val="single" w:sz="4" w:space="0" w:color="auto"/>
              <w:right w:val="single" w:sz="4" w:space="0" w:color="auto"/>
            </w:tcBorders>
          </w:tcPr>
          <w:p w14:paraId="5DDEC862" w14:textId="77777777" w:rsidR="00CA2D0E" w:rsidRPr="004F5FB4" w:rsidRDefault="00CA2D0E"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46BA4991" w14:textId="77777777" w:rsidR="00CA2D0E" w:rsidRPr="004F5FB4" w:rsidRDefault="00CA2D0E" w:rsidP="00982118">
            <w:pPr>
              <w:keepNext/>
              <w:rPr>
                <w:color w:val="000000"/>
              </w:rPr>
            </w:pPr>
            <w:r w:rsidRPr="004F5FB4">
              <w:rPr>
                <w:color w:val="000000"/>
              </w:rPr>
              <w:t>Gelegentlich</w:t>
            </w:r>
          </w:p>
        </w:tc>
        <w:tc>
          <w:tcPr>
            <w:tcW w:w="0" w:type="auto"/>
            <w:tcBorders>
              <w:left w:val="single" w:sz="4" w:space="0" w:color="auto"/>
              <w:right w:val="single" w:sz="4" w:space="0" w:color="auto"/>
            </w:tcBorders>
          </w:tcPr>
          <w:p w14:paraId="73A52414" w14:textId="77777777" w:rsidR="00CA2D0E" w:rsidRPr="004F5FB4" w:rsidRDefault="00CA2D0E" w:rsidP="00982118">
            <w:pPr>
              <w:keepNext/>
              <w:rPr>
                <w:color w:val="000000"/>
              </w:rPr>
            </w:pPr>
            <w:r w:rsidRPr="004F5FB4">
              <w:rPr>
                <w:color w:val="000000"/>
              </w:rPr>
              <w:t>Lymphom**,</w:t>
            </w:r>
          </w:p>
          <w:p w14:paraId="2165FC64" w14:textId="77777777" w:rsidR="00CA2D0E" w:rsidRPr="004F5FB4" w:rsidRDefault="00CA2D0E" w:rsidP="00982118">
            <w:pPr>
              <w:keepNext/>
              <w:rPr>
                <w:color w:val="000000"/>
              </w:rPr>
            </w:pPr>
            <w:r w:rsidRPr="004F5FB4">
              <w:rPr>
                <w:color w:val="000000"/>
              </w:rPr>
              <w:t>solide Organtumoren (einschließlich Brustkrebs, Lungentumor und Schilddrüsentumor),</w:t>
            </w:r>
          </w:p>
          <w:p w14:paraId="60905C2C" w14:textId="77777777" w:rsidR="00CA2D0E" w:rsidRPr="004F5FB4" w:rsidRDefault="00CA2D0E" w:rsidP="00D4051F">
            <w:pPr>
              <w:keepNext/>
              <w:rPr>
                <w:color w:val="000000"/>
                <w:lang w:val="en-GB"/>
              </w:rPr>
            </w:pPr>
            <w:r w:rsidRPr="004F5FB4">
              <w:rPr>
                <w:color w:val="000000"/>
              </w:rPr>
              <w:t>Melanom**</w:t>
            </w:r>
          </w:p>
        </w:tc>
      </w:tr>
      <w:tr w:rsidR="00CA2D0E" w:rsidRPr="004F5FB4" w14:paraId="4F63825F" w14:textId="77777777" w:rsidTr="008419B6">
        <w:trPr>
          <w:cantSplit/>
        </w:trPr>
        <w:tc>
          <w:tcPr>
            <w:tcW w:w="4147" w:type="dxa"/>
            <w:vMerge/>
            <w:tcBorders>
              <w:left w:val="single" w:sz="4" w:space="0" w:color="auto"/>
              <w:right w:val="single" w:sz="4" w:space="0" w:color="auto"/>
            </w:tcBorders>
          </w:tcPr>
          <w:p w14:paraId="5EBF4862"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6B48AE37" w14:textId="77777777" w:rsidR="00CA2D0E" w:rsidRPr="004F5FB4" w:rsidRDefault="00CA2D0E" w:rsidP="00982118">
            <w:pPr>
              <w:rPr>
                <w:color w:val="000000"/>
              </w:rPr>
            </w:pPr>
            <w:r w:rsidRPr="004F5FB4">
              <w:rPr>
                <w:color w:val="000000"/>
              </w:rPr>
              <w:t>Selten</w:t>
            </w:r>
          </w:p>
        </w:tc>
        <w:tc>
          <w:tcPr>
            <w:tcW w:w="0" w:type="auto"/>
            <w:tcBorders>
              <w:left w:val="single" w:sz="4" w:space="0" w:color="auto"/>
              <w:right w:val="single" w:sz="4" w:space="0" w:color="auto"/>
            </w:tcBorders>
          </w:tcPr>
          <w:p w14:paraId="5E507348" w14:textId="77777777" w:rsidR="00CA2D0E" w:rsidRPr="004F5FB4" w:rsidRDefault="00CA2D0E" w:rsidP="00D4051F">
            <w:pPr>
              <w:rPr>
                <w:color w:val="000000"/>
                <w:lang w:val="en-GB"/>
              </w:rPr>
            </w:pPr>
            <w:r w:rsidRPr="004F5FB4">
              <w:rPr>
                <w:color w:val="000000"/>
              </w:rPr>
              <w:t>Leukämie</w:t>
            </w:r>
            <w:r w:rsidRPr="004F5FB4">
              <w:rPr>
                <w:color w:val="000000"/>
                <w:vertAlign w:val="superscript"/>
              </w:rPr>
              <w:t>1</w:t>
            </w:r>
          </w:p>
        </w:tc>
      </w:tr>
      <w:tr w:rsidR="00CA2D0E" w:rsidRPr="004F5FB4" w14:paraId="7F3CDB56" w14:textId="77777777" w:rsidTr="008419B6">
        <w:trPr>
          <w:cantSplit/>
        </w:trPr>
        <w:tc>
          <w:tcPr>
            <w:tcW w:w="4147" w:type="dxa"/>
            <w:vMerge/>
            <w:tcBorders>
              <w:left w:val="single" w:sz="4" w:space="0" w:color="auto"/>
              <w:bottom w:val="single" w:sz="4" w:space="0" w:color="auto"/>
              <w:right w:val="single" w:sz="4" w:space="0" w:color="auto"/>
            </w:tcBorders>
          </w:tcPr>
          <w:p w14:paraId="378D61F6"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45F3DFFA" w14:textId="77777777" w:rsidR="00CA2D0E" w:rsidRPr="004F5FB4" w:rsidRDefault="006C10EE" w:rsidP="00982118">
            <w:pPr>
              <w:rPr>
                <w:color w:val="000000"/>
              </w:rPr>
            </w:pPr>
            <w:r w:rsidRPr="004F5FB4">
              <w:rPr>
                <w:color w:val="000000"/>
              </w:rPr>
              <w:t xml:space="preserve">Nicht </w:t>
            </w:r>
            <w:r w:rsidR="00CA2D0E" w:rsidRPr="004F5FB4">
              <w:rPr>
                <w:color w:val="000000"/>
              </w:rPr>
              <w:t>bekannt</w:t>
            </w:r>
          </w:p>
        </w:tc>
        <w:tc>
          <w:tcPr>
            <w:tcW w:w="0" w:type="auto"/>
            <w:tcBorders>
              <w:left w:val="single" w:sz="4" w:space="0" w:color="auto"/>
              <w:bottom w:val="single" w:sz="4" w:space="0" w:color="auto"/>
              <w:right w:val="single" w:sz="4" w:space="0" w:color="auto"/>
            </w:tcBorders>
          </w:tcPr>
          <w:p w14:paraId="37E449D8" w14:textId="77777777" w:rsidR="00CA2D0E" w:rsidRPr="004F5FB4" w:rsidRDefault="00CA2D0E" w:rsidP="00982118">
            <w:pPr>
              <w:rPr>
                <w:color w:val="000000"/>
              </w:rPr>
            </w:pPr>
            <w:r w:rsidRPr="004F5FB4">
              <w:rPr>
                <w:color w:val="000000"/>
              </w:rPr>
              <w:t>hepatosplenales T-Zell-Lymphom</w:t>
            </w:r>
            <w:r w:rsidRPr="004F5FB4">
              <w:rPr>
                <w:color w:val="000000"/>
                <w:vertAlign w:val="superscript"/>
              </w:rPr>
              <w:t>1</w:t>
            </w:r>
            <w:r w:rsidRPr="004F5FB4">
              <w:rPr>
                <w:color w:val="000000"/>
              </w:rPr>
              <w:t>,</w:t>
            </w:r>
          </w:p>
          <w:p w14:paraId="4BF1BD02" w14:textId="77777777" w:rsidR="00CA2D0E" w:rsidRPr="004E6403" w:rsidRDefault="00CA2D0E" w:rsidP="00D4051F">
            <w:pPr>
              <w:rPr>
                <w:color w:val="000000"/>
              </w:rPr>
            </w:pPr>
            <w:r w:rsidRPr="004F5FB4">
              <w:rPr>
                <w:color w:val="000000"/>
              </w:rPr>
              <w:t>Merkelzellkarzinom (neuroendokrines Karzinom der Haut)</w:t>
            </w:r>
            <w:r w:rsidRPr="004F5FB4">
              <w:rPr>
                <w:color w:val="000000"/>
                <w:vertAlign w:val="superscript"/>
              </w:rPr>
              <w:t>1</w:t>
            </w:r>
            <w:r w:rsidR="00E56892" w:rsidRPr="004E6403">
              <w:rPr>
                <w:color w:val="000000"/>
              </w:rPr>
              <w:t>,</w:t>
            </w:r>
          </w:p>
          <w:p w14:paraId="13ECD1E4" w14:textId="77777777" w:rsidR="00E56892" w:rsidRPr="004F5FB4" w:rsidRDefault="00E56892" w:rsidP="00D4051F">
            <w:pPr>
              <w:rPr>
                <w:color w:val="000000"/>
              </w:rPr>
            </w:pPr>
            <w:r w:rsidRPr="004E6403">
              <w:rPr>
                <w:color w:val="000000"/>
              </w:rPr>
              <w:t>Kaposi-Sarkom</w:t>
            </w:r>
          </w:p>
        </w:tc>
      </w:tr>
      <w:tr w:rsidR="00CA2D0E" w:rsidRPr="004F5FB4" w14:paraId="2C435C37"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5CB76555" w14:textId="77777777" w:rsidR="00CA2D0E" w:rsidRPr="004F5FB4" w:rsidRDefault="00CA2D0E" w:rsidP="00982118">
            <w:pPr>
              <w:rPr>
                <w:color w:val="000000"/>
              </w:rPr>
            </w:pPr>
            <w:r w:rsidRPr="004F5FB4">
              <w:rPr>
                <w:color w:val="000000"/>
              </w:rPr>
              <w:t>Erkrankungen des Blutes und des Lymphsystems*</w:t>
            </w:r>
          </w:p>
        </w:tc>
        <w:tc>
          <w:tcPr>
            <w:tcW w:w="2557" w:type="dxa"/>
            <w:tcBorders>
              <w:top w:val="single" w:sz="4" w:space="0" w:color="auto"/>
              <w:left w:val="single" w:sz="4" w:space="0" w:color="auto"/>
              <w:bottom w:val="single" w:sz="4" w:space="0" w:color="auto"/>
              <w:right w:val="single" w:sz="4" w:space="0" w:color="auto"/>
            </w:tcBorders>
          </w:tcPr>
          <w:p w14:paraId="02B747B9" w14:textId="77777777" w:rsidR="00CA2D0E" w:rsidRPr="004F5FB4" w:rsidRDefault="00CA2D0E" w:rsidP="00982118">
            <w:pPr>
              <w:rPr>
                <w:color w:val="000000"/>
              </w:rPr>
            </w:pPr>
            <w:r w:rsidRPr="004F5FB4">
              <w:rPr>
                <w:color w:val="000000"/>
              </w:rPr>
              <w:t>Sehr häufig</w:t>
            </w:r>
          </w:p>
          <w:p w14:paraId="4C472F84" w14:textId="77777777" w:rsidR="00CA2D0E" w:rsidRPr="004F5FB4" w:rsidRDefault="00CA2D0E" w:rsidP="00982118">
            <w:pPr>
              <w:rPr>
                <w:color w:val="000000"/>
                <w:lang w:val="en-GB"/>
              </w:rPr>
            </w:pPr>
          </w:p>
        </w:tc>
        <w:tc>
          <w:tcPr>
            <w:tcW w:w="0" w:type="auto"/>
            <w:tcBorders>
              <w:top w:val="single" w:sz="4" w:space="0" w:color="auto"/>
              <w:left w:val="single" w:sz="4" w:space="0" w:color="auto"/>
              <w:right w:val="single" w:sz="4" w:space="0" w:color="auto"/>
            </w:tcBorders>
          </w:tcPr>
          <w:p w14:paraId="61F6B458" w14:textId="77777777" w:rsidR="00CA2D0E" w:rsidRPr="004F5FB4" w:rsidRDefault="00CA2D0E" w:rsidP="00982118">
            <w:pPr>
              <w:autoSpaceDE w:val="0"/>
              <w:autoSpaceDN w:val="0"/>
              <w:adjustRightInd w:val="0"/>
              <w:rPr>
                <w:color w:val="000000"/>
              </w:rPr>
            </w:pPr>
            <w:r w:rsidRPr="004F5FB4">
              <w:rPr>
                <w:color w:val="000000"/>
              </w:rPr>
              <w:t>Leukopenie (einschließlich Neutropenie und Agranulozytose),</w:t>
            </w:r>
          </w:p>
          <w:p w14:paraId="50717932" w14:textId="77777777" w:rsidR="00CA2D0E" w:rsidRPr="004F5FB4" w:rsidRDefault="00CA2D0E" w:rsidP="00D4051F">
            <w:pPr>
              <w:rPr>
                <w:color w:val="000000"/>
                <w:lang w:val="en-GB"/>
              </w:rPr>
            </w:pPr>
            <w:r w:rsidRPr="004F5FB4">
              <w:rPr>
                <w:color w:val="000000"/>
              </w:rPr>
              <w:t>Anämie</w:t>
            </w:r>
          </w:p>
        </w:tc>
      </w:tr>
      <w:tr w:rsidR="00CA2D0E" w:rsidRPr="004F5FB4" w14:paraId="13EFBCB3" w14:textId="77777777" w:rsidTr="008419B6">
        <w:trPr>
          <w:cantSplit/>
        </w:trPr>
        <w:tc>
          <w:tcPr>
            <w:tcW w:w="4147" w:type="dxa"/>
            <w:vMerge/>
            <w:tcBorders>
              <w:left w:val="single" w:sz="4" w:space="0" w:color="auto"/>
              <w:right w:val="single" w:sz="4" w:space="0" w:color="auto"/>
            </w:tcBorders>
          </w:tcPr>
          <w:p w14:paraId="2F3576C9"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11AB777" w14:textId="77777777" w:rsidR="00CA2D0E" w:rsidRPr="004F5FB4" w:rsidRDefault="00CA2D0E" w:rsidP="00982118">
            <w:pPr>
              <w:rPr>
                <w:color w:val="000000"/>
              </w:rPr>
            </w:pPr>
            <w:r w:rsidRPr="004F5FB4">
              <w:rPr>
                <w:color w:val="000000"/>
              </w:rPr>
              <w:t>Häufig</w:t>
            </w:r>
          </w:p>
          <w:p w14:paraId="68FD1DC7"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516C5B6B" w14:textId="77777777" w:rsidR="00CA2D0E" w:rsidRPr="004F5FB4" w:rsidRDefault="00CA2D0E" w:rsidP="00982118">
            <w:pPr>
              <w:autoSpaceDE w:val="0"/>
              <w:autoSpaceDN w:val="0"/>
              <w:adjustRightInd w:val="0"/>
              <w:rPr>
                <w:color w:val="000000"/>
              </w:rPr>
            </w:pPr>
            <w:r w:rsidRPr="004F5FB4">
              <w:rPr>
                <w:color w:val="000000"/>
              </w:rPr>
              <w:t>Leukozytose,</w:t>
            </w:r>
          </w:p>
          <w:p w14:paraId="44FC08F0" w14:textId="77777777" w:rsidR="00CA2D0E" w:rsidRPr="004F5FB4" w:rsidDel="00437FA1" w:rsidRDefault="00CA2D0E" w:rsidP="00D4051F">
            <w:pPr>
              <w:rPr>
                <w:color w:val="000000"/>
                <w:lang w:val="en-GB"/>
              </w:rPr>
            </w:pPr>
            <w:r w:rsidRPr="004F5FB4">
              <w:rPr>
                <w:color w:val="000000"/>
              </w:rPr>
              <w:t>Thrombozytopenie</w:t>
            </w:r>
          </w:p>
        </w:tc>
      </w:tr>
      <w:tr w:rsidR="00CA2D0E" w:rsidRPr="004F5FB4" w14:paraId="6BAB273C" w14:textId="77777777" w:rsidTr="008419B6">
        <w:trPr>
          <w:cantSplit/>
        </w:trPr>
        <w:tc>
          <w:tcPr>
            <w:tcW w:w="4147" w:type="dxa"/>
            <w:vMerge/>
            <w:tcBorders>
              <w:left w:val="single" w:sz="4" w:space="0" w:color="auto"/>
              <w:right w:val="single" w:sz="4" w:space="0" w:color="auto"/>
            </w:tcBorders>
          </w:tcPr>
          <w:p w14:paraId="6F26ECE0"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435A4303" w14:textId="77777777" w:rsidR="00CA2D0E" w:rsidRPr="004F5FB4" w:rsidRDefault="00CA2D0E" w:rsidP="00D4051F">
            <w:pPr>
              <w:rPr>
                <w:color w:val="000000"/>
                <w:lang w:val="en-GB"/>
              </w:rPr>
            </w:pPr>
            <w:r w:rsidRPr="004F5FB4">
              <w:rPr>
                <w:color w:val="000000"/>
              </w:rPr>
              <w:t>Gelegentlich</w:t>
            </w:r>
          </w:p>
        </w:tc>
        <w:tc>
          <w:tcPr>
            <w:tcW w:w="0" w:type="auto"/>
            <w:tcBorders>
              <w:left w:val="single" w:sz="4" w:space="0" w:color="auto"/>
              <w:right w:val="single" w:sz="4" w:space="0" w:color="auto"/>
            </w:tcBorders>
          </w:tcPr>
          <w:p w14:paraId="78C9AAD2" w14:textId="77777777" w:rsidR="00CA2D0E" w:rsidRPr="004F5FB4" w:rsidDel="00437FA1" w:rsidRDefault="00CA2D0E" w:rsidP="00D4051F">
            <w:pPr>
              <w:rPr>
                <w:color w:val="000000"/>
                <w:lang w:val="en-GB"/>
              </w:rPr>
            </w:pPr>
            <w:r w:rsidRPr="004F5FB4">
              <w:rPr>
                <w:color w:val="000000"/>
              </w:rPr>
              <w:t>idiopathische thrombozytopenische Purpura</w:t>
            </w:r>
          </w:p>
        </w:tc>
      </w:tr>
      <w:tr w:rsidR="00CA2D0E" w:rsidRPr="004F5FB4" w14:paraId="17CE9608" w14:textId="77777777" w:rsidTr="008419B6">
        <w:trPr>
          <w:cantSplit/>
        </w:trPr>
        <w:tc>
          <w:tcPr>
            <w:tcW w:w="4147" w:type="dxa"/>
            <w:vMerge/>
            <w:tcBorders>
              <w:left w:val="single" w:sz="4" w:space="0" w:color="auto"/>
              <w:bottom w:val="single" w:sz="4" w:space="0" w:color="auto"/>
              <w:right w:val="single" w:sz="4" w:space="0" w:color="auto"/>
            </w:tcBorders>
          </w:tcPr>
          <w:p w14:paraId="200D06D6"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2ECBF1B9" w14:textId="77777777" w:rsidR="00CA2D0E" w:rsidRPr="004F5FB4" w:rsidRDefault="00CA2D0E" w:rsidP="00D4051F">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6104FF9A" w14:textId="77777777" w:rsidR="00CA2D0E" w:rsidRPr="004F5FB4" w:rsidDel="00437FA1" w:rsidRDefault="00CA2D0E" w:rsidP="00982118">
            <w:pPr>
              <w:autoSpaceDE w:val="0"/>
              <w:autoSpaceDN w:val="0"/>
              <w:adjustRightInd w:val="0"/>
              <w:rPr>
                <w:color w:val="000000"/>
              </w:rPr>
            </w:pPr>
            <w:r w:rsidRPr="004F5FB4">
              <w:rPr>
                <w:color w:val="000000"/>
              </w:rPr>
              <w:t>Panzytopenie</w:t>
            </w:r>
          </w:p>
        </w:tc>
      </w:tr>
      <w:tr w:rsidR="00CA2D0E" w:rsidRPr="004F5FB4" w14:paraId="640856E3"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6B5E77A3" w14:textId="77777777" w:rsidR="00CA2D0E" w:rsidRPr="004F5FB4" w:rsidRDefault="00CA2D0E" w:rsidP="00982118">
            <w:pPr>
              <w:rPr>
                <w:color w:val="000000"/>
              </w:rPr>
            </w:pPr>
            <w:r w:rsidRPr="004F5FB4">
              <w:rPr>
                <w:color w:val="000000"/>
              </w:rPr>
              <w:t>Erkrankungen des Immunsystems*</w:t>
            </w:r>
          </w:p>
        </w:tc>
        <w:tc>
          <w:tcPr>
            <w:tcW w:w="2557" w:type="dxa"/>
            <w:tcBorders>
              <w:top w:val="single" w:sz="4" w:space="0" w:color="auto"/>
              <w:left w:val="single" w:sz="4" w:space="0" w:color="auto"/>
              <w:bottom w:val="single" w:sz="4" w:space="0" w:color="auto"/>
              <w:right w:val="single" w:sz="4" w:space="0" w:color="auto"/>
            </w:tcBorders>
          </w:tcPr>
          <w:p w14:paraId="2220940A" w14:textId="77777777" w:rsidR="00CA2D0E" w:rsidRPr="004F5FB4" w:rsidRDefault="00CA2D0E" w:rsidP="00982118">
            <w:pPr>
              <w:rPr>
                <w:color w:val="000000"/>
              </w:rPr>
            </w:pPr>
            <w:r w:rsidRPr="004F5FB4">
              <w:rPr>
                <w:color w:val="000000"/>
              </w:rPr>
              <w:t>Häufig</w:t>
            </w:r>
          </w:p>
          <w:p w14:paraId="56DC05CB" w14:textId="77777777" w:rsidR="00CA2D0E" w:rsidRPr="004F5FB4" w:rsidRDefault="00CA2D0E" w:rsidP="00982118">
            <w:pPr>
              <w:rPr>
                <w:color w:val="000000"/>
                <w:lang w:val="en-GB"/>
              </w:rPr>
            </w:pPr>
          </w:p>
        </w:tc>
        <w:tc>
          <w:tcPr>
            <w:tcW w:w="0" w:type="auto"/>
            <w:tcBorders>
              <w:top w:val="single" w:sz="4" w:space="0" w:color="auto"/>
              <w:left w:val="single" w:sz="4" w:space="0" w:color="auto"/>
              <w:right w:val="single" w:sz="4" w:space="0" w:color="auto"/>
            </w:tcBorders>
          </w:tcPr>
          <w:p w14:paraId="51D7257F" w14:textId="77777777" w:rsidR="00CA2D0E" w:rsidRPr="004F5FB4" w:rsidRDefault="00CA2D0E" w:rsidP="00982118">
            <w:pPr>
              <w:rPr>
                <w:color w:val="000000"/>
              </w:rPr>
            </w:pPr>
            <w:r w:rsidRPr="004F5FB4">
              <w:rPr>
                <w:color w:val="000000"/>
              </w:rPr>
              <w:t>Überempfindlichkeit,</w:t>
            </w:r>
          </w:p>
          <w:p w14:paraId="45C6506E" w14:textId="77777777" w:rsidR="00CA2D0E" w:rsidRPr="004F5FB4" w:rsidRDefault="00CA2D0E" w:rsidP="00D4051F">
            <w:pPr>
              <w:rPr>
                <w:color w:val="000000"/>
              </w:rPr>
            </w:pPr>
            <w:r w:rsidRPr="004F5FB4">
              <w:rPr>
                <w:color w:val="000000"/>
              </w:rPr>
              <w:t>Allergien (einschließlich durch Jahreszeiten bedingte Allergie)</w:t>
            </w:r>
          </w:p>
        </w:tc>
      </w:tr>
      <w:tr w:rsidR="00CA2D0E" w:rsidRPr="004F5FB4" w14:paraId="55BB2A87" w14:textId="77777777" w:rsidTr="008419B6">
        <w:trPr>
          <w:cantSplit/>
        </w:trPr>
        <w:tc>
          <w:tcPr>
            <w:tcW w:w="4147" w:type="dxa"/>
            <w:vMerge/>
            <w:tcBorders>
              <w:left w:val="single" w:sz="4" w:space="0" w:color="auto"/>
              <w:right w:val="single" w:sz="4" w:space="0" w:color="auto"/>
            </w:tcBorders>
          </w:tcPr>
          <w:p w14:paraId="2EFA34E2" w14:textId="77777777" w:rsidR="00CA2D0E" w:rsidRPr="004F5FB4" w:rsidRDefault="00CA2D0E"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4FCB8397" w14:textId="77777777" w:rsidR="00CA2D0E" w:rsidRPr="004F5FB4" w:rsidRDefault="00CA2D0E" w:rsidP="00982118">
            <w:pPr>
              <w:rPr>
                <w:color w:val="000000"/>
              </w:rPr>
            </w:pPr>
            <w:r w:rsidRPr="004F5FB4">
              <w:rPr>
                <w:color w:val="000000"/>
              </w:rPr>
              <w:t>Gelegentlich</w:t>
            </w:r>
          </w:p>
          <w:p w14:paraId="4D840841"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5D3D7BA1" w14:textId="77777777" w:rsidR="00CA2D0E" w:rsidRPr="004F5FB4" w:rsidRDefault="00CA2D0E" w:rsidP="00982118">
            <w:pPr>
              <w:rPr>
                <w:color w:val="000000"/>
              </w:rPr>
            </w:pPr>
            <w:r w:rsidRPr="004F5FB4">
              <w:rPr>
                <w:color w:val="000000"/>
              </w:rPr>
              <w:t>Sarkoidose</w:t>
            </w:r>
            <w:r w:rsidRPr="004F5FB4">
              <w:rPr>
                <w:color w:val="000000"/>
                <w:vertAlign w:val="superscript"/>
              </w:rPr>
              <w:t>1</w:t>
            </w:r>
            <w:r w:rsidRPr="004F5FB4">
              <w:rPr>
                <w:color w:val="000000"/>
              </w:rPr>
              <w:t>,</w:t>
            </w:r>
          </w:p>
          <w:p w14:paraId="1ABCBD69" w14:textId="77777777" w:rsidR="00CA2D0E" w:rsidRPr="004F5FB4" w:rsidRDefault="00CA2D0E" w:rsidP="00D4051F">
            <w:pPr>
              <w:rPr>
                <w:color w:val="000000"/>
                <w:lang w:val="en-GB"/>
              </w:rPr>
            </w:pPr>
            <w:r w:rsidRPr="004F5FB4">
              <w:rPr>
                <w:color w:val="000000"/>
              </w:rPr>
              <w:t>Vaskulitis</w:t>
            </w:r>
          </w:p>
        </w:tc>
      </w:tr>
      <w:tr w:rsidR="00CA2D0E" w:rsidRPr="004F5FB4" w14:paraId="608472B2" w14:textId="77777777" w:rsidTr="008419B6">
        <w:trPr>
          <w:cantSplit/>
        </w:trPr>
        <w:tc>
          <w:tcPr>
            <w:tcW w:w="4147" w:type="dxa"/>
            <w:vMerge/>
            <w:tcBorders>
              <w:left w:val="single" w:sz="4" w:space="0" w:color="auto"/>
              <w:bottom w:val="single" w:sz="4" w:space="0" w:color="auto"/>
              <w:right w:val="single" w:sz="4" w:space="0" w:color="auto"/>
            </w:tcBorders>
          </w:tcPr>
          <w:p w14:paraId="085B5E87"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4462095" w14:textId="77777777" w:rsidR="00CA2D0E" w:rsidRPr="004F5FB4" w:rsidRDefault="00CA2D0E" w:rsidP="00982118">
            <w:pPr>
              <w:rPr>
                <w:color w:val="000000"/>
              </w:rPr>
            </w:pPr>
            <w:r w:rsidRPr="004F5FB4">
              <w:rPr>
                <w:color w:val="000000"/>
              </w:rPr>
              <w:t>Selten</w:t>
            </w:r>
          </w:p>
        </w:tc>
        <w:tc>
          <w:tcPr>
            <w:tcW w:w="0" w:type="auto"/>
            <w:tcBorders>
              <w:left w:val="single" w:sz="4" w:space="0" w:color="auto"/>
              <w:bottom w:val="single" w:sz="4" w:space="0" w:color="auto"/>
              <w:right w:val="single" w:sz="4" w:space="0" w:color="auto"/>
            </w:tcBorders>
          </w:tcPr>
          <w:p w14:paraId="015CCF2C" w14:textId="77777777" w:rsidR="00CA2D0E" w:rsidRPr="004F5FB4" w:rsidRDefault="00CA2D0E" w:rsidP="00D4051F">
            <w:pPr>
              <w:rPr>
                <w:color w:val="000000"/>
                <w:lang w:val="en-GB"/>
              </w:rPr>
            </w:pPr>
            <w:r w:rsidRPr="004F5FB4">
              <w:rPr>
                <w:color w:val="000000"/>
              </w:rPr>
              <w:t>Anaphylaxie</w:t>
            </w:r>
            <w:r w:rsidRPr="004F5FB4">
              <w:rPr>
                <w:color w:val="000000"/>
                <w:vertAlign w:val="superscript"/>
              </w:rPr>
              <w:t>1</w:t>
            </w:r>
          </w:p>
        </w:tc>
      </w:tr>
      <w:tr w:rsidR="00CA2D0E" w:rsidRPr="004F5FB4" w14:paraId="2C923B60"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5430FAD8" w14:textId="77777777" w:rsidR="00CA2D0E" w:rsidRPr="004F5FB4" w:rsidRDefault="00CA2D0E" w:rsidP="00982118">
            <w:pPr>
              <w:rPr>
                <w:color w:val="000000"/>
              </w:rPr>
            </w:pPr>
            <w:r w:rsidRPr="004F5FB4">
              <w:rPr>
                <w:color w:val="000000"/>
              </w:rPr>
              <w:t>Stoffwechsel- und Ernährungsstörungen</w:t>
            </w:r>
          </w:p>
        </w:tc>
        <w:tc>
          <w:tcPr>
            <w:tcW w:w="2557" w:type="dxa"/>
            <w:tcBorders>
              <w:top w:val="single" w:sz="4" w:space="0" w:color="auto"/>
              <w:left w:val="single" w:sz="4" w:space="0" w:color="auto"/>
              <w:bottom w:val="single" w:sz="4" w:space="0" w:color="auto"/>
              <w:right w:val="single" w:sz="4" w:space="0" w:color="auto"/>
            </w:tcBorders>
          </w:tcPr>
          <w:p w14:paraId="76141026" w14:textId="77777777" w:rsidR="00CA2D0E" w:rsidRPr="004F5FB4" w:rsidRDefault="00CA2D0E" w:rsidP="00D4051F">
            <w:pPr>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7ABC8048" w14:textId="77777777" w:rsidR="00CA2D0E" w:rsidRPr="004F5FB4" w:rsidRDefault="00CA2D0E" w:rsidP="00D4051F">
            <w:pPr>
              <w:rPr>
                <w:color w:val="000000"/>
                <w:lang w:val="en-GB"/>
              </w:rPr>
            </w:pPr>
            <w:r w:rsidRPr="004F5FB4">
              <w:rPr>
                <w:color w:val="000000"/>
              </w:rPr>
              <w:t>erhöhte Blutfettwerte</w:t>
            </w:r>
          </w:p>
        </w:tc>
      </w:tr>
      <w:tr w:rsidR="00CA2D0E" w:rsidRPr="004F5FB4" w14:paraId="44269D12" w14:textId="77777777" w:rsidTr="008419B6">
        <w:trPr>
          <w:cantSplit/>
        </w:trPr>
        <w:tc>
          <w:tcPr>
            <w:tcW w:w="4147" w:type="dxa"/>
            <w:vMerge/>
            <w:tcBorders>
              <w:left w:val="single" w:sz="4" w:space="0" w:color="auto"/>
              <w:bottom w:val="single" w:sz="4" w:space="0" w:color="auto"/>
              <w:right w:val="single" w:sz="4" w:space="0" w:color="auto"/>
            </w:tcBorders>
          </w:tcPr>
          <w:p w14:paraId="00FC970A"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753B00D8" w14:textId="77777777" w:rsidR="00CA2D0E" w:rsidRPr="004F5FB4" w:rsidRDefault="00CA2D0E" w:rsidP="00982118">
            <w:pPr>
              <w:rPr>
                <w:color w:val="000000"/>
              </w:rPr>
            </w:pPr>
            <w:r w:rsidRPr="004F5FB4">
              <w:rPr>
                <w:color w:val="000000"/>
              </w:rPr>
              <w:t>Häufig</w:t>
            </w:r>
          </w:p>
        </w:tc>
        <w:tc>
          <w:tcPr>
            <w:tcW w:w="0" w:type="auto"/>
            <w:tcBorders>
              <w:left w:val="single" w:sz="4" w:space="0" w:color="auto"/>
              <w:bottom w:val="single" w:sz="4" w:space="0" w:color="auto"/>
              <w:right w:val="single" w:sz="4" w:space="0" w:color="auto"/>
            </w:tcBorders>
          </w:tcPr>
          <w:p w14:paraId="739C50BC" w14:textId="77777777" w:rsidR="00CA2D0E" w:rsidRPr="004F5FB4" w:rsidRDefault="00CA2D0E" w:rsidP="00982118">
            <w:pPr>
              <w:rPr>
                <w:color w:val="000000"/>
              </w:rPr>
            </w:pPr>
            <w:r w:rsidRPr="004F5FB4">
              <w:rPr>
                <w:color w:val="000000"/>
              </w:rPr>
              <w:t>Hypokaliämie,</w:t>
            </w:r>
          </w:p>
          <w:p w14:paraId="4ED221D3" w14:textId="77777777" w:rsidR="00CA2D0E" w:rsidRPr="004F5FB4" w:rsidRDefault="00CA2D0E" w:rsidP="00982118">
            <w:pPr>
              <w:rPr>
                <w:color w:val="000000"/>
              </w:rPr>
            </w:pPr>
            <w:r w:rsidRPr="004F5FB4">
              <w:rPr>
                <w:color w:val="000000"/>
              </w:rPr>
              <w:t>erhöhte Harnsäurewerte,</w:t>
            </w:r>
          </w:p>
          <w:p w14:paraId="6E687A49" w14:textId="77777777" w:rsidR="00CA2D0E" w:rsidRPr="004F5FB4" w:rsidRDefault="00CA2D0E" w:rsidP="00982118">
            <w:pPr>
              <w:autoSpaceDE w:val="0"/>
              <w:autoSpaceDN w:val="0"/>
              <w:adjustRightInd w:val="0"/>
              <w:rPr>
                <w:color w:val="000000"/>
              </w:rPr>
            </w:pPr>
            <w:r w:rsidRPr="004F5FB4">
              <w:rPr>
                <w:color w:val="000000"/>
              </w:rPr>
              <w:t>abweichende Natriumwerte im Blut,</w:t>
            </w:r>
          </w:p>
          <w:p w14:paraId="39282C2B" w14:textId="77777777" w:rsidR="00CA2D0E" w:rsidRPr="004F5FB4" w:rsidRDefault="00CA2D0E" w:rsidP="00982118">
            <w:pPr>
              <w:autoSpaceDE w:val="0"/>
              <w:autoSpaceDN w:val="0"/>
              <w:adjustRightInd w:val="0"/>
              <w:rPr>
                <w:color w:val="000000"/>
              </w:rPr>
            </w:pPr>
            <w:r w:rsidRPr="004F5FB4">
              <w:rPr>
                <w:color w:val="000000"/>
              </w:rPr>
              <w:t>Hypokalzämie,</w:t>
            </w:r>
          </w:p>
          <w:p w14:paraId="55334BF4" w14:textId="77777777" w:rsidR="00CA2D0E" w:rsidRPr="004F5FB4" w:rsidRDefault="00CA2D0E" w:rsidP="00982118">
            <w:pPr>
              <w:autoSpaceDE w:val="0"/>
              <w:autoSpaceDN w:val="0"/>
              <w:adjustRightInd w:val="0"/>
              <w:rPr>
                <w:color w:val="000000"/>
              </w:rPr>
            </w:pPr>
            <w:r w:rsidRPr="004F5FB4">
              <w:rPr>
                <w:color w:val="000000"/>
              </w:rPr>
              <w:t>Hyperglykämie,</w:t>
            </w:r>
          </w:p>
          <w:p w14:paraId="2BF5C3C8" w14:textId="77777777" w:rsidR="00CA2D0E" w:rsidRPr="004F5FB4" w:rsidRDefault="00CA2D0E" w:rsidP="00982118">
            <w:pPr>
              <w:autoSpaceDE w:val="0"/>
              <w:autoSpaceDN w:val="0"/>
              <w:adjustRightInd w:val="0"/>
              <w:rPr>
                <w:color w:val="000000"/>
              </w:rPr>
            </w:pPr>
            <w:r w:rsidRPr="004F5FB4">
              <w:rPr>
                <w:color w:val="000000"/>
              </w:rPr>
              <w:t>Hypophosphatämie,</w:t>
            </w:r>
          </w:p>
          <w:p w14:paraId="0E6497F7" w14:textId="77777777" w:rsidR="00CA2D0E" w:rsidRPr="004F5FB4" w:rsidDel="00437FA1" w:rsidRDefault="00CA2D0E" w:rsidP="00D4051F">
            <w:pPr>
              <w:rPr>
                <w:color w:val="000000"/>
                <w:lang w:val="en-GB"/>
              </w:rPr>
            </w:pPr>
            <w:r w:rsidRPr="004F5FB4">
              <w:rPr>
                <w:color w:val="000000"/>
              </w:rPr>
              <w:t>Dehydratation</w:t>
            </w:r>
          </w:p>
        </w:tc>
      </w:tr>
      <w:tr w:rsidR="00CA2D0E" w:rsidRPr="004F5FB4" w14:paraId="12AC35D2" w14:textId="77777777" w:rsidTr="008419B6">
        <w:trPr>
          <w:cantSplit/>
        </w:trPr>
        <w:tc>
          <w:tcPr>
            <w:tcW w:w="4147" w:type="dxa"/>
            <w:tcBorders>
              <w:top w:val="single" w:sz="4" w:space="0" w:color="auto"/>
              <w:left w:val="single" w:sz="4" w:space="0" w:color="auto"/>
              <w:bottom w:val="single" w:sz="4" w:space="0" w:color="auto"/>
              <w:right w:val="single" w:sz="4" w:space="0" w:color="auto"/>
            </w:tcBorders>
            <w:hideMark/>
          </w:tcPr>
          <w:p w14:paraId="18649A2D" w14:textId="77777777" w:rsidR="00CA2D0E" w:rsidRPr="004F5FB4" w:rsidRDefault="00CA2D0E" w:rsidP="00982118">
            <w:pPr>
              <w:rPr>
                <w:color w:val="000000"/>
              </w:rPr>
            </w:pPr>
            <w:r w:rsidRPr="004F5FB4">
              <w:rPr>
                <w:color w:val="000000"/>
              </w:rPr>
              <w:t>Psychiatrische Erkrankungen</w:t>
            </w:r>
          </w:p>
        </w:tc>
        <w:tc>
          <w:tcPr>
            <w:tcW w:w="2557" w:type="dxa"/>
            <w:tcBorders>
              <w:top w:val="single" w:sz="4" w:space="0" w:color="auto"/>
              <w:left w:val="single" w:sz="4" w:space="0" w:color="auto"/>
              <w:bottom w:val="single" w:sz="4" w:space="0" w:color="auto"/>
              <w:right w:val="single" w:sz="4" w:space="0" w:color="auto"/>
            </w:tcBorders>
            <w:hideMark/>
          </w:tcPr>
          <w:p w14:paraId="667B73A2" w14:textId="77777777" w:rsidR="00CA2D0E" w:rsidRPr="004F5FB4" w:rsidRDefault="00CA2D0E"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tcPr>
          <w:p w14:paraId="290FEC0A" w14:textId="77777777" w:rsidR="00CA2D0E" w:rsidRPr="004F5FB4" w:rsidRDefault="00CA2D0E" w:rsidP="00982118">
            <w:pPr>
              <w:autoSpaceDE w:val="0"/>
              <w:autoSpaceDN w:val="0"/>
              <w:adjustRightInd w:val="0"/>
              <w:rPr>
                <w:color w:val="000000"/>
              </w:rPr>
            </w:pPr>
            <w:r w:rsidRPr="004F5FB4">
              <w:rPr>
                <w:color w:val="000000"/>
              </w:rPr>
              <w:t>Stimmungsschwankungen (einschließlich Depression),</w:t>
            </w:r>
          </w:p>
          <w:p w14:paraId="62DEFB78" w14:textId="77777777" w:rsidR="00CA2D0E" w:rsidRPr="004F5FB4" w:rsidRDefault="00CA2D0E" w:rsidP="00982118">
            <w:pPr>
              <w:autoSpaceDE w:val="0"/>
              <w:autoSpaceDN w:val="0"/>
              <w:adjustRightInd w:val="0"/>
              <w:rPr>
                <w:color w:val="000000"/>
              </w:rPr>
            </w:pPr>
            <w:r w:rsidRPr="004F5FB4">
              <w:rPr>
                <w:color w:val="000000"/>
              </w:rPr>
              <w:t>Ängstlichkeit,</w:t>
            </w:r>
          </w:p>
          <w:p w14:paraId="1F622182" w14:textId="77777777" w:rsidR="00CA2D0E" w:rsidRPr="00C325BF" w:rsidRDefault="00CA2D0E" w:rsidP="00D4051F">
            <w:pPr>
              <w:rPr>
                <w:color w:val="000000"/>
              </w:rPr>
            </w:pPr>
            <w:r w:rsidRPr="004F5FB4">
              <w:rPr>
                <w:color w:val="000000"/>
              </w:rPr>
              <w:t>Schlaflosigkeit</w:t>
            </w:r>
          </w:p>
        </w:tc>
      </w:tr>
      <w:tr w:rsidR="00CA2D0E" w:rsidRPr="004F5FB4" w14:paraId="53CAFB77"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399789A" w14:textId="77777777" w:rsidR="00CA2D0E" w:rsidRPr="004F5FB4" w:rsidRDefault="00CA2D0E" w:rsidP="00982118">
            <w:pPr>
              <w:keepNext/>
              <w:rPr>
                <w:color w:val="000000"/>
              </w:rPr>
            </w:pPr>
            <w:r w:rsidRPr="004F5FB4">
              <w:rPr>
                <w:color w:val="000000"/>
              </w:rPr>
              <w:lastRenderedPageBreak/>
              <w:t>Erkrankungen des Nervensystems*</w:t>
            </w:r>
          </w:p>
        </w:tc>
        <w:tc>
          <w:tcPr>
            <w:tcW w:w="2557" w:type="dxa"/>
            <w:tcBorders>
              <w:top w:val="single" w:sz="4" w:space="0" w:color="auto"/>
              <w:left w:val="single" w:sz="4" w:space="0" w:color="auto"/>
              <w:bottom w:val="single" w:sz="4" w:space="0" w:color="auto"/>
              <w:right w:val="single" w:sz="4" w:space="0" w:color="auto"/>
            </w:tcBorders>
          </w:tcPr>
          <w:p w14:paraId="61B49871" w14:textId="77777777" w:rsidR="00CA2D0E" w:rsidRPr="004F5FB4" w:rsidRDefault="00CA2D0E" w:rsidP="00D4051F">
            <w:pPr>
              <w:keepNext/>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6849017D" w14:textId="77777777" w:rsidR="00CA2D0E" w:rsidRPr="004F5FB4" w:rsidRDefault="00CA2D0E" w:rsidP="00D4051F">
            <w:pPr>
              <w:keepNext/>
              <w:rPr>
                <w:color w:val="000000"/>
                <w:lang w:val="en-GB"/>
              </w:rPr>
            </w:pPr>
            <w:r w:rsidRPr="004F5FB4">
              <w:rPr>
                <w:color w:val="000000"/>
              </w:rPr>
              <w:t>Kopfschmerzen</w:t>
            </w:r>
          </w:p>
        </w:tc>
      </w:tr>
      <w:tr w:rsidR="00CA2D0E" w:rsidRPr="004F5FB4" w14:paraId="4E2C3266" w14:textId="77777777" w:rsidTr="008419B6">
        <w:trPr>
          <w:cantSplit/>
        </w:trPr>
        <w:tc>
          <w:tcPr>
            <w:tcW w:w="4147" w:type="dxa"/>
            <w:vMerge/>
            <w:tcBorders>
              <w:left w:val="single" w:sz="4" w:space="0" w:color="auto"/>
              <w:right w:val="single" w:sz="4" w:space="0" w:color="auto"/>
            </w:tcBorders>
          </w:tcPr>
          <w:p w14:paraId="2D1DE304" w14:textId="77777777" w:rsidR="00CA2D0E" w:rsidRPr="004F5FB4" w:rsidRDefault="00CA2D0E"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6E9AE1AC" w14:textId="77777777" w:rsidR="00CA2D0E" w:rsidRPr="004F5FB4" w:rsidRDefault="00CA2D0E" w:rsidP="00982118">
            <w:pPr>
              <w:keepNext/>
              <w:rPr>
                <w:color w:val="000000"/>
              </w:rPr>
            </w:pPr>
            <w:r w:rsidRPr="004F5FB4">
              <w:rPr>
                <w:color w:val="000000"/>
              </w:rPr>
              <w:t>Häufig</w:t>
            </w:r>
          </w:p>
          <w:p w14:paraId="46D07FCA" w14:textId="77777777" w:rsidR="00CA2D0E" w:rsidRPr="004F5FB4" w:rsidRDefault="00CA2D0E" w:rsidP="00982118">
            <w:pPr>
              <w:keepNext/>
              <w:rPr>
                <w:color w:val="000000"/>
                <w:lang w:val="en-GB"/>
              </w:rPr>
            </w:pPr>
          </w:p>
        </w:tc>
        <w:tc>
          <w:tcPr>
            <w:tcW w:w="0" w:type="auto"/>
            <w:tcBorders>
              <w:left w:val="single" w:sz="4" w:space="0" w:color="auto"/>
              <w:right w:val="single" w:sz="4" w:space="0" w:color="auto"/>
            </w:tcBorders>
          </w:tcPr>
          <w:p w14:paraId="47C34F69" w14:textId="77777777" w:rsidR="00CA2D0E" w:rsidRPr="004F5FB4" w:rsidRDefault="00CA2D0E" w:rsidP="00982118">
            <w:pPr>
              <w:keepNext/>
              <w:autoSpaceDE w:val="0"/>
              <w:autoSpaceDN w:val="0"/>
              <w:adjustRightInd w:val="0"/>
              <w:rPr>
                <w:color w:val="000000"/>
              </w:rPr>
            </w:pPr>
            <w:r w:rsidRPr="004F5FB4">
              <w:rPr>
                <w:color w:val="000000"/>
              </w:rPr>
              <w:t>Parästhesien (einschließlich Hypästhesie),</w:t>
            </w:r>
          </w:p>
          <w:p w14:paraId="2ACA3F9E" w14:textId="77777777" w:rsidR="00CA2D0E" w:rsidRPr="004F5FB4" w:rsidRDefault="00CA2D0E" w:rsidP="00982118">
            <w:pPr>
              <w:keepNext/>
              <w:autoSpaceDE w:val="0"/>
              <w:autoSpaceDN w:val="0"/>
              <w:adjustRightInd w:val="0"/>
              <w:rPr>
                <w:color w:val="000000"/>
              </w:rPr>
            </w:pPr>
            <w:r w:rsidRPr="004F5FB4">
              <w:rPr>
                <w:color w:val="000000"/>
              </w:rPr>
              <w:t>Migräne,</w:t>
            </w:r>
          </w:p>
          <w:p w14:paraId="2BF76D63" w14:textId="77777777" w:rsidR="00DF2B57" w:rsidRPr="00C325BF" w:rsidRDefault="00CA2D0E" w:rsidP="00D4051F">
            <w:pPr>
              <w:keepNext/>
              <w:rPr>
                <w:color w:val="000000"/>
              </w:rPr>
            </w:pPr>
            <w:r w:rsidRPr="004F5FB4">
              <w:rPr>
                <w:color w:val="000000"/>
              </w:rPr>
              <w:t>Nervenwurzelkompression</w:t>
            </w:r>
          </w:p>
        </w:tc>
      </w:tr>
      <w:tr w:rsidR="00CA2D0E" w:rsidRPr="004F5FB4" w14:paraId="2B071093" w14:textId="77777777" w:rsidTr="008419B6">
        <w:trPr>
          <w:cantSplit/>
        </w:trPr>
        <w:tc>
          <w:tcPr>
            <w:tcW w:w="4147" w:type="dxa"/>
            <w:vMerge/>
            <w:tcBorders>
              <w:left w:val="single" w:sz="4" w:space="0" w:color="auto"/>
              <w:right w:val="single" w:sz="4" w:space="0" w:color="auto"/>
            </w:tcBorders>
          </w:tcPr>
          <w:p w14:paraId="10965F2E" w14:textId="77777777" w:rsidR="00CA2D0E" w:rsidRPr="00263DD8" w:rsidRDefault="00CA2D0E" w:rsidP="00982118">
            <w:pPr>
              <w:keepNext/>
              <w:rPr>
                <w:color w:val="000000"/>
              </w:rPr>
            </w:pPr>
          </w:p>
        </w:tc>
        <w:tc>
          <w:tcPr>
            <w:tcW w:w="2557" w:type="dxa"/>
            <w:tcBorders>
              <w:top w:val="single" w:sz="4" w:space="0" w:color="auto"/>
              <w:left w:val="single" w:sz="4" w:space="0" w:color="auto"/>
              <w:bottom w:val="single" w:sz="4" w:space="0" w:color="auto"/>
              <w:right w:val="single" w:sz="4" w:space="0" w:color="auto"/>
            </w:tcBorders>
          </w:tcPr>
          <w:p w14:paraId="73CE1F4E" w14:textId="77777777" w:rsidR="00CA2D0E" w:rsidRPr="004F5FB4" w:rsidRDefault="00CA2D0E" w:rsidP="00982118">
            <w:pPr>
              <w:keepNext/>
              <w:rPr>
                <w:color w:val="000000"/>
              </w:rPr>
            </w:pPr>
            <w:r w:rsidRPr="004F5FB4">
              <w:rPr>
                <w:color w:val="000000"/>
              </w:rPr>
              <w:t>Gelegentlich</w:t>
            </w:r>
          </w:p>
          <w:p w14:paraId="4593EAFF" w14:textId="77777777" w:rsidR="00CA2D0E" w:rsidRPr="004F5FB4" w:rsidRDefault="00CA2D0E" w:rsidP="00982118">
            <w:pPr>
              <w:keepNext/>
              <w:rPr>
                <w:color w:val="000000"/>
                <w:lang w:val="en-GB"/>
              </w:rPr>
            </w:pPr>
          </w:p>
        </w:tc>
        <w:tc>
          <w:tcPr>
            <w:tcW w:w="0" w:type="auto"/>
            <w:tcBorders>
              <w:left w:val="single" w:sz="4" w:space="0" w:color="auto"/>
              <w:right w:val="single" w:sz="4" w:space="0" w:color="auto"/>
            </w:tcBorders>
          </w:tcPr>
          <w:p w14:paraId="56AB159F" w14:textId="77777777" w:rsidR="00CA2D0E" w:rsidRPr="004F5FB4" w:rsidRDefault="003F4867" w:rsidP="00982118">
            <w:pPr>
              <w:keepNext/>
              <w:rPr>
                <w:color w:val="000000"/>
              </w:rPr>
            </w:pPr>
            <w:r w:rsidRPr="004F5FB4">
              <w:rPr>
                <w:color w:val="000000"/>
              </w:rPr>
              <w:t>zerebrovaskuläre Zwischenfälle</w:t>
            </w:r>
            <w:r w:rsidR="00CA2D0E" w:rsidRPr="004F5FB4">
              <w:rPr>
                <w:color w:val="000000"/>
                <w:vertAlign w:val="superscript"/>
              </w:rPr>
              <w:t>1</w:t>
            </w:r>
            <w:r w:rsidR="00CA2D0E" w:rsidRPr="004F5FB4">
              <w:rPr>
                <w:color w:val="000000"/>
              </w:rPr>
              <w:t>,</w:t>
            </w:r>
          </w:p>
          <w:p w14:paraId="7C695E8F" w14:textId="77777777" w:rsidR="00CA2D0E" w:rsidRPr="004F5FB4" w:rsidRDefault="00CA2D0E" w:rsidP="00982118">
            <w:pPr>
              <w:keepNext/>
              <w:rPr>
                <w:color w:val="000000"/>
              </w:rPr>
            </w:pPr>
            <w:r w:rsidRPr="004F5FB4">
              <w:rPr>
                <w:color w:val="000000"/>
              </w:rPr>
              <w:t>Tremor,</w:t>
            </w:r>
          </w:p>
          <w:p w14:paraId="715D8011" w14:textId="77777777" w:rsidR="00CA2D0E" w:rsidRPr="004F5FB4" w:rsidRDefault="00CA2D0E" w:rsidP="00D4051F">
            <w:pPr>
              <w:keepNext/>
              <w:rPr>
                <w:color w:val="000000"/>
                <w:lang w:val="en-GB"/>
              </w:rPr>
            </w:pPr>
            <w:r w:rsidRPr="004F5FB4">
              <w:rPr>
                <w:color w:val="000000"/>
              </w:rPr>
              <w:t>Neuropathie</w:t>
            </w:r>
          </w:p>
        </w:tc>
      </w:tr>
      <w:tr w:rsidR="00CA2D0E" w:rsidRPr="004F5FB4" w14:paraId="2E58B436" w14:textId="77777777" w:rsidTr="008419B6">
        <w:trPr>
          <w:cantSplit/>
        </w:trPr>
        <w:tc>
          <w:tcPr>
            <w:tcW w:w="4147" w:type="dxa"/>
            <w:vMerge/>
            <w:tcBorders>
              <w:left w:val="single" w:sz="4" w:space="0" w:color="auto"/>
              <w:bottom w:val="single" w:sz="4" w:space="0" w:color="auto"/>
              <w:right w:val="single" w:sz="4" w:space="0" w:color="auto"/>
            </w:tcBorders>
          </w:tcPr>
          <w:p w14:paraId="4913AFBE" w14:textId="77777777" w:rsidR="00CA2D0E" w:rsidRPr="004F5FB4" w:rsidRDefault="00CA2D0E"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349EBC9" w14:textId="77777777" w:rsidR="00CA2D0E" w:rsidRPr="004F5FB4" w:rsidRDefault="00CA2D0E" w:rsidP="00982118">
            <w:pPr>
              <w:keepNext/>
              <w:rPr>
                <w:color w:val="000000"/>
              </w:rPr>
            </w:pPr>
            <w:r w:rsidRPr="004F5FB4">
              <w:rPr>
                <w:color w:val="000000"/>
              </w:rPr>
              <w:t>Selten</w:t>
            </w:r>
          </w:p>
          <w:p w14:paraId="15E736BE" w14:textId="77777777" w:rsidR="00CA2D0E" w:rsidRPr="004F5FB4" w:rsidRDefault="00CA2D0E" w:rsidP="00982118">
            <w:pPr>
              <w:keepNext/>
              <w:rPr>
                <w:color w:val="000000"/>
                <w:lang w:val="en-GB"/>
              </w:rPr>
            </w:pPr>
          </w:p>
        </w:tc>
        <w:tc>
          <w:tcPr>
            <w:tcW w:w="0" w:type="auto"/>
            <w:tcBorders>
              <w:left w:val="single" w:sz="4" w:space="0" w:color="auto"/>
              <w:bottom w:val="single" w:sz="4" w:space="0" w:color="auto"/>
              <w:right w:val="single" w:sz="4" w:space="0" w:color="auto"/>
            </w:tcBorders>
          </w:tcPr>
          <w:p w14:paraId="622BDDC1" w14:textId="77777777" w:rsidR="00CA2D0E" w:rsidRPr="004F5FB4" w:rsidRDefault="00A63F9C" w:rsidP="00982118">
            <w:pPr>
              <w:keepNext/>
              <w:rPr>
                <w:color w:val="000000"/>
              </w:rPr>
            </w:pPr>
            <w:r w:rsidRPr="004F5FB4">
              <w:rPr>
                <w:color w:val="000000"/>
              </w:rPr>
              <w:t>M</w:t>
            </w:r>
            <w:r w:rsidR="00CA2D0E" w:rsidRPr="004F5FB4">
              <w:rPr>
                <w:color w:val="000000"/>
              </w:rPr>
              <w:t>ultiple Sklerose,</w:t>
            </w:r>
          </w:p>
          <w:p w14:paraId="47E720EF" w14:textId="77777777" w:rsidR="00CA2D0E" w:rsidRPr="004F5FB4" w:rsidRDefault="00CA2D0E" w:rsidP="00982118">
            <w:pPr>
              <w:keepNext/>
              <w:rPr>
                <w:color w:val="000000"/>
              </w:rPr>
            </w:pPr>
            <w:r w:rsidRPr="004F5FB4">
              <w:rPr>
                <w:color w:val="000000"/>
              </w:rPr>
              <w:t>demyelinisierende Erkrankungen (z. B. Optikusneuritis,</w:t>
            </w:r>
          </w:p>
          <w:p w14:paraId="08E75947" w14:textId="77777777" w:rsidR="00CA2D0E" w:rsidRPr="004F5FB4" w:rsidRDefault="00CA2D0E" w:rsidP="00D4051F">
            <w:pPr>
              <w:keepNext/>
              <w:rPr>
                <w:color w:val="000000"/>
                <w:lang w:val="fr-CH"/>
              </w:rPr>
            </w:pPr>
            <w:r w:rsidRPr="004F5FB4">
              <w:rPr>
                <w:color w:val="000000"/>
              </w:rPr>
              <w:t>Guillain-Barré-Syndrom)</w:t>
            </w:r>
            <w:r w:rsidRPr="004F5FB4">
              <w:rPr>
                <w:color w:val="000000"/>
                <w:vertAlign w:val="superscript"/>
              </w:rPr>
              <w:t>1</w:t>
            </w:r>
          </w:p>
        </w:tc>
      </w:tr>
      <w:tr w:rsidR="00CA2D0E" w:rsidRPr="004F5FB4" w14:paraId="3AA05A43"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1C065708" w14:textId="77777777" w:rsidR="00CA2D0E" w:rsidRPr="004F5FB4" w:rsidRDefault="00CA2D0E" w:rsidP="00982118">
            <w:pPr>
              <w:rPr>
                <w:color w:val="000000"/>
              </w:rPr>
            </w:pPr>
            <w:r w:rsidRPr="004F5FB4">
              <w:rPr>
                <w:color w:val="000000"/>
              </w:rPr>
              <w:t>Augenerkrankungen</w:t>
            </w:r>
          </w:p>
        </w:tc>
        <w:tc>
          <w:tcPr>
            <w:tcW w:w="2557" w:type="dxa"/>
            <w:tcBorders>
              <w:top w:val="single" w:sz="4" w:space="0" w:color="auto"/>
              <w:left w:val="single" w:sz="4" w:space="0" w:color="auto"/>
              <w:right w:val="single" w:sz="4" w:space="0" w:color="auto"/>
            </w:tcBorders>
          </w:tcPr>
          <w:p w14:paraId="3A459876" w14:textId="77777777" w:rsidR="00CA2D0E" w:rsidRPr="004F5FB4" w:rsidRDefault="00CA2D0E" w:rsidP="00982118">
            <w:pPr>
              <w:rPr>
                <w:color w:val="000000"/>
              </w:rPr>
            </w:pPr>
            <w:r w:rsidRPr="004F5FB4">
              <w:rPr>
                <w:color w:val="000000"/>
              </w:rPr>
              <w:t>Häufig</w:t>
            </w:r>
          </w:p>
          <w:p w14:paraId="1AF6B672" w14:textId="77777777" w:rsidR="00CA2D0E" w:rsidRPr="004F5FB4" w:rsidRDefault="00CA2D0E" w:rsidP="00982118">
            <w:pPr>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05C1E326" w14:textId="77777777" w:rsidR="00CA2D0E" w:rsidRPr="004F5FB4" w:rsidRDefault="00CA2D0E" w:rsidP="00982118">
            <w:pPr>
              <w:autoSpaceDE w:val="0"/>
              <w:autoSpaceDN w:val="0"/>
              <w:adjustRightInd w:val="0"/>
              <w:rPr>
                <w:color w:val="000000"/>
              </w:rPr>
            </w:pPr>
            <w:r w:rsidRPr="004F5FB4">
              <w:rPr>
                <w:color w:val="000000"/>
              </w:rPr>
              <w:t>eingeschränktes Sehvermögen,</w:t>
            </w:r>
          </w:p>
          <w:p w14:paraId="7A33D0F7" w14:textId="77777777" w:rsidR="00CA2D0E" w:rsidRPr="004F5FB4" w:rsidRDefault="00CA2D0E" w:rsidP="00982118">
            <w:pPr>
              <w:autoSpaceDE w:val="0"/>
              <w:autoSpaceDN w:val="0"/>
              <w:adjustRightInd w:val="0"/>
              <w:rPr>
                <w:color w:val="000000"/>
              </w:rPr>
            </w:pPr>
            <w:r w:rsidRPr="004F5FB4">
              <w:rPr>
                <w:color w:val="000000"/>
              </w:rPr>
              <w:t>Konjunktivitis,</w:t>
            </w:r>
          </w:p>
          <w:p w14:paraId="30E47B5C" w14:textId="77777777" w:rsidR="00CA2D0E" w:rsidRPr="004F5FB4" w:rsidRDefault="00CA2D0E" w:rsidP="00982118">
            <w:pPr>
              <w:autoSpaceDE w:val="0"/>
              <w:autoSpaceDN w:val="0"/>
              <w:adjustRightInd w:val="0"/>
              <w:rPr>
                <w:color w:val="000000"/>
              </w:rPr>
            </w:pPr>
            <w:r w:rsidRPr="004F5FB4">
              <w:rPr>
                <w:color w:val="000000"/>
              </w:rPr>
              <w:t>Blepharitis,</w:t>
            </w:r>
          </w:p>
          <w:p w14:paraId="485D33FD" w14:textId="77777777" w:rsidR="00CA2D0E" w:rsidRPr="004F5FB4" w:rsidRDefault="00CA2D0E" w:rsidP="00D4051F">
            <w:pPr>
              <w:rPr>
                <w:color w:val="000000"/>
              </w:rPr>
            </w:pPr>
            <w:r w:rsidRPr="004F5FB4">
              <w:rPr>
                <w:color w:val="000000"/>
              </w:rPr>
              <w:t>Anschwellen des Auges</w:t>
            </w:r>
          </w:p>
        </w:tc>
      </w:tr>
      <w:tr w:rsidR="00CA2D0E" w:rsidRPr="004F5FB4" w14:paraId="0F52BAD5" w14:textId="77777777" w:rsidTr="008419B6">
        <w:trPr>
          <w:cantSplit/>
        </w:trPr>
        <w:tc>
          <w:tcPr>
            <w:tcW w:w="4147" w:type="dxa"/>
            <w:vMerge/>
            <w:tcBorders>
              <w:left w:val="single" w:sz="4" w:space="0" w:color="auto"/>
              <w:bottom w:val="single" w:sz="4" w:space="0" w:color="auto"/>
              <w:right w:val="single" w:sz="4" w:space="0" w:color="auto"/>
            </w:tcBorders>
          </w:tcPr>
          <w:p w14:paraId="34B37EA7" w14:textId="77777777" w:rsidR="00CA2D0E" w:rsidRPr="004F5FB4" w:rsidRDefault="00CA2D0E" w:rsidP="00982118">
            <w:pPr>
              <w:rPr>
                <w:color w:val="000000"/>
              </w:rPr>
            </w:pPr>
          </w:p>
        </w:tc>
        <w:tc>
          <w:tcPr>
            <w:tcW w:w="2557" w:type="dxa"/>
            <w:tcBorders>
              <w:left w:val="single" w:sz="4" w:space="0" w:color="auto"/>
              <w:bottom w:val="single" w:sz="4" w:space="0" w:color="auto"/>
              <w:right w:val="single" w:sz="4" w:space="0" w:color="auto"/>
            </w:tcBorders>
          </w:tcPr>
          <w:p w14:paraId="650E9CFD" w14:textId="77777777" w:rsidR="00CA2D0E" w:rsidRPr="004F5FB4" w:rsidRDefault="00CA2D0E" w:rsidP="00D4051F">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7CA98B52" w14:textId="77777777" w:rsidR="00CA2D0E" w:rsidRPr="004F5FB4" w:rsidRDefault="00CA2D0E" w:rsidP="00D4051F">
            <w:pPr>
              <w:rPr>
                <w:color w:val="000000"/>
                <w:lang w:val="en-GB"/>
              </w:rPr>
            </w:pPr>
            <w:r w:rsidRPr="004F5FB4">
              <w:rPr>
                <w:color w:val="000000"/>
              </w:rPr>
              <w:t>Doppeltsehen</w:t>
            </w:r>
          </w:p>
        </w:tc>
      </w:tr>
      <w:tr w:rsidR="00CA2D0E" w:rsidRPr="004F5FB4" w14:paraId="0267F78D"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3D64289" w14:textId="77777777" w:rsidR="00CA2D0E" w:rsidRPr="004F5FB4" w:rsidRDefault="00CA2D0E" w:rsidP="00982118">
            <w:pPr>
              <w:rPr>
                <w:color w:val="000000"/>
              </w:rPr>
            </w:pPr>
            <w:r w:rsidRPr="004F5FB4">
              <w:rPr>
                <w:color w:val="000000"/>
              </w:rPr>
              <w:t>Erkrankungen des Ohres und des Labyrinths</w:t>
            </w:r>
          </w:p>
        </w:tc>
        <w:tc>
          <w:tcPr>
            <w:tcW w:w="2557" w:type="dxa"/>
            <w:tcBorders>
              <w:top w:val="single" w:sz="4" w:space="0" w:color="auto"/>
              <w:left w:val="single" w:sz="4" w:space="0" w:color="auto"/>
              <w:bottom w:val="single" w:sz="4" w:space="0" w:color="auto"/>
              <w:right w:val="single" w:sz="4" w:space="0" w:color="auto"/>
            </w:tcBorders>
          </w:tcPr>
          <w:p w14:paraId="7DC374B5" w14:textId="77777777" w:rsidR="00CA2D0E" w:rsidRPr="004F5FB4" w:rsidRDefault="00CA2D0E" w:rsidP="00D4051F">
            <w:pPr>
              <w:rPr>
                <w:color w:val="000000"/>
                <w:lang w:val="en-GB"/>
              </w:rPr>
            </w:pPr>
            <w:r w:rsidRPr="004F5FB4">
              <w:rPr>
                <w:color w:val="000000"/>
              </w:rPr>
              <w:t>Häufig</w:t>
            </w:r>
          </w:p>
        </w:tc>
        <w:tc>
          <w:tcPr>
            <w:tcW w:w="0" w:type="auto"/>
            <w:tcBorders>
              <w:top w:val="single" w:sz="4" w:space="0" w:color="auto"/>
              <w:left w:val="single" w:sz="4" w:space="0" w:color="auto"/>
              <w:right w:val="single" w:sz="4" w:space="0" w:color="auto"/>
            </w:tcBorders>
          </w:tcPr>
          <w:p w14:paraId="4E61362B" w14:textId="77777777" w:rsidR="00CA2D0E" w:rsidRPr="004F5FB4" w:rsidRDefault="00CA2D0E" w:rsidP="00D4051F">
            <w:pPr>
              <w:rPr>
                <w:color w:val="000000"/>
                <w:lang w:val="en-GB"/>
              </w:rPr>
            </w:pPr>
            <w:r w:rsidRPr="004F5FB4">
              <w:rPr>
                <w:color w:val="000000"/>
              </w:rPr>
              <w:t>Schwindel</w:t>
            </w:r>
          </w:p>
        </w:tc>
      </w:tr>
      <w:tr w:rsidR="00CA2D0E" w:rsidRPr="004F5FB4" w14:paraId="74BFDE3D" w14:textId="77777777" w:rsidTr="008419B6">
        <w:trPr>
          <w:cantSplit/>
        </w:trPr>
        <w:tc>
          <w:tcPr>
            <w:tcW w:w="4147" w:type="dxa"/>
            <w:vMerge/>
            <w:tcBorders>
              <w:left w:val="single" w:sz="4" w:space="0" w:color="auto"/>
              <w:bottom w:val="single" w:sz="4" w:space="0" w:color="auto"/>
              <w:right w:val="single" w:sz="4" w:space="0" w:color="auto"/>
            </w:tcBorders>
          </w:tcPr>
          <w:p w14:paraId="69908D39"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6986BBF8" w14:textId="77777777" w:rsidR="00CA2D0E" w:rsidRPr="004F5FB4" w:rsidRDefault="00CA2D0E" w:rsidP="00982118">
            <w:pPr>
              <w:rPr>
                <w:color w:val="000000"/>
              </w:rPr>
            </w:pPr>
            <w:r w:rsidRPr="004F5FB4">
              <w:rPr>
                <w:color w:val="000000"/>
              </w:rPr>
              <w:t>Gelegentlich</w:t>
            </w:r>
          </w:p>
        </w:tc>
        <w:tc>
          <w:tcPr>
            <w:tcW w:w="0" w:type="auto"/>
            <w:tcBorders>
              <w:left w:val="single" w:sz="4" w:space="0" w:color="auto"/>
              <w:bottom w:val="single" w:sz="4" w:space="0" w:color="auto"/>
              <w:right w:val="single" w:sz="4" w:space="0" w:color="auto"/>
            </w:tcBorders>
          </w:tcPr>
          <w:p w14:paraId="70E5F806" w14:textId="77777777" w:rsidR="00CA2D0E" w:rsidRPr="004F5FB4" w:rsidRDefault="00CA2D0E" w:rsidP="00982118">
            <w:pPr>
              <w:rPr>
                <w:color w:val="000000"/>
              </w:rPr>
            </w:pPr>
            <w:r w:rsidRPr="004F5FB4">
              <w:rPr>
                <w:color w:val="000000"/>
              </w:rPr>
              <w:t>Taubheit,</w:t>
            </w:r>
          </w:p>
          <w:p w14:paraId="416903B4" w14:textId="77777777" w:rsidR="00CA2D0E" w:rsidRPr="004F5FB4" w:rsidRDefault="00CA2D0E" w:rsidP="00D4051F">
            <w:pPr>
              <w:rPr>
                <w:color w:val="000000"/>
                <w:lang w:val="en-GB"/>
              </w:rPr>
            </w:pPr>
            <w:r w:rsidRPr="004F5FB4">
              <w:rPr>
                <w:color w:val="000000"/>
              </w:rPr>
              <w:t>Tinnitus</w:t>
            </w:r>
          </w:p>
        </w:tc>
      </w:tr>
      <w:tr w:rsidR="00CA2D0E" w:rsidRPr="004F5FB4" w14:paraId="4D295E7A"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FBDBFCB" w14:textId="77777777" w:rsidR="00CA2D0E" w:rsidRPr="004F5FB4" w:rsidRDefault="00CA2D0E" w:rsidP="003146E9">
            <w:pPr>
              <w:keepNext/>
              <w:rPr>
                <w:color w:val="000000"/>
              </w:rPr>
            </w:pPr>
            <w:r w:rsidRPr="004F5FB4">
              <w:rPr>
                <w:color w:val="000000"/>
              </w:rPr>
              <w:t>Herzerkrankungen*</w:t>
            </w:r>
          </w:p>
        </w:tc>
        <w:tc>
          <w:tcPr>
            <w:tcW w:w="2557" w:type="dxa"/>
            <w:tcBorders>
              <w:top w:val="single" w:sz="4" w:space="0" w:color="auto"/>
              <w:left w:val="single" w:sz="4" w:space="0" w:color="auto"/>
              <w:bottom w:val="single" w:sz="4" w:space="0" w:color="auto"/>
              <w:right w:val="single" w:sz="4" w:space="0" w:color="auto"/>
            </w:tcBorders>
          </w:tcPr>
          <w:p w14:paraId="2D73D5D8" w14:textId="77777777" w:rsidR="00CA2D0E" w:rsidRPr="004F5FB4" w:rsidRDefault="00CA2D0E" w:rsidP="00D4051F">
            <w:pPr>
              <w:keepNext/>
              <w:rPr>
                <w:color w:val="000000"/>
                <w:lang w:val="en-GB"/>
              </w:rPr>
            </w:pPr>
            <w:r w:rsidRPr="004F5FB4">
              <w:rPr>
                <w:color w:val="000000"/>
              </w:rPr>
              <w:t>Häufig</w:t>
            </w:r>
          </w:p>
        </w:tc>
        <w:tc>
          <w:tcPr>
            <w:tcW w:w="0" w:type="auto"/>
            <w:tcBorders>
              <w:top w:val="single" w:sz="4" w:space="0" w:color="auto"/>
              <w:left w:val="single" w:sz="4" w:space="0" w:color="auto"/>
              <w:right w:val="single" w:sz="4" w:space="0" w:color="auto"/>
            </w:tcBorders>
          </w:tcPr>
          <w:p w14:paraId="4FDF8620" w14:textId="77777777" w:rsidR="00CA2D0E" w:rsidRPr="004F5FB4" w:rsidRDefault="00CA2D0E" w:rsidP="00D4051F">
            <w:pPr>
              <w:keepNext/>
              <w:rPr>
                <w:color w:val="000000"/>
                <w:lang w:val="en-GB"/>
              </w:rPr>
            </w:pPr>
            <w:r w:rsidRPr="004F5FB4">
              <w:rPr>
                <w:color w:val="000000"/>
              </w:rPr>
              <w:t>Tachykardie</w:t>
            </w:r>
          </w:p>
        </w:tc>
      </w:tr>
      <w:tr w:rsidR="00CA2D0E" w:rsidRPr="004F5FB4" w14:paraId="53960ADD" w14:textId="77777777" w:rsidTr="008419B6">
        <w:trPr>
          <w:cantSplit/>
        </w:trPr>
        <w:tc>
          <w:tcPr>
            <w:tcW w:w="4147" w:type="dxa"/>
            <w:vMerge/>
            <w:tcBorders>
              <w:left w:val="single" w:sz="4" w:space="0" w:color="auto"/>
              <w:right w:val="single" w:sz="4" w:space="0" w:color="auto"/>
            </w:tcBorders>
          </w:tcPr>
          <w:p w14:paraId="471A5AE4" w14:textId="77777777" w:rsidR="00CA2D0E" w:rsidRPr="004F5FB4" w:rsidRDefault="00CA2D0E" w:rsidP="003146E9">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591DBE3C" w14:textId="77777777" w:rsidR="00CA2D0E" w:rsidRPr="004F5FB4" w:rsidRDefault="00CA2D0E" w:rsidP="003146E9">
            <w:pPr>
              <w:keepNext/>
              <w:rPr>
                <w:color w:val="000000"/>
              </w:rPr>
            </w:pPr>
            <w:r w:rsidRPr="004F5FB4">
              <w:rPr>
                <w:color w:val="000000"/>
              </w:rPr>
              <w:t>Gelegentlich</w:t>
            </w:r>
          </w:p>
          <w:p w14:paraId="6517E2BB" w14:textId="77777777" w:rsidR="00CA2D0E" w:rsidRPr="004F5FB4" w:rsidRDefault="00CA2D0E" w:rsidP="003146E9">
            <w:pPr>
              <w:keepNext/>
              <w:rPr>
                <w:color w:val="000000"/>
                <w:lang w:val="en-GB"/>
              </w:rPr>
            </w:pPr>
          </w:p>
        </w:tc>
        <w:tc>
          <w:tcPr>
            <w:tcW w:w="0" w:type="auto"/>
            <w:tcBorders>
              <w:left w:val="single" w:sz="4" w:space="0" w:color="auto"/>
              <w:right w:val="single" w:sz="4" w:space="0" w:color="auto"/>
            </w:tcBorders>
          </w:tcPr>
          <w:p w14:paraId="6061FF17" w14:textId="77777777" w:rsidR="00CA2D0E" w:rsidRPr="004F5FB4" w:rsidRDefault="00CA2D0E" w:rsidP="003146E9">
            <w:pPr>
              <w:keepNext/>
              <w:autoSpaceDE w:val="0"/>
              <w:autoSpaceDN w:val="0"/>
              <w:adjustRightInd w:val="0"/>
              <w:rPr>
                <w:color w:val="000000"/>
              </w:rPr>
            </w:pPr>
            <w:r w:rsidRPr="004F5FB4">
              <w:rPr>
                <w:color w:val="000000"/>
              </w:rPr>
              <w:t>Myokardinfarkt</w:t>
            </w:r>
            <w:r w:rsidRPr="004F5FB4">
              <w:rPr>
                <w:color w:val="000000"/>
                <w:vertAlign w:val="superscript"/>
              </w:rPr>
              <w:t>1</w:t>
            </w:r>
            <w:r w:rsidRPr="004F5FB4">
              <w:rPr>
                <w:color w:val="000000"/>
              </w:rPr>
              <w:t>,</w:t>
            </w:r>
          </w:p>
          <w:p w14:paraId="2A84096C" w14:textId="77777777" w:rsidR="00CA2D0E" w:rsidRPr="004F5FB4" w:rsidRDefault="00CA2D0E" w:rsidP="003146E9">
            <w:pPr>
              <w:keepNext/>
              <w:autoSpaceDE w:val="0"/>
              <w:autoSpaceDN w:val="0"/>
              <w:adjustRightInd w:val="0"/>
              <w:rPr>
                <w:color w:val="000000"/>
              </w:rPr>
            </w:pPr>
            <w:r w:rsidRPr="004F5FB4">
              <w:rPr>
                <w:color w:val="000000"/>
              </w:rPr>
              <w:t>Arrhythmie,</w:t>
            </w:r>
          </w:p>
          <w:p w14:paraId="266A3593" w14:textId="77777777" w:rsidR="00CA2D0E" w:rsidRPr="004F5FB4" w:rsidRDefault="00CA2D0E" w:rsidP="00D4051F">
            <w:pPr>
              <w:keepNext/>
              <w:rPr>
                <w:color w:val="000000"/>
                <w:lang w:val="en-GB"/>
              </w:rPr>
            </w:pPr>
            <w:r w:rsidRPr="004F5FB4">
              <w:rPr>
                <w:color w:val="000000"/>
              </w:rPr>
              <w:t>dekompensierte Herzinsuffizienz</w:t>
            </w:r>
          </w:p>
        </w:tc>
      </w:tr>
      <w:tr w:rsidR="00CA2D0E" w:rsidRPr="004F5FB4" w14:paraId="6866BA30" w14:textId="77777777" w:rsidTr="008419B6">
        <w:trPr>
          <w:cantSplit/>
        </w:trPr>
        <w:tc>
          <w:tcPr>
            <w:tcW w:w="4147" w:type="dxa"/>
            <w:vMerge/>
            <w:tcBorders>
              <w:left w:val="single" w:sz="4" w:space="0" w:color="auto"/>
              <w:bottom w:val="single" w:sz="4" w:space="0" w:color="auto"/>
              <w:right w:val="single" w:sz="4" w:space="0" w:color="auto"/>
            </w:tcBorders>
          </w:tcPr>
          <w:p w14:paraId="3E2B9E8C"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2A6E27AB" w14:textId="77777777" w:rsidR="00CA2D0E" w:rsidRPr="004F5FB4" w:rsidRDefault="00CA2D0E" w:rsidP="00D4051F">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5EF4978C" w14:textId="77777777" w:rsidR="00CA2D0E" w:rsidRPr="004F5FB4" w:rsidRDefault="00CA2D0E" w:rsidP="00D4051F">
            <w:pPr>
              <w:rPr>
                <w:color w:val="000000"/>
                <w:lang w:val="en-GB"/>
              </w:rPr>
            </w:pPr>
            <w:r w:rsidRPr="004F5FB4">
              <w:rPr>
                <w:color w:val="000000"/>
              </w:rPr>
              <w:t>Herzstillstand</w:t>
            </w:r>
          </w:p>
        </w:tc>
      </w:tr>
      <w:tr w:rsidR="00CA2D0E" w:rsidRPr="004F5FB4" w14:paraId="6A1861C1"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4801A598" w14:textId="77777777" w:rsidR="00CA2D0E" w:rsidRPr="004F5FB4" w:rsidRDefault="00CA2D0E" w:rsidP="00982118">
            <w:pPr>
              <w:rPr>
                <w:color w:val="000000"/>
              </w:rPr>
            </w:pPr>
            <w:r w:rsidRPr="004F5FB4">
              <w:rPr>
                <w:color w:val="000000"/>
              </w:rPr>
              <w:t>Gefäßerkrankungen</w:t>
            </w:r>
          </w:p>
        </w:tc>
        <w:tc>
          <w:tcPr>
            <w:tcW w:w="2557" w:type="dxa"/>
            <w:tcBorders>
              <w:top w:val="single" w:sz="4" w:space="0" w:color="auto"/>
              <w:left w:val="single" w:sz="4" w:space="0" w:color="auto"/>
              <w:bottom w:val="single" w:sz="4" w:space="0" w:color="auto"/>
              <w:right w:val="single" w:sz="4" w:space="0" w:color="auto"/>
            </w:tcBorders>
          </w:tcPr>
          <w:p w14:paraId="023A901D" w14:textId="77777777" w:rsidR="00CA2D0E" w:rsidRPr="004F5FB4" w:rsidRDefault="00CA2D0E" w:rsidP="00982118">
            <w:pPr>
              <w:rPr>
                <w:color w:val="000000"/>
              </w:rPr>
            </w:pPr>
            <w:r w:rsidRPr="004F5FB4">
              <w:rPr>
                <w:color w:val="000000"/>
              </w:rPr>
              <w:t>Häufig</w:t>
            </w:r>
          </w:p>
          <w:p w14:paraId="1BB75E7C" w14:textId="77777777" w:rsidR="00CA2D0E" w:rsidRPr="004F5FB4" w:rsidRDefault="00CA2D0E" w:rsidP="00982118">
            <w:pPr>
              <w:rPr>
                <w:color w:val="000000"/>
                <w:lang w:val="en-GB"/>
              </w:rPr>
            </w:pPr>
          </w:p>
        </w:tc>
        <w:tc>
          <w:tcPr>
            <w:tcW w:w="0" w:type="auto"/>
            <w:tcBorders>
              <w:top w:val="single" w:sz="4" w:space="0" w:color="auto"/>
              <w:left w:val="single" w:sz="4" w:space="0" w:color="auto"/>
              <w:right w:val="single" w:sz="4" w:space="0" w:color="auto"/>
            </w:tcBorders>
          </w:tcPr>
          <w:p w14:paraId="64B08C7F" w14:textId="77777777" w:rsidR="00CA2D0E" w:rsidRPr="004F5FB4" w:rsidRDefault="00CA2D0E" w:rsidP="00982118">
            <w:pPr>
              <w:autoSpaceDE w:val="0"/>
              <w:autoSpaceDN w:val="0"/>
              <w:adjustRightInd w:val="0"/>
              <w:rPr>
                <w:color w:val="000000"/>
              </w:rPr>
            </w:pPr>
            <w:r w:rsidRPr="004F5FB4">
              <w:rPr>
                <w:color w:val="000000"/>
              </w:rPr>
              <w:t>Hypertonie,</w:t>
            </w:r>
          </w:p>
          <w:p w14:paraId="640ABF9F" w14:textId="77777777" w:rsidR="00CA2D0E" w:rsidRPr="004F5FB4" w:rsidRDefault="00CA2D0E" w:rsidP="00982118">
            <w:pPr>
              <w:autoSpaceDE w:val="0"/>
              <w:autoSpaceDN w:val="0"/>
              <w:adjustRightInd w:val="0"/>
              <w:rPr>
                <w:color w:val="000000"/>
              </w:rPr>
            </w:pPr>
            <w:r w:rsidRPr="004F5FB4">
              <w:rPr>
                <w:color w:val="000000"/>
              </w:rPr>
              <w:t>Hitzegefühl,</w:t>
            </w:r>
          </w:p>
          <w:p w14:paraId="0B662EA7" w14:textId="77777777" w:rsidR="00CA2D0E" w:rsidRPr="004F5FB4" w:rsidRDefault="00CA2D0E" w:rsidP="00D4051F">
            <w:pPr>
              <w:rPr>
                <w:color w:val="000000"/>
                <w:lang w:val="en-GB"/>
              </w:rPr>
            </w:pPr>
            <w:r w:rsidRPr="004F5FB4">
              <w:rPr>
                <w:color w:val="000000"/>
              </w:rPr>
              <w:t>Hämatome</w:t>
            </w:r>
          </w:p>
        </w:tc>
      </w:tr>
      <w:tr w:rsidR="00CA2D0E" w:rsidRPr="004F5FB4" w14:paraId="52FCEE34" w14:textId="77777777" w:rsidTr="008419B6">
        <w:trPr>
          <w:cantSplit/>
        </w:trPr>
        <w:tc>
          <w:tcPr>
            <w:tcW w:w="4147" w:type="dxa"/>
            <w:vMerge/>
            <w:tcBorders>
              <w:left w:val="single" w:sz="4" w:space="0" w:color="auto"/>
              <w:bottom w:val="single" w:sz="4" w:space="0" w:color="auto"/>
              <w:right w:val="single" w:sz="4" w:space="0" w:color="auto"/>
            </w:tcBorders>
          </w:tcPr>
          <w:p w14:paraId="446B25F2"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5D9B7FEA" w14:textId="77777777" w:rsidR="00CA2D0E" w:rsidRPr="004F5FB4" w:rsidRDefault="00CA2D0E" w:rsidP="00982118">
            <w:pPr>
              <w:rPr>
                <w:color w:val="000000"/>
              </w:rPr>
            </w:pPr>
            <w:r w:rsidRPr="004F5FB4">
              <w:rPr>
                <w:color w:val="000000"/>
              </w:rPr>
              <w:t>Gelegentlich</w:t>
            </w:r>
          </w:p>
        </w:tc>
        <w:tc>
          <w:tcPr>
            <w:tcW w:w="0" w:type="auto"/>
            <w:tcBorders>
              <w:left w:val="single" w:sz="4" w:space="0" w:color="auto"/>
              <w:bottom w:val="single" w:sz="4" w:space="0" w:color="auto"/>
              <w:right w:val="single" w:sz="4" w:space="0" w:color="auto"/>
            </w:tcBorders>
          </w:tcPr>
          <w:p w14:paraId="31872D65" w14:textId="77777777" w:rsidR="00CA2D0E" w:rsidRPr="004F5FB4" w:rsidRDefault="00CA2D0E" w:rsidP="00982118">
            <w:pPr>
              <w:autoSpaceDE w:val="0"/>
              <w:autoSpaceDN w:val="0"/>
              <w:adjustRightInd w:val="0"/>
              <w:rPr>
                <w:color w:val="000000"/>
              </w:rPr>
            </w:pPr>
            <w:r w:rsidRPr="004F5FB4">
              <w:rPr>
                <w:color w:val="000000"/>
              </w:rPr>
              <w:t>Aortenaneurysma,</w:t>
            </w:r>
          </w:p>
          <w:p w14:paraId="29E5390F" w14:textId="77777777" w:rsidR="00CA2D0E" w:rsidRPr="004F5FB4" w:rsidRDefault="00CA2D0E" w:rsidP="00982118">
            <w:pPr>
              <w:autoSpaceDE w:val="0"/>
              <w:autoSpaceDN w:val="0"/>
              <w:adjustRightInd w:val="0"/>
              <w:rPr>
                <w:color w:val="000000"/>
              </w:rPr>
            </w:pPr>
            <w:r w:rsidRPr="004F5FB4">
              <w:rPr>
                <w:color w:val="000000"/>
              </w:rPr>
              <w:t>arterieller Gefäßverschluss,</w:t>
            </w:r>
          </w:p>
          <w:p w14:paraId="59CAC538" w14:textId="77777777" w:rsidR="00CA2D0E" w:rsidRPr="004F5FB4" w:rsidDel="00B633E5" w:rsidRDefault="00CA2D0E" w:rsidP="00D4051F">
            <w:pPr>
              <w:rPr>
                <w:color w:val="000000"/>
                <w:lang w:val="en-GB"/>
              </w:rPr>
            </w:pPr>
            <w:r w:rsidRPr="004F5FB4">
              <w:rPr>
                <w:color w:val="000000"/>
              </w:rPr>
              <w:t>Thrombophlebitis</w:t>
            </w:r>
          </w:p>
        </w:tc>
      </w:tr>
      <w:tr w:rsidR="00CA2D0E" w:rsidRPr="004F5FB4" w14:paraId="350EF3D5"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4C4B1A34" w14:textId="77777777" w:rsidR="00CA2D0E" w:rsidRPr="004F5FB4" w:rsidRDefault="00CA2D0E" w:rsidP="00982118">
            <w:pPr>
              <w:keepNext/>
              <w:autoSpaceDE w:val="0"/>
              <w:autoSpaceDN w:val="0"/>
              <w:adjustRightInd w:val="0"/>
              <w:rPr>
                <w:color w:val="000000"/>
              </w:rPr>
            </w:pPr>
            <w:r w:rsidRPr="004F5FB4">
              <w:rPr>
                <w:color w:val="000000"/>
              </w:rPr>
              <w:t>Erkrankungen der Atemwege, des Brustraumes und Mediastinums*</w:t>
            </w:r>
          </w:p>
        </w:tc>
        <w:tc>
          <w:tcPr>
            <w:tcW w:w="2557" w:type="dxa"/>
            <w:tcBorders>
              <w:top w:val="single" w:sz="4" w:space="0" w:color="auto"/>
              <w:left w:val="single" w:sz="4" w:space="0" w:color="auto"/>
              <w:bottom w:val="single" w:sz="4" w:space="0" w:color="auto"/>
              <w:right w:val="single" w:sz="4" w:space="0" w:color="auto"/>
            </w:tcBorders>
          </w:tcPr>
          <w:p w14:paraId="78392A82" w14:textId="77777777" w:rsidR="00CA2D0E" w:rsidRPr="004F5FB4" w:rsidRDefault="00CA2D0E" w:rsidP="00982118">
            <w:pPr>
              <w:keepNext/>
              <w:rPr>
                <w:color w:val="000000"/>
              </w:rPr>
            </w:pPr>
            <w:r w:rsidRPr="004F5FB4">
              <w:rPr>
                <w:color w:val="000000"/>
              </w:rPr>
              <w:t>Häufig</w:t>
            </w:r>
          </w:p>
          <w:p w14:paraId="4420B377" w14:textId="77777777" w:rsidR="00CA2D0E" w:rsidRPr="004F5FB4" w:rsidRDefault="00CA2D0E" w:rsidP="00982118">
            <w:pPr>
              <w:keepNext/>
              <w:rPr>
                <w:color w:val="000000"/>
                <w:lang w:val="en-GB"/>
              </w:rPr>
            </w:pPr>
          </w:p>
        </w:tc>
        <w:tc>
          <w:tcPr>
            <w:tcW w:w="0" w:type="auto"/>
            <w:tcBorders>
              <w:top w:val="single" w:sz="4" w:space="0" w:color="auto"/>
              <w:left w:val="single" w:sz="4" w:space="0" w:color="auto"/>
              <w:right w:val="single" w:sz="4" w:space="0" w:color="auto"/>
            </w:tcBorders>
          </w:tcPr>
          <w:p w14:paraId="3591A7FC" w14:textId="77777777" w:rsidR="00CA2D0E" w:rsidRPr="004F5FB4" w:rsidRDefault="00CA2D0E" w:rsidP="00982118">
            <w:pPr>
              <w:keepNext/>
              <w:autoSpaceDE w:val="0"/>
              <w:autoSpaceDN w:val="0"/>
              <w:adjustRightInd w:val="0"/>
              <w:rPr>
                <w:color w:val="000000"/>
              </w:rPr>
            </w:pPr>
            <w:r w:rsidRPr="004F5FB4">
              <w:rPr>
                <w:color w:val="000000"/>
              </w:rPr>
              <w:t>Asthma,</w:t>
            </w:r>
          </w:p>
          <w:p w14:paraId="2FE63A87" w14:textId="77777777" w:rsidR="00CA2D0E" w:rsidRPr="004F5FB4" w:rsidRDefault="00CA2D0E" w:rsidP="00982118">
            <w:pPr>
              <w:keepNext/>
              <w:autoSpaceDE w:val="0"/>
              <w:autoSpaceDN w:val="0"/>
              <w:adjustRightInd w:val="0"/>
              <w:rPr>
                <w:color w:val="000000"/>
              </w:rPr>
            </w:pPr>
            <w:r w:rsidRPr="004F5FB4">
              <w:rPr>
                <w:color w:val="000000"/>
              </w:rPr>
              <w:t>Dyspnoe,</w:t>
            </w:r>
          </w:p>
          <w:p w14:paraId="2E600790" w14:textId="77777777" w:rsidR="00CA2D0E" w:rsidRPr="004F5FB4" w:rsidRDefault="00CA2D0E" w:rsidP="00D4051F">
            <w:pPr>
              <w:keepNext/>
              <w:autoSpaceDE w:val="0"/>
              <w:autoSpaceDN w:val="0"/>
              <w:adjustRightInd w:val="0"/>
              <w:rPr>
                <w:color w:val="000000"/>
                <w:lang w:val="en-GB"/>
              </w:rPr>
            </w:pPr>
            <w:r w:rsidRPr="004F5FB4">
              <w:rPr>
                <w:color w:val="000000"/>
              </w:rPr>
              <w:t>Husten</w:t>
            </w:r>
          </w:p>
        </w:tc>
      </w:tr>
      <w:tr w:rsidR="00CA2D0E" w:rsidRPr="004F5FB4" w14:paraId="688E5D1D" w14:textId="77777777" w:rsidTr="008419B6">
        <w:trPr>
          <w:cantSplit/>
        </w:trPr>
        <w:tc>
          <w:tcPr>
            <w:tcW w:w="4147" w:type="dxa"/>
            <w:vMerge/>
            <w:tcBorders>
              <w:left w:val="single" w:sz="4" w:space="0" w:color="auto"/>
              <w:right w:val="single" w:sz="4" w:space="0" w:color="auto"/>
            </w:tcBorders>
          </w:tcPr>
          <w:p w14:paraId="19AD0806" w14:textId="77777777" w:rsidR="00CA2D0E" w:rsidRPr="004F5FB4" w:rsidRDefault="00CA2D0E" w:rsidP="00982118">
            <w:pPr>
              <w:keepNext/>
              <w:autoSpaceDE w:val="0"/>
              <w:autoSpaceDN w:val="0"/>
              <w:adjustRightInd w:val="0"/>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E199943" w14:textId="77777777" w:rsidR="00CA2D0E" w:rsidRPr="004F5FB4" w:rsidRDefault="00CA2D0E" w:rsidP="00982118">
            <w:pPr>
              <w:keepNext/>
              <w:rPr>
                <w:color w:val="000000"/>
              </w:rPr>
            </w:pPr>
            <w:r w:rsidRPr="004F5FB4">
              <w:rPr>
                <w:color w:val="000000"/>
              </w:rPr>
              <w:t>Gelegentlich</w:t>
            </w:r>
          </w:p>
          <w:p w14:paraId="571952F7" w14:textId="77777777" w:rsidR="00CA2D0E" w:rsidRPr="004F5FB4" w:rsidRDefault="00CA2D0E" w:rsidP="00982118">
            <w:pPr>
              <w:keepNext/>
              <w:rPr>
                <w:color w:val="000000"/>
                <w:lang w:val="en-GB"/>
              </w:rPr>
            </w:pPr>
          </w:p>
        </w:tc>
        <w:tc>
          <w:tcPr>
            <w:tcW w:w="0" w:type="auto"/>
            <w:tcBorders>
              <w:left w:val="single" w:sz="4" w:space="0" w:color="auto"/>
              <w:right w:val="single" w:sz="4" w:space="0" w:color="auto"/>
            </w:tcBorders>
          </w:tcPr>
          <w:p w14:paraId="0190AD58" w14:textId="77777777" w:rsidR="00CA2D0E" w:rsidRPr="004F5FB4" w:rsidRDefault="00CA2D0E" w:rsidP="00982118">
            <w:pPr>
              <w:keepNext/>
              <w:autoSpaceDE w:val="0"/>
              <w:autoSpaceDN w:val="0"/>
              <w:adjustRightInd w:val="0"/>
              <w:rPr>
                <w:color w:val="000000"/>
              </w:rPr>
            </w:pPr>
            <w:r w:rsidRPr="004F5FB4">
              <w:rPr>
                <w:color w:val="000000"/>
              </w:rPr>
              <w:t>Lungenembolie</w:t>
            </w:r>
            <w:r w:rsidRPr="004F5FB4">
              <w:rPr>
                <w:color w:val="000000"/>
                <w:vertAlign w:val="superscript"/>
              </w:rPr>
              <w:t>1</w:t>
            </w:r>
            <w:r w:rsidRPr="004F5FB4">
              <w:rPr>
                <w:color w:val="000000"/>
              </w:rPr>
              <w:t>,</w:t>
            </w:r>
          </w:p>
          <w:p w14:paraId="2656B3C1" w14:textId="77777777" w:rsidR="00CA2D0E" w:rsidRPr="004F5FB4" w:rsidRDefault="00CA2D0E" w:rsidP="00982118">
            <w:pPr>
              <w:keepNext/>
              <w:autoSpaceDE w:val="0"/>
              <w:autoSpaceDN w:val="0"/>
              <w:adjustRightInd w:val="0"/>
              <w:rPr>
                <w:color w:val="000000"/>
              </w:rPr>
            </w:pPr>
            <w:r w:rsidRPr="004F5FB4">
              <w:rPr>
                <w:color w:val="000000"/>
              </w:rPr>
              <w:t>interstitielle Lungenerkrankung,</w:t>
            </w:r>
          </w:p>
          <w:p w14:paraId="673AC216" w14:textId="77777777" w:rsidR="00CA2D0E" w:rsidRPr="004F5FB4" w:rsidRDefault="00CA2D0E" w:rsidP="00982118">
            <w:pPr>
              <w:keepNext/>
              <w:autoSpaceDE w:val="0"/>
              <w:autoSpaceDN w:val="0"/>
              <w:adjustRightInd w:val="0"/>
              <w:rPr>
                <w:color w:val="000000"/>
              </w:rPr>
            </w:pPr>
            <w:r w:rsidRPr="004F5FB4">
              <w:rPr>
                <w:color w:val="000000"/>
              </w:rPr>
              <w:t>chronisch-obstruktive Lungenerkrankung,</w:t>
            </w:r>
          </w:p>
          <w:p w14:paraId="5434BC91" w14:textId="77777777" w:rsidR="00CA2D0E" w:rsidRPr="004F5FB4" w:rsidRDefault="00CA2D0E" w:rsidP="00982118">
            <w:pPr>
              <w:keepNext/>
              <w:autoSpaceDE w:val="0"/>
              <w:autoSpaceDN w:val="0"/>
              <w:adjustRightInd w:val="0"/>
              <w:rPr>
                <w:color w:val="000000"/>
              </w:rPr>
            </w:pPr>
            <w:r w:rsidRPr="004F5FB4">
              <w:rPr>
                <w:color w:val="000000"/>
              </w:rPr>
              <w:t>Pneumonitis,</w:t>
            </w:r>
          </w:p>
          <w:p w14:paraId="0632DE7F" w14:textId="77777777" w:rsidR="00CA2D0E" w:rsidRPr="004F5FB4" w:rsidRDefault="00CA2D0E" w:rsidP="00D4051F">
            <w:pPr>
              <w:keepNext/>
              <w:autoSpaceDE w:val="0"/>
              <w:autoSpaceDN w:val="0"/>
              <w:adjustRightInd w:val="0"/>
              <w:rPr>
                <w:color w:val="000000"/>
                <w:lang w:val="en-GB"/>
              </w:rPr>
            </w:pPr>
            <w:r w:rsidRPr="004F5FB4">
              <w:rPr>
                <w:color w:val="000000"/>
              </w:rPr>
              <w:t>Pleuraerguss</w:t>
            </w:r>
            <w:r w:rsidRPr="004F5FB4">
              <w:rPr>
                <w:color w:val="000000"/>
                <w:vertAlign w:val="superscript"/>
              </w:rPr>
              <w:t>1</w:t>
            </w:r>
          </w:p>
        </w:tc>
      </w:tr>
      <w:tr w:rsidR="00CA2D0E" w:rsidRPr="004F5FB4" w14:paraId="7245B0BB" w14:textId="77777777" w:rsidTr="008419B6">
        <w:trPr>
          <w:cantSplit/>
        </w:trPr>
        <w:tc>
          <w:tcPr>
            <w:tcW w:w="4147" w:type="dxa"/>
            <w:vMerge/>
            <w:tcBorders>
              <w:left w:val="single" w:sz="4" w:space="0" w:color="auto"/>
              <w:bottom w:val="single" w:sz="4" w:space="0" w:color="auto"/>
              <w:right w:val="single" w:sz="4" w:space="0" w:color="auto"/>
            </w:tcBorders>
          </w:tcPr>
          <w:p w14:paraId="38971D78" w14:textId="77777777" w:rsidR="00CA2D0E" w:rsidRPr="004F5FB4" w:rsidRDefault="00CA2D0E" w:rsidP="00982118">
            <w:pPr>
              <w:autoSpaceDE w:val="0"/>
              <w:autoSpaceDN w:val="0"/>
              <w:adjustRightInd w:val="0"/>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85248B5" w14:textId="77777777" w:rsidR="00CA2D0E" w:rsidRPr="004F5FB4" w:rsidRDefault="00CA2D0E" w:rsidP="00D4051F">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27BBFF81" w14:textId="77777777" w:rsidR="00CA2D0E" w:rsidRPr="004F5FB4" w:rsidRDefault="00CA2D0E" w:rsidP="00D4051F">
            <w:pPr>
              <w:autoSpaceDE w:val="0"/>
              <w:autoSpaceDN w:val="0"/>
              <w:adjustRightInd w:val="0"/>
              <w:rPr>
                <w:color w:val="000000"/>
                <w:lang w:val="en-GB"/>
              </w:rPr>
            </w:pPr>
            <w:r w:rsidRPr="004F5FB4">
              <w:rPr>
                <w:color w:val="000000"/>
              </w:rPr>
              <w:t>Lungenfibrose</w:t>
            </w:r>
            <w:r w:rsidRPr="004F5FB4">
              <w:rPr>
                <w:color w:val="000000"/>
                <w:vertAlign w:val="superscript"/>
              </w:rPr>
              <w:t>1</w:t>
            </w:r>
          </w:p>
        </w:tc>
      </w:tr>
      <w:tr w:rsidR="00CA2D0E" w:rsidRPr="004F5FB4" w14:paraId="766E7DE0"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699F0F6" w14:textId="77777777" w:rsidR="00CA2D0E" w:rsidRPr="004F5FB4" w:rsidRDefault="00CA2D0E" w:rsidP="00D4051F">
            <w:pPr>
              <w:keepNext/>
              <w:keepLines/>
              <w:rPr>
                <w:color w:val="000000"/>
              </w:rPr>
            </w:pPr>
            <w:r w:rsidRPr="004F5FB4">
              <w:rPr>
                <w:color w:val="000000"/>
              </w:rPr>
              <w:lastRenderedPageBreak/>
              <w:t>Erkrankungen des Gastrointestinaltraktes</w:t>
            </w:r>
          </w:p>
        </w:tc>
        <w:tc>
          <w:tcPr>
            <w:tcW w:w="2557" w:type="dxa"/>
            <w:tcBorders>
              <w:top w:val="single" w:sz="4" w:space="0" w:color="auto"/>
              <w:left w:val="single" w:sz="4" w:space="0" w:color="auto"/>
              <w:bottom w:val="single" w:sz="4" w:space="0" w:color="auto"/>
              <w:right w:val="single" w:sz="4" w:space="0" w:color="auto"/>
            </w:tcBorders>
          </w:tcPr>
          <w:p w14:paraId="0ABE1777" w14:textId="77777777" w:rsidR="00CA2D0E" w:rsidRPr="004F5FB4" w:rsidRDefault="00CA2D0E" w:rsidP="00D4051F">
            <w:pPr>
              <w:keepNext/>
              <w:keepLines/>
              <w:rPr>
                <w:color w:val="000000"/>
              </w:rPr>
            </w:pPr>
            <w:r w:rsidRPr="004F5FB4">
              <w:rPr>
                <w:color w:val="000000"/>
              </w:rPr>
              <w:t>Sehr häufig</w:t>
            </w:r>
          </w:p>
          <w:p w14:paraId="3996DAB7" w14:textId="77777777" w:rsidR="00CA2D0E" w:rsidRPr="004F5FB4" w:rsidRDefault="00CA2D0E" w:rsidP="00D4051F">
            <w:pPr>
              <w:keepNext/>
              <w:keepLines/>
              <w:rPr>
                <w:color w:val="000000"/>
                <w:lang w:val="en-GB"/>
              </w:rPr>
            </w:pPr>
          </w:p>
        </w:tc>
        <w:tc>
          <w:tcPr>
            <w:tcW w:w="0" w:type="auto"/>
            <w:tcBorders>
              <w:top w:val="single" w:sz="4" w:space="0" w:color="auto"/>
              <w:left w:val="single" w:sz="4" w:space="0" w:color="auto"/>
              <w:right w:val="single" w:sz="4" w:space="0" w:color="auto"/>
            </w:tcBorders>
          </w:tcPr>
          <w:p w14:paraId="6B5177F1" w14:textId="77777777" w:rsidR="00CA2D0E" w:rsidRPr="004F5FB4" w:rsidRDefault="00CA2D0E" w:rsidP="00D4051F">
            <w:pPr>
              <w:keepNext/>
              <w:keepLines/>
              <w:autoSpaceDE w:val="0"/>
              <w:autoSpaceDN w:val="0"/>
              <w:adjustRightInd w:val="0"/>
              <w:rPr>
                <w:color w:val="000000"/>
              </w:rPr>
            </w:pPr>
            <w:r w:rsidRPr="004F5FB4">
              <w:rPr>
                <w:color w:val="000000"/>
              </w:rPr>
              <w:t>Abdominalschmerzen,</w:t>
            </w:r>
          </w:p>
          <w:p w14:paraId="2F73541C" w14:textId="77777777" w:rsidR="00CA2D0E" w:rsidRPr="004F5FB4" w:rsidRDefault="00CA2D0E" w:rsidP="00D4051F">
            <w:pPr>
              <w:keepNext/>
              <w:keepLines/>
              <w:autoSpaceDE w:val="0"/>
              <w:autoSpaceDN w:val="0"/>
              <w:adjustRightInd w:val="0"/>
              <w:rPr>
                <w:color w:val="000000"/>
                <w:lang w:val="en-GB"/>
              </w:rPr>
            </w:pPr>
            <w:r w:rsidRPr="004F5FB4">
              <w:rPr>
                <w:color w:val="000000"/>
              </w:rPr>
              <w:t>Übelkeit und Erbrechen</w:t>
            </w:r>
          </w:p>
        </w:tc>
      </w:tr>
      <w:tr w:rsidR="00CA2D0E" w:rsidRPr="004F5FB4" w14:paraId="194FA364" w14:textId="77777777" w:rsidTr="008419B6">
        <w:trPr>
          <w:cantSplit/>
        </w:trPr>
        <w:tc>
          <w:tcPr>
            <w:tcW w:w="4147" w:type="dxa"/>
            <w:vMerge/>
            <w:tcBorders>
              <w:left w:val="single" w:sz="4" w:space="0" w:color="auto"/>
              <w:right w:val="single" w:sz="4" w:space="0" w:color="auto"/>
            </w:tcBorders>
          </w:tcPr>
          <w:p w14:paraId="07DFF410"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5A2BCB1" w14:textId="77777777" w:rsidR="00CA2D0E" w:rsidRPr="004F5FB4" w:rsidRDefault="00CA2D0E" w:rsidP="00982118">
            <w:pPr>
              <w:rPr>
                <w:color w:val="000000"/>
              </w:rPr>
            </w:pPr>
            <w:r w:rsidRPr="004F5FB4">
              <w:rPr>
                <w:color w:val="000000"/>
              </w:rPr>
              <w:t>Häufig</w:t>
            </w:r>
          </w:p>
          <w:p w14:paraId="3F2D9297"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525D7ED9" w14:textId="77777777" w:rsidR="00CA2D0E" w:rsidRPr="004F5FB4" w:rsidRDefault="00CA2D0E" w:rsidP="00982118">
            <w:pPr>
              <w:autoSpaceDE w:val="0"/>
              <w:autoSpaceDN w:val="0"/>
              <w:adjustRightInd w:val="0"/>
              <w:rPr>
                <w:color w:val="000000"/>
              </w:rPr>
            </w:pPr>
            <w:r w:rsidRPr="004F5FB4">
              <w:rPr>
                <w:color w:val="000000"/>
              </w:rPr>
              <w:t>Blutungen im Gastrointestinaltrakt,</w:t>
            </w:r>
          </w:p>
          <w:p w14:paraId="67D83C6C" w14:textId="77777777" w:rsidR="00CA2D0E" w:rsidRPr="004F5FB4" w:rsidRDefault="00CA2D0E" w:rsidP="00982118">
            <w:pPr>
              <w:autoSpaceDE w:val="0"/>
              <w:autoSpaceDN w:val="0"/>
              <w:adjustRightInd w:val="0"/>
              <w:rPr>
                <w:color w:val="000000"/>
              </w:rPr>
            </w:pPr>
            <w:r w:rsidRPr="004F5FB4">
              <w:rPr>
                <w:color w:val="000000"/>
              </w:rPr>
              <w:t>Dyspepsie,</w:t>
            </w:r>
          </w:p>
          <w:p w14:paraId="6D92E328" w14:textId="77777777" w:rsidR="00CA2D0E" w:rsidRPr="004F5FB4" w:rsidRDefault="00CA2D0E" w:rsidP="00982118">
            <w:pPr>
              <w:autoSpaceDE w:val="0"/>
              <w:autoSpaceDN w:val="0"/>
              <w:adjustRightInd w:val="0"/>
              <w:rPr>
                <w:color w:val="000000"/>
              </w:rPr>
            </w:pPr>
            <w:r w:rsidRPr="004F5FB4">
              <w:rPr>
                <w:color w:val="000000"/>
              </w:rPr>
              <w:t>gastroösophageale Refluxkrankheit,</w:t>
            </w:r>
          </w:p>
          <w:p w14:paraId="37217343" w14:textId="77777777" w:rsidR="00CA2D0E" w:rsidRPr="004F5FB4" w:rsidRDefault="00CA2D0E" w:rsidP="00D4051F">
            <w:pPr>
              <w:autoSpaceDE w:val="0"/>
              <w:autoSpaceDN w:val="0"/>
              <w:adjustRightInd w:val="0"/>
              <w:rPr>
                <w:color w:val="000000"/>
                <w:lang w:val="en-GB"/>
              </w:rPr>
            </w:pPr>
            <w:r w:rsidRPr="004F5FB4">
              <w:rPr>
                <w:color w:val="000000"/>
              </w:rPr>
              <w:t>Sicca-Syndrom</w:t>
            </w:r>
          </w:p>
        </w:tc>
      </w:tr>
      <w:tr w:rsidR="00CA2D0E" w:rsidRPr="004F5FB4" w14:paraId="68377403" w14:textId="77777777" w:rsidTr="008419B6">
        <w:trPr>
          <w:cantSplit/>
        </w:trPr>
        <w:tc>
          <w:tcPr>
            <w:tcW w:w="4147" w:type="dxa"/>
            <w:vMerge/>
            <w:tcBorders>
              <w:left w:val="single" w:sz="4" w:space="0" w:color="auto"/>
              <w:right w:val="single" w:sz="4" w:space="0" w:color="auto"/>
            </w:tcBorders>
          </w:tcPr>
          <w:p w14:paraId="1F3BE2D6"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5779E55C" w14:textId="77777777" w:rsidR="00CA2D0E" w:rsidRPr="004F5FB4" w:rsidRDefault="00CA2D0E" w:rsidP="00982118">
            <w:pPr>
              <w:rPr>
                <w:color w:val="000000"/>
              </w:rPr>
            </w:pPr>
            <w:r w:rsidRPr="004F5FB4">
              <w:rPr>
                <w:color w:val="000000"/>
              </w:rPr>
              <w:t>Gelegentlich</w:t>
            </w:r>
          </w:p>
          <w:p w14:paraId="7A60EE68"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73A712E0" w14:textId="77777777" w:rsidR="00CA2D0E" w:rsidRPr="004F5FB4" w:rsidRDefault="00CA2D0E" w:rsidP="00982118">
            <w:pPr>
              <w:autoSpaceDE w:val="0"/>
              <w:autoSpaceDN w:val="0"/>
              <w:adjustRightInd w:val="0"/>
              <w:rPr>
                <w:color w:val="000000"/>
              </w:rPr>
            </w:pPr>
            <w:r w:rsidRPr="004F5FB4">
              <w:rPr>
                <w:color w:val="000000"/>
              </w:rPr>
              <w:t>Pankreatitis,</w:t>
            </w:r>
          </w:p>
          <w:p w14:paraId="6B8C0865" w14:textId="77777777" w:rsidR="00CA2D0E" w:rsidRPr="004F5FB4" w:rsidRDefault="00CA2D0E" w:rsidP="00982118">
            <w:pPr>
              <w:autoSpaceDE w:val="0"/>
              <w:autoSpaceDN w:val="0"/>
              <w:adjustRightInd w:val="0"/>
              <w:rPr>
                <w:color w:val="000000"/>
              </w:rPr>
            </w:pPr>
            <w:r w:rsidRPr="004F5FB4">
              <w:rPr>
                <w:color w:val="000000"/>
              </w:rPr>
              <w:t>Dysphagie,</w:t>
            </w:r>
          </w:p>
          <w:p w14:paraId="762AEF9E" w14:textId="77777777" w:rsidR="00CA2D0E" w:rsidRPr="004F5FB4" w:rsidRDefault="00CA2D0E" w:rsidP="00D4051F">
            <w:pPr>
              <w:autoSpaceDE w:val="0"/>
              <w:autoSpaceDN w:val="0"/>
              <w:adjustRightInd w:val="0"/>
              <w:rPr>
                <w:color w:val="000000"/>
                <w:lang w:val="en-GB"/>
              </w:rPr>
            </w:pPr>
            <w:r w:rsidRPr="004F5FB4">
              <w:rPr>
                <w:color w:val="000000"/>
              </w:rPr>
              <w:t>Gesichtsödeme</w:t>
            </w:r>
          </w:p>
        </w:tc>
      </w:tr>
      <w:tr w:rsidR="00CA2D0E" w:rsidRPr="004F5FB4" w14:paraId="04613CA4" w14:textId="77777777" w:rsidTr="008419B6">
        <w:trPr>
          <w:cantSplit/>
        </w:trPr>
        <w:tc>
          <w:tcPr>
            <w:tcW w:w="4147" w:type="dxa"/>
            <w:vMerge/>
            <w:tcBorders>
              <w:left w:val="single" w:sz="4" w:space="0" w:color="auto"/>
              <w:bottom w:val="single" w:sz="4" w:space="0" w:color="auto"/>
              <w:right w:val="single" w:sz="4" w:space="0" w:color="auto"/>
            </w:tcBorders>
          </w:tcPr>
          <w:p w14:paraId="326A7B6C"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A0D9A07" w14:textId="77777777" w:rsidR="00CA2D0E" w:rsidRPr="004F5FB4" w:rsidRDefault="00CA2D0E" w:rsidP="00D4051F">
            <w:pPr>
              <w:rPr>
                <w:color w:val="000000"/>
                <w:lang w:val="en-GB"/>
              </w:rPr>
            </w:pPr>
            <w:r w:rsidRPr="004F5FB4">
              <w:rPr>
                <w:color w:val="000000"/>
              </w:rPr>
              <w:t>Selten</w:t>
            </w:r>
          </w:p>
        </w:tc>
        <w:tc>
          <w:tcPr>
            <w:tcW w:w="0" w:type="auto"/>
            <w:tcBorders>
              <w:left w:val="single" w:sz="4" w:space="0" w:color="auto"/>
              <w:bottom w:val="single" w:sz="4" w:space="0" w:color="auto"/>
              <w:right w:val="single" w:sz="4" w:space="0" w:color="auto"/>
            </w:tcBorders>
          </w:tcPr>
          <w:p w14:paraId="36DAD66F" w14:textId="77777777" w:rsidR="00CA2D0E" w:rsidRPr="004F5FB4" w:rsidRDefault="00CA2D0E" w:rsidP="00D4051F">
            <w:pPr>
              <w:autoSpaceDE w:val="0"/>
              <w:autoSpaceDN w:val="0"/>
              <w:adjustRightInd w:val="0"/>
              <w:rPr>
                <w:color w:val="000000"/>
                <w:lang w:val="en-GB"/>
              </w:rPr>
            </w:pPr>
            <w:r w:rsidRPr="004F5FB4">
              <w:rPr>
                <w:color w:val="000000"/>
              </w:rPr>
              <w:t>Darm</w:t>
            </w:r>
            <w:r w:rsidR="00AF4B34" w:rsidRPr="004F5FB4">
              <w:rPr>
                <w:color w:val="000000"/>
              </w:rPr>
              <w:t>wand</w:t>
            </w:r>
            <w:r w:rsidRPr="004F5FB4">
              <w:rPr>
                <w:color w:val="000000"/>
              </w:rPr>
              <w:t>perforation</w:t>
            </w:r>
            <w:r w:rsidRPr="004F5FB4">
              <w:rPr>
                <w:color w:val="000000"/>
                <w:vertAlign w:val="superscript"/>
              </w:rPr>
              <w:t>1</w:t>
            </w:r>
          </w:p>
        </w:tc>
      </w:tr>
      <w:tr w:rsidR="00CA2D0E" w:rsidRPr="004F5FB4" w14:paraId="7717743C"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21600AAA" w14:textId="77777777" w:rsidR="00CA2D0E" w:rsidRPr="004F5FB4" w:rsidRDefault="00CA2D0E" w:rsidP="00982118">
            <w:pPr>
              <w:rPr>
                <w:color w:val="000000"/>
              </w:rPr>
            </w:pPr>
            <w:r w:rsidRPr="004F5FB4">
              <w:rPr>
                <w:color w:val="000000"/>
              </w:rPr>
              <w:t>Leber- und Gallenerkrankungen*</w:t>
            </w:r>
          </w:p>
        </w:tc>
        <w:tc>
          <w:tcPr>
            <w:tcW w:w="2557" w:type="dxa"/>
            <w:tcBorders>
              <w:top w:val="single" w:sz="4" w:space="0" w:color="auto"/>
              <w:left w:val="single" w:sz="4" w:space="0" w:color="auto"/>
              <w:bottom w:val="single" w:sz="4" w:space="0" w:color="auto"/>
              <w:right w:val="single" w:sz="4" w:space="0" w:color="auto"/>
            </w:tcBorders>
          </w:tcPr>
          <w:p w14:paraId="7C85E03D" w14:textId="77777777" w:rsidR="00CA2D0E" w:rsidRPr="004F5FB4" w:rsidRDefault="00CA2D0E" w:rsidP="00D4051F">
            <w:pPr>
              <w:rPr>
                <w:color w:val="000000"/>
                <w:lang w:val="en-GB"/>
              </w:rPr>
            </w:pPr>
            <w:r w:rsidRPr="004F5FB4">
              <w:rPr>
                <w:color w:val="000000"/>
              </w:rPr>
              <w:t>Sehr häufig</w:t>
            </w:r>
          </w:p>
        </w:tc>
        <w:tc>
          <w:tcPr>
            <w:tcW w:w="0" w:type="auto"/>
            <w:tcBorders>
              <w:top w:val="single" w:sz="4" w:space="0" w:color="auto"/>
              <w:left w:val="single" w:sz="4" w:space="0" w:color="auto"/>
              <w:right w:val="single" w:sz="4" w:space="0" w:color="auto"/>
            </w:tcBorders>
          </w:tcPr>
          <w:p w14:paraId="36F8851D" w14:textId="77777777" w:rsidR="00CA2D0E" w:rsidRPr="004F5FB4" w:rsidRDefault="00CA2D0E" w:rsidP="00D4051F">
            <w:pPr>
              <w:rPr>
                <w:color w:val="000000"/>
                <w:lang w:val="en-GB"/>
              </w:rPr>
            </w:pPr>
            <w:r w:rsidRPr="004F5FB4">
              <w:rPr>
                <w:color w:val="000000"/>
              </w:rPr>
              <w:t>Erhöhung der Leberenzyme</w:t>
            </w:r>
          </w:p>
        </w:tc>
      </w:tr>
      <w:tr w:rsidR="00CA2D0E" w:rsidRPr="004F5FB4" w14:paraId="360A21E4" w14:textId="77777777" w:rsidTr="008419B6">
        <w:trPr>
          <w:cantSplit/>
        </w:trPr>
        <w:tc>
          <w:tcPr>
            <w:tcW w:w="4147" w:type="dxa"/>
            <w:vMerge/>
            <w:tcBorders>
              <w:left w:val="single" w:sz="4" w:space="0" w:color="auto"/>
              <w:right w:val="single" w:sz="4" w:space="0" w:color="auto"/>
            </w:tcBorders>
          </w:tcPr>
          <w:p w14:paraId="59D325AB"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4590556" w14:textId="77777777" w:rsidR="00CA2D0E" w:rsidRPr="004F5FB4" w:rsidRDefault="00CA2D0E" w:rsidP="00982118">
            <w:pPr>
              <w:rPr>
                <w:color w:val="000000"/>
              </w:rPr>
            </w:pPr>
            <w:r w:rsidRPr="004F5FB4">
              <w:rPr>
                <w:color w:val="000000"/>
              </w:rPr>
              <w:t>Gelegentlich</w:t>
            </w:r>
          </w:p>
          <w:p w14:paraId="362E8384"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31783F89" w14:textId="77777777" w:rsidR="00CA2D0E" w:rsidRPr="004F5FB4" w:rsidRDefault="00CA2D0E" w:rsidP="00982118">
            <w:pPr>
              <w:rPr>
                <w:color w:val="000000"/>
              </w:rPr>
            </w:pPr>
            <w:r w:rsidRPr="004F5FB4">
              <w:rPr>
                <w:color w:val="000000"/>
              </w:rPr>
              <w:t>Cholecystitis und Cholelithiasis,</w:t>
            </w:r>
          </w:p>
          <w:p w14:paraId="6D2A49C7" w14:textId="77777777" w:rsidR="00CA2D0E" w:rsidRPr="004F5FB4" w:rsidRDefault="00CA2D0E" w:rsidP="00982118">
            <w:pPr>
              <w:rPr>
                <w:color w:val="000000"/>
              </w:rPr>
            </w:pPr>
            <w:r w:rsidRPr="004F5FB4">
              <w:rPr>
                <w:color w:val="000000"/>
              </w:rPr>
              <w:t>Fettleber,</w:t>
            </w:r>
          </w:p>
          <w:p w14:paraId="0A5D3D6D" w14:textId="77777777" w:rsidR="00CA2D0E" w:rsidRPr="004F5FB4" w:rsidRDefault="00CA2D0E" w:rsidP="00D4051F">
            <w:pPr>
              <w:rPr>
                <w:color w:val="000000"/>
              </w:rPr>
            </w:pPr>
            <w:r w:rsidRPr="004F5FB4">
              <w:rPr>
                <w:color w:val="000000"/>
              </w:rPr>
              <w:t>erhöhte Bilirubinwerte</w:t>
            </w:r>
          </w:p>
        </w:tc>
      </w:tr>
      <w:tr w:rsidR="00CA2D0E" w:rsidRPr="004F5FB4" w14:paraId="2D803E93" w14:textId="77777777" w:rsidTr="008419B6">
        <w:trPr>
          <w:cantSplit/>
        </w:trPr>
        <w:tc>
          <w:tcPr>
            <w:tcW w:w="4147" w:type="dxa"/>
            <w:vMerge/>
            <w:tcBorders>
              <w:left w:val="single" w:sz="4" w:space="0" w:color="auto"/>
              <w:right w:val="single" w:sz="4" w:space="0" w:color="auto"/>
            </w:tcBorders>
          </w:tcPr>
          <w:p w14:paraId="3DC2F082" w14:textId="77777777" w:rsidR="00CA2D0E" w:rsidRPr="004F5FB4" w:rsidRDefault="00CA2D0E"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7A918C68" w14:textId="77777777" w:rsidR="00CA2D0E" w:rsidRPr="004F5FB4" w:rsidRDefault="00CA2D0E" w:rsidP="00982118">
            <w:pPr>
              <w:rPr>
                <w:color w:val="000000"/>
              </w:rPr>
            </w:pPr>
            <w:r w:rsidRPr="004F5FB4">
              <w:rPr>
                <w:color w:val="000000"/>
              </w:rPr>
              <w:t>Selten</w:t>
            </w:r>
          </w:p>
          <w:p w14:paraId="3CC4622D"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54F71D81" w14:textId="77777777" w:rsidR="00CA2D0E" w:rsidRPr="004F5FB4" w:rsidRDefault="00CA2D0E" w:rsidP="00982118">
            <w:pPr>
              <w:rPr>
                <w:color w:val="000000"/>
              </w:rPr>
            </w:pPr>
            <w:r w:rsidRPr="004F5FB4">
              <w:rPr>
                <w:color w:val="000000"/>
              </w:rPr>
              <w:t>Hepatitis,</w:t>
            </w:r>
          </w:p>
          <w:p w14:paraId="2733D0CE" w14:textId="77777777" w:rsidR="00CA2D0E" w:rsidRPr="004F5FB4" w:rsidRDefault="00CA2D0E" w:rsidP="00982118">
            <w:pPr>
              <w:rPr>
                <w:color w:val="000000"/>
              </w:rPr>
            </w:pPr>
            <w:r w:rsidRPr="004F5FB4">
              <w:rPr>
                <w:color w:val="000000"/>
              </w:rPr>
              <w:t>Reaktivierung einer Hepatitis B</w:t>
            </w:r>
            <w:r w:rsidRPr="004F5FB4">
              <w:rPr>
                <w:color w:val="000000"/>
                <w:vertAlign w:val="superscript"/>
              </w:rPr>
              <w:t>1</w:t>
            </w:r>
          </w:p>
          <w:p w14:paraId="09DE3ABE" w14:textId="77777777" w:rsidR="00CA2D0E" w:rsidRPr="004F5FB4" w:rsidRDefault="00CA2D0E" w:rsidP="00D4051F">
            <w:pPr>
              <w:rPr>
                <w:color w:val="000000"/>
              </w:rPr>
            </w:pPr>
            <w:r w:rsidRPr="004F5FB4">
              <w:rPr>
                <w:color w:val="000000"/>
              </w:rPr>
              <w:t>Autoimmunhepatitis</w:t>
            </w:r>
            <w:r w:rsidRPr="004F5FB4">
              <w:rPr>
                <w:color w:val="000000"/>
                <w:vertAlign w:val="superscript"/>
              </w:rPr>
              <w:t>1</w:t>
            </w:r>
          </w:p>
        </w:tc>
      </w:tr>
      <w:tr w:rsidR="00CA2D0E" w:rsidRPr="004F5FB4" w14:paraId="75CDAC90" w14:textId="77777777" w:rsidTr="008419B6">
        <w:trPr>
          <w:cantSplit/>
        </w:trPr>
        <w:tc>
          <w:tcPr>
            <w:tcW w:w="4147" w:type="dxa"/>
            <w:vMerge/>
            <w:tcBorders>
              <w:left w:val="single" w:sz="4" w:space="0" w:color="auto"/>
              <w:bottom w:val="single" w:sz="4" w:space="0" w:color="auto"/>
              <w:right w:val="single" w:sz="4" w:space="0" w:color="auto"/>
            </w:tcBorders>
          </w:tcPr>
          <w:p w14:paraId="2BED660B" w14:textId="77777777" w:rsidR="00CA2D0E" w:rsidRPr="004F5FB4" w:rsidRDefault="00CA2D0E"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4D708944" w14:textId="77777777" w:rsidR="00CA2D0E" w:rsidRPr="004F5FB4" w:rsidRDefault="006C10EE" w:rsidP="00D4051F">
            <w:pPr>
              <w:rPr>
                <w:color w:val="000000"/>
                <w:lang w:val="en-GB"/>
              </w:rPr>
            </w:pPr>
            <w:r w:rsidRPr="004F5FB4">
              <w:rPr>
                <w:color w:val="000000"/>
              </w:rPr>
              <w:t xml:space="preserve">Nicht </w:t>
            </w:r>
            <w:r w:rsidR="00CA2D0E" w:rsidRPr="004F5FB4">
              <w:rPr>
                <w:color w:val="000000"/>
              </w:rPr>
              <w:t>bekannt</w:t>
            </w:r>
          </w:p>
        </w:tc>
        <w:tc>
          <w:tcPr>
            <w:tcW w:w="0" w:type="auto"/>
            <w:tcBorders>
              <w:left w:val="single" w:sz="4" w:space="0" w:color="auto"/>
              <w:bottom w:val="single" w:sz="4" w:space="0" w:color="auto"/>
              <w:right w:val="single" w:sz="4" w:space="0" w:color="auto"/>
            </w:tcBorders>
          </w:tcPr>
          <w:p w14:paraId="714EC44D" w14:textId="77777777" w:rsidR="00CA2D0E" w:rsidRPr="004F5FB4" w:rsidRDefault="00CA2D0E" w:rsidP="00D4051F">
            <w:pPr>
              <w:rPr>
                <w:color w:val="000000"/>
                <w:lang w:val="en-GB"/>
              </w:rPr>
            </w:pPr>
            <w:r w:rsidRPr="004F5FB4">
              <w:rPr>
                <w:color w:val="000000"/>
              </w:rPr>
              <w:t>Leberversagen</w:t>
            </w:r>
            <w:r w:rsidRPr="004F5FB4">
              <w:rPr>
                <w:color w:val="000000"/>
                <w:vertAlign w:val="superscript"/>
              </w:rPr>
              <w:t>1</w:t>
            </w:r>
          </w:p>
        </w:tc>
      </w:tr>
      <w:tr w:rsidR="00CA2D0E" w:rsidRPr="004F5FB4" w14:paraId="2FC75FBF"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6E621469" w14:textId="77777777" w:rsidR="00CA2D0E" w:rsidRPr="004F5FB4" w:rsidRDefault="00CA2D0E" w:rsidP="00982118">
            <w:pPr>
              <w:keepNext/>
              <w:rPr>
                <w:color w:val="000000"/>
              </w:rPr>
            </w:pPr>
            <w:r w:rsidRPr="004F5FB4">
              <w:rPr>
                <w:color w:val="000000"/>
              </w:rPr>
              <w:t>Erkrankungen der Haut und des Unterhautzellgewebes</w:t>
            </w:r>
          </w:p>
        </w:tc>
        <w:tc>
          <w:tcPr>
            <w:tcW w:w="2557" w:type="dxa"/>
            <w:tcBorders>
              <w:top w:val="single" w:sz="4" w:space="0" w:color="auto"/>
              <w:left w:val="single" w:sz="4" w:space="0" w:color="auto"/>
              <w:bottom w:val="single" w:sz="4" w:space="0" w:color="auto"/>
              <w:right w:val="single" w:sz="4" w:space="0" w:color="auto"/>
            </w:tcBorders>
          </w:tcPr>
          <w:p w14:paraId="43B5E2FA" w14:textId="77777777" w:rsidR="00CA2D0E" w:rsidRPr="004F5FB4" w:rsidRDefault="00CA2D0E" w:rsidP="00982118">
            <w:pPr>
              <w:keepNext/>
              <w:rPr>
                <w:color w:val="000000"/>
              </w:rPr>
            </w:pPr>
            <w:r w:rsidRPr="004F5FB4">
              <w:rPr>
                <w:color w:val="000000"/>
              </w:rPr>
              <w:t>Sehr häufig</w:t>
            </w:r>
          </w:p>
          <w:p w14:paraId="33D15AC7" w14:textId="77777777" w:rsidR="00CA2D0E" w:rsidRPr="004F5FB4" w:rsidRDefault="00CA2D0E" w:rsidP="00982118">
            <w:pPr>
              <w:keepNext/>
              <w:rPr>
                <w:color w:val="000000"/>
                <w:lang w:val="en-GB"/>
              </w:rPr>
            </w:pPr>
          </w:p>
        </w:tc>
        <w:tc>
          <w:tcPr>
            <w:tcW w:w="0" w:type="auto"/>
            <w:tcBorders>
              <w:top w:val="single" w:sz="4" w:space="0" w:color="auto"/>
              <w:left w:val="single" w:sz="4" w:space="0" w:color="auto"/>
              <w:right w:val="single" w:sz="4" w:space="0" w:color="auto"/>
            </w:tcBorders>
          </w:tcPr>
          <w:p w14:paraId="0194427D" w14:textId="77777777" w:rsidR="00CA2D0E" w:rsidRPr="004F5FB4" w:rsidRDefault="00CA2D0E" w:rsidP="00D4051F">
            <w:pPr>
              <w:keepNext/>
              <w:rPr>
                <w:color w:val="000000"/>
                <w:lang w:val="en-GB"/>
              </w:rPr>
            </w:pPr>
            <w:r w:rsidRPr="004F5FB4">
              <w:rPr>
                <w:color w:val="000000"/>
              </w:rPr>
              <w:t>Hautausschlag (einschließlich schuppende</w:t>
            </w:r>
            <w:r w:rsidR="00E45812" w:rsidRPr="004F5FB4">
              <w:rPr>
                <w:color w:val="000000"/>
              </w:rPr>
              <w:t>r</w:t>
            </w:r>
            <w:r w:rsidRPr="004F5FB4">
              <w:rPr>
                <w:color w:val="000000"/>
              </w:rPr>
              <w:t xml:space="preserve"> Hautausschlags)</w:t>
            </w:r>
          </w:p>
        </w:tc>
      </w:tr>
      <w:tr w:rsidR="00CA2D0E" w:rsidRPr="004F5FB4" w14:paraId="27F890AE" w14:textId="77777777" w:rsidTr="008419B6">
        <w:trPr>
          <w:cantSplit/>
        </w:trPr>
        <w:tc>
          <w:tcPr>
            <w:tcW w:w="4147" w:type="dxa"/>
            <w:vMerge/>
            <w:tcBorders>
              <w:left w:val="single" w:sz="4" w:space="0" w:color="auto"/>
              <w:right w:val="single" w:sz="4" w:space="0" w:color="auto"/>
            </w:tcBorders>
          </w:tcPr>
          <w:p w14:paraId="0EB0EDEB" w14:textId="77777777" w:rsidR="00CA2D0E" w:rsidRPr="004F5FB4" w:rsidRDefault="00CA2D0E"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34A412F2" w14:textId="77777777" w:rsidR="00CA2D0E" w:rsidRPr="004F5FB4" w:rsidRDefault="00CA2D0E" w:rsidP="00982118">
            <w:pPr>
              <w:keepNext/>
              <w:rPr>
                <w:color w:val="000000"/>
              </w:rPr>
            </w:pPr>
            <w:r w:rsidRPr="004F5FB4">
              <w:rPr>
                <w:color w:val="000000"/>
              </w:rPr>
              <w:t>Häufig</w:t>
            </w:r>
          </w:p>
          <w:p w14:paraId="1577A373" w14:textId="77777777" w:rsidR="00CA2D0E" w:rsidRPr="004F5FB4" w:rsidRDefault="00CA2D0E" w:rsidP="00982118">
            <w:pPr>
              <w:keepNext/>
              <w:rPr>
                <w:color w:val="000000"/>
                <w:lang w:val="en-GB"/>
              </w:rPr>
            </w:pPr>
          </w:p>
        </w:tc>
        <w:tc>
          <w:tcPr>
            <w:tcW w:w="0" w:type="auto"/>
            <w:tcBorders>
              <w:left w:val="single" w:sz="4" w:space="0" w:color="auto"/>
              <w:right w:val="single" w:sz="4" w:space="0" w:color="auto"/>
            </w:tcBorders>
          </w:tcPr>
          <w:p w14:paraId="29C62039" w14:textId="77777777" w:rsidR="00CA2D0E" w:rsidRPr="004F5FB4" w:rsidRDefault="00CA2D0E" w:rsidP="00982118">
            <w:pPr>
              <w:keepNext/>
              <w:rPr>
                <w:color w:val="000000"/>
              </w:rPr>
            </w:pPr>
            <w:r w:rsidRPr="004F5FB4">
              <w:rPr>
                <w:color w:val="000000"/>
              </w:rPr>
              <w:t>Verschlechterung oder neuer Ausbruch von Psoriasis (einschließlich palmoplantarer pustulöser Psoriasis)</w:t>
            </w:r>
            <w:r w:rsidRPr="004F5FB4">
              <w:rPr>
                <w:color w:val="000000"/>
                <w:vertAlign w:val="superscript"/>
              </w:rPr>
              <w:t>1</w:t>
            </w:r>
            <w:r w:rsidRPr="004F5FB4">
              <w:rPr>
                <w:color w:val="000000"/>
              </w:rPr>
              <w:t>,</w:t>
            </w:r>
          </w:p>
          <w:p w14:paraId="30CEF7B2" w14:textId="77777777" w:rsidR="00CA2D0E" w:rsidRPr="004F5FB4" w:rsidRDefault="00CA2D0E" w:rsidP="00982118">
            <w:pPr>
              <w:keepNext/>
              <w:rPr>
                <w:color w:val="000000"/>
              </w:rPr>
            </w:pPr>
            <w:r w:rsidRPr="004F5FB4">
              <w:rPr>
                <w:color w:val="000000"/>
              </w:rPr>
              <w:t>Urtikaria,</w:t>
            </w:r>
          </w:p>
          <w:p w14:paraId="0F0146B7" w14:textId="77777777" w:rsidR="00CA2D0E" w:rsidRPr="004F5FB4" w:rsidRDefault="00CA2D0E" w:rsidP="00982118">
            <w:pPr>
              <w:keepNext/>
              <w:rPr>
                <w:color w:val="000000"/>
              </w:rPr>
            </w:pPr>
            <w:r w:rsidRPr="004F5FB4">
              <w:rPr>
                <w:color w:val="000000"/>
              </w:rPr>
              <w:t>Blutergüsse (einschließlich Purpura),</w:t>
            </w:r>
          </w:p>
          <w:p w14:paraId="3F028A8C" w14:textId="77777777" w:rsidR="00CA2D0E" w:rsidRPr="004F5FB4" w:rsidRDefault="00CA2D0E" w:rsidP="00982118">
            <w:pPr>
              <w:keepNext/>
              <w:rPr>
                <w:color w:val="000000"/>
              </w:rPr>
            </w:pPr>
            <w:r w:rsidRPr="004F5FB4">
              <w:rPr>
                <w:color w:val="000000"/>
              </w:rPr>
              <w:t>Dermatitis (einschließlich Ekzem),</w:t>
            </w:r>
          </w:p>
          <w:p w14:paraId="5F89F78F" w14:textId="77777777" w:rsidR="00CA2D0E" w:rsidRPr="004F5FB4" w:rsidRDefault="00CA2D0E" w:rsidP="00982118">
            <w:pPr>
              <w:keepNext/>
              <w:rPr>
                <w:color w:val="000000"/>
              </w:rPr>
            </w:pPr>
            <w:r w:rsidRPr="004F5FB4">
              <w:rPr>
                <w:color w:val="000000"/>
              </w:rPr>
              <w:t>Onychoclasis (Brechen der Nägel),</w:t>
            </w:r>
          </w:p>
          <w:p w14:paraId="4AEB1140" w14:textId="77777777" w:rsidR="00CA2D0E" w:rsidRPr="004F5FB4" w:rsidRDefault="00CA2D0E" w:rsidP="00982118">
            <w:pPr>
              <w:keepNext/>
              <w:rPr>
                <w:color w:val="000000"/>
              </w:rPr>
            </w:pPr>
            <w:r w:rsidRPr="004F5FB4">
              <w:rPr>
                <w:color w:val="000000"/>
              </w:rPr>
              <w:t>Hyperhidrose,</w:t>
            </w:r>
          </w:p>
          <w:p w14:paraId="37019818" w14:textId="77777777" w:rsidR="00CA2D0E" w:rsidRPr="004F5FB4" w:rsidRDefault="00CA2D0E" w:rsidP="00982118">
            <w:pPr>
              <w:keepNext/>
              <w:rPr>
                <w:color w:val="000000"/>
              </w:rPr>
            </w:pPr>
            <w:r w:rsidRPr="004F5FB4">
              <w:rPr>
                <w:color w:val="000000"/>
              </w:rPr>
              <w:t>Alopezie</w:t>
            </w:r>
            <w:r w:rsidRPr="004F5FB4">
              <w:rPr>
                <w:color w:val="000000"/>
                <w:vertAlign w:val="superscript"/>
              </w:rPr>
              <w:t>1</w:t>
            </w:r>
            <w:r w:rsidRPr="004F5FB4">
              <w:rPr>
                <w:color w:val="000000"/>
              </w:rPr>
              <w:t>,</w:t>
            </w:r>
          </w:p>
          <w:p w14:paraId="5334B45F" w14:textId="77777777" w:rsidR="00CA2D0E" w:rsidRPr="004F5FB4" w:rsidRDefault="00CA2D0E" w:rsidP="00D4051F">
            <w:pPr>
              <w:keepNext/>
              <w:rPr>
                <w:color w:val="000000"/>
                <w:lang w:val="en-GB"/>
              </w:rPr>
            </w:pPr>
            <w:r w:rsidRPr="004F5FB4">
              <w:rPr>
                <w:color w:val="000000"/>
              </w:rPr>
              <w:t>Pruritus</w:t>
            </w:r>
          </w:p>
        </w:tc>
      </w:tr>
      <w:tr w:rsidR="00CA2D0E" w:rsidRPr="004F5FB4" w14:paraId="0569C911" w14:textId="77777777" w:rsidTr="008419B6">
        <w:trPr>
          <w:cantSplit/>
        </w:trPr>
        <w:tc>
          <w:tcPr>
            <w:tcW w:w="4147" w:type="dxa"/>
            <w:vMerge/>
            <w:tcBorders>
              <w:left w:val="single" w:sz="4" w:space="0" w:color="auto"/>
              <w:right w:val="single" w:sz="4" w:space="0" w:color="auto"/>
            </w:tcBorders>
          </w:tcPr>
          <w:p w14:paraId="05D339D5" w14:textId="77777777" w:rsidR="00CA2D0E" w:rsidRPr="004F5FB4" w:rsidRDefault="00CA2D0E"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35E52F5" w14:textId="77777777" w:rsidR="00CA2D0E" w:rsidRPr="004F5FB4" w:rsidRDefault="00CA2D0E" w:rsidP="00982118">
            <w:pPr>
              <w:keepNext/>
              <w:rPr>
                <w:color w:val="000000"/>
              </w:rPr>
            </w:pPr>
            <w:r w:rsidRPr="004F5FB4">
              <w:rPr>
                <w:color w:val="000000"/>
              </w:rPr>
              <w:t>Gelegentlich</w:t>
            </w:r>
          </w:p>
          <w:p w14:paraId="24A14BC9" w14:textId="77777777" w:rsidR="00CA2D0E" w:rsidRPr="004F5FB4" w:rsidRDefault="00CA2D0E" w:rsidP="00982118">
            <w:pPr>
              <w:keepNext/>
              <w:rPr>
                <w:color w:val="000000"/>
                <w:lang w:val="en-GB"/>
              </w:rPr>
            </w:pPr>
          </w:p>
        </w:tc>
        <w:tc>
          <w:tcPr>
            <w:tcW w:w="0" w:type="auto"/>
            <w:tcBorders>
              <w:left w:val="single" w:sz="4" w:space="0" w:color="auto"/>
              <w:right w:val="single" w:sz="4" w:space="0" w:color="auto"/>
            </w:tcBorders>
          </w:tcPr>
          <w:p w14:paraId="5AE51C22" w14:textId="77777777" w:rsidR="00CA2D0E" w:rsidRPr="004F5FB4" w:rsidRDefault="00CA2D0E" w:rsidP="00982118">
            <w:pPr>
              <w:keepNext/>
              <w:rPr>
                <w:color w:val="000000"/>
              </w:rPr>
            </w:pPr>
            <w:r w:rsidRPr="004F5FB4">
              <w:rPr>
                <w:color w:val="000000"/>
              </w:rPr>
              <w:t>nächtliches Schwitzen,</w:t>
            </w:r>
          </w:p>
          <w:p w14:paraId="22753472" w14:textId="77777777" w:rsidR="00CA2D0E" w:rsidRPr="004F5FB4" w:rsidRDefault="00CA2D0E" w:rsidP="00D4051F">
            <w:pPr>
              <w:keepNext/>
              <w:rPr>
                <w:color w:val="000000"/>
                <w:lang w:val="en-GB"/>
              </w:rPr>
            </w:pPr>
            <w:r w:rsidRPr="004F5FB4">
              <w:rPr>
                <w:color w:val="000000"/>
              </w:rPr>
              <w:t>Narbenbildung</w:t>
            </w:r>
          </w:p>
        </w:tc>
      </w:tr>
      <w:tr w:rsidR="00CA2D0E" w:rsidRPr="004F5FB4" w14:paraId="18FF72C3" w14:textId="77777777" w:rsidTr="008419B6">
        <w:trPr>
          <w:cantSplit/>
        </w:trPr>
        <w:tc>
          <w:tcPr>
            <w:tcW w:w="4147" w:type="dxa"/>
            <w:vMerge/>
            <w:tcBorders>
              <w:left w:val="single" w:sz="4" w:space="0" w:color="auto"/>
              <w:right w:val="single" w:sz="4" w:space="0" w:color="auto"/>
            </w:tcBorders>
          </w:tcPr>
          <w:p w14:paraId="465347E0" w14:textId="77777777" w:rsidR="00CA2D0E" w:rsidRPr="004F5FB4" w:rsidRDefault="00CA2D0E" w:rsidP="00982118">
            <w:pPr>
              <w:keepNext/>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03F926C8" w14:textId="77777777" w:rsidR="00CA2D0E" w:rsidRPr="004F5FB4" w:rsidRDefault="00CA2D0E" w:rsidP="00982118">
            <w:pPr>
              <w:keepNext/>
              <w:rPr>
                <w:color w:val="000000"/>
              </w:rPr>
            </w:pPr>
            <w:r w:rsidRPr="004F5FB4">
              <w:rPr>
                <w:color w:val="000000"/>
              </w:rPr>
              <w:t>Selten</w:t>
            </w:r>
          </w:p>
          <w:p w14:paraId="0851884C" w14:textId="77777777" w:rsidR="00CA2D0E" w:rsidRPr="004F5FB4" w:rsidRDefault="00CA2D0E" w:rsidP="00982118">
            <w:pPr>
              <w:keepNext/>
              <w:rPr>
                <w:color w:val="000000"/>
                <w:lang w:val="en-GB"/>
              </w:rPr>
            </w:pPr>
          </w:p>
        </w:tc>
        <w:tc>
          <w:tcPr>
            <w:tcW w:w="0" w:type="auto"/>
            <w:tcBorders>
              <w:left w:val="single" w:sz="4" w:space="0" w:color="auto"/>
              <w:right w:val="single" w:sz="4" w:space="0" w:color="auto"/>
            </w:tcBorders>
          </w:tcPr>
          <w:p w14:paraId="3AE68395" w14:textId="77777777" w:rsidR="00CA2D0E" w:rsidRPr="00C325BF" w:rsidRDefault="00CA2D0E" w:rsidP="00982118">
            <w:pPr>
              <w:keepNext/>
              <w:rPr>
                <w:color w:val="000000"/>
                <w:lang w:val="fr-FR"/>
              </w:rPr>
            </w:pPr>
            <w:proofErr w:type="spellStart"/>
            <w:r w:rsidRPr="00C325BF">
              <w:rPr>
                <w:color w:val="000000"/>
                <w:lang w:val="fr-FR"/>
              </w:rPr>
              <w:t>Erythema</w:t>
            </w:r>
            <w:proofErr w:type="spellEnd"/>
            <w:r w:rsidRPr="00C325BF">
              <w:rPr>
                <w:color w:val="000000"/>
                <w:lang w:val="fr-FR"/>
              </w:rPr>
              <w:t xml:space="preserve"> multiforme</w:t>
            </w:r>
            <w:r w:rsidRPr="00C325BF">
              <w:rPr>
                <w:color w:val="000000"/>
                <w:vertAlign w:val="superscript"/>
                <w:lang w:val="fr-FR"/>
              </w:rPr>
              <w:t>1</w:t>
            </w:r>
            <w:r w:rsidRPr="00C325BF">
              <w:rPr>
                <w:color w:val="000000"/>
                <w:lang w:val="fr-FR"/>
              </w:rPr>
              <w:t>,</w:t>
            </w:r>
          </w:p>
          <w:p w14:paraId="3852B8E8" w14:textId="77777777" w:rsidR="00CA2D0E" w:rsidRPr="00C325BF" w:rsidRDefault="00CA2D0E" w:rsidP="00982118">
            <w:pPr>
              <w:keepNext/>
              <w:rPr>
                <w:color w:val="000000"/>
                <w:lang w:val="fr-FR"/>
              </w:rPr>
            </w:pPr>
            <w:r w:rsidRPr="00C325BF">
              <w:rPr>
                <w:color w:val="000000"/>
                <w:lang w:val="fr-FR"/>
              </w:rPr>
              <w:t>Stevens</w:t>
            </w:r>
            <w:r w:rsidRPr="00C325BF">
              <w:rPr>
                <w:color w:val="000000"/>
                <w:lang w:val="fr-FR"/>
              </w:rPr>
              <w:noBreakHyphen/>
              <w:t>Johnson-Syndrom</w:t>
            </w:r>
            <w:r w:rsidRPr="00C325BF">
              <w:rPr>
                <w:color w:val="000000"/>
                <w:vertAlign w:val="superscript"/>
                <w:lang w:val="fr-FR"/>
              </w:rPr>
              <w:t>1</w:t>
            </w:r>
            <w:r w:rsidRPr="00C325BF">
              <w:rPr>
                <w:color w:val="000000"/>
                <w:lang w:val="fr-FR"/>
              </w:rPr>
              <w:t>,</w:t>
            </w:r>
          </w:p>
          <w:p w14:paraId="588C6496" w14:textId="77777777" w:rsidR="00CA2D0E" w:rsidRPr="00E26A2B" w:rsidRDefault="00CA2D0E" w:rsidP="00982118">
            <w:pPr>
              <w:keepNext/>
              <w:rPr>
                <w:color w:val="000000"/>
              </w:rPr>
            </w:pPr>
            <w:r w:rsidRPr="00E26A2B">
              <w:rPr>
                <w:color w:val="000000"/>
              </w:rPr>
              <w:t>Angioödem</w:t>
            </w:r>
            <w:r w:rsidRPr="00E26A2B">
              <w:rPr>
                <w:color w:val="000000"/>
                <w:vertAlign w:val="superscript"/>
              </w:rPr>
              <w:t>1</w:t>
            </w:r>
            <w:r w:rsidRPr="00E26A2B">
              <w:rPr>
                <w:color w:val="000000"/>
              </w:rPr>
              <w:t>,</w:t>
            </w:r>
          </w:p>
          <w:p w14:paraId="1CFBB333" w14:textId="77777777" w:rsidR="00CA2D0E" w:rsidRPr="00E26A2B" w:rsidRDefault="00CA2D0E" w:rsidP="00982118">
            <w:pPr>
              <w:keepNext/>
              <w:rPr>
                <w:color w:val="000000"/>
              </w:rPr>
            </w:pPr>
            <w:r w:rsidRPr="00E26A2B">
              <w:rPr>
                <w:color w:val="000000"/>
              </w:rPr>
              <w:t>kutane Vaskulitis</w:t>
            </w:r>
            <w:r w:rsidRPr="00E26A2B">
              <w:rPr>
                <w:color w:val="000000"/>
                <w:vertAlign w:val="superscript"/>
              </w:rPr>
              <w:t>1</w:t>
            </w:r>
            <w:r w:rsidRPr="00E26A2B">
              <w:rPr>
                <w:color w:val="000000"/>
              </w:rPr>
              <w:t>,</w:t>
            </w:r>
          </w:p>
          <w:p w14:paraId="7F1663CC" w14:textId="77777777" w:rsidR="00CA2D0E" w:rsidRPr="00C325BF" w:rsidRDefault="00151BF0" w:rsidP="00D4051F">
            <w:pPr>
              <w:rPr>
                <w:color w:val="000000"/>
              </w:rPr>
            </w:pPr>
            <w:r w:rsidRPr="004F5FB4">
              <w:rPr>
                <w:color w:val="000000"/>
              </w:rPr>
              <w:t>lichenoide Hautreaktion</w:t>
            </w:r>
            <w:r w:rsidRPr="004F5FB4">
              <w:rPr>
                <w:color w:val="000000"/>
                <w:vertAlign w:val="superscript"/>
              </w:rPr>
              <w:t>1</w:t>
            </w:r>
          </w:p>
        </w:tc>
      </w:tr>
      <w:tr w:rsidR="00CA2D0E" w:rsidRPr="004F5FB4" w14:paraId="66ADFF6C" w14:textId="77777777" w:rsidTr="008419B6">
        <w:trPr>
          <w:cantSplit/>
        </w:trPr>
        <w:tc>
          <w:tcPr>
            <w:tcW w:w="4147" w:type="dxa"/>
            <w:vMerge/>
            <w:tcBorders>
              <w:left w:val="single" w:sz="4" w:space="0" w:color="auto"/>
              <w:bottom w:val="single" w:sz="4" w:space="0" w:color="auto"/>
              <w:right w:val="single" w:sz="4" w:space="0" w:color="auto"/>
            </w:tcBorders>
          </w:tcPr>
          <w:p w14:paraId="1AE25AD0" w14:textId="77777777" w:rsidR="00CA2D0E" w:rsidRPr="00C325BF" w:rsidRDefault="00CA2D0E"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78C2AB56" w14:textId="77777777" w:rsidR="00CA2D0E" w:rsidRPr="004F5FB4" w:rsidRDefault="006C10EE" w:rsidP="00982118">
            <w:pPr>
              <w:rPr>
                <w:color w:val="000000"/>
              </w:rPr>
            </w:pPr>
            <w:r w:rsidRPr="004F5FB4">
              <w:rPr>
                <w:color w:val="000000"/>
              </w:rPr>
              <w:t xml:space="preserve">Nicht </w:t>
            </w:r>
            <w:r w:rsidR="00CA2D0E" w:rsidRPr="004F5FB4">
              <w:rPr>
                <w:color w:val="000000"/>
              </w:rPr>
              <w:t>bekannt</w:t>
            </w:r>
          </w:p>
        </w:tc>
        <w:tc>
          <w:tcPr>
            <w:tcW w:w="0" w:type="auto"/>
            <w:tcBorders>
              <w:left w:val="single" w:sz="4" w:space="0" w:color="auto"/>
              <w:bottom w:val="single" w:sz="4" w:space="0" w:color="auto"/>
              <w:right w:val="single" w:sz="4" w:space="0" w:color="auto"/>
            </w:tcBorders>
          </w:tcPr>
          <w:p w14:paraId="5F33F0E9" w14:textId="77777777" w:rsidR="00CA2D0E" w:rsidRPr="001E125B" w:rsidRDefault="00CA2D0E" w:rsidP="00D4051F">
            <w:pPr>
              <w:rPr>
                <w:color w:val="000000"/>
              </w:rPr>
            </w:pPr>
            <w:r w:rsidRPr="004F5FB4">
              <w:rPr>
                <w:color w:val="000000"/>
              </w:rPr>
              <w:t>Verschlechterung der Symptome einer Dermatomyositis</w:t>
            </w:r>
            <w:r w:rsidRPr="004F5FB4">
              <w:rPr>
                <w:color w:val="000000"/>
                <w:vertAlign w:val="superscript"/>
              </w:rPr>
              <w:t>1</w:t>
            </w:r>
          </w:p>
        </w:tc>
      </w:tr>
      <w:tr w:rsidR="00CA2D0E" w:rsidRPr="004F5FB4" w14:paraId="26F19FCF"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3C2CB7D6" w14:textId="77777777" w:rsidR="00CA2D0E" w:rsidRPr="004F5FB4" w:rsidRDefault="00CA2D0E" w:rsidP="00982118">
            <w:pPr>
              <w:rPr>
                <w:color w:val="000000"/>
              </w:rPr>
            </w:pPr>
            <w:r w:rsidRPr="004F5FB4">
              <w:rPr>
                <w:color w:val="000000"/>
              </w:rPr>
              <w:t>Skelettmuskulatur-, Bindegewebs- und Knochenerkrankungen</w:t>
            </w:r>
          </w:p>
        </w:tc>
        <w:tc>
          <w:tcPr>
            <w:tcW w:w="2557" w:type="dxa"/>
            <w:tcBorders>
              <w:top w:val="single" w:sz="4" w:space="0" w:color="auto"/>
              <w:left w:val="single" w:sz="4" w:space="0" w:color="auto"/>
              <w:bottom w:val="single" w:sz="4" w:space="0" w:color="auto"/>
              <w:right w:val="single" w:sz="4" w:space="0" w:color="auto"/>
            </w:tcBorders>
          </w:tcPr>
          <w:p w14:paraId="1A957246" w14:textId="77777777" w:rsidR="00CA2D0E" w:rsidRPr="004F5FB4" w:rsidRDefault="00CA2D0E" w:rsidP="00982118">
            <w:pPr>
              <w:rPr>
                <w:color w:val="000000"/>
              </w:rPr>
            </w:pPr>
            <w:r w:rsidRPr="004F5FB4">
              <w:rPr>
                <w:color w:val="000000"/>
              </w:rPr>
              <w:t>Sehr häufig</w:t>
            </w:r>
          </w:p>
        </w:tc>
        <w:tc>
          <w:tcPr>
            <w:tcW w:w="0" w:type="auto"/>
            <w:tcBorders>
              <w:top w:val="single" w:sz="4" w:space="0" w:color="auto"/>
              <w:left w:val="single" w:sz="4" w:space="0" w:color="auto"/>
              <w:right w:val="single" w:sz="4" w:space="0" w:color="auto"/>
            </w:tcBorders>
          </w:tcPr>
          <w:p w14:paraId="724D9FA0" w14:textId="77777777" w:rsidR="00CA2D0E" w:rsidRPr="004F5FB4" w:rsidRDefault="00CA2D0E" w:rsidP="00D4051F">
            <w:pPr>
              <w:rPr>
                <w:color w:val="000000"/>
                <w:lang w:val="en-GB"/>
              </w:rPr>
            </w:pPr>
            <w:r w:rsidRPr="004F5FB4">
              <w:rPr>
                <w:color w:val="000000"/>
              </w:rPr>
              <w:t>muskuloskelettale Schmerzen</w:t>
            </w:r>
          </w:p>
        </w:tc>
      </w:tr>
      <w:tr w:rsidR="00CA2D0E" w:rsidRPr="004F5FB4" w14:paraId="0E87CA01" w14:textId="77777777" w:rsidTr="008419B6">
        <w:trPr>
          <w:cantSplit/>
        </w:trPr>
        <w:tc>
          <w:tcPr>
            <w:tcW w:w="4147" w:type="dxa"/>
            <w:vMerge/>
            <w:tcBorders>
              <w:left w:val="single" w:sz="4" w:space="0" w:color="auto"/>
              <w:right w:val="single" w:sz="4" w:space="0" w:color="auto"/>
            </w:tcBorders>
          </w:tcPr>
          <w:p w14:paraId="1E8C8438"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0FB91EC8" w14:textId="77777777" w:rsidR="00CA2D0E" w:rsidRPr="004F5FB4" w:rsidRDefault="00CA2D0E" w:rsidP="00982118">
            <w:pPr>
              <w:rPr>
                <w:color w:val="000000"/>
              </w:rPr>
            </w:pPr>
            <w:r w:rsidRPr="004F5FB4">
              <w:rPr>
                <w:color w:val="000000"/>
              </w:rPr>
              <w:t>Häufig</w:t>
            </w:r>
          </w:p>
          <w:p w14:paraId="4BDE883E"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331D8518" w14:textId="77777777" w:rsidR="00CA2D0E" w:rsidRPr="004F5FB4" w:rsidRDefault="00CA2D0E" w:rsidP="00D4051F">
            <w:pPr>
              <w:rPr>
                <w:color w:val="000000"/>
              </w:rPr>
            </w:pPr>
            <w:r w:rsidRPr="004F5FB4">
              <w:rPr>
                <w:color w:val="000000"/>
              </w:rPr>
              <w:t>Muskelkrämpfe (einschließlich Erhöhung der Blut-Kreatinphosphokinase)</w:t>
            </w:r>
          </w:p>
        </w:tc>
      </w:tr>
      <w:tr w:rsidR="00CA2D0E" w:rsidRPr="004F5FB4" w14:paraId="4C3CDE7E" w14:textId="77777777" w:rsidTr="008419B6">
        <w:trPr>
          <w:cantSplit/>
        </w:trPr>
        <w:tc>
          <w:tcPr>
            <w:tcW w:w="4147" w:type="dxa"/>
            <w:vMerge/>
            <w:tcBorders>
              <w:left w:val="single" w:sz="4" w:space="0" w:color="auto"/>
              <w:right w:val="single" w:sz="4" w:space="0" w:color="auto"/>
            </w:tcBorders>
          </w:tcPr>
          <w:p w14:paraId="0A5D4B81" w14:textId="77777777" w:rsidR="00CA2D0E" w:rsidRPr="004F5FB4" w:rsidRDefault="00CA2D0E" w:rsidP="00982118">
            <w:pPr>
              <w:rPr>
                <w:color w:val="000000"/>
              </w:rPr>
            </w:pPr>
          </w:p>
        </w:tc>
        <w:tc>
          <w:tcPr>
            <w:tcW w:w="2557" w:type="dxa"/>
            <w:tcBorders>
              <w:top w:val="single" w:sz="4" w:space="0" w:color="auto"/>
              <w:left w:val="single" w:sz="4" w:space="0" w:color="auto"/>
              <w:bottom w:val="single" w:sz="4" w:space="0" w:color="auto"/>
              <w:right w:val="single" w:sz="4" w:space="0" w:color="auto"/>
            </w:tcBorders>
          </w:tcPr>
          <w:p w14:paraId="38263DC0" w14:textId="77777777" w:rsidR="00CA2D0E" w:rsidRPr="004F5FB4" w:rsidRDefault="00CA2D0E" w:rsidP="00982118">
            <w:pPr>
              <w:rPr>
                <w:color w:val="000000"/>
              </w:rPr>
            </w:pPr>
            <w:r w:rsidRPr="004F5FB4">
              <w:rPr>
                <w:color w:val="000000"/>
              </w:rPr>
              <w:t>Gelegentlich</w:t>
            </w:r>
          </w:p>
          <w:p w14:paraId="2E1BB6D5" w14:textId="77777777" w:rsidR="00CA2D0E" w:rsidRPr="004F5FB4" w:rsidRDefault="00CA2D0E" w:rsidP="00982118">
            <w:pPr>
              <w:rPr>
                <w:color w:val="000000"/>
                <w:lang w:val="en-GB"/>
              </w:rPr>
            </w:pPr>
          </w:p>
        </w:tc>
        <w:tc>
          <w:tcPr>
            <w:tcW w:w="0" w:type="auto"/>
            <w:tcBorders>
              <w:left w:val="single" w:sz="4" w:space="0" w:color="auto"/>
              <w:right w:val="single" w:sz="4" w:space="0" w:color="auto"/>
            </w:tcBorders>
          </w:tcPr>
          <w:p w14:paraId="7841D92D" w14:textId="77777777" w:rsidR="00CA2D0E" w:rsidRPr="004F5FB4" w:rsidRDefault="00CA2D0E" w:rsidP="00982118">
            <w:pPr>
              <w:rPr>
                <w:color w:val="000000"/>
              </w:rPr>
            </w:pPr>
            <w:r w:rsidRPr="004F5FB4">
              <w:rPr>
                <w:color w:val="000000"/>
              </w:rPr>
              <w:t>Rhabdomyolyse,</w:t>
            </w:r>
          </w:p>
          <w:p w14:paraId="11357E59" w14:textId="77777777" w:rsidR="00CA2D0E" w:rsidRPr="004F5FB4" w:rsidRDefault="00CA2D0E" w:rsidP="00D4051F">
            <w:pPr>
              <w:rPr>
                <w:color w:val="000000"/>
                <w:lang w:val="en-GB"/>
              </w:rPr>
            </w:pPr>
            <w:r w:rsidRPr="004F5FB4">
              <w:rPr>
                <w:color w:val="000000"/>
              </w:rPr>
              <w:t>systemischer Lupus erythematodes</w:t>
            </w:r>
          </w:p>
        </w:tc>
      </w:tr>
      <w:tr w:rsidR="00CA2D0E" w:rsidRPr="004F5FB4" w14:paraId="321B2405" w14:textId="77777777" w:rsidTr="008419B6">
        <w:trPr>
          <w:cantSplit/>
        </w:trPr>
        <w:tc>
          <w:tcPr>
            <w:tcW w:w="4147" w:type="dxa"/>
            <w:vMerge/>
            <w:tcBorders>
              <w:left w:val="single" w:sz="4" w:space="0" w:color="auto"/>
              <w:bottom w:val="single" w:sz="4" w:space="0" w:color="auto"/>
              <w:right w:val="single" w:sz="4" w:space="0" w:color="auto"/>
            </w:tcBorders>
          </w:tcPr>
          <w:p w14:paraId="56307086" w14:textId="77777777" w:rsidR="00CA2D0E" w:rsidRPr="004F5FB4" w:rsidRDefault="00CA2D0E" w:rsidP="00982118">
            <w:pPr>
              <w:rPr>
                <w:color w:val="000000"/>
                <w:lang w:val="en-GB"/>
              </w:rPr>
            </w:pPr>
          </w:p>
        </w:tc>
        <w:tc>
          <w:tcPr>
            <w:tcW w:w="2557" w:type="dxa"/>
            <w:tcBorders>
              <w:top w:val="single" w:sz="4" w:space="0" w:color="auto"/>
              <w:left w:val="single" w:sz="4" w:space="0" w:color="auto"/>
              <w:bottom w:val="single" w:sz="4" w:space="0" w:color="auto"/>
              <w:right w:val="single" w:sz="4" w:space="0" w:color="auto"/>
            </w:tcBorders>
          </w:tcPr>
          <w:p w14:paraId="1B599BF9" w14:textId="77777777" w:rsidR="00CA2D0E" w:rsidRPr="004F5FB4" w:rsidRDefault="00CA2D0E" w:rsidP="00982118">
            <w:pPr>
              <w:rPr>
                <w:color w:val="000000"/>
              </w:rPr>
            </w:pPr>
            <w:r w:rsidRPr="004F5FB4">
              <w:rPr>
                <w:color w:val="000000"/>
              </w:rPr>
              <w:t>Selten</w:t>
            </w:r>
          </w:p>
        </w:tc>
        <w:tc>
          <w:tcPr>
            <w:tcW w:w="0" w:type="auto"/>
            <w:tcBorders>
              <w:left w:val="single" w:sz="4" w:space="0" w:color="auto"/>
              <w:bottom w:val="single" w:sz="4" w:space="0" w:color="auto"/>
              <w:right w:val="single" w:sz="4" w:space="0" w:color="auto"/>
            </w:tcBorders>
          </w:tcPr>
          <w:p w14:paraId="57C16A62" w14:textId="77777777" w:rsidR="00CA2D0E" w:rsidRPr="004F5FB4" w:rsidRDefault="00CA2D0E" w:rsidP="00D4051F">
            <w:pPr>
              <w:rPr>
                <w:color w:val="000000"/>
                <w:lang w:val="en-GB"/>
              </w:rPr>
            </w:pPr>
            <w:r w:rsidRPr="004F5FB4">
              <w:rPr>
                <w:color w:val="000000"/>
              </w:rPr>
              <w:t>lupusähnliches Syndrom</w:t>
            </w:r>
            <w:r w:rsidRPr="004F5FB4">
              <w:rPr>
                <w:color w:val="000000"/>
                <w:vertAlign w:val="superscript"/>
              </w:rPr>
              <w:t>1</w:t>
            </w:r>
          </w:p>
        </w:tc>
      </w:tr>
      <w:tr w:rsidR="00CA2D0E" w:rsidRPr="004F5FB4" w14:paraId="57A041EE"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5641954D" w14:textId="77777777" w:rsidR="00CA2D0E" w:rsidRPr="004F5FB4" w:rsidRDefault="00CA2D0E" w:rsidP="00982118">
            <w:pPr>
              <w:rPr>
                <w:color w:val="000000"/>
              </w:rPr>
            </w:pPr>
            <w:r w:rsidRPr="004F5FB4">
              <w:rPr>
                <w:color w:val="000000"/>
              </w:rPr>
              <w:t>Erkrankungen der Nieren und Harnwege</w:t>
            </w:r>
          </w:p>
        </w:tc>
        <w:tc>
          <w:tcPr>
            <w:tcW w:w="2557" w:type="dxa"/>
            <w:tcBorders>
              <w:top w:val="single" w:sz="4" w:space="0" w:color="auto"/>
              <w:left w:val="single" w:sz="4" w:space="0" w:color="auto"/>
              <w:right w:val="single" w:sz="4" w:space="0" w:color="auto"/>
            </w:tcBorders>
          </w:tcPr>
          <w:p w14:paraId="2D09A1BC" w14:textId="77777777" w:rsidR="00CA2D0E" w:rsidRPr="004F5FB4" w:rsidRDefault="00CA2D0E"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tcPr>
          <w:p w14:paraId="658E7F50" w14:textId="77777777" w:rsidR="00CA2D0E" w:rsidRPr="004F5FB4" w:rsidRDefault="00CA2D0E" w:rsidP="00982118">
            <w:pPr>
              <w:rPr>
                <w:color w:val="000000"/>
              </w:rPr>
            </w:pPr>
            <w:r w:rsidRPr="004F5FB4">
              <w:rPr>
                <w:color w:val="000000"/>
              </w:rPr>
              <w:t>eingeschränkte Nierenfunktion,</w:t>
            </w:r>
          </w:p>
          <w:p w14:paraId="26B70DFC" w14:textId="77777777" w:rsidR="00CA2D0E" w:rsidRPr="004F5FB4" w:rsidRDefault="00CA2D0E" w:rsidP="00D4051F">
            <w:pPr>
              <w:rPr>
                <w:color w:val="000000"/>
                <w:lang w:val="en-GB"/>
              </w:rPr>
            </w:pPr>
            <w:r w:rsidRPr="004F5FB4">
              <w:rPr>
                <w:color w:val="000000"/>
              </w:rPr>
              <w:t>Hämaturie</w:t>
            </w:r>
          </w:p>
        </w:tc>
      </w:tr>
      <w:tr w:rsidR="00CA2D0E" w:rsidRPr="004F5FB4" w14:paraId="6156FEC9" w14:textId="77777777" w:rsidTr="008419B6">
        <w:trPr>
          <w:cantSplit/>
        </w:trPr>
        <w:tc>
          <w:tcPr>
            <w:tcW w:w="4147" w:type="dxa"/>
            <w:vMerge/>
            <w:tcBorders>
              <w:left w:val="single" w:sz="4" w:space="0" w:color="auto"/>
              <w:bottom w:val="single" w:sz="4" w:space="0" w:color="auto"/>
              <w:right w:val="single" w:sz="4" w:space="0" w:color="auto"/>
            </w:tcBorders>
          </w:tcPr>
          <w:p w14:paraId="3A0E28F1" w14:textId="77777777" w:rsidR="00CA2D0E" w:rsidRPr="004F5FB4" w:rsidRDefault="00CA2D0E" w:rsidP="00982118">
            <w:pPr>
              <w:rPr>
                <w:color w:val="000000"/>
                <w:lang w:val="en-GB"/>
              </w:rPr>
            </w:pPr>
          </w:p>
        </w:tc>
        <w:tc>
          <w:tcPr>
            <w:tcW w:w="2557" w:type="dxa"/>
            <w:tcBorders>
              <w:left w:val="single" w:sz="4" w:space="0" w:color="auto"/>
              <w:bottom w:val="single" w:sz="4" w:space="0" w:color="auto"/>
              <w:right w:val="single" w:sz="4" w:space="0" w:color="auto"/>
            </w:tcBorders>
          </w:tcPr>
          <w:p w14:paraId="4C458B74" w14:textId="77777777" w:rsidR="00CA2D0E" w:rsidRPr="004F5FB4" w:rsidRDefault="00CA2D0E" w:rsidP="00D4051F">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2303BC2E" w14:textId="77777777" w:rsidR="00CA2D0E" w:rsidRPr="004F5FB4" w:rsidRDefault="00CA2D0E" w:rsidP="00982118">
            <w:pPr>
              <w:rPr>
                <w:color w:val="000000"/>
              </w:rPr>
            </w:pPr>
            <w:r w:rsidRPr="004F5FB4">
              <w:rPr>
                <w:color w:val="000000"/>
              </w:rPr>
              <w:t>Nykturie</w:t>
            </w:r>
          </w:p>
        </w:tc>
      </w:tr>
      <w:tr w:rsidR="00CA2D0E" w:rsidRPr="004F5FB4" w14:paraId="5D1E91E1" w14:textId="77777777" w:rsidTr="008419B6">
        <w:trPr>
          <w:cantSplit/>
        </w:trPr>
        <w:tc>
          <w:tcPr>
            <w:tcW w:w="4147" w:type="dxa"/>
            <w:tcBorders>
              <w:top w:val="single" w:sz="4" w:space="0" w:color="auto"/>
              <w:left w:val="single" w:sz="4" w:space="0" w:color="auto"/>
              <w:bottom w:val="single" w:sz="4" w:space="0" w:color="auto"/>
              <w:right w:val="single" w:sz="4" w:space="0" w:color="auto"/>
            </w:tcBorders>
            <w:hideMark/>
          </w:tcPr>
          <w:p w14:paraId="61794932" w14:textId="77777777" w:rsidR="00CA2D0E" w:rsidRPr="004F5FB4" w:rsidRDefault="00CA2D0E" w:rsidP="00982118">
            <w:pPr>
              <w:rPr>
                <w:color w:val="000000"/>
              </w:rPr>
            </w:pPr>
            <w:r w:rsidRPr="004F5FB4">
              <w:rPr>
                <w:color w:val="000000"/>
              </w:rPr>
              <w:t>Erkrankungen der Geschlechtsorgane und der Brustdrüse</w:t>
            </w:r>
          </w:p>
        </w:tc>
        <w:tc>
          <w:tcPr>
            <w:tcW w:w="2557" w:type="dxa"/>
            <w:tcBorders>
              <w:top w:val="single" w:sz="4" w:space="0" w:color="auto"/>
              <w:left w:val="single" w:sz="4" w:space="0" w:color="auto"/>
              <w:bottom w:val="single" w:sz="4" w:space="0" w:color="auto"/>
              <w:right w:val="single" w:sz="4" w:space="0" w:color="auto"/>
            </w:tcBorders>
            <w:hideMark/>
          </w:tcPr>
          <w:p w14:paraId="04F9FDC0" w14:textId="77777777" w:rsidR="00CA2D0E" w:rsidRPr="004F5FB4" w:rsidRDefault="00CA2D0E" w:rsidP="00982118">
            <w:pPr>
              <w:rPr>
                <w:color w:val="000000"/>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hideMark/>
          </w:tcPr>
          <w:p w14:paraId="05886886" w14:textId="77777777" w:rsidR="00CA2D0E" w:rsidRPr="004F5FB4" w:rsidRDefault="00CA2D0E" w:rsidP="00982118">
            <w:pPr>
              <w:rPr>
                <w:color w:val="000000"/>
              </w:rPr>
            </w:pPr>
            <w:r w:rsidRPr="004F5FB4">
              <w:rPr>
                <w:color w:val="000000"/>
              </w:rPr>
              <w:t>erektile Dysfunktion</w:t>
            </w:r>
          </w:p>
        </w:tc>
      </w:tr>
      <w:tr w:rsidR="00CA2D0E" w:rsidRPr="004F5FB4" w14:paraId="28E4CCE3"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78CF3D3A" w14:textId="77777777" w:rsidR="00CA2D0E" w:rsidRPr="004F5FB4" w:rsidRDefault="00CA2D0E" w:rsidP="00D4051F">
            <w:pPr>
              <w:keepNext/>
              <w:keepLines/>
              <w:rPr>
                <w:color w:val="000000"/>
              </w:rPr>
            </w:pPr>
            <w:r w:rsidRPr="004F5FB4">
              <w:rPr>
                <w:color w:val="000000"/>
              </w:rPr>
              <w:t>Allgemeine Erkrankungen und Beschwerden am Verabreichungsort*</w:t>
            </w:r>
          </w:p>
        </w:tc>
        <w:tc>
          <w:tcPr>
            <w:tcW w:w="2557" w:type="dxa"/>
            <w:tcBorders>
              <w:top w:val="single" w:sz="4" w:space="0" w:color="auto"/>
              <w:left w:val="single" w:sz="4" w:space="0" w:color="auto"/>
              <w:right w:val="single" w:sz="4" w:space="0" w:color="auto"/>
            </w:tcBorders>
          </w:tcPr>
          <w:p w14:paraId="416CC7C4" w14:textId="77777777" w:rsidR="00CA2D0E" w:rsidRPr="004F5FB4" w:rsidRDefault="00CA2D0E" w:rsidP="00D4051F">
            <w:pPr>
              <w:keepNext/>
              <w:keepLines/>
              <w:rPr>
                <w:color w:val="000000"/>
              </w:rPr>
            </w:pPr>
            <w:r w:rsidRPr="004F5FB4">
              <w:rPr>
                <w:color w:val="000000"/>
              </w:rPr>
              <w:t>Sehr häufig</w:t>
            </w:r>
          </w:p>
          <w:p w14:paraId="0538810D" w14:textId="77777777" w:rsidR="00CA2D0E" w:rsidRPr="004F5FB4" w:rsidRDefault="00CA2D0E" w:rsidP="00D4051F">
            <w:pPr>
              <w:keepNext/>
              <w:keepLines/>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63BB70D7" w14:textId="77777777" w:rsidR="00CA2D0E" w:rsidRPr="004F5FB4" w:rsidRDefault="00CA2D0E" w:rsidP="00D4051F">
            <w:pPr>
              <w:keepNext/>
              <w:keepLines/>
              <w:rPr>
                <w:color w:val="000000"/>
              </w:rPr>
            </w:pPr>
            <w:r w:rsidRPr="004F5FB4">
              <w:rPr>
                <w:color w:val="000000"/>
              </w:rPr>
              <w:t>Reaktion an der Injektionsstelle (einschließlich Erytheme an der Injektionsstelle)</w:t>
            </w:r>
          </w:p>
        </w:tc>
      </w:tr>
      <w:tr w:rsidR="00CA2D0E" w:rsidRPr="004F5FB4" w14:paraId="39AC0E2E" w14:textId="77777777" w:rsidTr="008419B6">
        <w:trPr>
          <w:cantSplit/>
        </w:trPr>
        <w:tc>
          <w:tcPr>
            <w:tcW w:w="4147" w:type="dxa"/>
            <w:vMerge/>
            <w:tcBorders>
              <w:left w:val="single" w:sz="4" w:space="0" w:color="auto"/>
              <w:right w:val="single" w:sz="4" w:space="0" w:color="auto"/>
            </w:tcBorders>
          </w:tcPr>
          <w:p w14:paraId="6C94DFB4" w14:textId="77777777" w:rsidR="00CA2D0E" w:rsidRPr="004F5FB4" w:rsidRDefault="00CA2D0E" w:rsidP="00D4051F">
            <w:pPr>
              <w:keepNext/>
              <w:keepLines/>
              <w:rPr>
                <w:color w:val="000000"/>
              </w:rPr>
            </w:pPr>
          </w:p>
        </w:tc>
        <w:tc>
          <w:tcPr>
            <w:tcW w:w="2557" w:type="dxa"/>
            <w:tcBorders>
              <w:left w:val="single" w:sz="4" w:space="0" w:color="auto"/>
              <w:right w:val="single" w:sz="4" w:space="0" w:color="auto"/>
            </w:tcBorders>
          </w:tcPr>
          <w:p w14:paraId="2656E1EC" w14:textId="77777777" w:rsidR="00CA2D0E" w:rsidRPr="004F5FB4" w:rsidRDefault="00CA2D0E" w:rsidP="00D4051F">
            <w:pPr>
              <w:keepNext/>
              <w:keepLines/>
              <w:rPr>
                <w:color w:val="000000"/>
              </w:rPr>
            </w:pPr>
            <w:r w:rsidRPr="004F5FB4">
              <w:rPr>
                <w:color w:val="000000"/>
              </w:rPr>
              <w:t>Häufig</w:t>
            </w:r>
          </w:p>
          <w:p w14:paraId="6E25D301" w14:textId="77777777" w:rsidR="00CA2D0E" w:rsidRPr="004F5FB4" w:rsidRDefault="00CA2D0E" w:rsidP="00D4051F">
            <w:pPr>
              <w:keepNext/>
              <w:keepLines/>
              <w:rPr>
                <w:color w:val="000000"/>
                <w:lang w:val="en-GB"/>
              </w:rPr>
            </w:pPr>
          </w:p>
        </w:tc>
        <w:tc>
          <w:tcPr>
            <w:tcW w:w="0" w:type="auto"/>
            <w:tcBorders>
              <w:top w:val="single" w:sz="4" w:space="0" w:color="auto"/>
              <w:left w:val="single" w:sz="4" w:space="0" w:color="auto"/>
              <w:bottom w:val="single" w:sz="4" w:space="0" w:color="auto"/>
              <w:right w:val="single" w:sz="4" w:space="0" w:color="auto"/>
            </w:tcBorders>
          </w:tcPr>
          <w:p w14:paraId="3C1CB703" w14:textId="77777777" w:rsidR="00CA2D0E" w:rsidRPr="004F5FB4" w:rsidRDefault="00CA2D0E" w:rsidP="00D4051F">
            <w:pPr>
              <w:keepNext/>
              <w:keepLines/>
              <w:rPr>
                <w:color w:val="000000"/>
              </w:rPr>
            </w:pPr>
            <w:r w:rsidRPr="004F5FB4">
              <w:rPr>
                <w:color w:val="000000"/>
              </w:rPr>
              <w:t>Brustschmerzen,</w:t>
            </w:r>
          </w:p>
          <w:p w14:paraId="34A5CC6D" w14:textId="77777777" w:rsidR="00CA2D0E" w:rsidRPr="004F5FB4" w:rsidRDefault="00CA2D0E" w:rsidP="00D4051F">
            <w:pPr>
              <w:keepNext/>
              <w:keepLines/>
              <w:rPr>
                <w:color w:val="000000"/>
              </w:rPr>
            </w:pPr>
            <w:r w:rsidRPr="004F5FB4">
              <w:rPr>
                <w:color w:val="000000"/>
              </w:rPr>
              <w:t>Ödeme,</w:t>
            </w:r>
          </w:p>
          <w:p w14:paraId="57A03F5F" w14:textId="77777777" w:rsidR="00CA2D0E" w:rsidRPr="004F5FB4" w:rsidRDefault="00CA2D0E" w:rsidP="00D4051F">
            <w:pPr>
              <w:keepNext/>
              <w:keepLines/>
              <w:rPr>
                <w:color w:val="000000"/>
                <w:lang w:val="en-GB"/>
              </w:rPr>
            </w:pPr>
            <w:r w:rsidRPr="004F5FB4">
              <w:rPr>
                <w:color w:val="000000"/>
              </w:rPr>
              <w:t>Fieber</w:t>
            </w:r>
            <w:r w:rsidRPr="004F5FB4">
              <w:rPr>
                <w:color w:val="000000"/>
                <w:vertAlign w:val="superscript"/>
              </w:rPr>
              <w:t>1</w:t>
            </w:r>
          </w:p>
        </w:tc>
      </w:tr>
      <w:tr w:rsidR="00CA2D0E" w:rsidRPr="004F5FB4" w14:paraId="61F7F7C1" w14:textId="77777777" w:rsidTr="008419B6">
        <w:trPr>
          <w:cantSplit/>
        </w:trPr>
        <w:tc>
          <w:tcPr>
            <w:tcW w:w="4147" w:type="dxa"/>
            <w:vMerge/>
            <w:tcBorders>
              <w:left w:val="single" w:sz="4" w:space="0" w:color="auto"/>
              <w:bottom w:val="single" w:sz="4" w:space="0" w:color="auto"/>
              <w:right w:val="single" w:sz="4" w:space="0" w:color="auto"/>
            </w:tcBorders>
          </w:tcPr>
          <w:p w14:paraId="18A8DF6B" w14:textId="77777777" w:rsidR="00CA2D0E" w:rsidRPr="004F5FB4" w:rsidRDefault="00CA2D0E" w:rsidP="00982118">
            <w:pPr>
              <w:rPr>
                <w:color w:val="000000"/>
                <w:lang w:val="en-GB"/>
              </w:rPr>
            </w:pPr>
          </w:p>
        </w:tc>
        <w:tc>
          <w:tcPr>
            <w:tcW w:w="2557" w:type="dxa"/>
            <w:tcBorders>
              <w:left w:val="single" w:sz="4" w:space="0" w:color="auto"/>
              <w:bottom w:val="single" w:sz="4" w:space="0" w:color="auto"/>
              <w:right w:val="single" w:sz="4" w:space="0" w:color="auto"/>
            </w:tcBorders>
          </w:tcPr>
          <w:p w14:paraId="218FC425" w14:textId="77777777" w:rsidR="00CA2D0E" w:rsidRPr="004F5FB4" w:rsidRDefault="00CA2D0E" w:rsidP="00D4051F">
            <w:pPr>
              <w:rPr>
                <w:color w:val="000000"/>
                <w:lang w:val="en-GB"/>
              </w:rPr>
            </w:pPr>
            <w:r w:rsidRPr="004F5FB4">
              <w:rPr>
                <w:color w:val="000000"/>
              </w:rPr>
              <w:t>Gelegentlich</w:t>
            </w:r>
          </w:p>
        </w:tc>
        <w:tc>
          <w:tcPr>
            <w:tcW w:w="0" w:type="auto"/>
            <w:tcBorders>
              <w:top w:val="single" w:sz="4" w:space="0" w:color="auto"/>
              <w:left w:val="single" w:sz="4" w:space="0" w:color="auto"/>
              <w:bottom w:val="single" w:sz="4" w:space="0" w:color="auto"/>
              <w:right w:val="single" w:sz="4" w:space="0" w:color="auto"/>
            </w:tcBorders>
          </w:tcPr>
          <w:p w14:paraId="236482BB" w14:textId="77777777" w:rsidR="00CA2D0E" w:rsidRPr="004F5FB4" w:rsidRDefault="00CA2D0E" w:rsidP="00982118">
            <w:pPr>
              <w:rPr>
                <w:color w:val="000000"/>
              </w:rPr>
            </w:pPr>
            <w:r w:rsidRPr="004F5FB4">
              <w:rPr>
                <w:color w:val="000000"/>
              </w:rPr>
              <w:t>Entzündung</w:t>
            </w:r>
          </w:p>
        </w:tc>
      </w:tr>
      <w:tr w:rsidR="008419B6" w:rsidRPr="004F5FB4" w14:paraId="0D6B59A0" w14:textId="77777777" w:rsidTr="008419B6">
        <w:trPr>
          <w:cantSplit/>
        </w:trPr>
        <w:tc>
          <w:tcPr>
            <w:tcW w:w="4147" w:type="dxa"/>
            <w:vMerge w:val="restart"/>
            <w:tcBorders>
              <w:top w:val="single" w:sz="4" w:space="0" w:color="auto"/>
              <w:left w:val="single" w:sz="4" w:space="0" w:color="auto"/>
              <w:right w:val="single" w:sz="4" w:space="0" w:color="auto"/>
            </w:tcBorders>
            <w:hideMark/>
          </w:tcPr>
          <w:p w14:paraId="00E88D52" w14:textId="77777777" w:rsidR="008419B6" w:rsidRPr="004F5FB4" w:rsidRDefault="008419B6" w:rsidP="00982118">
            <w:pPr>
              <w:keepNext/>
              <w:rPr>
                <w:color w:val="000000"/>
              </w:rPr>
            </w:pPr>
            <w:r w:rsidRPr="004F5FB4">
              <w:rPr>
                <w:color w:val="000000"/>
              </w:rPr>
              <w:t>Untersuchungen*</w:t>
            </w:r>
          </w:p>
        </w:tc>
        <w:tc>
          <w:tcPr>
            <w:tcW w:w="2557" w:type="dxa"/>
            <w:tcBorders>
              <w:top w:val="single" w:sz="4" w:space="0" w:color="auto"/>
              <w:left w:val="single" w:sz="4" w:space="0" w:color="auto"/>
              <w:bottom w:val="single" w:sz="4" w:space="0" w:color="auto"/>
              <w:right w:val="single" w:sz="4" w:space="0" w:color="auto"/>
            </w:tcBorders>
            <w:hideMark/>
          </w:tcPr>
          <w:p w14:paraId="74822CF9" w14:textId="77777777" w:rsidR="008419B6" w:rsidRPr="004F5FB4" w:rsidRDefault="008419B6" w:rsidP="00982118">
            <w:pPr>
              <w:keepNext/>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hideMark/>
          </w:tcPr>
          <w:p w14:paraId="4104306A" w14:textId="77777777" w:rsidR="008419B6" w:rsidRPr="004F5FB4" w:rsidRDefault="008419B6" w:rsidP="00982118">
            <w:pPr>
              <w:keepNext/>
              <w:autoSpaceDE w:val="0"/>
              <w:autoSpaceDN w:val="0"/>
              <w:adjustRightInd w:val="0"/>
              <w:rPr>
                <w:color w:val="000000"/>
              </w:rPr>
            </w:pPr>
            <w:r w:rsidRPr="004F5FB4">
              <w:rPr>
                <w:color w:val="000000"/>
              </w:rPr>
              <w:t xml:space="preserve">Koagulations- und Blutungsstörungen (einschließlich Verlängerung der partiellen Thromboplastinzeit), </w:t>
            </w:r>
          </w:p>
          <w:p w14:paraId="58C21D5C" w14:textId="77777777" w:rsidR="008419B6" w:rsidRPr="004F5FB4" w:rsidRDefault="008419B6" w:rsidP="00982118">
            <w:pPr>
              <w:keepNext/>
              <w:autoSpaceDE w:val="0"/>
              <w:autoSpaceDN w:val="0"/>
              <w:adjustRightInd w:val="0"/>
              <w:rPr>
                <w:color w:val="000000"/>
              </w:rPr>
            </w:pPr>
            <w:r w:rsidRPr="004F5FB4">
              <w:rPr>
                <w:color w:val="000000"/>
              </w:rPr>
              <w:t xml:space="preserve">positiver Nachweis von Autoantikörpern (einschließlich doppelsträngiger DNA-Antikörper), </w:t>
            </w:r>
          </w:p>
          <w:p w14:paraId="29ED3DDF" w14:textId="77777777" w:rsidR="008419B6" w:rsidRPr="004F5FB4" w:rsidRDefault="008419B6" w:rsidP="00D4051F">
            <w:pPr>
              <w:keepNext/>
              <w:autoSpaceDE w:val="0"/>
              <w:autoSpaceDN w:val="0"/>
              <w:adjustRightInd w:val="0"/>
              <w:rPr>
                <w:color w:val="000000"/>
                <w:lang w:val="en-GB"/>
              </w:rPr>
            </w:pPr>
            <w:r w:rsidRPr="004F5FB4">
              <w:rPr>
                <w:color w:val="000000"/>
              </w:rPr>
              <w:t>erhöhte Blutwerte für Lactatdehydrogenase</w:t>
            </w:r>
          </w:p>
        </w:tc>
      </w:tr>
      <w:tr w:rsidR="008419B6" w:rsidRPr="004F5FB4" w14:paraId="68D88E0B" w14:textId="77777777" w:rsidTr="008419B6">
        <w:trPr>
          <w:cantSplit/>
        </w:trPr>
        <w:tc>
          <w:tcPr>
            <w:tcW w:w="4147" w:type="dxa"/>
            <w:vMerge/>
            <w:tcBorders>
              <w:left w:val="single" w:sz="4" w:space="0" w:color="auto"/>
              <w:bottom w:val="single" w:sz="4" w:space="0" w:color="auto"/>
              <w:right w:val="single" w:sz="4" w:space="0" w:color="auto"/>
            </w:tcBorders>
          </w:tcPr>
          <w:p w14:paraId="6A59F8C8" w14:textId="77777777" w:rsidR="008419B6" w:rsidRPr="004F5FB4" w:rsidRDefault="008419B6" w:rsidP="00982118">
            <w:pPr>
              <w:keepNext/>
              <w:rPr>
                <w:color w:val="000000"/>
              </w:rPr>
            </w:pPr>
          </w:p>
        </w:tc>
        <w:tc>
          <w:tcPr>
            <w:tcW w:w="2557" w:type="dxa"/>
            <w:tcBorders>
              <w:top w:val="single" w:sz="4" w:space="0" w:color="auto"/>
              <w:left w:val="single" w:sz="4" w:space="0" w:color="auto"/>
              <w:bottom w:val="single" w:sz="4" w:space="0" w:color="auto"/>
              <w:right w:val="single" w:sz="4" w:space="0" w:color="auto"/>
            </w:tcBorders>
          </w:tcPr>
          <w:p w14:paraId="18AA1090" w14:textId="77777777" w:rsidR="008419B6" w:rsidRPr="004F5FB4" w:rsidRDefault="008419B6" w:rsidP="00982118">
            <w:pPr>
              <w:keepNext/>
              <w:rPr>
                <w:color w:val="000000"/>
              </w:rPr>
            </w:pPr>
            <w:r>
              <w:rPr>
                <w:color w:val="000000"/>
              </w:rPr>
              <w:t>Nicht bekannt</w:t>
            </w:r>
          </w:p>
        </w:tc>
        <w:tc>
          <w:tcPr>
            <w:tcW w:w="0" w:type="auto"/>
            <w:tcBorders>
              <w:top w:val="single" w:sz="4" w:space="0" w:color="auto"/>
              <w:left w:val="single" w:sz="4" w:space="0" w:color="auto"/>
              <w:bottom w:val="single" w:sz="4" w:space="0" w:color="auto"/>
              <w:right w:val="single" w:sz="4" w:space="0" w:color="auto"/>
            </w:tcBorders>
          </w:tcPr>
          <w:p w14:paraId="4F4A1A1C" w14:textId="77777777" w:rsidR="008419B6" w:rsidRPr="004F5FB4" w:rsidRDefault="008419B6" w:rsidP="00982118">
            <w:pPr>
              <w:keepNext/>
              <w:autoSpaceDE w:val="0"/>
              <w:autoSpaceDN w:val="0"/>
              <w:adjustRightInd w:val="0"/>
              <w:rPr>
                <w:color w:val="000000"/>
              </w:rPr>
            </w:pPr>
            <w:r>
              <w:rPr>
                <w:color w:val="000000"/>
              </w:rPr>
              <w:t>Gewichtszunahme</w:t>
            </w:r>
            <w:r w:rsidRPr="00D42C63">
              <w:rPr>
                <w:color w:val="000000"/>
                <w:vertAlign w:val="superscript"/>
              </w:rPr>
              <w:t>2</w:t>
            </w:r>
          </w:p>
        </w:tc>
      </w:tr>
      <w:tr w:rsidR="00CA2D0E" w:rsidRPr="004F5FB4" w14:paraId="681A6D1C" w14:textId="77777777" w:rsidTr="008419B6">
        <w:trPr>
          <w:cantSplit/>
        </w:trPr>
        <w:tc>
          <w:tcPr>
            <w:tcW w:w="4147" w:type="dxa"/>
            <w:tcBorders>
              <w:top w:val="single" w:sz="4" w:space="0" w:color="auto"/>
              <w:left w:val="single" w:sz="4" w:space="0" w:color="auto"/>
              <w:bottom w:val="single" w:sz="4" w:space="0" w:color="auto"/>
              <w:right w:val="single" w:sz="4" w:space="0" w:color="auto"/>
            </w:tcBorders>
            <w:hideMark/>
          </w:tcPr>
          <w:p w14:paraId="56CE2F16" w14:textId="77777777" w:rsidR="00CA2D0E" w:rsidRPr="004F5FB4" w:rsidRDefault="00CA2D0E" w:rsidP="00982118">
            <w:pPr>
              <w:rPr>
                <w:color w:val="000000"/>
              </w:rPr>
            </w:pPr>
            <w:r w:rsidRPr="004F5FB4">
              <w:rPr>
                <w:color w:val="000000"/>
              </w:rPr>
              <w:t>Verletzung, Vergiftung und durch Eingriffe bedingte Komplikationen</w:t>
            </w:r>
          </w:p>
        </w:tc>
        <w:tc>
          <w:tcPr>
            <w:tcW w:w="2557" w:type="dxa"/>
            <w:tcBorders>
              <w:top w:val="single" w:sz="4" w:space="0" w:color="auto"/>
              <w:left w:val="single" w:sz="4" w:space="0" w:color="auto"/>
              <w:bottom w:val="single" w:sz="4" w:space="0" w:color="auto"/>
              <w:right w:val="single" w:sz="4" w:space="0" w:color="auto"/>
            </w:tcBorders>
            <w:hideMark/>
          </w:tcPr>
          <w:p w14:paraId="3EF138D5" w14:textId="77777777" w:rsidR="00CA2D0E" w:rsidRPr="004F5FB4" w:rsidRDefault="00CA2D0E" w:rsidP="00982118">
            <w:pPr>
              <w:rPr>
                <w:color w:val="000000"/>
              </w:rPr>
            </w:pPr>
            <w:r w:rsidRPr="004F5FB4">
              <w:rPr>
                <w:color w:val="000000"/>
              </w:rPr>
              <w:t>Häufig</w:t>
            </w:r>
          </w:p>
        </w:tc>
        <w:tc>
          <w:tcPr>
            <w:tcW w:w="0" w:type="auto"/>
            <w:tcBorders>
              <w:top w:val="single" w:sz="4" w:space="0" w:color="auto"/>
              <w:left w:val="single" w:sz="4" w:space="0" w:color="auto"/>
              <w:bottom w:val="single" w:sz="4" w:space="0" w:color="auto"/>
              <w:right w:val="single" w:sz="4" w:space="0" w:color="auto"/>
            </w:tcBorders>
            <w:hideMark/>
          </w:tcPr>
          <w:p w14:paraId="471E150D" w14:textId="77777777" w:rsidR="00CA2D0E" w:rsidRPr="004F5FB4" w:rsidRDefault="00CA2D0E" w:rsidP="00982118">
            <w:pPr>
              <w:rPr>
                <w:color w:val="000000"/>
              </w:rPr>
            </w:pPr>
            <w:r w:rsidRPr="004F5FB4">
              <w:rPr>
                <w:color w:val="000000"/>
              </w:rPr>
              <w:t>beeinträchtigte Wundheilung</w:t>
            </w:r>
          </w:p>
        </w:tc>
      </w:tr>
      <w:tr w:rsidR="00CA2D0E" w:rsidRPr="004F5FB4" w14:paraId="7BC391F3" w14:textId="77777777" w:rsidTr="0095181C">
        <w:trPr>
          <w:cantSplit/>
        </w:trPr>
        <w:tc>
          <w:tcPr>
            <w:tcW w:w="0" w:type="auto"/>
            <w:gridSpan w:val="3"/>
            <w:tcBorders>
              <w:top w:val="single" w:sz="4" w:space="0" w:color="auto"/>
              <w:left w:val="nil"/>
              <w:bottom w:val="nil"/>
              <w:right w:val="nil"/>
            </w:tcBorders>
            <w:hideMark/>
          </w:tcPr>
          <w:p w14:paraId="58D8BFC2" w14:textId="77777777" w:rsidR="00CA2D0E" w:rsidRPr="00206AEA" w:rsidRDefault="00CA2D0E" w:rsidP="00982118">
            <w:pPr>
              <w:tabs>
                <w:tab w:val="left" w:pos="360"/>
              </w:tabs>
              <w:rPr>
                <w:color w:val="000000"/>
                <w:sz w:val="20"/>
              </w:rPr>
            </w:pPr>
            <w:r w:rsidRPr="00206AEA">
              <w:rPr>
                <w:color w:val="000000"/>
                <w:sz w:val="20"/>
              </w:rPr>
              <w:t>*</w:t>
            </w:r>
            <w:r w:rsidRPr="00206AEA">
              <w:rPr>
                <w:color w:val="000000"/>
                <w:sz w:val="20"/>
              </w:rPr>
              <w:tab/>
              <w:t>Weitere Information findet sich in den Abschnitten</w:t>
            </w:r>
            <w:r w:rsidR="00A87FE1" w:rsidRPr="00206AEA">
              <w:rPr>
                <w:color w:val="000000"/>
                <w:sz w:val="20"/>
              </w:rPr>
              <w:t> </w:t>
            </w:r>
            <w:r w:rsidRPr="00206AEA">
              <w:rPr>
                <w:color w:val="000000"/>
                <w:sz w:val="20"/>
              </w:rPr>
              <w:t>4.3, 4.4 und 4.8. </w:t>
            </w:r>
          </w:p>
          <w:p w14:paraId="0E416799" w14:textId="77777777" w:rsidR="00CA2D0E" w:rsidRPr="00206AEA" w:rsidRDefault="00CA2D0E" w:rsidP="00982118">
            <w:pPr>
              <w:tabs>
                <w:tab w:val="left" w:pos="360"/>
              </w:tabs>
              <w:rPr>
                <w:color w:val="000000"/>
                <w:sz w:val="20"/>
              </w:rPr>
            </w:pPr>
            <w:r w:rsidRPr="00206AEA">
              <w:rPr>
                <w:color w:val="000000"/>
                <w:sz w:val="20"/>
              </w:rPr>
              <w:t xml:space="preserve">** </w:t>
            </w:r>
            <w:r w:rsidRPr="00206AEA">
              <w:rPr>
                <w:color w:val="000000"/>
                <w:sz w:val="20"/>
              </w:rPr>
              <w:tab/>
              <w:t xml:space="preserve">einschließlich offener </w:t>
            </w:r>
            <w:r w:rsidR="00E45812" w:rsidRPr="00206AEA">
              <w:rPr>
                <w:color w:val="000000"/>
                <w:sz w:val="20"/>
              </w:rPr>
              <w:t>Fortsetz</w:t>
            </w:r>
            <w:r w:rsidRPr="00206AEA">
              <w:rPr>
                <w:color w:val="000000"/>
                <w:sz w:val="20"/>
              </w:rPr>
              <w:t>ungsstudien</w:t>
            </w:r>
          </w:p>
          <w:p w14:paraId="7E2FFE31" w14:textId="77777777" w:rsidR="00CA2D0E" w:rsidRPr="00206AEA" w:rsidRDefault="00CA2D0E" w:rsidP="00982118">
            <w:pPr>
              <w:tabs>
                <w:tab w:val="left" w:pos="360"/>
              </w:tabs>
              <w:rPr>
                <w:color w:val="000000"/>
                <w:sz w:val="20"/>
              </w:rPr>
            </w:pPr>
            <w:r w:rsidRPr="00206AEA">
              <w:rPr>
                <w:color w:val="000000"/>
                <w:sz w:val="20"/>
                <w:vertAlign w:val="superscript"/>
              </w:rPr>
              <w:t>1</w:t>
            </w:r>
            <w:r w:rsidRPr="00206AEA">
              <w:rPr>
                <w:color w:val="000000"/>
                <w:sz w:val="20"/>
              </w:rPr>
              <w:tab/>
              <w:t xml:space="preserve">einschließlich Daten aus Spontanmeldungen </w:t>
            </w:r>
          </w:p>
          <w:p w14:paraId="1237A50D" w14:textId="77777777" w:rsidR="008419B6" w:rsidRPr="00206AEA" w:rsidRDefault="008419B6" w:rsidP="00D42C63">
            <w:pPr>
              <w:tabs>
                <w:tab w:val="left" w:pos="360"/>
              </w:tabs>
              <w:ind w:left="357" w:hanging="357"/>
              <w:rPr>
                <w:color w:val="000000"/>
                <w:sz w:val="20"/>
              </w:rPr>
            </w:pPr>
            <w:r w:rsidRPr="00206AEA">
              <w:rPr>
                <w:color w:val="000000"/>
                <w:sz w:val="20"/>
                <w:szCs w:val="20"/>
                <w:vertAlign w:val="superscript"/>
              </w:rPr>
              <w:t>2</w:t>
            </w:r>
            <w:r w:rsidRPr="00206AEA">
              <w:rPr>
                <w:color w:val="000000"/>
                <w:sz w:val="20"/>
                <w:szCs w:val="20"/>
              </w:rPr>
              <w:t xml:space="preserve"> </w:t>
            </w:r>
            <w:r w:rsidRPr="00206AEA">
              <w:rPr>
                <w:color w:val="000000"/>
                <w:sz w:val="20"/>
                <w:szCs w:val="20"/>
              </w:rPr>
              <w:tab/>
              <w:t>Die mittlere Gewichtszunahme ab der Baseline betrug über einen Behandlungszeitraum von 4 – 6 Monaten bei Adalimumab 0,3 kg bis 1,0 kg bei allen Indikationen für Erwachsene im Vergleich zu (minus) -0,4 kg bis (plus) 0,4 kg bei Placebo. Es wurde in Langzeit-Erweiterungsstudien bei einer mittleren Exposition von etwa 1 – 2 Jahren ohne Kontrollgruppe auch eine Gewichtszunahme von 5 – 6 kg beobachtet, insbesondere bei Patienten mit Morbus Crohn und Colitis Ulcerosa. Der Mechanismus hinter dieser Wirkung ist unklar, könnte aber mit der antiinflammatorischen Wirkung von Adalimumab zusammenhängen.</w:t>
            </w:r>
          </w:p>
        </w:tc>
      </w:tr>
    </w:tbl>
    <w:p w14:paraId="18C31A41" w14:textId="77777777" w:rsidR="00CA2D0E" w:rsidRPr="004F5FB4" w:rsidRDefault="00CA2D0E" w:rsidP="00982118">
      <w:pPr>
        <w:rPr>
          <w:color w:val="000000"/>
        </w:rPr>
      </w:pPr>
    </w:p>
    <w:p w14:paraId="0FD2F693" w14:textId="77777777" w:rsidR="00C46587" w:rsidRPr="004F5FB4" w:rsidRDefault="00C46587" w:rsidP="00982118">
      <w:pPr>
        <w:keepNext/>
        <w:rPr>
          <w:color w:val="000000"/>
          <w:u w:val="single"/>
        </w:rPr>
      </w:pPr>
      <w:r w:rsidRPr="004F5FB4">
        <w:rPr>
          <w:color w:val="000000"/>
          <w:u w:val="single"/>
        </w:rPr>
        <w:t>Hidradenitis suppurativa (Acne inversa)</w:t>
      </w:r>
    </w:p>
    <w:p w14:paraId="2B4A1967" w14:textId="77777777" w:rsidR="00C46587" w:rsidRPr="004F5FB4" w:rsidRDefault="00C46587" w:rsidP="00982118">
      <w:pPr>
        <w:keepNext/>
        <w:rPr>
          <w:color w:val="000000"/>
        </w:rPr>
      </w:pPr>
    </w:p>
    <w:p w14:paraId="54BD6081" w14:textId="77777777" w:rsidR="00C46587" w:rsidRPr="004F5FB4" w:rsidRDefault="00C46587" w:rsidP="00982118">
      <w:pPr>
        <w:rPr>
          <w:color w:val="000000"/>
        </w:rPr>
      </w:pPr>
      <w:r w:rsidRPr="004F5FB4">
        <w:rPr>
          <w:color w:val="000000"/>
        </w:rPr>
        <w:t>Das Sicherheitsprofil bei Patienten mit HS, die wöchentlich mit Adalimumab behandelt wurden, entsprach dem bekannten Sicherheitsprofil von Adalimumab.</w:t>
      </w:r>
    </w:p>
    <w:p w14:paraId="002C17C6" w14:textId="77777777" w:rsidR="00CA2D0E" w:rsidRPr="004F5FB4" w:rsidRDefault="00CA2D0E" w:rsidP="00982118">
      <w:pPr>
        <w:rPr>
          <w:color w:val="000000"/>
        </w:rPr>
      </w:pPr>
    </w:p>
    <w:p w14:paraId="3698B16A" w14:textId="77777777" w:rsidR="00C46587" w:rsidRPr="004F5FB4" w:rsidRDefault="00186764" w:rsidP="00DC3A99">
      <w:pPr>
        <w:keepNext/>
        <w:rPr>
          <w:color w:val="000000"/>
          <w:u w:val="single"/>
        </w:rPr>
      </w:pPr>
      <w:r w:rsidRPr="004F5FB4">
        <w:rPr>
          <w:color w:val="000000"/>
          <w:u w:val="single"/>
        </w:rPr>
        <w:lastRenderedPageBreak/>
        <w:t>Uveitis</w:t>
      </w:r>
    </w:p>
    <w:p w14:paraId="1ADB08FA" w14:textId="77777777" w:rsidR="00C46587" w:rsidRPr="004F5FB4" w:rsidRDefault="00C46587" w:rsidP="00DC3A99">
      <w:pPr>
        <w:keepNext/>
        <w:rPr>
          <w:color w:val="000000"/>
        </w:rPr>
      </w:pPr>
    </w:p>
    <w:p w14:paraId="5FF41C09" w14:textId="77777777" w:rsidR="00C46587" w:rsidRPr="004F5FB4" w:rsidRDefault="00C46587" w:rsidP="00982118">
      <w:pPr>
        <w:rPr>
          <w:color w:val="000000"/>
        </w:rPr>
      </w:pPr>
      <w:r w:rsidRPr="004F5FB4">
        <w:rPr>
          <w:color w:val="000000"/>
        </w:rPr>
        <w:t>Das Sicherheitsprofil bei Patienten mit Uveitis, die alle zwei Wochen mit Adalimumab behandelt wurden, entsprach dem bekannten Sicherheitsprofil von Adalimumab.</w:t>
      </w:r>
    </w:p>
    <w:p w14:paraId="32E46E78" w14:textId="77777777" w:rsidR="00C46587" w:rsidRPr="004F5FB4" w:rsidRDefault="00C46587" w:rsidP="00982118">
      <w:pPr>
        <w:rPr>
          <w:color w:val="000000"/>
        </w:rPr>
      </w:pPr>
    </w:p>
    <w:p w14:paraId="006ECC56" w14:textId="77777777" w:rsidR="00C46587" w:rsidRPr="004F5FB4" w:rsidRDefault="00C46587" w:rsidP="00DC3A99">
      <w:pPr>
        <w:keepNext/>
        <w:rPr>
          <w:color w:val="000000"/>
          <w:u w:val="single"/>
        </w:rPr>
      </w:pPr>
      <w:r w:rsidRPr="004F5FB4">
        <w:rPr>
          <w:color w:val="000000"/>
          <w:u w:val="single"/>
        </w:rPr>
        <w:t>Beschreibung von definierten Nebenwirkungen</w:t>
      </w:r>
    </w:p>
    <w:p w14:paraId="35A1B172" w14:textId="77777777" w:rsidR="00C46587" w:rsidRPr="004F5FB4" w:rsidRDefault="00C46587" w:rsidP="00DC3A99">
      <w:pPr>
        <w:keepNext/>
        <w:rPr>
          <w:color w:val="000000"/>
        </w:rPr>
      </w:pPr>
    </w:p>
    <w:p w14:paraId="172130B8" w14:textId="77777777" w:rsidR="00C46587" w:rsidRPr="004F5FB4" w:rsidRDefault="00C46587" w:rsidP="00DC3A99">
      <w:pPr>
        <w:keepNext/>
        <w:rPr>
          <w:i/>
          <w:color w:val="000000"/>
        </w:rPr>
      </w:pPr>
      <w:r w:rsidRPr="004F5FB4">
        <w:rPr>
          <w:i/>
          <w:color w:val="000000"/>
        </w:rPr>
        <w:t>Reaktionen an der Injektionsstelle</w:t>
      </w:r>
    </w:p>
    <w:p w14:paraId="6F56BAAA" w14:textId="77777777" w:rsidR="00C46587" w:rsidRPr="004F5FB4" w:rsidRDefault="00C46587" w:rsidP="00DC3A99">
      <w:pPr>
        <w:keepNext/>
        <w:rPr>
          <w:color w:val="000000"/>
        </w:rPr>
      </w:pPr>
    </w:p>
    <w:p w14:paraId="6D43F1F5" w14:textId="77777777" w:rsidR="00C46587" w:rsidRPr="004F5FB4" w:rsidRDefault="00C46587" w:rsidP="00982118">
      <w:pPr>
        <w:rPr>
          <w:color w:val="000000"/>
        </w:rPr>
      </w:pPr>
      <w:r w:rsidRPr="004F5FB4">
        <w:rPr>
          <w:color w:val="000000"/>
        </w:rPr>
        <w:t>In den pivotalen kontrollierten Studien bei Erwachsenen und Kindern entwickelten 12,9 % der mit Adalimumab behandelten Patienten Reaktionen an der Injektionsstelle (Erytheme und/</w:t>
      </w:r>
      <w:r w:rsidR="006C10EE" w:rsidRPr="004F5FB4">
        <w:rPr>
          <w:color w:val="000000"/>
        </w:rPr>
        <w:t xml:space="preserve"> </w:t>
      </w:r>
      <w:r w:rsidRPr="004F5FB4">
        <w:rPr>
          <w:color w:val="000000"/>
        </w:rPr>
        <w:t>oder Juckreiz, Hämorrhagien, Schmerzen oder Schwellungen) im Vergleich zu 7,2 % der Patienten unter Placebo oder aktiver Vergleichssubstanz. Die Reaktionen an der Injektionsstelle machten im Allgemeinen kein Absetzen des Arzneimittels erforderlich.</w:t>
      </w:r>
    </w:p>
    <w:p w14:paraId="62A63AEA" w14:textId="77777777" w:rsidR="00C46587" w:rsidRPr="004F5FB4" w:rsidRDefault="00C46587" w:rsidP="00982118">
      <w:pPr>
        <w:rPr>
          <w:color w:val="000000"/>
        </w:rPr>
      </w:pPr>
    </w:p>
    <w:p w14:paraId="1E2F070A" w14:textId="77777777" w:rsidR="00C46587" w:rsidRPr="004F5FB4" w:rsidRDefault="00C46587" w:rsidP="00DC3A99">
      <w:pPr>
        <w:keepNext/>
        <w:rPr>
          <w:i/>
          <w:color w:val="000000"/>
        </w:rPr>
      </w:pPr>
      <w:r w:rsidRPr="004F5FB4">
        <w:rPr>
          <w:i/>
          <w:color w:val="000000"/>
        </w:rPr>
        <w:t>Infektionen</w:t>
      </w:r>
    </w:p>
    <w:p w14:paraId="0D2DD0EB" w14:textId="77777777" w:rsidR="00C46587" w:rsidRPr="004F5FB4" w:rsidRDefault="00C46587" w:rsidP="00DC3A99">
      <w:pPr>
        <w:keepNext/>
        <w:rPr>
          <w:color w:val="000000"/>
        </w:rPr>
      </w:pPr>
    </w:p>
    <w:p w14:paraId="31B48962" w14:textId="77777777" w:rsidR="00C46587" w:rsidRPr="004F5FB4" w:rsidRDefault="00C46587" w:rsidP="00982118">
      <w:pPr>
        <w:rPr>
          <w:color w:val="000000"/>
        </w:rPr>
      </w:pPr>
      <w:r w:rsidRPr="004F5FB4">
        <w:rPr>
          <w:color w:val="000000"/>
        </w:rPr>
        <w:t>In den pivotalen kontrollierten Studien bei Erwachsenen und Kindern betrug die Infektionsrate bei den mit Adalimumab behandelten Patienten 1,51</w:t>
      </w:r>
      <w:r w:rsidR="00003526" w:rsidRPr="004F5FB4">
        <w:rPr>
          <w:color w:val="000000"/>
        </w:rPr>
        <w:t> </w:t>
      </w:r>
      <w:r w:rsidRPr="004F5FB4">
        <w:rPr>
          <w:color w:val="000000"/>
        </w:rPr>
        <w:t>pro Patientenjahr und bei den Patienten unter Placebo und aktiver Kontrolle 1,46</w:t>
      </w:r>
      <w:r w:rsidR="00003526" w:rsidRPr="004F5FB4">
        <w:rPr>
          <w:color w:val="000000"/>
        </w:rPr>
        <w:t> </w:t>
      </w:r>
      <w:r w:rsidRPr="004F5FB4">
        <w:rPr>
          <w:color w:val="000000"/>
        </w:rPr>
        <w:t>pro Patientenjahr. Die Infektionen beinhalteten primär Nasopharyngitis, Infektionen der oberen Atemwege und Sinusitis. Die meisten Patienten setzten die Behandlung mit Adalimumab nach Abheilen der Infektion fort.</w:t>
      </w:r>
    </w:p>
    <w:p w14:paraId="76074F69" w14:textId="77777777" w:rsidR="00C46587" w:rsidRPr="004F5FB4" w:rsidRDefault="00C46587" w:rsidP="00982118">
      <w:pPr>
        <w:rPr>
          <w:color w:val="000000"/>
        </w:rPr>
      </w:pPr>
    </w:p>
    <w:p w14:paraId="117E750B" w14:textId="77777777" w:rsidR="00C46587" w:rsidRPr="004F5FB4" w:rsidRDefault="00C46587" w:rsidP="00982118">
      <w:pPr>
        <w:rPr>
          <w:color w:val="000000"/>
        </w:rPr>
      </w:pPr>
      <w:r w:rsidRPr="004F5FB4">
        <w:rPr>
          <w:color w:val="000000"/>
        </w:rPr>
        <w:t>Die Inzidenz schwerer Infektionen lag in der Adalimumab-Gruppe bei 0,04</w:t>
      </w:r>
      <w:r w:rsidR="00003526" w:rsidRPr="004F5FB4">
        <w:rPr>
          <w:color w:val="000000"/>
        </w:rPr>
        <w:t> </w:t>
      </w:r>
      <w:r w:rsidRPr="004F5FB4">
        <w:rPr>
          <w:color w:val="000000"/>
        </w:rPr>
        <w:t>pro Patientenjahr und in der Placebo</w:t>
      </w:r>
      <w:r w:rsidRPr="004F5FB4">
        <w:rPr>
          <w:color w:val="000000"/>
        </w:rPr>
        <w:noBreakHyphen/>
        <w:t xml:space="preserve"> und aktiven Kontrollgruppe bei 0,03</w:t>
      </w:r>
      <w:r w:rsidR="00003526" w:rsidRPr="004F5FB4">
        <w:rPr>
          <w:color w:val="000000"/>
        </w:rPr>
        <w:t> </w:t>
      </w:r>
      <w:r w:rsidRPr="004F5FB4">
        <w:rPr>
          <w:color w:val="000000"/>
        </w:rPr>
        <w:t xml:space="preserve">pro Patientenjahr. </w:t>
      </w:r>
    </w:p>
    <w:p w14:paraId="3B5CF140" w14:textId="77777777" w:rsidR="00C46587" w:rsidRPr="004F5FB4" w:rsidRDefault="00C46587" w:rsidP="00982118">
      <w:pPr>
        <w:rPr>
          <w:color w:val="000000"/>
        </w:rPr>
      </w:pPr>
    </w:p>
    <w:p w14:paraId="779FFE50" w14:textId="77777777" w:rsidR="00C46587" w:rsidRPr="004F5FB4" w:rsidRDefault="00C46587" w:rsidP="00982118">
      <w:pPr>
        <w:rPr>
          <w:color w:val="000000"/>
        </w:rPr>
      </w:pPr>
      <w:r w:rsidRPr="004F5FB4">
        <w:rPr>
          <w:color w:val="000000"/>
        </w:rPr>
        <w:t>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 B. disseminierte oder extrapulmonale Histoplasmose, Blastomykose, Kokzidioidomykose, Pneumocystisinfektion, Candidiasis (Soor), Aspergillose und Listeriose) berichtet. Die meisten Fälle von Tuberkulose traten innerhalb der ersten 8 Monate nach Beginn der Therapie auf und können die Reaktivierung einer latent bestehenden Erkrankung darstellen.</w:t>
      </w:r>
    </w:p>
    <w:p w14:paraId="4FEC29A4" w14:textId="77777777" w:rsidR="00C46587" w:rsidRPr="004F5FB4" w:rsidRDefault="00C46587" w:rsidP="00982118">
      <w:pPr>
        <w:rPr>
          <w:color w:val="000000"/>
        </w:rPr>
      </w:pPr>
    </w:p>
    <w:p w14:paraId="320645AE" w14:textId="77777777" w:rsidR="00C46587" w:rsidRPr="004F5FB4" w:rsidRDefault="00C46587" w:rsidP="00DC3A99">
      <w:pPr>
        <w:keepNext/>
        <w:rPr>
          <w:i/>
          <w:color w:val="000000"/>
        </w:rPr>
      </w:pPr>
      <w:r w:rsidRPr="004F5FB4">
        <w:rPr>
          <w:i/>
          <w:color w:val="000000"/>
        </w:rPr>
        <w:t>Maligne und lymphoproliferative Erkrankungen</w:t>
      </w:r>
    </w:p>
    <w:p w14:paraId="35ABFA87" w14:textId="77777777" w:rsidR="00C46587" w:rsidRPr="004F5FB4" w:rsidRDefault="00C46587" w:rsidP="00DC3A99">
      <w:pPr>
        <w:keepNext/>
        <w:rPr>
          <w:color w:val="000000"/>
        </w:rPr>
      </w:pPr>
    </w:p>
    <w:p w14:paraId="21B6F07A" w14:textId="77777777" w:rsidR="00003526" w:rsidRPr="004F5FB4" w:rsidRDefault="00003526" w:rsidP="00003526">
      <w:pPr>
        <w:pStyle w:val="BodyText"/>
        <w:keepNext/>
        <w:widowControl/>
        <w:kinsoku w:val="0"/>
        <w:overflowPunct w:val="0"/>
        <w:ind w:left="0"/>
        <w:rPr>
          <w:color w:val="000000"/>
        </w:rPr>
      </w:pPr>
      <w:r w:rsidRPr="004F5FB4">
        <w:rPr>
          <w:color w:val="000000"/>
        </w:rPr>
        <w:t>Während der Studien mit Adalimumab bei Patienten mit juveniler idiopathischer Arthritis (polyartikulärer juveniler idiopathischer Arthritis und Enthesitis-assoziierter Arthritis) wurden bei 249 </w:t>
      </w:r>
      <w:r w:rsidR="00401A02" w:rsidRPr="004F5FB4">
        <w:rPr>
          <w:color w:val="000000"/>
        </w:rPr>
        <w:t xml:space="preserve">Kindern und Jugendlichen </w:t>
      </w:r>
      <w:r w:rsidRPr="004F5FB4">
        <w:rPr>
          <w:color w:val="000000"/>
        </w:rPr>
        <w:t>mit einer Exposition von 655,6 Patientenjahren keine malignen Erkrankungen beobachtet. Außerdem wurden bei 192 </w:t>
      </w:r>
      <w:r w:rsidR="00401A02" w:rsidRPr="004F5FB4">
        <w:rPr>
          <w:color w:val="000000"/>
        </w:rPr>
        <w:t xml:space="preserve">Kindern und Jugendlichen </w:t>
      </w:r>
      <w:r w:rsidRPr="004F5FB4">
        <w:rPr>
          <w:color w:val="000000"/>
        </w:rPr>
        <w:t xml:space="preserve">mit einer Exposition von 498,1 Patientenjahren während klinischer Studien mit Adalimumab bei Kindern und Jugendlichen mit Morbus Crohn keine malignen Erkrankungen beobachtet. In einer Studie mit Adalimumab zu chronischer Plaque-Psoriasis an </w:t>
      </w:r>
      <w:r w:rsidR="003612F5" w:rsidRPr="004F5FB4">
        <w:rPr>
          <w:color w:val="000000"/>
        </w:rPr>
        <w:t xml:space="preserve">Kindern und Jugendlichen </w:t>
      </w:r>
      <w:r w:rsidRPr="004F5FB4">
        <w:rPr>
          <w:color w:val="000000"/>
        </w:rPr>
        <w:t>wurden bei 77 </w:t>
      </w:r>
      <w:r w:rsidR="003612F5" w:rsidRPr="004F5FB4">
        <w:rPr>
          <w:color w:val="000000"/>
        </w:rPr>
        <w:t xml:space="preserve">Kindern und Jugendlichen </w:t>
      </w:r>
      <w:r w:rsidRPr="004F5FB4">
        <w:rPr>
          <w:color w:val="000000"/>
        </w:rPr>
        <w:t xml:space="preserve">mit einer Exposition von 80,0 Patientenjahren keine malignen Erkrankungen beobachtet. </w:t>
      </w:r>
      <w:r w:rsidR="00EF1093" w:rsidRPr="009751D5">
        <w:rPr>
          <w:color w:val="000000"/>
        </w:rPr>
        <w:t xml:space="preserve">Während einer Studie mit </w:t>
      </w:r>
      <w:r w:rsidR="00EF1093">
        <w:rPr>
          <w:color w:val="000000"/>
        </w:rPr>
        <w:t xml:space="preserve">Adalimumab </w:t>
      </w:r>
      <w:r w:rsidR="00EF1093" w:rsidRPr="009751D5">
        <w:rPr>
          <w:color w:val="000000"/>
        </w:rPr>
        <w:t>bei Kindern und Jugendlichen mit Colitis ulcero</w:t>
      </w:r>
      <w:r w:rsidR="00EF1093">
        <w:rPr>
          <w:color w:val="000000"/>
        </w:rPr>
        <w:t>sa wurden bei 93 </w:t>
      </w:r>
      <w:r w:rsidR="00EF1093" w:rsidRPr="009751D5">
        <w:rPr>
          <w:color w:val="000000"/>
        </w:rPr>
        <w:t>Kindern und Jugendlichen mit einer</w:t>
      </w:r>
      <w:r w:rsidR="00EF1093">
        <w:rPr>
          <w:color w:val="000000"/>
        </w:rPr>
        <w:t xml:space="preserve"> Exposition von 65,3 </w:t>
      </w:r>
      <w:r w:rsidR="00EF1093" w:rsidRPr="009751D5">
        <w:rPr>
          <w:color w:val="000000"/>
        </w:rPr>
        <w:t>Patientenjahren keine malignen Erkrankungen beobachtet</w:t>
      </w:r>
      <w:r w:rsidR="00EF1093">
        <w:rPr>
          <w:color w:val="000000"/>
        </w:rPr>
        <w:t xml:space="preserve">. </w:t>
      </w:r>
      <w:r w:rsidRPr="004F5FB4">
        <w:rPr>
          <w:color w:val="000000"/>
        </w:rPr>
        <w:t xml:space="preserve">Während einer Studie mit Adalimumab bei </w:t>
      </w:r>
      <w:r w:rsidR="003612F5" w:rsidRPr="004F5FB4">
        <w:rPr>
          <w:color w:val="000000"/>
        </w:rPr>
        <w:t xml:space="preserve">Kindern und Jugendlichen </w:t>
      </w:r>
      <w:r w:rsidRPr="004F5FB4">
        <w:rPr>
          <w:color w:val="000000"/>
        </w:rPr>
        <w:t>mit Uveitis wurden bei 60 </w:t>
      </w:r>
      <w:r w:rsidR="003612F5" w:rsidRPr="004F5FB4">
        <w:rPr>
          <w:color w:val="000000"/>
        </w:rPr>
        <w:t xml:space="preserve">Kindern und Jugendlichen </w:t>
      </w:r>
      <w:r w:rsidRPr="004F5FB4">
        <w:rPr>
          <w:color w:val="000000"/>
        </w:rPr>
        <w:t>mit einer Exposition von 58,4 Patientenjahren keine malignen Erkrankungen beobachtet.</w:t>
      </w:r>
    </w:p>
    <w:p w14:paraId="02342D39" w14:textId="77777777" w:rsidR="00C46587" w:rsidRPr="004F5FB4" w:rsidRDefault="00C46587" w:rsidP="00982118">
      <w:pPr>
        <w:rPr>
          <w:color w:val="000000"/>
        </w:rPr>
      </w:pPr>
    </w:p>
    <w:p w14:paraId="26B7A053" w14:textId="77777777" w:rsidR="00003526" w:rsidRPr="004F5FB4" w:rsidRDefault="00003526" w:rsidP="00003526">
      <w:pPr>
        <w:pStyle w:val="BodyText"/>
        <w:widowControl/>
        <w:kinsoku w:val="0"/>
        <w:overflowPunct w:val="0"/>
        <w:ind w:left="0"/>
        <w:rPr>
          <w:color w:val="000000"/>
        </w:rPr>
      </w:pPr>
      <w:r w:rsidRPr="004F5FB4">
        <w:rPr>
          <w:color w:val="000000"/>
        </w:rPr>
        <w:t>Während der kontrollierten Phasen der pivotalen klinischen Studien an Erwachsenen mit Adalimumab, die mindestens 12 Wochen bei Patienten mit mäßiger bis schwerer aktiver rheumatoider Arthritis, ankylosierender Spondylitis, axialer Spondyloarthritis ohne Röntgennachweis einer AS, Psoriasis-Arthritis, Psoriasis, Hidradenitis suppurativa, Morbus Crohn, Colitis ulcerosa und Uveitis durchgeführt wurden, wurden maligne Erkrankungen, die keine Lymphome oder nicht melanomartige Hauttumoren waren, beobachtet. Die Rate (95 % Konfidenzintervall) betrug 6,8</w:t>
      </w:r>
      <w:r w:rsidR="00FE614B" w:rsidRPr="004F5FB4">
        <w:rPr>
          <w:color w:val="000000"/>
        </w:rPr>
        <w:t> </w:t>
      </w:r>
      <w:r w:rsidRPr="004F5FB4">
        <w:rPr>
          <w:color w:val="000000"/>
        </w:rPr>
        <w:t xml:space="preserve">(4,4; 10,5) pro 1.000 Patientenjahre </w:t>
      </w:r>
      <w:r w:rsidRPr="004F5FB4">
        <w:rPr>
          <w:color w:val="000000"/>
        </w:rPr>
        <w:lastRenderedPageBreak/>
        <w:t>bei 5.291 mit Adalimumab behandelten Patienten gegenüber einer Rate von 6,3</w:t>
      </w:r>
      <w:r w:rsidR="00FE614B" w:rsidRPr="004F5FB4">
        <w:rPr>
          <w:color w:val="000000"/>
        </w:rPr>
        <w:t> </w:t>
      </w:r>
      <w:r w:rsidRPr="004F5FB4">
        <w:rPr>
          <w:color w:val="000000"/>
        </w:rPr>
        <w:t>(3,4; 11,8) pro 1.000 Patientenjahre bei 3.444 Kontrollpatienten (die mediane Behandlungsdauer betrug 4,0 Monate bei Patienten, die mit Adalimumab behandelt wurden und 3,8 Monate bei Patienten in der Kontrollgruppe). Die Rate (95 % Konfidenzintervall) nicht melanomartiger Hauttumoren betrug 8,8 (6,0; 13,0) pro 1.000 Patientenjahre bei den mit Adalimumab behandelten Patienten und 3,2</w:t>
      </w:r>
      <w:r w:rsidR="00FE614B" w:rsidRPr="004F5FB4">
        <w:rPr>
          <w:color w:val="000000"/>
        </w:rPr>
        <w:t> </w:t>
      </w:r>
      <w:r w:rsidRPr="004F5FB4">
        <w:rPr>
          <w:color w:val="000000"/>
        </w:rPr>
        <w:t>(1,3; 7,6) pro 1.000 Patientenjahre bei Kontrollpatienten. Bei diesen Hauttumoren traten Plattenepithelkarzinome mit einer Rate (95 % Konfidenzintervall) von 2,7</w:t>
      </w:r>
      <w:r w:rsidR="00FE614B" w:rsidRPr="004F5FB4">
        <w:rPr>
          <w:color w:val="000000"/>
        </w:rPr>
        <w:t> </w:t>
      </w:r>
      <w:r w:rsidRPr="004F5FB4">
        <w:rPr>
          <w:color w:val="000000"/>
        </w:rPr>
        <w:t>(1,4; 5,4) pro 1.000 Patientenjahre bei mit Adalimumab behandelten Patienten auf und 0,6</w:t>
      </w:r>
      <w:r w:rsidR="00FE614B" w:rsidRPr="004F5FB4">
        <w:rPr>
          <w:color w:val="000000"/>
        </w:rPr>
        <w:t> </w:t>
      </w:r>
      <w:r w:rsidRPr="004F5FB4">
        <w:rPr>
          <w:color w:val="000000"/>
        </w:rPr>
        <w:t>(0,1; 4,5) pro 1.000 Patientenjahre bei Kontrollpatienten. Die Rate (95 % Konfidenzintervall) für Lymphome betrug 0,7</w:t>
      </w:r>
      <w:r w:rsidR="00FE614B" w:rsidRPr="004F5FB4">
        <w:rPr>
          <w:color w:val="000000"/>
        </w:rPr>
        <w:t> </w:t>
      </w:r>
      <w:r w:rsidRPr="004F5FB4">
        <w:rPr>
          <w:color w:val="000000"/>
        </w:rPr>
        <w:t>(0,2; 2,7) pro 1.000 Patientenjahre bei mit Adalimumab behandelten Patienten und 0,6</w:t>
      </w:r>
      <w:r w:rsidR="00FE614B" w:rsidRPr="004F5FB4">
        <w:rPr>
          <w:color w:val="000000"/>
        </w:rPr>
        <w:t> </w:t>
      </w:r>
      <w:r w:rsidRPr="004F5FB4">
        <w:rPr>
          <w:color w:val="000000"/>
        </w:rPr>
        <w:t>(0,1; 4,5) pro 1.000 Patientenjahre bei Kontrollpatienten.</w:t>
      </w:r>
    </w:p>
    <w:p w14:paraId="6D8E67F8" w14:textId="77777777" w:rsidR="00C46587" w:rsidRPr="004F5FB4" w:rsidRDefault="00C46587" w:rsidP="00982118">
      <w:pPr>
        <w:rPr>
          <w:color w:val="000000"/>
        </w:rPr>
      </w:pPr>
    </w:p>
    <w:p w14:paraId="0B378172" w14:textId="77777777" w:rsidR="00003526" w:rsidRPr="004F5FB4" w:rsidRDefault="00003526" w:rsidP="00003526">
      <w:pPr>
        <w:pStyle w:val="BodyText"/>
        <w:widowControl/>
        <w:kinsoku w:val="0"/>
        <w:overflowPunct w:val="0"/>
        <w:ind w:left="0"/>
        <w:rPr>
          <w:color w:val="000000"/>
        </w:rPr>
      </w:pPr>
      <w:r w:rsidRPr="004F5FB4">
        <w:rPr>
          <w:color w:val="000000"/>
        </w:rPr>
        <w:t>Fasst man die kontrollierten Phasen dieser Studien und die noch andauernden und abgeschlossenen offenen Fortsetzungsstudien mit einer medianen Therapiedauer von annähernd 3,3 Jahren, 6.427 eingeschlossenen Patienten und über 26.439 Patientenjahren zusammen, beträgt die beobachtete Rate maligner Erkrankungen, die keine Lymphome oder nicht melanomartige Hauttumoren waren, ungefähr 8,5 pro 1.000 Patientenjahre. Die beobachtete Rate nicht melanomartiger Hauttumoren beträgt annähernd 9,6 pro 1.000 Patientenjahre, und die beobachtete Rate für Lymphome beträgt annähernd 1,3 pro 1.000 Patientenjahre.</w:t>
      </w:r>
    </w:p>
    <w:p w14:paraId="6B6D98B3" w14:textId="77777777" w:rsidR="00003526" w:rsidRPr="004F5FB4" w:rsidRDefault="00003526" w:rsidP="00003526">
      <w:pPr>
        <w:pStyle w:val="BodyText"/>
        <w:widowControl/>
        <w:kinsoku w:val="0"/>
        <w:overflowPunct w:val="0"/>
        <w:ind w:left="0"/>
        <w:rPr>
          <w:color w:val="000000"/>
        </w:rPr>
      </w:pPr>
    </w:p>
    <w:p w14:paraId="66880442" w14:textId="09A12CBB" w:rsidR="00003526" w:rsidRPr="004F5FB4" w:rsidRDefault="00003526" w:rsidP="00003526">
      <w:pPr>
        <w:pStyle w:val="BodyText"/>
        <w:widowControl/>
        <w:kinsoku w:val="0"/>
        <w:overflowPunct w:val="0"/>
        <w:ind w:left="0"/>
        <w:rPr>
          <w:color w:val="000000"/>
        </w:rPr>
      </w:pPr>
      <w:r w:rsidRPr="004F5FB4">
        <w:rPr>
          <w:color w:val="000000"/>
        </w:rPr>
        <w:t xml:space="preserve">In der Zeit nach Markteinführung seit Januar 2003 bis Dezember 2010, vorwiegend aus Erfahrungen bei Patienten mit rheumatoider Arthritis, beträgt die </w:t>
      </w:r>
      <w:r w:rsidR="00BD505C">
        <w:rPr>
          <w:color w:val="000000"/>
        </w:rPr>
        <w:t xml:space="preserve">spontan </w:t>
      </w:r>
      <w:r w:rsidRPr="004F5FB4">
        <w:rPr>
          <w:color w:val="000000"/>
        </w:rPr>
        <w:t xml:space="preserve">gemeldete Rate maligner Erkrankungen annähernd 2,7 pro 1.000 Patientenjahre mit Behandlung. Für nicht melanomartige Hauttumoren und für Lymphome wurden </w:t>
      </w:r>
      <w:r w:rsidR="00BD505C">
        <w:rPr>
          <w:color w:val="000000"/>
        </w:rPr>
        <w:t xml:space="preserve">spontan </w:t>
      </w:r>
      <w:r w:rsidRPr="004F5FB4">
        <w:rPr>
          <w:color w:val="000000"/>
        </w:rPr>
        <w:t>Raten von annähernd 0,2 bzw. 0,3 pro 1.000 Patientenjahre mit Behandlung gemeldet (siehe Abschnitt 4.4).</w:t>
      </w:r>
    </w:p>
    <w:p w14:paraId="0B185449" w14:textId="77777777" w:rsidR="00003526" w:rsidRPr="004F5FB4" w:rsidRDefault="00003526" w:rsidP="00003526">
      <w:pPr>
        <w:pStyle w:val="BodyText"/>
        <w:widowControl/>
        <w:kinsoku w:val="0"/>
        <w:overflowPunct w:val="0"/>
        <w:ind w:left="0"/>
        <w:rPr>
          <w:color w:val="000000"/>
        </w:rPr>
      </w:pPr>
    </w:p>
    <w:p w14:paraId="3F66351C" w14:textId="77777777" w:rsidR="00003526" w:rsidRPr="004F5FB4" w:rsidRDefault="00003526" w:rsidP="00003526">
      <w:pPr>
        <w:pStyle w:val="BodyText"/>
        <w:widowControl/>
        <w:kinsoku w:val="0"/>
        <w:overflowPunct w:val="0"/>
        <w:ind w:left="0" w:hanging="1"/>
        <w:rPr>
          <w:color w:val="000000"/>
        </w:rPr>
      </w:pPr>
      <w:r w:rsidRPr="004F5FB4">
        <w:rPr>
          <w:color w:val="000000"/>
        </w:rPr>
        <w:t>Nach Markteinführung wurden bei Patienten, die mit Adalimumab behandelt wurden, seltene Fälle von hepatosplenalen T-Zell-Lymphomen berichtet (siehe Abschnitt 4.4).</w:t>
      </w:r>
    </w:p>
    <w:p w14:paraId="4F103CAD" w14:textId="77777777" w:rsidR="00C46587" w:rsidRPr="004F5FB4" w:rsidRDefault="00C46587" w:rsidP="00982118">
      <w:pPr>
        <w:rPr>
          <w:color w:val="000000"/>
        </w:rPr>
      </w:pPr>
    </w:p>
    <w:p w14:paraId="3CF499F5" w14:textId="77777777" w:rsidR="00C46587" w:rsidRPr="004F5FB4" w:rsidRDefault="00C46587" w:rsidP="00DC3A99">
      <w:pPr>
        <w:keepNext/>
        <w:rPr>
          <w:i/>
          <w:color w:val="000000"/>
        </w:rPr>
      </w:pPr>
      <w:r w:rsidRPr="004F5FB4">
        <w:rPr>
          <w:i/>
          <w:color w:val="000000"/>
        </w:rPr>
        <w:t>Autoantikörper</w:t>
      </w:r>
    </w:p>
    <w:p w14:paraId="0EC30F11" w14:textId="77777777" w:rsidR="00C46587" w:rsidRPr="004F5FB4" w:rsidRDefault="00C46587" w:rsidP="00DC3A99">
      <w:pPr>
        <w:keepNext/>
        <w:rPr>
          <w:color w:val="000000"/>
        </w:rPr>
      </w:pPr>
    </w:p>
    <w:p w14:paraId="6C25C874" w14:textId="77777777" w:rsidR="00C46587" w:rsidRPr="004F5FB4" w:rsidRDefault="00C46587" w:rsidP="00982118">
      <w:pPr>
        <w:rPr>
          <w:color w:val="000000"/>
        </w:rPr>
      </w:pPr>
      <w:r w:rsidRPr="004F5FB4">
        <w:rPr>
          <w:color w:val="000000"/>
        </w:rPr>
        <w:t>In den Studien</w:t>
      </w:r>
      <w:r w:rsidR="006C10EE" w:rsidRPr="004F5FB4">
        <w:rPr>
          <w:color w:val="000000"/>
        </w:rPr>
        <w:t> </w:t>
      </w:r>
      <w:r w:rsidRPr="004F5FB4">
        <w:rPr>
          <w:color w:val="000000"/>
        </w:rPr>
        <w:t>I – V bei rheumatoider Arthritis wurden zu mehreren Zeitpunkten Serumproben von Patienten auf Autoantikörper untersucht. Von denjenigen Patienten, die in diesen Studien bei Behandlungsbeginn negative Titer für antinukleäre Antikörper hatten, wiesen 11,9 % der mit Adalimumab behandelten Patienten und 8,1 % der Patienten unter Placebo und aktiver Kontrolle in Woche 24 positive Titer auf. Zwei von 3.441 mit Adalimumab behandelte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0087FCB6" w14:textId="77777777" w:rsidR="00C46587" w:rsidRPr="004F5FB4" w:rsidRDefault="00C46587" w:rsidP="00982118">
      <w:pPr>
        <w:rPr>
          <w:color w:val="000000"/>
        </w:rPr>
      </w:pPr>
    </w:p>
    <w:p w14:paraId="7BF67B40" w14:textId="77777777" w:rsidR="00C46587" w:rsidRPr="004F5FB4" w:rsidRDefault="00C46587" w:rsidP="00982118">
      <w:pPr>
        <w:keepNext/>
        <w:rPr>
          <w:i/>
          <w:color w:val="000000"/>
        </w:rPr>
      </w:pPr>
      <w:r w:rsidRPr="004F5FB4">
        <w:rPr>
          <w:i/>
          <w:color w:val="000000"/>
        </w:rPr>
        <w:t>Hepatobiliäre Ereignisse</w:t>
      </w:r>
    </w:p>
    <w:p w14:paraId="39E33BBD" w14:textId="77777777" w:rsidR="00C46587" w:rsidRPr="004F5FB4" w:rsidRDefault="00C46587" w:rsidP="00982118">
      <w:pPr>
        <w:keepNext/>
        <w:rPr>
          <w:color w:val="000000"/>
        </w:rPr>
      </w:pPr>
    </w:p>
    <w:p w14:paraId="5D779FD8" w14:textId="77777777" w:rsidR="00DF1E6B" w:rsidRPr="004F5FB4" w:rsidRDefault="00DF1E6B" w:rsidP="00DF1E6B">
      <w:pPr>
        <w:pStyle w:val="BodyText"/>
        <w:widowControl/>
        <w:kinsoku w:val="0"/>
        <w:overflowPunct w:val="0"/>
        <w:ind w:left="0"/>
        <w:rPr>
          <w:color w:val="000000"/>
        </w:rPr>
      </w:pPr>
      <w:r w:rsidRPr="004F5FB4">
        <w:rPr>
          <w:color w:val="000000"/>
        </w:rPr>
        <w:t>In den kontrollierten klinischen Phase-III-Studien zu Adalimumab bei Patienten mit rheumatoider Arthritis bzw. Psoriasis-Arthritis ergaben sich in einem Überwachungszeitraum von 4 bis 104 Wochen Erhöhungen der ALT-Werte um ≥ 3 x ULN (oberer Normbereich) bei 3,7 % der mit Adalimumab behandelten Patienten und bei 1,6 % der Patienten der Kontrollgruppe.</w:t>
      </w:r>
    </w:p>
    <w:p w14:paraId="513C07AC" w14:textId="77777777" w:rsidR="00DF1E6B" w:rsidRPr="004F5FB4" w:rsidRDefault="00DF1E6B" w:rsidP="00DF1E6B">
      <w:pPr>
        <w:pStyle w:val="BodyText"/>
        <w:widowControl/>
        <w:kinsoku w:val="0"/>
        <w:overflowPunct w:val="0"/>
        <w:ind w:left="0"/>
        <w:rPr>
          <w:color w:val="000000"/>
          <w:szCs w:val="21"/>
        </w:rPr>
      </w:pPr>
    </w:p>
    <w:p w14:paraId="06FF2209" w14:textId="77777777" w:rsidR="00DF1E6B" w:rsidRPr="004F5FB4" w:rsidRDefault="00DF1E6B" w:rsidP="00DF1E6B">
      <w:pPr>
        <w:pStyle w:val="BodyText"/>
        <w:widowControl/>
        <w:kinsoku w:val="0"/>
        <w:overflowPunct w:val="0"/>
        <w:ind w:left="0"/>
        <w:rPr>
          <w:color w:val="000000"/>
        </w:rPr>
      </w:pPr>
      <w:r w:rsidRPr="004F5FB4">
        <w:rPr>
          <w:color w:val="000000"/>
        </w:rPr>
        <w:t>In den kontrollierten klinischen Phase-III-Studien zu Adalimumab ergaben sich bei Patienten mit polyartikulärer juveniler idiopathischer Arthritis, die zwischen 4 und 17 Jahren alt waren, und bei Patienten mit Enthesitis-assoziierter Arthritis, die zwischen 6 und 17 Jahren alt waren, Erhöhungen der ALT-Werte um ≥ 3 x ULN bei 6,1 % der mit Adalimumab behandelten Patienten und bei 1,3 % der Patienten der Kontrollgruppe. Die meisten ALT-Erhöhungen traten bei gleichzeitiger Anwendung von Methotrexat auf. In der Phase-III-Studie zu Adalimumab kamen keine ALT-Erhöhungen ≥ 3 x ULN bei Patienten mit polyartikulärer juveniler idiopathischer Arthritis vor, die zwischen 2 und &lt; 4 Jahre alt waren.</w:t>
      </w:r>
    </w:p>
    <w:p w14:paraId="04C970DD" w14:textId="77777777" w:rsidR="00DF1E6B" w:rsidRPr="004F5FB4" w:rsidRDefault="00DF1E6B" w:rsidP="00DF1E6B">
      <w:pPr>
        <w:pStyle w:val="BodyText"/>
        <w:widowControl/>
        <w:kinsoku w:val="0"/>
        <w:overflowPunct w:val="0"/>
        <w:ind w:left="0"/>
        <w:rPr>
          <w:color w:val="000000"/>
        </w:rPr>
      </w:pPr>
    </w:p>
    <w:p w14:paraId="3EFB8D9A" w14:textId="77777777" w:rsidR="00DF1E6B" w:rsidRPr="004F5FB4" w:rsidRDefault="00DF1E6B" w:rsidP="00DF1E6B">
      <w:pPr>
        <w:pStyle w:val="BodyText"/>
        <w:widowControl/>
        <w:kinsoku w:val="0"/>
        <w:overflowPunct w:val="0"/>
        <w:ind w:left="0"/>
        <w:rPr>
          <w:color w:val="000000"/>
        </w:rPr>
      </w:pPr>
      <w:r w:rsidRPr="004F5FB4">
        <w:rPr>
          <w:color w:val="000000"/>
        </w:rPr>
        <w:lastRenderedPageBreak/>
        <w:t>In den kontrollierten klinischen Phase-III-Studien zu Adalimumab bei Patienten mit Morbus Crohn bzw. Colitis ulcerosa ergaben sich in einem Überwachungszeitraum von 4 bis 52 Wochen Erhöhungen der ALT-Werte um ≥ 3 x ULN bei 0,9 % der mit Adalimumab behandelten Patienten und bei 0,9 % der Patienten der Kontrollgruppe.</w:t>
      </w:r>
    </w:p>
    <w:p w14:paraId="53741314" w14:textId="77777777" w:rsidR="00DF1E6B" w:rsidRPr="004F5FB4" w:rsidRDefault="00DF1E6B" w:rsidP="00DF1E6B">
      <w:pPr>
        <w:pStyle w:val="BodyText"/>
        <w:widowControl/>
        <w:kinsoku w:val="0"/>
        <w:overflowPunct w:val="0"/>
        <w:ind w:left="0"/>
        <w:rPr>
          <w:color w:val="000000"/>
        </w:rPr>
      </w:pPr>
    </w:p>
    <w:p w14:paraId="270CC0B5" w14:textId="77777777" w:rsidR="00DF1E6B" w:rsidRPr="004F5FB4" w:rsidRDefault="00DF1E6B" w:rsidP="00DF1E6B">
      <w:pPr>
        <w:pStyle w:val="BodyText"/>
        <w:widowControl/>
        <w:kinsoku w:val="0"/>
        <w:overflowPunct w:val="0"/>
        <w:ind w:left="0"/>
        <w:rPr>
          <w:color w:val="000000"/>
        </w:rPr>
      </w:pPr>
      <w:r w:rsidRPr="004F5FB4">
        <w:rPr>
          <w:color w:val="000000"/>
        </w:rPr>
        <w:t>In der klinischen Phase-III-Studie zu Adalimumab bei Kindern und Jugendlichen mit Morbus Crohn wurden Wirksamkeit und Sicherheit von zwei körpergewichtsadaptierten remissionserhaltenden Therapien nach erfolgter körpergewichtsadaptierter Induktionstherapie über 52 Behandlungswochen untersucht. Es ergaben sich Erhöhungen der ALT-Werte ≥ 3 x ULN bei 2,6 % (5 von 192) der Patienten. 4 der Patienten erhielten zu Therapiebeginn begleitend Immunsuppressiva.</w:t>
      </w:r>
    </w:p>
    <w:p w14:paraId="2F499C72" w14:textId="77777777" w:rsidR="00DF1E6B" w:rsidRPr="004F5FB4" w:rsidRDefault="00DF1E6B" w:rsidP="00DF1E6B">
      <w:pPr>
        <w:pStyle w:val="BodyText"/>
        <w:widowControl/>
        <w:kinsoku w:val="0"/>
        <w:overflowPunct w:val="0"/>
        <w:ind w:left="0"/>
        <w:rPr>
          <w:color w:val="000000"/>
          <w:szCs w:val="21"/>
        </w:rPr>
      </w:pPr>
    </w:p>
    <w:p w14:paraId="3603A033" w14:textId="77777777" w:rsidR="00DF1E6B" w:rsidRPr="004F5FB4" w:rsidRDefault="00DF1E6B" w:rsidP="00DF1E6B">
      <w:pPr>
        <w:pStyle w:val="BodyText"/>
        <w:widowControl/>
        <w:kinsoku w:val="0"/>
        <w:overflowPunct w:val="0"/>
        <w:ind w:left="0"/>
        <w:rPr>
          <w:color w:val="000000"/>
        </w:rPr>
      </w:pPr>
      <w:r w:rsidRPr="004F5FB4">
        <w:rPr>
          <w:color w:val="000000"/>
        </w:rPr>
        <w:t>In den kontrollierten klinischen Phase-III-Studien zu Adalimumab bei Patienten mit Plaque-Psoriasis ergaben sich in einem Überwachungszeitraum von 12 bis 24 Wochen Erhöhungen der ALT-Werte um ≥ 3 x ULN bei 1,8 % der mit Adalimumab behandelten Patienten und bei 1,8 % der Patienten der Kontrollgruppe.</w:t>
      </w:r>
    </w:p>
    <w:p w14:paraId="442595C0" w14:textId="77777777" w:rsidR="00DF1E6B" w:rsidRPr="004F5FB4" w:rsidRDefault="00DF1E6B" w:rsidP="00DF1E6B">
      <w:pPr>
        <w:pStyle w:val="BodyText"/>
        <w:widowControl/>
        <w:kinsoku w:val="0"/>
        <w:overflowPunct w:val="0"/>
        <w:ind w:left="0"/>
        <w:rPr>
          <w:color w:val="000000"/>
          <w:szCs w:val="21"/>
        </w:rPr>
      </w:pPr>
    </w:p>
    <w:p w14:paraId="70EEBCB1" w14:textId="77777777" w:rsidR="00DF1E6B" w:rsidRPr="004F5FB4" w:rsidRDefault="00DF1E6B" w:rsidP="00DF1E6B">
      <w:pPr>
        <w:pStyle w:val="BodyText"/>
        <w:widowControl/>
        <w:kinsoku w:val="0"/>
        <w:overflowPunct w:val="0"/>
        <w:ind w:left="0"/>
        <w:rPr>
          <w:color w:val="000000"/>
        </w:rPr>
      </w:pPr>
      <w:r w:rsidRPr="004F5FB4">
        <w:rPr>
          <w:color w:val="000000"/>
        </w:rPr>
        <w:t xml:space="preserve">In der Phase-III-Studie zu Adalimumab bei </w:t>
      </w:r>
      <w:r w:rsidR="003612F5" w:rsidRPr="004F5FB4">
        <w:rPr>
          <w:color w:val="000000"/>
        </w:rPr>
        <w:t xml:space="preserve">Kindern und Jugendlichen </w:t>
      </w:r>
      <w:r w:rsidRPr="004F5FB4">
        <w:rPr>
          <w:color w:val="000000"/>
        </w:rPr>
        <w:t>mit Plaque-Psoriasis kam es zu keinen ALT-Erhöhungen ≥ 3x ULN.</w:t>
      </w:r>
    </w:p>
    <w:p w14:paraId="11C9B941" w14:textId="77777777" w:rsidR="00DF1E6B" w:rsidRPr="004F5FB4" w:rsidRDefault="00DF1E6B" w:rsidP="00DF1E6B">
      <w:pPr>
        <w:pStyle w:val="BodyText"/>
        <w:widowControl/>
        <w:kinsoku w:val="0"/>
        <w:overflowPunct w:val="0"/>
        <w:ind w:left="0"/>
        <w:rPr>
          <w:color w:val="000000"/>
        </w:rPr>
      </w:pPr>
    </w:p>
    <w:p w14:paraId="02D4BC46" w14:textId="77777777" w:rsidR="00DF1E6B" w:rsidRPr="004F5FB4" w:rsidRDefault="00DF1E6B" w:rsidP="00DF1E6B">
      <w:pPr>
        <w:pStyle w:val="BodyText"/>
        <w:widowControl/>
        <w:kinsoku w:val="0"/>
        <w:overflowPunct w:val="0"/>
        <w:ind w:left="0"/>
        <w:rPr>
          <w:color w:val="000000"/>
        </w:rPr>
      </w:pPr>
      <w:r w:rsidRPr="004F5FB4">
        <w:rPr>
          <w:color w:val="000000"/>
        </w:rPr>
        <w:t>In kontrollierten Studien zu Adalimumab (Anfangsdosen von 80 mg in Woche 0, gefolgt von 40 mg alle zwei Wochen ab Woche 1) bei erwachsenen Patienten mit Uveitis ergaben sich in einem Überwachungszeitraum von bis zu 80 Wochen mit einer Behandlungszeit im Median von 166,5 Tagen bei den mit Adalimumab behandelten Patienten bzw. 105,0 Tagen bei den Patienten der Kontrollgruppe ALT-Erhöhungen um ≥ 3 x ULN bei 2,4 % der mit Adalimumab behandelten Patienten und bei 2,4 % der Kontrollgruppe.</w:t>
      </w:r>
    </w:p>
    <w:p w14:paraId="36476BBF" w14:textId="77777777" w:rsidR="00DF1E6B" w:rsidRDefault="00DF1E6B" w:rsidP="00DF1E6B">
      <w:pPr>
        <w:pStyle w:val="BodyText"/>
        <w:widowControl/>
        <w:kinsoku w:val="0"/>
        <w:overflowPunct w:val="0"/>
        <w:ind w:left="0"/>
        <w:rPr>
          <w:color w:val="000000"/>
        </w:rPr>
      </w:pPr>
    </w:p>
    <w:p w14:paraId="6CFD5F92" w14:textId="77777777" w:rsidR="00EF1093" w:rsidRPr="00EF1093" w:rsidRDefault="00EF1093" w:rsidP="008419B6">
      <w:pPr>
        <w:widowControl w:val="0"/>
        <w:kinsoku w:val="0"/>
        <w:overflowPunct w:val="0"/>
        <w:rPr>
          <w:color w:val="000000"/>
        </w:rPr>
      </w:pPr>
      <w:r w:rsidRPr="00EF1093">
        <w:rPr>
          <w:color w:val="000000"/>
        </w:rPr>
        <w:t>In der kontrollierten Phase-III-Studie zu Adalimumab bei Kindern und Jugendlichen mit Colitis ulcerosa (n = 93) wurden Wirksamkeit und Sicherheit einer Erhaltungsdosis von 0,6 mg/kg (maximal 40 mg) jede zweite Woche (n = 31) und einer Erhaltungsdosis von 0,6 mg/kg (maximal 40 mg) wöchentlich (n = 32) nach Verabreichung einer körpergewichtsadaptierten Induktionsdosis von 2,4 mg/kg (maximal 160 mg) in Woche 0 und Woche 1 und 1,2 mg/kg (maximal 80 mg) in Woche 2 (n = 63) bzw. 2,4 mg/kg (maximal 160 mg) in Woche 0, Placebo in Woche 1 und 1,2 mg/kg (maximal 80 mg) in Woche 2 (n = 30) untersucht. Es ergaben</w:t>
      </w:r>
      <w:r w:rsidR="00931089">
        <w:rPr>
          <w:color w:val="000000"/>
        </w:rPr>
        <w:t xml:space="preserve"> sich</w:t>
      </w:r>
      <w:r w:rsidRPr="00EF1093">
        <w:rPr>
          <w:color w:val="000000"/>
        </w:rPr>
        <w:t xml:space="preserve"> </w:t>
      </w:r>
      <w:r w:rsidR="00C20DA3">
        <w:rPr>
          <w:color w:val="000000"/>
        </w:rPr>
        <w:t xml:space="preserve">Erhöhungen der </w:t>
      </w:r>
      <w:r w:rsidR="00931089">
        <w:rPr>
          <w:color w:val="000000"/>
        </w:rPr>
        <w:t>ALT-</w:t>
      </w:r>
      <w:r w:rsidR="00C20DA3">
        <w:rPr>
          <w:color w:val="000000"/>
        </w:rPr>
        <w:t>Werte um</w:t>
      </w:r>
      <w:r w:rsidR="00931089">
        <w:rPr>
          <w:color w:val="000000"/>
        </w:rPr>
        <w:t> </w:t>
      </w:r>
      <w:r w:rsidRPr="00EF1093">
        <w:rPr>
          <w:color w:val="000000"/>
        </w:rPr>
        <w:t>≥ 3 x ULN bei 1,1 % (1 von 93) der Patienten.</w:t>
      </w:r>
    </w:p>
    <w:p w14:paraId="4F484512" w14:textId="77777777" w:rsidR="00EF1093" w:rsidRPr="004F5FB4" w:rsidRDefault="00EF1093" w:rsidP="00DF1E6B">
      <w:pPr>
        <w:pStyle w:val="BodyText"/>
        <w:widowControl/>
        <w:kinsoku w:val="0"/>
        <w:overflowPunct w:val="0"/>
        <w:ind w:left="0"/>
        <w:rPr>
          <w:color w:val="000000"/>
        </w:rPr>
      </w:pPr>
    </w:p>
    <w:p w14:paraId="228EA612" w14:textId="77777777" w:rsidR="00DF1E6B" w:rsidRPr="004F5FB4" w:rsidRDefault="00DF1E6B" w:rsidP="00DF1E6B">
      <w:pPr>
        <w:pStyle w:val="BodyText"/>
        <w:widowControl/>
        <w:kinsoku w:val="0"/>
        <w:overflowPunct w:val="0"/>
        <w:ind w:left="0"/>
        <w:rPr>
          <w:color w:val="000000"/>
        </w:rPr>
      </w:pPr>
      <w:r w:rsidRPr="004F5FB4">
        <w:rPr>
          <w:color w:val="000000"/>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5585D4E8" w14:textId="77777777" w:rsidR="00C46587" w:rsidRPr="004F5FB4" w:rsidRDefault="00C46587" w:rsidP="00982118">
      <w:pPr>
        <w:rPr>
          <w:color w:val="000000"/>
        </w:rPr>
      </w:pPr>
    </w:p>
    <w:p w14:paraId="0A45B65B" w14:textId="77777777" w:rsidR="00C46587" w:rsidRPr="004F5FB4" w:rsidRDefault="00C46587" w:rsidP="00DC3A99">
      <w:pPr>
        <w:keepNext/>
        <w:rPr>
          <w:color w:val="000000"/>
          <w:u w:val="single"/>
        </w:rPr>
      </w:pPr>
      <w:r w:rsidRPr="004F5FB4">
        <w:rPr>
          <w:color w:val="000000"/>
          <w:u w:val="single"/>
        </w:rPr>
        <w:t>Kombinationstherapie mit Azathioprin/</w:t>
      </w:r>
      <w:r w:rsidR="00FE614B" w:rsidRPr="004F5FB4">
        <w:rPr>
          <w:color w:val="000000"/>
          <w:u w:val="single"/>
        </w:rPr>
        <w:t xml:space="preserve"> </w:t>
      </w:r>
      <w:r w:rsidRPr="004F5FB4">
        <w:rPr>
          <w:color w:val="000000"/>
          <w:u w:val="single"/>
        </w:rPr>
        <w:t>6-Mercaptopurin</w:t>
      </w:r>
    </w:p>
    <w:p w14:paraId="2F716E04" w14:textId="77777777" w:rsidR="00C46587" w:rsidRPr="004F5FB4" w:rsidRDefault="00C46587" w:rsidP="00DC3A99">
      <w:pPr>
        <w:keepNext/>
        <w:rPr>
          <w:color w:val="000000"/>
        </w:rPr>
      </w:pPr>
    </w:p>
    <w:p w14:paraId="2D9668B2" w14:textId="77777777" w:rsidR="00C46587" w:rsidRPr="004F5FB4" w:rsidRDefault="00C46587" w:rsidP="00982118">
      <w:pPr>
        <w:rPr>
          <w:color w:val="000000"/>
        </w:rPr>
      </w:pPr>
      <w:r w:rsidRPr="004F5FB4">
        <w:rPr>
          <w:color w:val="000000"/>
        </w:rPr>
        <w:t>In den Studien mit erwachsenen Morbus-Crohn-Patienten war bei Kombination von Adalimumab mit Azathioprin/</w:t>
      </w:r>
      <w:r w:rsidR="00FE614B" w:rsidRPr="004F5FB4">
        <w:rPr>
          <w:color w:val="000000"/>
        </w:rPr>
        <w:t xml:space="preserve"> </w:t>
      </w:r>
      <w:r w:rsidRPr="004F5FB4">
        <w:rPr>
          <w:color w:val="000000"/>
        </w:rPr>
        <w:t>6</w:t>
      </w:r>
      <w:r w:rsidRPr="004F5FB4">
        <w:rPr>
          <w:color w:val="000000"/>
        </w:rPr>
        <w:noBreakHyphen/>
        <w:t>Mercaptopurin die Inzidenz maligner und schwerwiegender infektiöser Nebenwirkungen im Vergleich zur Adalimumab-Monotherapie höher.</w:t>
      </w:r>
    </w:p>
    <w:p w14:paraId="7E3B34F3" w14:textId="77777777" w:rsidR="00C46587" w:rsidRPr="004F5FB4" w:rsidRDefault="00C46587" w:rsidP="00982118">
      <w:pPr>
        <w:rPr>
          <w:color w:val="000000"/>
        </w:rPr>
      </w:pPr>
    </w:p>
    <w:p w14:paraId="406B48A3" w14:textId="77777777" w:rsidR="00C46587" w:rsidRPr="004F5FB4" w:rsidRDefault="00C46587" w:rsidP="00982118">
      <w:pPr>
        <w:keepNext/>
        <w:rPr>
          <w:color w:val="000000"/>
        </w:rPr>
      </w:pPr>
      <w:r w:rsidRPr="004F5FB4">
        <w:rPr>
          <w:color w:val="000000"/>
          <w:u w:val="single"/>
        </w:rPr>
        <w:t>Meldung des Verdachts auf Nebenwirkungen</w:t>
      </w:r>
    </w:p>
    <w:p w14:paraId="6ECE6084" w14:textId="19CF3AB6" w:rsidR="00C46587" w:rsidRPr="004F5FB4" w:rsidRDefault="00C46587" w:rsidP="00982118">
      <w:pPr>
        <w:rPr>
          <w:color w:val="000000"/>
        </w:rPr>
      </w:pPr>
      <w:r w:rsidRPr="004F5FB4">
        <w:rPr>
          <w:color w:val="000000"/>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A242C3">
        <w:rPr>
          <w:color w:val="000000"/>
          <w:highlight w:val="lightGray"/>
        </w:rPr>
        <w:t xml:space="preserve">das in </w:t>
      </w:r>
      <w:r w:rsidR="00D44E36">
        <w:fldChar w:fldCharType="begin"/>
      </w:r>
      <w:r w:rsidR="00D44E36">
        <w:instrText>HYPERLINK "https://www.ema.europa.eu/documents/template-form/qrd-appendix-v-adverse-drug-reaction-reporting-details_en.docx"</w:instrText>
      </w:r>
      <w:r w:rsidR="00D44E36">
        <w:fldChar w:fldCharType="separate"/>
      </w:r>
      <w:r w:rsidR="00D44E36" w:rsidRPr="00A242C3">
        <w:rPr>
          <w:rStyle w:val="Hyperlink"/>
          <w:highlight w:val="lightGray"/>
        </w:rPr>
        <w:t>Appendix V</w:t>
      </w:r>
      <w:r w:rsidR="00D44E36">
        <w:fldChar w:fldCharType="end"/>
      </w:r>
      <w:r w:rsidR="00D44E36" w:rsidRPr="00A242C3">
        <w:rPr>
          <w:color w:val="000000" w:themeColor="text1"/>
          <w:highlight w:val="lightGray"/>
        </w:rPr>
        <w:t xml:space="preserve"> </w:t>
      </w:r>
      <w:r w:rsidRPr="00A242C3">
        <w:rPr>
          <w:color w:val="000000"/>
          <w:highlight w:val="lightGray"/>
        </w:rPr>
        <w:t>aufgeführte nationale Meldesystem</w:t>
      </w:r>
      <w:r w:rsidRPr="004F5FB4">
        <w:rPr>
          <w:color w:val="000000"/>
        </w:rPr>
        <w:t xml:space="preserve"> anzuzeigen.</w:t>
      </w:r>
    </w:p>
    <w:p w14:paraId="7E5996D8" w14:textId="77777777" w:rsidR="00C46587" w:rsidRPr="004F5FB4" w:rsidRDefault="00C46587" w:rsidP="00982118">
      <w:pPr>
        <w:rPr>
          <w:color w:val="000000"/>
        </w:rPr>
      </w:pPr>
    </w:p>
    <w:p w14:paraId="4DFCD614" w14:textId="77777777" w:rsidR="00C46587" w:rsidRPr="004F5FB4" w:rsidRDefault="00C46587" w:rsidP="00DC3A99">
      <w:pPr>
        <w:keepNext/>
        <w:tabs>
          <w:tab w:val="left" w:pos="562"/>
        </w:tabs>
        <w:rPr>
          <w:b/>
          <w:color w:val="000000"/>
        </w:rPr>
      </w:pPr>
      <w:r w:rsidRPr="004F5FB4">
        <w:rPr>
          <w:b/>
          <w:color w:val="000000"/>
        </w:rPr>
        <w:lastRenderedPageBreak/>
        <w:t>4.9</w:t>
      </w:r>
      <w:r w:rsidRPr="004F5FB4">
        <w:rPr>
          <w:b/>
          <w:color w:val="000000"/>
        </w:rPr>
        <w:tab/>
        <w:t>Überdosierung</w:t>
      </w:r>
    </w:p>
    <w:p w14:paraId="77AD8F9C" w14:textId="77777777" w:rsidR="00C46587" w:rsidRPr="004F5FB4" w:rsidRDefault="00C46587" w:rsidP="00DC3A99">
      <w:pPr>
        <w:keepNext/>
        <w:rPr>
          <w:color w:val="000000"/>
        </w:rPr>
      </w:pPr>
    </w:p>
    <w:p w14:paraId="586B4569" w14:textId="77777777" w:rsidR="00C46587" w:rsidRPr="004F5FB4" w:rsidRDefault="00C46587" w:rsidP="00982118">
      <w:pPr>
        <w:rPr>
          <w:color w:val="000000"/>
        </w:rPr>
      </w:pPr>
      <w:r w:rsidRPr="004F5FB4">
        <w:rPr>
          <w:color w:val="000000"/>
        </w:rPr>
        <w:t xml:space="preserve">Während der klinischen Studien wurde keine dosisbegrenzende Toxizität beobachtet. Die höchste untersuchte Dosierung lag bei intravenösen Mehrfachdosen von 10 mg/kg. Dies ist ungefähr 15-mal höher als die empfohlene Dosis. </w:t>
      </w:r>
    </w:p>
    <w:p w14:paraId="2652C329" w14:textId="77777777" w:rsidR="00C46587" w:rsidRPr="004F5FB4" w:rsidRDefault="00C46587" w:rsidP="00982118">
      <w:pPr>
        <w:rPr>
          <w:color w:val="000000"/>
        </w:rPr>
      </w:pPr>
    </w:p>
    <w:p w14:paraId="5015B297" w14:textId="77777777" w:rsidR="00C46587" w:rsidRPr="004F5FB4" w:rsidRDefault="00C46587" w:rsidP="00982118">
      <w:pPr>
        <w:rPr>
          <w:color w:val="000000"/>
        </w:rPr>
      </w:pPr>
    </w:p>
    <w:p w14:paraId="6B713B9F" w14:textId="77777777" w:rsidR="00C46587" w:rsidRPr="004F5FB4" w:rsidRDefault="00C46587" w:rsidP="00DC3A99">
      <w:pPr>
        <w:keepNext/>
        <w:tabs>
          <w:tab w:val="left" w:pos="562"/>
        </w:tabs>
        <w:rPr>
          <w:b/>
          <w:color w:val="000000"/>
        </w:rPr>
      </w:pPr>
      <w:r w:rsidRPr="004F5FB4">
        <w:rPr>
          <w:b/>
          <w:color w:val="000000"/>
        </w:rPr>
        <w:t>5</w:t>
      </w:r>
      <w:r w:rsidR="00E45812" w:rsidRPr="004F5FB4">
        <w:rPr>
          <w:b/>
          <w:color w:val="000000"/>
        </w:rPr>
        <w:t>.</w:t>
      </w:r>
      <w:r w:rsidRPr="004F5FB4">
        <w:rPr>
          <w:b/>
          <w:color w:val="000000"/>
        </w:rPr>
        <w:tab/>
        <w:t>PHARMAKOLOGISCHE EIGENSCHAFTEN</w:t>
      </w:r>
    </w:p>
    <w:p w14:paraId="72092AC2" w14:textId="77777777" w:rsidR="00C46587" w:rsidRPr="004F5FB4" w:rsidRDefault="00C46587" w:rsidP="00DC3A99">
      <w:pPr>
        <w:keepNext/>
        <w:rPr>
          <w:color w:val="000000"/>
        </w:rPr>
      </w:pPr>
    </w:p>
    <w:p w14:paraId="64BA592C" w14:textId="77777777" w:rsidR="00C46587" w:rsidRPr="004F5FB4" w:rsidRDefault="00C46587" w:rsidP="00DC3A99">
      <w:pPr>
        <w:keepNext/>
        <w:tabs>
          <w:tab w:val="left" w:pos="562"/>
        </w:tabs>
        <w:rPr>
          <w:b/>
          <w:color w:val="000000"/>
        </w:rPr>
      </w:pPr>
      <w:r w:rsidRPr="004F5FB4">
        <w:rPr>
          <w:b/>
          <w:color w:val="000000"/>
        </w:rPr>
        <w:t>5.1</w:t>
      </w:r>
      <w:r w:rsidR="00F17530" w:rsidRPr="004F5FB4">
        <w:rPr>
          <w:b/>
          <w:color w:val="000000"/>
        </w:rPr>
        <w:tab/>
      </w:r>
      <w:r w:rsidRPr="004F5FB4">
        <w:rPr>
          <w:b/>
          <w:color w:val="000000"/>
        </w:rPr>
        <w:t>Pharmakodynamische Eigenschaften</w:t>
      </w:r>
    </w:p>
    <w:p w14:paraId="5BFBE132" w14:textId="77777777" w:rsidR="00FA0342" w:rsidRPr="004F5FB4" w:rsidRDefault="00C46587" w:rsidP="00982118">
      <w:pPr>
        <w:rPr>
          <w:color w:val="000000"/>
        </w:rPr>
      </w:pPr>
      <w:r w:rsidRPr="004F5FB4">
        <w:rPr>
          <w:color w:val="000000"/>
        </w:rPr>
        <w:br/>
        <w:t>Pharmakotherapeutische Gruppe: Immunsuppressiva, Tumornekrosefaktor-alpha</w:t>
      </w:r>
      <w:r w:rsidR="001A6074" w:rsidRPr="004F5FB4">
        <w:rPr>
          <w:color w:val="000000"/>
        </w:rPr>
        <w:t xml:space="preserve"> </w:t>
      </w:r>
      <w:r w:rsidRPr="004F5FB4">
        <w:rPr>
          <w:color w:val="000000"/>
        </w:rPr>
        <w:t xml:space="preserve">(TNF-alpha)-Inhibitoren. </w:t>
      </w:r>
    </w:p>
    <w:p w14:paraId="68FB30CD" w14:textId="77777777" w:rsidR="00FA0342" w:rsidRPr="004F5FB4" w:rsidRDefault="00FA0342" w:rsidP="00982118">
      <w:pPr>
        <w:rPr>
          <w:color w:val="000000"/>
        </w:rPr>
      </w:pPr>
    </w:p>
    <w:p w14:paraId="078C090F" w14:textId="77777777" w:rsidR="00C46587" w:rsidRPr="004F5FB4" w:rsidRDefault="00C46587" w:rsidP="00982118">
      <w:pPr>
        <w:rPr>
          <w:color w:val="000000"/>
        </w:rPr>
      </w:pPr>
      <w:r w:rsidRPr="004F5FB4">
        <w:rPr>
          <w:color w:val="000000"/>
        </w:rPr>
        <w:t>ATC-Code: L04AB04</w:t>
      </w:r>
    </w:p>
    <w:p w14:paraId="22443D19" w14:textId="77777777" w:rsidR="009A6F3F" w:rsidRPr="004F5FB4" w:rsidRDefault="009A6F3F" w:rsidP="00982118">
      <w:pPr>
        <w:rPr>
          <w:color w:val="000000"/>
        </w:rPr>
      </w:pPr>
    </w:p>
    <w:p w14:paraId="2EE8A7D9" w14:textId="249AE02B" w:rsidR="00C46587" w:rsidRPr="004F5FB4" w:rsidRDefault="006A1144" w:rsidP="00982118">
      <w:pPr>
        <w:rPr>
          <w:color w:val="000000"/>
        </w:rPr>
      </w:pPr>
      <w:r w:rsidRPr="004F5FB4">
        <w:rPr>
          <w:color w:val="000000"/>
        </w:rPr>
        <w:t xml:space="preserve">Amsparity ist ein biologisch/ biotechnologisch hergestelltes Arzneimittel, das im Wesentlichen einem bereits zugelassenen Arzneimittel gleicht. Ausführliche Informationen sind auf den Internetseiten der Europäischen Arzneimittel-Agentur </w:t>
      </w:r>
      <w:r w:rsidR="00000C6C">
        <w:fldChar w:fldCharType="begin"/>
      </w:r>
      <w:r w:rsidR="00000C6C">
        <w:instrText>HYPERLINK "https://www.ema.europa.eu"</w:instrText>
      </w:r>
      <w:r w:rsidR="00000C6C">
        <w:fldChar w:fldCharType="separate"/>
      </w:r>
      <w:r w:rsidR="00000C6C" w:rsidRPr="00A242C3">
        <w:rPr>
          <w:rStyle w:val="Hyperlink"/>
        </w:rPr>
        <w:t>https://www.ema.europa.eu</w:t>
      </w:r>
      <w:r w:rsidR="00000C6C">
        <w:fldChar w:fldCharType="end"/>
      </w:r>
      <w:r w:rsidR="00634610">
        <w:rPr>
          <w:rStyle w:val="Hyperlink"/>
        </w:rPr>
        <w:t xml:space="preserve"> </w:t>
      </w:r>
      <w:r w:rsidRPr="004F5FB4">
        <w:rPr>
          <w:color w:val="000000"/>
        </w:rPr>
        <w:t>verfügbar.</w:t>
      </w:r>
    </w:p>
    <w:p w14:paraId="2E7BF96A" w14:textId="77777777" w:rsidR="009A6F3F" w:rsidRPr="004F5FB4" w:rsidRDefault="009A6F3F" w:rsidP="00982118">
      <w:pPr>
        <w:rPr>
          <w:color w:val="000000"/>
        </w:rPr>
      </w:pPr>
    </w:p>
    <w:p w14:paraId="651C1938" w14:textId="77777777" w:rsidR="00C46587" w:rsidRPr="004F5FB4" w:rsidRDefault="00D337DC" w:rsidP="00DC3A99">
      <w:pPr>
        <w:keepNext/>
        <w:rPr>
          <w:color w:val="000000"/>
          <w:u w:val="single"/>
        </w:rPr>
      </w:pPr>
      <w:r w:rsidRPr="004F5FB4">
        <w:rPr>
          <w:color w:val="000000"/>
          <w:u w:val="single"/>
        </w:rPr>
        <w:t>Wirkmechanismus</w:t>
      </w:r>
    </w:p>
    <w:p w14:paraId="02005EA7" w14:textId="77777777" w:rsidR="00C46587" w:rsidRPr="004F5FB4" w:rsidRDefault="00C46587" w:rsidP="00DC3A99">
      <w:pPr>
        <w:keepNext/>
        <w:rPr>
          <w:color w:val="000000"/>
        </w:rPr>
      </w:pPr>
    </w:p>
    <w:p w14:paraId="633BCFF5" w14:textId="77777777" w:rsidR="00C46587" w:rsidRPr="004F5FB4" w:rsidRDefault="00C46587" w:rsidP="00982118">
      <w:pPr>
        <w:rPr>
          <w:color w:val="000000"/>
        </w:rPr>
      </w:pPr>
      <w:r w:rsidRPr="004F5FB4">
        <w:rPr>
          <w:color w:val="000000"/>
        </w:rPr>
        <w:t xml:space="preserve">Adalimumab bindet spezifisch an TNF und neutralisiert dessen biologische Funktion, indem es die Interaktion mit den zellständigen p55- und p75-TNF-Rezeptoren blockiert. </w:t>
      </w:r>
    </w:p>
    <w:p w14:paraId="08A5D90E" w14:textId="77777777" w:rsidR="00C46587" w:rsidRPr="004F5FB4" w:rsidRDefault="00C46587" w:rsidP="00982118">
      <w:pPr>
        <w:rPr>
          <w:color w:val="000000"/>
        </w:rPr>
      </w:pPr>
    </w:p>
    <w:p w14:paraId="5D84998B" w14:textId="77777777" w:rsidR="00C46587" w:rsidRPr="004F5FB4" w:rsidRDefault="00C46587" w:rsidP="00982118">
      <w:pPr>
        <w:rPr>
          <w:color w:val="000000"/>
        </w:rPr>
      </w:pPr>
      <w:r w:rsidRPr="004F5FB4">
        <w:rPr>
          <w:color w:val="000000"/>
        </w:rPr>
        <w:t>Adalimumab beeinflusst weiterhin biologische Reaktionen, die durch TNF ausgelöst oder gesteuert werden, einschließlich der Veränderungen der Konzentrationen von für die Leukozytenmigration verantwortlichen Adhäsionsmolekülen (ELAM</w:t>
      </w:r>
      <w:r w:rsidRPr="004F5FB4">
        <w:rPr>
          <w:color w:val="000000"/>
        </w:rPr>
        <w:noBreakHyphen/>
        <w:t>1, VCAM</w:t>
      </w:r>
      <w:r w:rsidRPr="004F5FB4">
        <w:rPr>
          <w:color w:val="000000"/>
        </w:rPr>
        <w:noBreakHyphen/>
        <w:t>1 und ICAM</w:t>
      </w:r>
      <w:r w:rsidRPr="004F5FB4">
        <w:rPr>
          <w:color w:val="000000"/>
        </w:rPr>
        <w:noBreakHyphen/>
        <w:t>1 mit einer IC</w:t>
      </w:r>
      <w:r w:rsidRPr="004F5FB4">
        <w:rPr>
          <w:color w:val="000000"/>
          <w:vertAlign w:val="subscript"/>
        </w:rPr>
        <w:t>50</w:t>
      </w:r>
      <w:r w:rsidRPr="004F5FB4">
        <w:rPr>
          <w:color w:val="000000"/>
        </w:rPr>
        <w:t xml:space="preserve"> von 0,1 – 0,2 nM). </w:t>
      </w:r>
    </w:p>
    <w:p w14:paraId="430350D3" w14:textId="77777777" w:rsidR="00C46587" w:rsidRPr="004F5FB4" w:rsidRDefault="00C46587" w:rsidP="00982118">
      <w:pPr>
        <w:rPr>
          <w:color w:val="000000"/>
        </w:rPr>
      </w:pPr>
    </w:p>
    <w:p w14:paraId="714074A2" w14:textId="77777777" w:rsidR="00C46587" w:rsidRPr="004F5FB4" w:rsidRDefault="00D337DC" w:rsidP="00DC3A99">
      <w:pPr>
        <w:keepNext/>
        <w:rPr>
          <w:color w:val="000000"/>
          <w:u w:val="single"/>
        </w:rPr>
      </w:pPr>
      <w:r w:rsidRPr="004F5FB4">
        <w:rPr>
          <w:color w:val="000000"/>
          <w:u w:val="single"/>
        </w:rPr>
        <w:t>Pharmakodynamische Wirkungen</w:t>
      </w:r>
    </w:p>
    <w:p w14:paraId="50C75DB7" w14:textId="77777777" w:rsidR="00C46587" w:rsidRPr="004F5FB4" w:rsidRDefault="00C46587" w:rsidP="00DC3A99">
      <w:pPr>
        <w:keepNext/>
        <w:rPr>
          <w:color w:val="000000"/>
        </w:rPr>
      </w:pPr>
    </w:p>
    <w:p w14:paraId="0B6320DB" w14:textId="77777777" w:rsidR="00C46587" w:rsidRPr="004F5FB4" w:rsidRDefault="00C46587" w:rsidP="00982118">
      <w:pPr>
        <w:rPr>
          <w:color w:val="000000"/>
        </w:rPr>
      </w:pPr>
      <w:r w:rsidRPr="004F5FB4">
        <w:rPr>
          <w:color w:val="000000"/>
        </w:rPr>
        <w:t xml:space="preserve">Nach Behandlung mit Adalimumab wurde bei Patienten mit rheumatoider Arthritis eine im Vergleich zu den Ausgangswerten rasche Konzentrationsabnahme der Akute-Phase-Entzündungsparameter (C-reaktives Protein </w:t>
      </w:r>
      <w:r w:rsidR="0059638A" w:rsidRPr="004F5FB4">
        <w:rPr>
          <w:color w:val="000000"/>
        </w:rPr>
        <w:t>[</w:t>
      </w:r>
      <w:r w:rsidRPr="004F5FB4">
        <w:rPr>
          <w:color w:val="000000"/>
        </w:rPr>
        <w:t>CRP</w:t>
      </w:r>
      <w:r w:rsidR="0059638A" w:rsidRPr="004F5FB4">
        <w:rPr>
          <w:color w:val="000000"/>
        </w:rPr>
        <w:t>]</w:t>
      </w:r>
      <w:r w:rsidRPr="004F5FB4">
        <w:rPr>
          <w:color w:val="000000"/>
        </w:rPr>
        <w:t xml:space="preserve"> und Blutsenkungsgeschwindigkeit </w:t>
      </w:r>
      <w:r w:rsidR="0059638A" w:rsidRPr="004F5FB4">
        <w:rPr>
          <w:color w:val="000000"/>
        </w:rPr>
        <w:t>[</w:t>
      </w:r>
      <w:r w:rsidRPr="004F5FB4">
        <w:rPr>
          <w:color w:val="000000"/>
        </w:rPr>
        <w:t>BSG</w:t>
      </w:r>
      <w:r w:rsidR="0059638A" w:rsidRPr="004F5FB4">
        <w:rPr>
          <w:color w:val="000000"/>
        </w:rPr>
        <w:t>]</w:t>
      </w:r>
      <w:r w:rsidRPr="004F5FB4">
        <w:rPr>
          <w:color w:val="000000"/>
        </w:rPr>
        <w:t>) und der Serumzytokine (IL-6) beobachtet. Die Serumspiegel von Matrixmetalloproteinasen (MMP</w:t>
      </w:r>
      <w:r w:rsidRPr="004F5FB4">
        <w:rPr>
          <w:color w:val="000000"/>
        </w:rPr>
        <w:noBreakHyphen/>
        <w:t>1 und MMP</w:t>
      </w:r>
      <w:r w:rsidRPr="004F5FB4">
        <w:rPr>
          <w:color w:val="000000"/>
        </w:rPr>
        <w:noBreakHyphen/>
        <w:t>3), die die für die Knorpelzerstörung verantwortliche Gewebsumwandlung hervorrufen, waren nach der Verabreichung von Adalimumab ebenfalls vermindert. Bei mit Adalimumab behandelten Patienten besserte sich i</w:t>
      </w:r>
      <w:r w:rsidR="0061033A" w:rsidRPr="004F5FB4">
        <w:rPr>
          <w:color w:val="000000"/>
        </w:rPr>
        <w:t>m</w:t>
      </w:r>
      <w:r w:rsidRPr="004F5FB4">
        <w:rPr>
          <w:color w:val="000000"/>
        </w:rPr>
        <w:t xml:space="preserve"> </w:t>
      </w:r>
      <w:r w:rsidR="0061033A" w:rsidRPr="004F5FB4">
        <w:rPr>
          <w:color w:val="000000"/>
        </w:rPr>
        <w:t>Allgemeinen</w:t>
      </w:r>
      <w:r w:rsidRPr="004F5FB4">
        <w:rPr>
          <w:color w:val="000000"/>
        </w:rPr>
        <w:t xml:space="preserve"> die mit einer chronischen Entzündung einhergehende Veränderung der Blutwerte.</w:t>
      </w:r>
    </w:p>
    <w:p w14:paraId="74F03032" w14:textId="77777777" w:rsidR="00C46587" w:rsidRPr="004F5FB4" w:rsidRDefault="00C46587" w:rsidP="00982118">
      <w:pPr>
        <w:rPr>
          <w:color w:val="000000"/>
        </w:rPr>
      </w:pPr>
    </w:p>
    <w:p w14:paraId="3D75E8AC" w14:textId="77777777" w:rsidR="00C46587" w:rsidRPr="004F5FB4" w:rsidRDefault="00C46587" w:rsidP="00982118">
      <w:pPr>
        <w:rPr>
          <w:color w:val="000000"/>
        </w:rPr>
      </w:pPr>
      <w:r w:rsidRPr="004F5FB4">
        <w:rPr>
          <w:color w:val="000000"/>
        </w:rPr>
        <w:t>Ein schneller Rückgang der CRP-Werte wurde auch bei Patienten mit polyartikulärer juveniler idiopathischer Arthritis, Morbus Crohn, Colitis ulcerosa und Hidradenitis suppurativa nach Behandlung mit Adalimumab beobachtet. Bei Morbus-Crohn-Patienten wurde die Zahl der Zellen, die Entzündungsmarker im Kolon exprimieren, reduziert (einschließlich einer signifikanten Reduzierung der TNF-alpha-Expression). Endoskopiestudien an intestinaler Mukosa zeigten, dass die Mukosa bei Patienten, die mit Adalimumab behandelt wurden, abheilte.</w:t>
      </w:r>
    </w:p>
    <w:p w14:paraId="6F6BE7B9" w14:textId="77777777" w:rsidR="00C46587" w:rsidRPr="004F5FB4" w:rsidRDefault="00C46587" w:rsidP="00982118">
      <w:pPr>
        <w:rPr>
          <w:color w:val="000000"/>
        </w:rPr>
      </w:pPr>
    </w:p>
    <w:p w14:paraId="19A58ADD" w14:textId="77777777" w:rsidR="00C46587" w:rsidRPr="004F5FB4" w:rsidRDefault="00150D33" w:rsidP="00DC3A99">
      <w:pPr>
        <w:keepNext/>
        <w:rPr>
          <w:color w:val="000000"/>
          <w:u w:val="single"/>
        </w:rPr>
      </w:pPr>
      <w:r w:rsidRPr="004F5FB4">
        <w:rPr>
          <w:color w:val="000000"/>
          <w:u w:val="single"/>
        </w:rPr>
        <w:t>Klinische Wirksamkeit und Sicherheit</w:t>
      </w:r>
    </w:p>
    <w:p w14:paraId="7ECCEE10" w14:textId="77777777" w:rsidR="00C46587" w:rsidRPr="004F5FB4" w:rsidRDefault="00C46587" w:rsidP="00DC3A99">
      <w:pPr>
        <w:keepNext/>
        <w:rPr>
          <w:color w:val="000000"/>
        </w:rPr>
      </w:pPr>
    </w:p>
    <w:p w14:paraId="16D5DB58" w14:textId="77777777" w:rsidR="00C46587" w:rsidRPr="004F5FB4" w:rsidRDefault="00C46587" w:rsidP="00DC3A99">
      <w:pPr>
        <w:keepNext/>
        <w:rPr>
          <w:i/>
          <w:color w:val="000000"/>
        </w:rPr>
      </w:pPr>
      <w:r w:rsidRPr="004F5FB4">
        <w:rPr>
          <w:i/>
          <w:color w:val="000000"/>
        </w:rPr>
        <w:t>Rheumatoide Arthritis</w:t>
      </w:r>
    </w:p>
    <w:p w14:paraId="254C7871" w14:textId="77777777" w:rsidR="00C46587" w:rsidRPr="004F5FB4" w:rsidRDefault="00C46587" w:rsidP="00DC3A99">
      <w:pPr>
        <w:keepNext/>
        <w:rPr>
          <w:color w:val="000000"/>
        </w:rPr>
      </w:pPr>
    </w:p>
    <w:p w14:paraId="01B546BE" w14:textId="77777777" w:rsidR="00C46587" w:rsidRPr="004F5FB4" w:rsidRDefault="005A4709" w:rsidP="00982118">
      <w:pPr>
        <w:rPr>
          <w:color w:val="000000"/>
        </w:rPr>
      </w:pPr>
      <w:r w:rsidRPr="004F5FB4">
        <w:rPr>
          <w:color w:val="000000"/>
        </w:rPr>
        <w:t>Im Rahmen aller klinischen Studien bei rheumatoider Arthritis wurde Adalimumab bei mehr als 3.000</w:t>
      </w:r>
      <w:r w:rsidR="00497E38" w:rsidRPr="004F5FB4">
        <w:rPr>
          <w:color w:val="000000"/>
        </w:rPr>
        <w:t> </w:t>
      </w:r>
      <w:r w:rsidRPr="004F5FB4">
        <w:rPr>
          <w:color w:val="000000"/>
        </w:rPr>
        <w:t>Patienten untersucht. Die Wirksamkeit und Sicherheit von Adalimumab wurden in fünf randomisierten, doppelblinden und gut kontrollierten Studien untersucht. Einige Patienten wurden über einen Zeitraum von bis zu 120 Monaten behandelt.</w:t>
      </w:r>
    </w:p>
    <w:p w14:paraId="2267A9A3" w14:textId="77777777" w:rsidR="00C46587" w:rsidRPr="004F5FB4" w:rsidRDefault="00C46587" w:rsidP="00982118">
      <w:pPr>
        <w:rPr>
          <w:color w:val="000000"/>
        </w:rPr>
      </w:pPr>
    </w:p>
    <w:p w14:paraId="7DE3980C" w14:textId="77777777" w:rsidR="00C46587" w:rsidRPr="004F5FB4" w:rsidRDefault="00C46587" w:rsidP="00982118">
      <w:pPr>
        <w:rPr>
          <w:color w:val="000000"/>
        </w:rPr>
      </w:pPr>
      <w:r w:rsidRPr="004F5FB4">
        <w:rPr>
          <w:color w:val="000000"/>
        </w:rPr>
        <w:lastRenderedPageBreak/>
        <w:t>In der RA-Studie</w:t>
      </w:r>
      <w:r w:rsidR="0059638A" w:rsidRPr="004F5FB4">
        <w:rPr>
          <w:color w:val="000000"/>
        </w:rPr>
        <w:t> </w:t>
      </w:r>
      <w:r w:rsidRPr="004F5FB4">
        <w:rPr>
          <w:color w:val="000000"/>
        </w:rPr>
        <w:t>I wurden 271 Patienten mit mäßiger bis schwerer, aktiver rheumatoider Arthritis untersucht. Die Patienten waren ≥ 18</w:t>
      </w:r>
      <w:r w:rsidR="0059638A" w:rsidRPr="004F5FB4">
        <w:rPr>
          <w:color w:val="000000"/>
        </w:rPr>
        <w:t> </w:t>
      </w:r>
      <w:r w:rsidRPr="004F5FB4">
        <w:rPr>
          <w:color w:val="000000"/>
        </w:rPr>
        <w:t>Jahre alt, die Behandlung mit mindestens einem krankheitsmodifizierenden Antirheumatikum war fehlgeschlagen, Methotrexat in Dosen von 12,5 bis 25 mg (10 mg bei Methotrexat-Intoleranz) pro Woche zeigte eine unzureichende Wirkung, und die Methotrexat-Dosis lag gleichbleibend bei 10 bis 25 mg pro Woche. Während eines Zeitraums von 24</w:t>
      </w:r>
      <w:r w:rsidR="00497E38" w:rsidRPr="004F5FB4">
        <w:rPr>
          <w:color w:val="000000"/>
        </w:rPr>
        <w:t> </w:t>
      </w:r>
      <w:r w:rsidRPr="004F5FB4">
        <w:rPr>
          <w:color w:val="000000"/>
        </w:rPr>
        <w:t>Wochen wurden jede zweite Woche Dosen von 20, 40 oder 80 mg Adalimumab oder Placebo verabreicht.</w:t>
      </w:r>
    </w:p>
    <w:p w14:paraId="1F4D004B" w14:textId="77777777" w:rsidR="00C46587" w:rsidRPr="004F5FB4" w:rsidRDefault="00C46587" w:rsidP="00982118">
      <w:pPr>
        <w:rPr>
          <w:color w:val="000000"/>
        </w:rPr>
      </w:pPr>
    </w:p>
    <w:p w14:paraId="68110181" w14:textId="77777777" w:rsidR="00C46587" w:rsidRPr="004F5FB4" w:rsidRDefault="00C46587" w:rsidP="00982118">
      <w:pPr>
        <w:rPr>
          <w:color w:val="000000"/>
        </w:rPr>
      </w:pPr>
      <w:r w:rsidRPr="004F5FB4">
        <w:rPr>
          <w:color w:val="000000"/>
        </w:rPr>
        <w:t>An der RA-Studie</w:t>
      </w:r>
      <w:r w:rsidR="0059638A" w:rsidRPr="004F5FB4">
        <w:rPr>
          <w:color w:val="000000"/>
        </w:rPr>
        <w:t> </w:t>
      </w:r>
      <w:r w:rsidRPr="004F5FB4">
        <w:rPr>
          <w:color w:val="000000"/>
        </w:rPr>
        <w:t>II nahmen 544 Patienten mit mäßiger bis schwerer, aktiver rheumatoider Arthritis teil. Die Patienten waren ≥ 18</w:t>
      </w:r>
      <w:r w:rsidR="0059638A" w:rsidRPr="004F5FB4">
        <w:rPr>
          <w:color w:val="000000"/>
        </w:rPr>
        <w:t> </w:t>
      </w:r>
      <w:r w:rsidRPr="004F5FB4">
        <w:rPr>
          <w:color w:val="000000"/>
        </w:rPr>
        <w:t>Jahre alt, und die Behandlung mit mindestens einem krankheitsmodifizierenden Antirheumatikum war fehlgeschlagen. Adalimumab wurde über 26 Wochen als subkutane Injektion in Dosen von 20 mg oder 40 mg jede zweite Woche mit Placeboinjektion in den dazwischen liegenden Wochen oder in Dosen von 20</w:t>
      </w:r>
      <w:r w:rsidR="0059638A" w:rsidRPr="004F5FB4">
        <w:rPr>
          <w:color w:val="000000"/>
        </w:rPr>
        <w:t> </w:t>
      </w:r>
      <w:r w:rsidRPr="004F5FB4">
        <w:rPr>
          <w:color w:val="000000"/>
        </w:rPr>
        <w:t>mg oder 40</w:t>
      </w:r>
      <w:r w:rsidR="0059638A" w:rsidRPr="004F5FB4">
        <w:rPr>
          <w:color w:val="000000"/>
        </w:rPr>
        <w:t> </w:t>
      </w:r>
      <w:r w:rsidRPr="004F5FB4">
        <w:rPr>
          <w:color w:val="000000"/>
        </w:rPr>
        <w:t>mg wöchentlich verabreicht; Placebo wurde während desselben Zeitraums wöchentlich verabreicht. Andere krankheitsmodifizierende Antirheumatika waren nicht erlaubt.</w:t>
      </w:r>
    </w:p>
    <w:p w14:paraId="6F739DE8" w14:textId="77777777" w:rsidR="00C46587" w:rsidRPr="004F5FB4" w:rsidRDefault="00C46587" w:rsidP="00982118">
      <w:pPr>
        <w:rPr>
          <w:color w:val="000000"/>
        </w:rPr>
      </w:pPr>
    </w:p>
    <w:p w14:paraId="417DCAA3" w14:textId="77777777" w:rsidR="00C46587" w:rsidRPr="004F5FB4" w:rsidRDefault="00C46587" w:rsidP="00982118">
      <w:pPr>
        <w:rPr>
          <w:color w:val="000000"/>
        </w:rPr>
      </w:pPr>
      <w:r w:rsidRPr="004F5FB4">
        <w:rPr>
          <w:color w:val="000000"/>
        </w:rPr>
        <w:t>Die RA-Studie</w:t>
      </w:r>
      <w:r w:rsidR="0059638A" w:rsidRPr="004F5FB4">
        <w:rPr>
          <w:color w:val="000000"/>
        </w:rPr>
        <w:t> </w:t>
      </w:r>
      <w:r w:rsidRPr="004F5FB4">
        <w:rPr>
          <w:color w:val="000000"/>
        </w:rPr>
        <w:t>III wurde bei 619 Patienten mit mäßiger bis schwerer, aktiver rheumatoider Arthritis durchgeführt, die ≥ 18 Jahre alt waren und die ein unzureichendes Ansprechen auf Methotrexat in Dosen von 12,5 bis 25 mg pro Woche oder eine Unverträglichkeit gegenüber 10 mg Methotrexat pro Woche aufwiesen. Es gab in dieser Studie drei Behandlungsgruppen. Die erste Gruppe erhielt über einen Zeitraum von 52</w:t>
      </w:r>
      <w:r w:rsidR="0059638A" w:rsidRPr="004F5FB4">
        <w:rPr>
          <w:color w:val="000000"/>
        </w:rPr>
        <w:t> </w:t>
      </w:r>
      <w:r w:rsidRPr="004F5FB4">
        <w:rPr>
          <w:color w:val="000000"/>
        </w:rPr>
        <w:t>Wochen wöchentlich eine Placeboinjektion. Die zweite Gruppe wurde 52 Wochen lang mit wöchentlich 20 mg Adalimumab behandelt. Die dritte Gruppe erhielt jede zweite Woche 40 mg Adalimumab mit Placeboinjektionen in den dazwischen liegenden Wochen. Nach Abschluss der ersten 52</w:t>
      </w:r>
      <w:r w:rsidR="0059638A" w:rsidRPr="004F5FB4">
        <w:rPr>
          <w:color w:val="000000"/>
        </w:rPr>
        <w:t> </w:t>
      </w:r>
      <w:r w:rsidRPr="004F5FB4">
        <w:rPr>
          <w:color w:val="000000"/>
        </w:rPr>
        <w:t>Wochen wurden 457</w:t>
      </w:r>
      <w:r w:rsidR="0059638A" w:rsidRPr="004F5FB4">
        <w:rPr>
          <w:color w:val="000000"/>
        </w:rPr>
        <w:t> </w:t>
      </w:r>
      <w:r w:rsidRPr="004F5FB4">
        <w:rPr>
          <w:color w:val="000000"/>
        </w:rPr>
        <w:t xml:space="preserve">Patienten in eine offene </w:t>
      </w:r>
      <w:r w:rsidR="0061033A" w:rsidRPr="004F5FB4">
        <w:rPr>
          <w:color w:val="000000"/>
        </w:rPr>
        <w:t>Fortsetz</w:t>
      </w:r>
      <w:r w:rsidRPr="004F5FB4">
        <w:rPr>
          <w:color w:val="000000"/>
        </w:rPr>
        <w:t>ungsphase überführt und erhielten bis zu 10</w:t>
      </w:r>
      <w:r w:rsidR="0059638A" w:rsidRPr="004F5FB4">
        <w:rPr>
          <w:color w:val="000000"/>
        </w:rPr>
        <w:t> </w:t>
      </w:r>
      <w:r w:rsidRPr="004F5FB4">
        <w:rPr>
          <w:color w:val="000000"/>
        </w:rPr>
        <w:t>Jahre lang jede zweite Woche 40 mg Adalimumab/MTX.</w:t>
      </w:r>
    </w:p>
    <w:p w14:paraId="11D3A4B6" w14:textId="77777777" w:rsidR="00C46587" w:rsidRPr="004F5FB4" w:rsidRDefault="00C46587" w:rsidP="00982118">
      <w:pPr>
        <w:rPr>
          <w:color w:val="000000"/>
        </w:rPr>
      </w:pPr>
    </w:p>
    <w:p w14:paraId="7F629741" w14:textId="77777777" w:rsidR="00C46587" w:rsidRPr="004F5FB4" w:rsidRDefault="00C46587" w:rsidP="00982118">
      <w:pPr>
        <w:rPr>
          <w:color w:val="000000"/>
        </w:rPr>
      </w:pPr>
      <w:r w:rsidRPr="004F5FB4">
        <w:rPr>
          <w:color w:val="000000"/>
        </w:rPr>
        <w:t>In der RA-Studie</w:t>
      </w:r>
      <w:r w:rsidR="0059638A" w:rsidRPr="004F5FB4">
        <w:rPr>
          <w:color w:val="000000"/>
        </w:rPr>
        <w:t> </w:t>
      </w:r>
      <w:r w:rsidRPr="004F5FB4">
        <w:rPr>
          <w:color w:val="000000"/>
        </w:rPr>
        <w:t>IV wurde die Sicherheit bei 636</w:t>
      </w:r>
      <w:r w:rsidR="0059638A" w:rsidRPr="004F5FB4">
        <w:rPr>
          <w:color w:val="000000"/>
        </w:rPr>
        <w:t> </w:t>
      </w:r>
      <w:r w:rsidRPr="004F5FB4">
        <w:rPr>
          <w:color w:val="000000"/>
        </w:rPr>
        <w:t>Patienten mit mäßiger bis schwerer, aktiver rheumatoider Arthritis untersucht. Die Patienten waren ≥</w:t>
      </w:r>
      <w:r w:rsidR="0059638A" w:rsidRPr="004F5FB4">
        <w:rPr>
          <w:color w:val="000000"/>
        </w:rPr>
        <w:t> </w:t>
      </w:r>
      <w:r w:rsidRPr="004F5FB4">
        <w:rPr>
          <w:color w:val="000000"/>
        </w:rPr>
        <w:t>18</w:t>
      </w:r>
      <w:r w:rsidR="0059638A" w:rsidRPr="004F5FB4">
        <w:rPr>
          <w:color w:val="000000"/>
        </w:rPr>
        <w:t> </w:t>
      </w:r>
      <w:r w:rsidRPr="004F5FB4">
        <w:rPr>
          <w:color w:val="000000"/>
        </w:rPr>
        <w:t>Jahre alt</w:t>
      </w:r>
      <w:r w:rsidR="0061033A" w:rsidRPr="004F5FB4">
        <w:rPr>
          <w:color w:val="000000"/>
        </w:rPr>
        <w:t xml:space="preserve"> und</w:t>
      </w:r>
      <w:r w:rsidRPr="004F5FB4">
        <w:rPr>
          <w:color w:val="000000"/>
        </w:rPr>
        <w:t xml:space="preserve">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w:t>
      </w:r>
      <w:r w:rsidR="0059638A" w:rsidRPr="004F5FB4">
        <w:rPr>
          <w:color w:val="000000"/>
        </w:rPr>
        <w:t xml:space="preserve"> </w:t>
      </w:r>
      <w:r w:rsidRPr="004F5FB4">
        <w:rPr>
          <w:color w:val="000000"/>
        </w:rPr>
        <w:t>oder Goldsalze ein. Nach Randomisierung erhielten die Patienten über einen Zeitraum von 24</w:t>
      </w:r>
      <w:r w:rsidR="00497E38" w:rsidRPr="004F5FB4">
        <w:rPr>
          <w:color w:val="000000"/>
        </w:rPr>
        <w:t> </w:t>
      </w:r>
      <w:r w:rsidRPr="004F5FB4">
        <w:rPr>
          <w:color w:val="000000"/>
        </w:rPr>
        <w:t>Wochen jede zweite Woche 40 mg Adalimumab oder Placebo.</w:t>
      </w:r>
    </w:p>
    <w:p w14:paraId="0451A136" w14:textId="77777777" w:rsidR="00C46587" w:rsidRPr="004F5FB4" w:rsidRDefault="00C46587" w:rsidP="00982118">
      <w:pPr>
        <w:rPr>
          <w:color w:val="000000"/>
        </w:rPr>
      </w:pPr>
    </w:p>
    <w:p w14:paraId="4AA24D30" w14:textId="77777777" w:rsidR="00C46587" w:rsidRPr="004F5FB4" w:rsidRDefault="00C46587" w:rsidP="00982118">
      <w:pPr>
        <w:rPr>
          <w:color w:val="000000"/>
        </w:rPr>
      </w:pPr>
      <w:r w:rsidRPr="004F5FB4">
        <w:rPr>
          <w:color w:val="000000"/>
        </w:rPr>
        <w:t>In die RA-Studie</w:t>
      </w:r>
      <w:r w:rsidR="0059638A" w:rsidRPr="004F5FB4">
        <w:rPr>
          <w:color w:val="000000"/>
        </w:rPr>
        <w:t> </w:t>
      </w:r>
      <w:r w:rsidRPr="004F5FB4">
        <w:rPr>
          <w:color w:val="000000"/>
        </w:rPr>
        <w:t>V wurden 799 erwachsene Methotrexat-naive Patienten mit mäßiger bis schwerer aktiver früher rheumatoider Arthritis (mittlere Erkrankungsdauer weniger als 9</w:t>
      </w:r>
      <w:r w:rsidR="0059638A" w:rsidRPr="004F5FB4">
        <w:rPr>
          <w:color w:val="000000"/>
        </w:rPr>
        <w:t> </w:t>
      </w:r>
      <w:r w:rsidRPr="004F5FB4">
        <w:rPr>
          <w:color w:val="000000"/>
        </w:rPr>
        <w:t xml:space="preserve">Monate) eingeschlossen. Diese Studie untersuchte die Wirksamkeit von 40 mg Adalimumab jede zweite Woche in Kombination mit Methotrexat, von 40 mg Adalimumab jede zweite Woche als Monotherapie und von Methotrexat als Monotherapie im Hinblick auf die Verringerung der </w:t>
      </w:r>
      <w:r w:rsidR="0061033A" w:rsidRPr="004F5FB4">
        <w:rPr>
          <w:color w:val="000000"/>
        </w:rPr>
        <w:t xml:space="preserve">klinischen </w:t>
      </w:r>
      <w:r w:rsidRPr="004F5FB4">
        <w:rPr>
          <w:color w:val="000000"/>
        </w:rPr>
        <w:t>Anzeichen und Symptome sowie des Fortschreitens der Gelenkschädigung bei rheumatoider Arthritis über einen Zeitraum von 104 Wochen. Nach Abschluss der ersten 104</w:t>
      </w:r>
      <w:r w:rsidR="0059638A" w:rsidRPr="004F5FB4">
        <w:rPr>
          <w:color w:val="000000"/>
        </w:rPr>
        <w:t> </w:t>
      </w:r>
      <w:r w:rsidRPr="004F5FB4">
        <w:rPr>
          <w:color w:val="000000"/>
        </w:rPr>
        <w:t>Wochen wurden 497</w:t>
      </w:r>
      <w:r w:rsidR="0059638A" w:rsidRPr="004F5FB4">
        <w:rPr>
          <w:color w:val="000000"/>
        </w:rPr>
        <w:t> </w:t>
      </w:r>
      <w:r w:rsidRPr="004F5FB4">
        <w:rPr>
          <w:color w:val="000000"/>
        </w:rPr>
        <w:t xml:space="preserve">Patienten in eine bis zu 10-jährige offene </w:t>
      </w:r>
      <w:r w:rsidR="0061033A" w:rsidRPr="004F5FB4">
        <w:rPr>
          <w:color w:val="000000"/>
        </w:rPr>
        <w:t>Fortsetz</w:t>
      </w:r>
      <w:r w:rsidRPr="004F5FB4">
        <w:rPr>
          <w:color w:val="000000"/>
        </w:rPr>
        <w:t>ungsphase überführt, in der sie alle zwei Wochen 40 mg Adalimumab erhielten.</w:t>
      </w:r>
    </w:p>
    <w:p w14:paraId="4F780999" w14:textId="77777777" w:rsidR="00C46587" w:rsidRPr="004F5FB4" w:rsidRDefault="00C46587" w:rsidP="00982118">
      <w:pPr>
        <w:rPr>
          <w:color w:val="000000"/>
        </w:rPr>
      </w:pPr>
    </w:p>
    <w:p w14:paraId="4B150048" w14:textId="77777777" w:rsidR="00C46587" w:rsidRPr="004F5FB4" w:rsidRDefault="00C46587" w:rsidP="00982118">
      <w:pPr>
        <w:rPr>
          <w:color w:val="000000"/>
        </w:rPr>
      </w:pPr>
      <w:r w:rsidRPr="004F5FB4">
        <w:rPr>
          <w:color w:val="000000"/>
        </w:rPr>
        <w:t>Der primäre Endpunkt der RA-Studien</w:t>
      </w:r>
      <w:r w:rsidR="0059638A" w:rsidRPr="004F5FB4">
        <w:rPr>
          <w:color w:val="000000"/>
        </w:rPr>
        <w:t> </w:t>
      </w:r>
      <w:r w:rsidRPr="004F5FB4">
        <w:rPr>
          <w:color w:val="000000"/>
        </w:rPr>
        <w:t>I, II und III und der sekundäre Endpunkt der RA-Studie</w:t>
      </w:r>
      <w:r w:rsidR="0059638A" w:rsidRPr="004F5FB4">
        <w:rPr>
          <w:color w:val="000000"/>
        </w:rPr>
        <w:t> </w:t>
      </w:r>
      <w:r w:rsidRPr="004F5FB4">
        <w:rPr>
          <w:color w:val="000000"/>
        </w:rPr>
        <w:t>IV war der prozentuale Anteil derjenigen Patienten, die nach 24 bzw. 26</w:t>
      </w:r>
      <w:r w:rsidR="0059638A" w:rsidRPr="004F5FB4">
        <w:rPr>
          <w:color w:val="000000"/>
        </w:rPr>
        <w:t> </w:t>
      </w:r>
      <w:r w:rsidRPr="004F5FB4">
        <w:rPr>
          <w:color w:val="000000"/>
        </w:rPr>
        <w:t xml:space="preserve">Wochen </w:t>
      </w:r>
      <w:r w:rsidR="0061033A" w:rsidRPr="004F5FB4">
        <w:rPr>
          <w:color w:val="000000"/>
        </w:rPr>
        <w:t>die</w:t>
      </w:r>
      <w:r w:rsidRPr="004F5FB4">
        <w:rPr>
          <w:color w:val="000000"/>
        </w:rPr>
        <w:t xml:space="preserve"> ACR-20-Ansprech</w:t>
      </w:r>
      <w:r w:rsidR="0061033A" w:rsidRPr="004F5FB4">
        <w:rPr>
          <w:color w:val="000000"/>
        </w:rPr>
        <w:t>raten</w:t>
      </w:r>
      <w:r w:rsidRPr="004F5FB4">
        <w:rPr>
          <w:color w:val="000000"/>
        </w:rPr>
        <w:t xml:space="preserve"> erreichten. Der primäre Endpunkt in der RA-Studie</w:t>
      </w:r>
      <w:r w:rsidR="0059638A" w:rsidRPr="004F5FB4">
        <w:rPr>
          <w:color w:val="000000"/>
        </w:rPr>
        <w:t> </w:t>
      </w:r>
      <w:r w:rsidRPr="004F5FB4">
        <w:rPr>
          <w:color w:val="000000"/>
        </w:rPr>
        <w:t>V war der prozentuale Anteil derjenigen Patienten, die nach 52</w:t>
      </w:r>
      <w:r w:rsidR="0059638A" w:rsidRPr="004F5FB4">
        <w:rPr>
          <w:color w:val="000000"/>
        </w:rPr>
        <w:t> </w:t>
      </w:r>
      <w:r w:rsidRPr="004F5FB4">
        <w:rPr>
          <w:color w:val="000000"/>
        </w:rPr>
        <w:t>Wochen ein ACR-50-Ansprechen erreichten. Ein weiterer primärer Endpunkt in den RA-Studien</w:t>
      </w:r>
      <w:r w:rsidR="0059638A" w:rsidRPr="004F5FB4">
        <w:rPr>
          <w:color w:val="000000"/>
        </w:rPr>
        <w:t> </w:t>
      </w:r>
      <w:r w:rsidRPr="004F5FB4">
        <w:rPr>
          <w:color w:val="000000"/>
        </w:rPr>
        <w:t>III und V nach 52</w:t>
      </w:r>
      <w:r w:rsidR="0059638A" w:rsidRPr="004F5FB4">
        <w:rPr>
          <w:color w:val="000000"/>
        </w:rPr>
        <w:t> </w:t>
      </w:r>
      <w:r w:rsidRPr="004F5FB4">
        <w:rPr>
          <w:color w:val="000000"/>
        </w:rPr>
        <w:t>Wochen war die Verzögerung des Fortschreitens der Krankheit (ermittelt durch Röntgenergebnisse). In der RA-Studie</w:t>
      </w:r>
      <w:r w:rsidR="0059638A" w:rsidRPr="004F5FB4">
        <w:rPr>
          <w:color w:val="000000"/>
        </w:rPr>
        <w:t> </w:t>
      </w:r>
      <w:r w:rsidRPr="004F5FB4">
        <w:rPr>
          <w:color w:val="000000"/>
        </w:rPr>
        <w:t>III wurde darüber hinaus die Veränderung der Lebensqualität als primärer Endpunkt erfasst.</w:t>
      </w:r>
    </w:p>
    <w:p w14:paraId="7FB8B1DA" w14:textId="77777777" w:rsidR="00C46587" w:rsidRPr="004F5FB4" w:rsidRDefault="00C46587" w:rsidP="00982118">
      <w:pPr>
        <w:rPr>
          <w:color w:val="000000"/>
        </w:rPr>
      </w:pPr>
    </w:p>
    <w:p w14:paraId="6B8C0762" w14:textId="77777777" w:rsidR="00C46587" w:rsidRPr="004F5FB4" w:rsidRDefault="00C46587" w:rsidP="00982118">
      <w:pPr>
        <w:keepNext/>
        <w:rPr>
          <w:i/>
          <w:color w:val="000000"/>
          <w:u w:val="single"/>
        </w:rPr>
      </w:pPr>
      <w:r w:rsidRPr="004F5FB4">
        <w:rPr>
          <w:i/>
          <w:color w:val="000000"/>
          <w:u w:val="single"/>
        </w:rPr>
        <w:t>ACR-Ansprechraten</w:t>
      </w:r>
    </w:p>
    <w:p w14:paraId="760418EF" w14:textId="77777777" w:rsidR="00C46587" w:rsidRPr="004F5FB4" w:rsidRDefault="00C46587" w:rsidP="00687087">
      <w:pPr>
        <w:keepNext/>
        <w:rPr>
          <w:color w:val="000000"/>
        </w:rPr>
      </w:pPr>
    </w:p>
    <w:p w14:paraId="163D7D0A" w14:textId="77777777" w:rsidR="00C46587" w:rsidRPr="004F5FB4" w:rsidRDefault="00C46587" w:rsidP="00982118">
      <w:pPr>
        <w:rPr>
          <w:color w:val="000000"/>
        </w:rPr>
      </w:pPr>
      <w:r w:rsidRPr="004F5FB4">
        <w:rPr>
          <w:color w:val="000000"/>
        </w:rPr>
        <w:t>Der prozentuale Anteil der mit Adalimumab behandelten Patienten, die ACR-20-, ACR-50- oder ACR-70-Ansprechraten erreichten, war in den RA-Studien</w:t>
      </w:r>
      <w:r w:rsidR="0059638A" w:rsidRPr="004F5FB4">
        <w:rPr>
          <w:color w:val="000000"/>
        </w:rPr>
        <w:t> </w:t>
      </w:r>
      <w:r w:rsidRPr="004F5FB4">
        <w:rPr>
          <w:color w:val="000000"/>
        </w:rPr>
        <w:t>I, II und III vergleichbar. Die Behandlungsergebnisse mit 40 mg jede zweite Woche sind in Tabelle</w:t>
      </w:r>
      <w:r w:rsidR="0059638A" w:rsidRPr="004F5FB4">
        <w:rPr>
          <w:color w:val="000000"/>
        </w:rPr>
        <w:t> </w:t>
      </w:r>
      <w:r w:rsidR="00B852E6">
        <w:rPr>
          <w:color w:val="000000"/>
        </w:rPr>
        <w:t>8</w:t>
      </w:r>
      <w:r w:rsidRPr="004F5FB4">
        <w:rPr>
          <w:color w:val="000000"/>
        </w:rPr>
        <w:t xml:space="preserve"> zusammengefasst.</w:t>
      </w:r>
    </w:p>
    <w:p w14:paraId="4FF2B7FB" w14:textId="77777777" w:rsidR="00F5197D" w:rsidRPr="004F5FB4" w:rsidRDefault="00F5197D" w:rsidP="00982118">
      <w:pPr>
        <w:rPr>
          <w:color w:val="000000"/>
        </w:rPr>
      </w:pPr>
    </w:p>
    <w:p w14:paraId="2D88FFBC" w14:textId="77777777" w:rsidR="00FA0342" w:rsidRPr="00CA7719" w:rsidRDefault="002F6F9C" w:rsidP="00CA7719">
      <w:pPr>
        <w:pStyle w:val="BodyText"/>
        <w:widowControl/>
        <w:kinsoku w:val="0"/>
        <w:overflowPunct w:val="0"/>
        <w:ind w:left="0"/>
        <w:rPr>
          <w:b/>
          <w:color w:val="000000"/>
        </w:rPr>
      </w:pPr>
      <w:r w:rsidRPr="00CA7719">
        <w:rPr>
          <w:b/>
          <w:color w:val="000000"/>
        </w:rPr>
        <w:t>Tabelle</w:t>
      </w:r>
      <w:r w:rsidR="00B852E6">
        <w:rPr>
          <w:b/>
          <w:color w:val="000000"/>
        </w:rPr>
        <w:t> 8</w:t>
      </w:r>
    </w:p>
    <w:p w14:paraId="7BC7AA2E" w14:textId="77777777" w:rsidR="00155496" w:rsidRPr="00CA7719" w:rsidRDefault="00155496" w:rsidP="00CA7719">
      <w:pPr>
        <w:pStyle w:val="BodyText"/>
        <w:widowControl/>
        <w:kinsoku w:val="0"/>
        <w:overflowPunct w:val="0"/>
        <w:ind w:left="0"/>
        <w:rPr>
          <w:b/>
          <w:color w:val="000000"/>
        </w:rPr>
      </w:pPr>
      <w:r w:rsidRPr="00CA7719">
        <w:rPr>
          <w:b/>
          <w:color w:val="000000"/>
        </w:rPr>
        <w:t>ACR</w:t>
      </w:r>
      <w:r w:rsidRPr="00CA7719">
        <w:rPr>
          <w:b/>
          <w:color w:val="000000"/>
        </w:rPr>
        <w:noBreakHyphen/>
        <w:t>Ansprechraten in placebokontrollierten Studien (prozentualer Anteil der Patienten)</w:t>
      </w:r>
    </w:p>
    <w:p w14:paraId="35D8B394" w14:textId="77777777" w:rsidR="00155496" w:rsidRPr="004F5FB4" w:rsidRDefault="00155496" w:rsidP="00155496">
      <w:pPr>
        <w:pStyle w:val="BodyText"/>
        <w:keepNext/>
        <w:widowControl/>
        <w:kinsoku w:val="0"/>
        <w:overflowPunct w:val="0"/>
        <w:ind w:left="0"/>
        <w:rPr>
          <w:bCs/>
          <w:color w:val="000000"/>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1034"/>
        <w:gridCol w:w="1494"/>
        <w:gridCol w:w="1033"/>
        <w:gridCol w:w="1686"/>
        <w:gridCol w:w="1000"/>
        <w:gridCol w:w="1544"/>
      </w:tblGrid>
      <w:tr w:rsidR="00155496" w:rsidRPr="004F5FB4" w14:paraId="7A135EB2" w14:textId="77777777" w:rsidTr="00687087">
        <w:trPr>
          <w:tblHeader/>
        </w:trPr>
        <w:tc>
          <w:tcPr>
            <w:tcW w:w="1384" w:type="dxa"/>
            <w:vMerge w:val="restart"/>
            <w:shd w:val="clear" w:color="auto" w:fill="auto"/>
          </w:tcPr>
          <w:p w14:paraId="556DFAD3" w14:textId="77777777" w:rsidR="00155496" w:rsidRPr="004F5FB4" w:rsidRDefault="00155496" w:rsidP="005A68B9">
            <w:pPr>
              <w:pStyle w:val="TableParagraph"/>
              <w:keepNext/>
              <w:keepLines/>
              <w:widowControl/>
              <w:kinsoku w:val="0"/>
              <w:overflowPunct w:val="0"/>
              <w:spacing w:before="7"/>
              <w:ind w:left="-2"/>
              <w:rPr>
                <w:rFonts w:ascii="Times New Roman" w:hAnsi="Times New Roman"/>
                <w:b/>
                <w:color w:val="000000"/>
              </w:rPr>
            </w:pPr>
            <w:r w:rsidRPr="004F5FB4">
              <w:rPr>
                <w:rFonts w:ascii="Times New Roman" w:hAnsi="Times New Roman"/>
                <w:b/>
                <w:color w:val="000000"/>
              </w:rPr>
              <w:t>Ansprechen</w:t>
            </w:r>
          </w:p>
        </w:tc>
        <w:tc>
          <w:tcPr>
            <w:tcW w:w="2593" w:type="dxa"/>
            <w:gridSpan w:val="2"/>
            <w:shd w:val="clear" w:color="auto" w:fill="auto"/>
            <w:vAlign w:val="center"/>
          </w:tcPr>
          <w:p w14:paraId="773C441F" w14:textId="77777777" w:rsidR="00155496" w:rsidRPr="004F5FB4" w:rsidRDefault="00155496" w:rsidP="005A68B9">
            <w:pPr>
              <w:pStyle w:val="TableParagraph"/>
              <w:keepNext/>
              <w:keepLines/>
              <w:widowControl/>
              <w:kinsoku w:val="0"/>
              <w:overflowPunct w:val="0"/>
              <w:spacing w:line="260" w:lineRule="exact"/>
              <w:ind w:left="53"/>
              <w:jc w:val="center"/>
              <w:rPr>
                <w:rFonts w:ascii="Times New Roman" w:hAnsi="Times New Roman"/>
                <w:b/>
                <w:color w:val="000000"/>
              </w:rPr>
            </w:pPr>
            <w:r w:rsidRPr="004F5FB4">
              <w:rPr>
                <w:rFonts w:ascii="Times New Roman" w:hAnsi="Times New Roman"/>
                <w:b/>
                <w:color w:val="000000"/>
              </w:rPr>
              <w:t>RA-Studie I</w:t>
            </w:r>
            <w:r w:rsidRPr="004F5FB4">
              <w:rPr>
                <w:rFonts w:ascii="Times New Roman" w:hAnsi="Times New Roman"/>
                <w:b/>
                <w:color w:val="000000"/>
                <w:vertAlign w:val="superscript"/>
              </w:rPr>
              <w:t>a</w:t>
            </w:r>
            <w:r w:rsidRPr="004F5FB4">
              <w:rPr>
                <w:rFonts w:ascii="Times New Roman" w:hAnsi="Times New Roman"/>
                <w:b/>
                <w:color w:val="000000"/>
              </w:rPr>
              <w:t>**</w:t>
            </w:r>
          </w:p>
        </w:tc>
        <w:tc>
          <w:tcPr>
            <w:tcW w:w="2790" w:type="dxa"/>
            <w:gridSpan w:val="2"/>
            <w:shd w:val="clear" w:color="auto" w:fill="auto"/>
            <w:vAlign w:val="center"/>
          </w:tcPr>
          <w:p w14:paraId="5E0E4070" w14:textId="77777777" w:rsidR="00155496" w:rsidRPr="004F5FB4" w:rsidRDefault="00155496" w:rsidP="005A68B9">
            <w:pPr>
              <w:pStyle w:val="TableParagraph"/>
              <w:keepNext/>
              <w:keepLines/>
              <w:widowControl/>
              <w:kinsoku w:val="0"/>
              <w:overflowPunct w:val="0"/>
              <w:spacing w:line="260" w:lineRule="exact"/>
              <w:ind w:left="69"/>
              <w:jc w:val="center"/>
              <w:rPr>
                <w:rFonts w:ascii="Times New Roman" w:hAnsi="Times New Roman"/>
                <w:b/>
                <w:color w:val="000000"/>
              </w:rPr>
            </w:pPr>
            <w:r w:rsidRPr="004F5FB4">
              <w:rPr>
                <w:rFonts w:ascii="Times New Roman" w:hAnsi="Times New Roman"/>
                <w:b/>
                <w:color w:val="000000"/>
              </w:rPr>
              <w:t>RA-Studie II</w:t>
            </w:r>
            <w:r w:rsidRPr="004F5FB4">
              <w:rPr>
                <w:rFonts w:ascii="Times New Roman" w:hAnsi="Times New Roman"/>
                <w:b/>
                <w:color w:val="000000"/>
                <w:vertAlign w:val="superscript"/>
              </w:rPr>
              <w:t>a</w:t>
            </w:r>
            <w:r w:rsidRPr="004F5FB4">
              <w:rPr>
                <w:rFonts w:ascii="Times New Roman" w:hAnsi="Times New Roman"/>
                <w:b/>
                <w:color w:val="000000"/>
              </w:rPr>
              <w:t>**</w:t>
            </w:r>
          </w:p>
        </w:tc>
        <w:tc>
          <w:tcPr>
            <w:tcW w:w="2610" w:type="dxa"/>
            <w:gridSpan w:val="2"/>
            <w:shd w:val="clear" w:color="auto" w:fill="auto"/>
            <w:vAlign w:val="center"/>
          </w:tcPr>
          <w:p w14:paraId="63CAE72C" w14:textId="77777777" w:rsidR="00155496" w:rsidRPr="004F5FB4" w:rsidRDefault="00155496" w:rsidP="005A68B9">
            <w:pPr>
              <w:pStyle w:val="TableParagraph"/>
              <w:keepNext/>
              <w:keepLines/>
              <w:widowControl/>
              <w:kinsoku w:val="0"/>
              <w:overflowPunct w:val="0"/>
              <w:spacing w:line="260" w:lineRule="exact"/>
              <w:jc w:val="center"/>
              <w:rPr>
                <w:rFonts w:ascii="Times New Roman" w:hAnsi="Times New Roman"/>
                <w:b/>
                <w:color w:val="000000"/>
              </w:rPr>
            </w:pPr>
            <w:r w:rsidRPr="004F5FB4">
              <w:rPr>
                <w:rFonts w:ascii="Times New Roman" w:hAnsi="Times New Roman"/>
                <w:b/>
                <w:color w:val="000000"/>
              </w:rPr>
              <w:t>RA-Studie III</w:t>
            </w:r>
            <w:r w:rsidRPr="004F5FB4">
              <w:rPr>
                <w:rFonts w:ascii="Times New Roman" w:hAnsi="Times New Roman"/>
                <w:b/>
                <w:color w:val="000000"/>
                <w:vertAlign w:val="superscript"/>
              </w:rPr>
              <w:t>a</w:t>
            </w:r>
            <w:r w:rsidRPr="004F5FB4">
              <w:rPr>
                <w:rFonts w:ascii="Times New Roman" w:hAnsi="Times New Roman"/>
                <w:b/>
                <w:color w:val="000000"/>
              </w:rPr>
              <w:t>**</w:t>
            </w:r>
          </w:p>
        </w:tc>
      </w:tr>
      <w:tr w:rsidR="00155496" w:rsidRPr="004F5FB4" w14:paraId="1ADECB2C" w14:textId="77777777" w:rsidTr="00687087">
        <w:trPr>
          <w:tblHeader/>
        </w:trPr>
        <w:tc>
          <w:tcPr>
            <w:tcW w:w="1384" w:type="dxa"/>
            <w:vMerge/>
            <w:shd w:val="clear" w:color="auto" w:fill="auto"/>
          </w:tcPr>
          <w:p w14:paraId="5424B917" w14:textId="77777777" w:rsidR="00155496" w:rsidRPr="004F5FB4" w:rsidRDefault="00155496" w:rsidP="005A68B9">
            <w:pPr>
              <w:pStyle w:val="TableParagraph"/>
              <w:keepNext/>
              <w:keepLines/>
              <w:widowControl/>
              <w:kinsoku w:val="0"/>
              <w:overflowPunct w:val="0"/>
              <w:spacing w:line="260" w:lineRule="exact"/>
              <w:ind w:left="626"/>
              <w:rPr>
                <w:rFonts w:ascii="Times New Roman" w:hAnsi="Times New Roman"/>
                <w:b/>
                <w:color w:val="000000"/>
                <w:lang w:val="en-GB"/>
              </w:rPr>
            </w:pPr>
          </w:p>
        </w:tc>
        <w:tc>
          <w:tcPr>
            <w:tcW w:w="1059" w:type="dxa"/>
            <w:shd w:val="clear" w:color="auto" w:fill="auto"/>
          </w:tcPr>
          <w:p w14:paraId="1FDD8CE3" w14:textId="77777777" w:rsidR="00155496" w:rsidRPr="004F5FB4" w:rsidRDefault="00155496" w:rsidP="005A68B9">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c</w:t>
            </w:r>
          </w:p>
          <w:p w14:paraId="117298AA" w14:textId="77777777" w:rsidR="00155496" w:rsidRPr="004F5FB4" w:rsidRDefault="00155496" w:rsidP="00DF1E6B">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DF1E6B" w:rsidRPr="004F5FB4">
              <w:rPr>
                <w:rFonts w:ascii="Times New Roman" w:hAnsi="Times New Roman"/>
                <w:b/>
                <w:color w:val="000000"/>
              </w:rPr>
              <w:t> </w:t>
            </w:r>
            <w:r w:rsidRPr="004F5FB4">
              <w:rPr>
                <w:rFonts w:ascii="Times New Roman" w:hAnsi="Times New Roman"/>
                <w:b/>
                <w:color w:val="000000"/>
              </w:rPr>
              <w:t>=</w:t>
            </w:r>
            <w:r w:rsidR="00DF1E6B" w:rsidRPr="004F5FB4">
              <w:rPr>
                <w:rFonts w:ascii="Times New Roman" w:hAnsi="Times New Roman"/>
                <w:b/>
                <w:color w:val="000000"/>
              </w:rPr>
              <w:t> </w:t>
            </w:r>
            <w:r w:rsidRPr="004F5FB4">
              <w:rPr>
                <w:rFonts w:ascii="Times New Roman" w:hAnsi="Times New Roman"/>
                <w:b/>
                <w:color w:val="000000"/>
              </w:rPr>
              <w:t>60</w:t>
            </w:r>
          </w:p>
        </w:tc>
        <w:tc>
          <w:tcPr>
            <w:tcW w:w="1534" w:type="dxa"/>
            <w:shd w:val="clear" w:color="auto" w:fill="auto"/>
            <w:vAlign w:val="center"/>
          </w:tcPr>
          <w:p w14:paraId="74576E12" w14:textId="77777777" w:rsidR="00155496" w:rsidRPr="004F5FB4" w:rsidRDefault="00155496" w:rsidP="005A68B9">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r w:rsidRPr="004F5FB4">
              <w:rPr>
                <w:rFonts w:ascii="Times New Roman" w:hAnsi="Times New Roman"/>
                <w:b/>
                <w:color w:val="000000"/>
              </w:rPr>
              <w:t>/MTX</w:t>
            </w:r>
            <w:r w:rsidRPr="004F5FB4">
              <w:rPr>
                <w:rFonts w:ascii="Times New Roman" w:hAnsi="Times New Roman"/>
                <w:b/>
                <w:color w:val="000000"/>
                <w:vertAlign w:val="superscript"/>
              </w:rPr>
              <w:t>c</w:t>
            </w:r>
          </w:p>
          <w:p w14:paraId="5926B135" w14:textId="77777777" w:rsidR="00155496" w:rsidRPr="004F5FB4" w:rsidRDefault="00155496" w:rsidP="00DF1E6B">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DF1E6B" w:rsidRPr="004F5FB4">
              <w:rPr>
                <w:rFonts w:ascii="Times New Roman" w:hAnsi="Times New Roman"/>
                <w:b/>
                <w:color w:val="000000"/>
              </w:rPr>
              <w:t> </w:t>
            </w:r>
            <w:r w:rsidRPr="004F5FB4">
              <w:rPr>
                <w:rFonts w:ascii="Times New Roman" w:hAnsi="Times New Roman"/>
                <w:b/>
                <w:color w:val="000000"/>
              </w:rPr>
              <w:t>=</w:t>
            </w:r>
            <w:r w:rsidR="00DF1E6B" w:rsidRPr="004F5FB4">
              <w:rPr>
                <w:rFonts w:ascii="Times New Roman" w:hAnsi="Times New Roman"/>
                <w:b/>
                <w:color w:val="000000"/>
              </w:rPr>
              <w:t> </w:t>
            </w:r>
            <w:r w:rsidRPr="004F5FB4">
              <w:rPr>
                <w:rFonts w:ascii="Times New Roman" w:hAnsi="Times New Roman"/>
                <w:b/>
                <w:color w:val="000000"/>
              </w:rPr>
              <w:t>63</w:t>
            </w:r>
          </w:p>
        </w:tc>
        <w:tc>
          <w:tcPr>
            <w:tcW w:w="1058" w:type="dxa"/>
            <w:shd w:val="clear" w:color="auto" w:fill="auto"/>
            <w:vAlign w:val="center"/>
          </w:tcPr>
          <w:p w14:paraId="3C692415" w14:textId="77777777" w:rsidR="00155496" w:rsidRPr="004F5FB4" w:rsidRDefault="00155496" w:rsidP="005A68B9">
            <w:pPr>
              <w:pStyle w:val="TableParagraph"/>
              <w:keepNext/>
              <w:keepLines/>
              <w:widowControl/>
              <w:kinsoku w:val="0"/>
              <w:overflowPunct w:val="0"/>
              <w:ind w:hanging="66"/>
              <w:jc w:val="center"/>
              <w:rPr>
                <w:rFonts w:ascii="Times New Roman" w:hAnsi="Times New Roman"/>
                <w:b/>
                <w:color w:val="000000"/>
              </w:rPr>
            </w:pPr>
            <w:r w:rsidRPr="004F5FB4">
              <w:rPr>
                <w:rFonts w:ascii="Times New Roman" w:hAnsi="Times New Roman"/>
                <w:b/>
                <w:color w:val="000000"/>
              </w:rPr>
              <w:t>Placebo</w:t>
            </w:r>
          </w:p>
          <w:p w14:paraId="289A0DB3" w14:textId="77777777" w:rsidR="00155496" w:rsidRPr="004F5FB4" w:rsidRDefault="00155496" w:rsidP="00DF1E6B">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DF1E6B" w:rsidRPr="004F5FB4">
              <w:rPr>
                <w:rFonts w:ascii="Times New Roman" w:hAnsi="Times New Roman"/>
                <w:b/>
                <w:color w:val="000000"/>
              </w:rPr>
              <w:t> </w:t>
            </w:r>
            <w:r w:rsidRPr="004F5FB4">
              <w:rPr>
                <w:rFonts w:ascii="Times New Roman" w:hAnsi="Times New Roman"/>
                <w:b/>
                <w:color w:val="000000"/>
              </w:rPr>
              <w:t>=</w:t>
            </w:r>
            <w:r w:rsidR="00DF1E6B" w:rsidRPr="004F5FB4">
              <w:rPr>
                <w:rFonts w:ascii="Times New Roman" w:hAnsi="Times New Roman"/>
                <w:b/>
                <w:color w:val="000000"/>
              </w:rPr>
              <w:t> </w:t>
            </w:r>
            <w:r w:rsidRPr="004F5FB4">
              <w:rPr>
                <w:rFonts w:ascii="Times New Roman" w:hAnsi="Times New Roman"/>
                <w:b/>
                <w:color w:val="000000"/>
              </w:rPr>
              <w:t>110</w:t>
            </w:r>
          </w:p>
        </w:tc>
        <w:tc>
          <w:tcPr>
            <w:tcW w:w="1732" w:type="dxa"/>
            <w:shd w:val="clear" w:color="auto" w:fill="auto"/>
            <w:vAlign w:val="center"/>
          </w:tcPr>
          <w:p w14:paraId="390C5E39" w14:textId="77777777" w:rsidR="00155496" w:rsidRPr="004F5FB4" w:rsidRDefault="00155496" w:rsidP="005A68B9">
            <w:pPr>
              <w:pStyle w:val="TableParagraph"/>
              <w:keepNext/>
              <w:keepLines/>
              <w:widowControl/>
              <w:kinsoku w:val="0"/>
              <w:overflowPunct w:val="0"/>
              <w:ind w:left="59" w:right="9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p>
          <w:p w14:paraId="2A879483" w14:textId="77777777" w:rsidR="00155496" w:rsidRPr="004F5FB4" w:rsidRDefault="00155496" w:rsidP="00DF1E6B">
            <w:pPr>
              <w:pStyle w:val="TableParagraph"/>
              <w:keepNext/>
              <w:keepLines/>
              <w:widowControl/>
              <w:kinsoku w:val="0"/>
              <w:overflowPunct w:val="0"/>
              <w:ind w:left="59" w:right="90"/>
              <w:jc w:val="center"/>
              <w:rPr>
                <w:rFonts w:ascii="Times New Roman" w:hAnsi="Times New Roman"/>
                <w:b/>
                <w:color w:val="000000"/>
              </w:rPr>
            </w:pPr>
            <w:r w:rsidRPr="004F5FB4">
              <w:rPr>
                <w:rFonts w:ascii="Times New Roman" w:hAnsi="Times New Roman"/>
                <w:b/>
                <w:color w:val="000000"/>
              </w:rPr>
              <w:t>n</w:t>
            </w:r>
            <w:r w:rsidR="00DF1E6B" w:rsidRPr="004F5FB4">
              <w:rPr>
                <w:rFonts w:ascii="Times New Roman" w:hAnsi="Times New Roman"/>
                <w:b/>
                <w:color w:val="000000"/>
              </w:rPr>
              <w:t> </w:t>
            </w:r>
            <w:r w:rsidRPr="004F5FB4">
              <w:rPr>
                <w:rFonts w:ascii="Times New Roman" w:hAnsi="Times New Roman"/>
                <w:b/>
                <w:color w:val="000000"/>
              </w:rPr>
              <w:t>=</w:t>
            </w:r>
            <w:r w:rsidR="00DF1E6B" w:rsidRPr="004F5FB4">
              <w:rPr>
                <w:rFonts w:ascii="Times New Roman" w:hAnsi="Times New Roman"/>
                <w:b/>
                <w:color w:val="000000"/>
              </w:rPr>
              <w:t> </w:t>
            </w:r>
            <w:r w:rsidRPr="004F5FB4">
              <w:rPr>
                <w:rFonts w:ascii="Times New Roman" w:hAnsi="Times New Roman"/>
                <w:b/>
                <w:color w:val="000000"/>
              </w:rPr>
              <w:t>113</w:t>
            </w:r>
          </w:p>
        </w:tc>
        <w:tc>
          <w:tcPr>
            <w:tcW w:w="1024" w:type="dxa"/>
            <w:shd w:val="clear" w:color="auto" w:fill="auto"/>
            <w:vAlign w:val="center"/>
          </w:tcPr>
          <w:p w14:paraId="2E593D55" w14:textId="77777777" w:rsidR="00155496" w:rsidRPr="004F5FB4" w:rsidRDefault="00155496" w:rsidP="005A68B9">
            <w:pPr>
              <w:pStyle w:val="TableParagraph"/>
              <w:keepNext/>
              <w:keepLines/>
              <w:widowControl/>
              <w:kinsoku w:val="0"/>
              <w:overflowPunct w:val="0"/>
              <w:ind w:hanging="3"/>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c</w:t>
            </w:r>
          </w:p>
          <w:p w14:paraId="3092B441" w14:textId="77777777" w:rsidR="00155496" w:rsidRPr="004F5FB4" w:rsidRDefault="00155496" w:rsidP="00DF1E6B">
            <w:pPr>
              <w:pStyle w:val="TableParagraph"/>
              <w:keepNext/>
              <w:keepLines/>
              <w:widowControl/>
              <w:kinsoku w:val="0"/>
              <w:overflowPunct w:val="0"/>
              <w:ind w:hanging="3"/>
              <w:jc w:val="center"/>
              <w:rPr>
                <w:rFonts w:ascii="Times New Roman" w:hAnsi="Times New Roman"/>
                <w:b/>
                <w:color w:val="000000"/>
              </w:rPr>
            </w:pPr>
            <w:r w:rsidRPr="004F5FB4">
              <w:rPr>
                <w:rFonts w:ascii="Times New Roman" w:hAnsi="Times New Roman"/>
                <w:b/>
                <w:color w:val="000000"/>
              </w:rPr>
              <w:t>n</w:t>
            </w:r>
            <w:r w:rsidR="00DF1E6B" w:rsidRPr="004F5FB4">
              <w:rPr>
                <w:rFonts w:ascii="Times New Roman" w:hAnsi="Times New Roman"/>
                <w:b/>
                <w:color w:val="000000"/>
              </w:rPr>
              <w:t> </w:t>
            </w:r>
            <w:r w:rsidRPr="004F5FB4">
              <w:rPr>
                <w:rFonts w:ascii="Times New Roman" w:hAnsi="Times New Roman"/>
                <w:b/>
                <w:color w:val="000000"/>
              </w:rPr>
              <w:t>=</w:t>
            </w:r>
            <w:r w:rsidR="00DF1E6B" w:rsidRPr="004F5FB4">
              <w:rPr>
                <w:rFonts w:ascii="Times New Roman" w:hAnsi="Times New Roman"/>
                <w:b/>
                <w:color w:val="000000"/>
              </w:rPr>
              <w:t> </w:t>
            </w:r>
            <w:r w:rsidRPr="004F5FB4">
              <w:rPr>
                <w:rFonts w:ascii="Times New Roman" w:hAnsi="Times New Roman"/>
                <w:b/>
                <w:color w:val="000000"/>
              </w:rPr>
              <w:t>200</w:t>
            </w:r>
          </w:p>
        </w:tc>
        <w:tc>
          <w:tcPr>
            <w:tcW w:w="1586" w:type="dxa"/>
            <w:shd w:val="clear" w:color="auto" w:fill="auto"/>
            <w:vAlign w:val="center"/>
          </w:tcPr>
          <w:p w14:paraId="0719FB4E" w14:textId="77777777" w:rsidR="00155496" w:rsidRPr="004F5FB4" w:rsidRDefault="00155496" w:rsidP="005A68B9">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Adalimumab</w:t>
            </w:r>
            <w:r w:rsidRPr="004F5FB4">
              <w:rPr>
                <w:rFonts w:ascii="Times New Roman" w:hAnsi="Times New Roman"/>
                <w:b/>
                <w:color w:val="000000"/>
                <w:vertAlign w:val="superscript"/>
              </w:rPr>
              <w:t>b</w:t>
            </w:r>
            <w:r w:rsidRPr="004F5FB4">
              <w:rPr>
                <w:rFonts w:ascii="Times New Roman" w:hAnsi="Times New Roman"/>
                <w:b/>
                <w:color w:val="000000"/>
              </w:rPr>
              <w:t>/MTX</w:t>
            </w:r>
            <w:r w:rsidRPr="004F5FB4">
              <w:rPr>
                <w:rFonts w:ascii="Times New Roman" w:hAnsi="Times New Roman"/>
                <w:b/>
                <w:color w:val="000000"/>
                <w:vertAlign w:val="superscript"/>
              </w:rPr>
              <w:t>c</w:t>
            </w:r>
          </w:p>
          <w:p w14:paraId="0ACAA313" w14:textId="77777777" w:rsidR="00155496" w:rsidRPr="004F5FB4" w:rsidRDefault="00155496" w:rsidP="00DF1E6B">
            <w:pPr>
              <w:pStyle w:val="TableParagraph"/>
              <w:keepNext/>
              <w:keepLines/>
              <w:widowControl/>
              <w:kinsoku w:val="0"/>
              <w:overflowPunct w:val="0"/>
              <w:jc w:val="center"/>
              <w:rPr>
                <w:rFonts w:ascii="Times New Roman" w:hAnsi="Times New Roman"/>
                <w:b/>
                <w:color w:val="000000"/>
              </w:rPr>
            </w:pPr>
            <w:r w:rsidRPr="004F5FB4">
              <w:rPr>
                <w:rFonts w:ascii="Times New Roman" w:hAnsi="Times New Roman"/>
                <w:b/>
                <w:color w:val="000000"/>
              </w:rPr>
              <w:t>n</w:t>
            </w:r>
            <w:r w:rsidR="00DF1E6B" w:rsidRPr="004F5FB4">
              <w:rPr>
                <w:rFonts w:ascii="Times New Roman" w:hAnsi="Times New Roman"/>
                <w:b/>
                <w:color w:val="000000"/>
              </w:rPr>
              <w:t> </w:t>
            </w:r>
            <w:r w:rsidRPr="004F5FB4">
              <w:rPr>
                <w:rFonts w:ascii="Times New Roman" w:hAnsi="Times New Roman"/>
                <w:b/>
                <w:color w:val="000000"/>
              </w:rPr>
              <w:t>=</w:t>
            </w:r>
            <w:r w:rsidR="00DF1E6B" w:rsidRPr="004F5FB4">
              <w:rPr>
                <w:rFonts w:ascii="Times New Roman" w:hAnsi="Times New Roman"/>
                <w:b/>
                <w:color w:val="000000"/>
              </w:rPr>
              <w:t> </w:t>
            </w:r>
            <w:r w:rsidRPr="004F5FB4">
              <w:rPr>
                <w:rFonts w:ascii="Times New Roman" w:hAnsi="Times New Roman"/>
                <w:b/>
                <w:color w:val="000000"/>
              </w:rPr>
              <w:t>207</w:t>
            </w:r>
          </w:p>
        </w:tc>
      </w:tr>
      <w:tr w:rsidR="00155496" w:rsidRPr="004F5FB4" w14:paraId="22DA1A50" w14:textId="77777777" w:rsidTr="00687087">
        <w:tc>
          <w:tcPr>
            <w:tcW w:w="1384" w:type="dxa"/>
            <w:shd w:val="clear" w:color="auto" w:fill="auto"/>
          </w:tcPr>
          <w:p w14:paraId="70252475" w14:textId="77777777" w:rsidR="00155496" w:rsidRPr="004F5FB4" w:rsidRDefault="00155496" w:rsidP="005A68B9">
            <w:pPr>
              <w:pStyle w:val="TableParagraph"/>
              <w:keepNext/>
              <w:keepLines/>
              <w:widowControl/>
              <w:kinsoku w:val="0"/>
              <w:overflowPunct w:val="0"/>
              <w:spacing w:before="6"/>
              <w:ind w:left="-2"/>
              <w:rPr>
                <w:rFonts w:ascii="Times New Roman" w:hAnsi="Times New Roman"/>
                <w:color w:val="000000"/>
              </w:rPr>
            </w:pPr>
            <w:r w:rsidRPr="004F5FB4">
              <w:rPr>
                <w:rFonts w:ascii="Times New Roman" w:hAnsi="Times New Roman"/>
                <w:color w:val="000000"/>
              </w:rPr>
              <w:t>ACR-20</w:t>
            </w:r>
          </w:p>
        </w:tc>
        <w:tc>
          <w:tcPr>
            <w:tcW w:w="1059" w:type="dxa"/>
            <w:shd w:val="clear" w:color="auto" w:fill="auto"/>
          </w:tcPr>
          <w:p w14:paraId="5BF495A9" w14:textId="77777777" w:rsidR="00155496" w:rsidRPr="004F5FB4" w:rsidRDefault="00155496" w:rsidP="005A68B9">
            <w:pPr>
              <w:pStyle w:val="TableParagraph"/>
              <w:keepNext/>
              <w:keepLines/>
              <w:widowControl/>
              <w:kinsoku w:val="0"/>
              <w:overflowPunct w:val="0"/>
              <w:jc w:val="center"/>
              <w:rPr>
                <w:rFonts w:ascii="Times New Roman" w:hAnsi="Times New Roman"/>
                <w:color w:val="000000"/>
                <w:lang w:val="en-GB"/>
              </w:rPr>
            </w:pPr>
          </w:p>
        </w:tc>
        <w:tc>
          <w:tcPr>
            <w:tcW w:w="1534" w:type="dxa"/>
            <w:shd w:val="clear" w:color="auto" w:fill="auto"/>
          </w:tcPr>
          <w:p w14:paraId="511E69A8" w14:textId="77777777" w:rsidR="00155496" w:rsidRPr="004F5FB4" w:rsidRDefault="00155496" w:rsidP="005A68B9">
            <w:pPr>
              <w:pStyle w:val="TableParagraph"/>
              <w:keepNext/>
              <w:keepLines/>
              <w:widowControl/>
              <w:kinsoku w:val="0"/>
              <w:overflowPunct w:val="0"/>
              <w:jc w:val="center"/>
              <w:rPr>
                <w:rFonts w:ascii="Times New Roman" w:hAnsi="Times New Roman"/>
                <w:color w:val="000000"/>
                <w:lang w:val="en-GB"/>
              </w:rPr>
            </w:pPr>
          </w:p>
        </w:tc>
        <w:tc>
          <w:tcPr>
            <w:tcW w:w="1058" w:type="dxa"/>
            <w:shd w:val="clear" w:color="auto" w:fill="auto"/>
          </w:tcPr>
          <w:p w14:paraId="16C83623" w14:textId="77777777" w:rsidR="00155496" w:rsidRPr="004F5FB4" w:rsidRDefault="00155496" w:rsidP="005A68B9">
            <w:pPr>
              <w:pStyle w:val="TableParagraph"/>
              <w:keepNext/>
              <w:keepLines/>
              <w:widowControl/>
              <w:kinsoku w:val="0"/>
              <w:overflowPunct w:val="0"/>
              <w:jc w:val="center"/>
              <w:rPr>
                <w:rFonts w:ascii="Times New Roman" w:hAnsi="Times New Roman"/>
                <w:color w:val="000000"/>
                <w:lang w:val="en-GB"/>
              </w:rPr>
            </w:pPr>
          </w:p>
        </w:tc>
        <w:tc>
          <w:tcPr>
            <w:tcW w:w="1732" w:type="dxa"/>
            <w:shd w:val="clear" w:color="auto" w:fill="auto"/>
          </w:tcPr>
          <w:p w14:paraId="19D1A9F8" w14:textId="77777777" w:rsidR="00155496" w:rsidRPr="004F5FB4" w:rsidRDefault="00155496" w:rsidP="005A68B9">
            <w:pPr>
              <w:pStyle w:val="TableParagraph"/>
              <w:keepNext/>
              <w:keepLines/>
              <w:widowControl/>
              <w:kinsoku w:val="0"/>
              <w:overflowPunct w:val="0"/>
              <w:jc w:val="center"/>
              <w:rPr>
                <w:rFonts w:ascii="Times New Roman" w:hAnsi="Times New Roman"/>
                <w:color w:val="000000"/>
                <w:lang w:val="en-GB"/>
              </w:rPr>
            </w:pPr>
          </w:p>
        </w:tc>
        <w:tc>
          <w:tcPr>
            <w:tcW w:w="1024" w:type="dxa"/>
            <w:shd w:val="clear" w:color="auto" w:fill="auto"/>
          </w:tcPr>
          <w:p w14:paraId="1B724CFD" w14:textId="77777777" w:rsidR="00155496" w:rsidRPr="004F5FB4" w:rsidRDefault="00155496" w:rsidP="005A68B9">
            <w:pPr>
              <w:pStyle w:val="TableParagraph"/>
              <w:keepNext/>
              <w:keepLines/>
              <w:widowControl/>
              <w:kinsoku w:val="0"/>
              <w:overflowPunct w:val="0"/>
              <w:jc w:val="center"/>
              <w:rPr>
                <w:rFonts w:ascii="Times New Roman" w:hAnsi="Times New Roman"/>
                <w:color w:val="000000"/>
                <w:lang w:val="en-GB"/>
              </w:rPr>
            </w:pPr>
          </w:p>
        </w:tc>
        <w:tc>
          <w:tcPr>
            <w:tcW w:w="1586" w:type="dxa"/>
            <w:shd w:val="clear" w:color="auto" w:fill="auto"/>
          </w:tcPr>
          <w:p w14:paraId="0B003ABD" w14:textId="77777777" w:rsidR="00155496" w:rsidRPr="004F5FB4" w:rsidRDefault="00155496" w:rsidP="005A68B9">
            <w:pPr>
              <w:pStyle w:val="TableParagraph"/>
              <w:keepNext/>
              <w:keepLines/>
              <w:widowControl/>
              <w:kinsoku w:val="0"/>
              <w:overflowPunct w:val="0"/>
              <w:jc w:val="center"/>
              <w:rPr>
                <w:rFonts w:ascii="Times New Roman" w:hAnsi="Times New Roman"/>
                <w:color w:val="000000"/>
                <w:lang w:val="en-GB"/>
              </w:rPr>
            </w:pPr>
          </w:p>
        </w:tc>
      </w:tr>
      <w:tr w:rsidR="00155496" w:rsidRPr="004F5FB4" w14:paraId="2F88EC77" w14:textId="77777777" w:rsidTr="00687087">
        <w:tc>
          <w:tcPr>
            <w:tcW w:w="1384" w:type="dxa"/>
            <w:shd w:val="clear" w:color="auto" w:fill="auto"/>
          </w:tcPr>
          <w:p w14:paraId="243024A3" w14:textId="77777777" w:rsidR="00155496" w:rsidRPr="004F5FB4" w:rsidRDefault="00155496" w:rsidP="005A68B9">
            <w:pPr>
              <w:pStyle w:val="TableParagraph"/>
              <w:keepNext/>
              <w:keepLines/>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6</w:t>
            </w:r>
            <w:r w:rsidR="001A6074"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65FA562E" w14:textId="77777777" w:rsidR="00155496" w:rsidRPr="004F5FB4"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13,3</w:t>
            </w:r>
            <w:r w:rsidR="0059638A" w:rsidRPr="004F5FB4">
              <w:rPr>
                <w:rFonts w:ascii="Times New Roman" w:hAnsi="Times New Roman"/>
                <w:color w:val="000000"/>
              </w:rPr>
              <w:t> </w:t>
            </w:r>
            <w:r w:rsidRPr="004F5FB4">
              <w:rPr>
                <w:rFonts w:ascii="Times New Roman" w:hAnsi="Times New Roman"/>
                <w:color w:val="000000"/>
              </w:rPr>
              <w:t>%</w:t>
            </w:r>
          </w:p>
        </w:tc>
        <w:tc>
          <w:tcPr>
            <w:tcW w:w="1534" w:type="dxa"/>
            <w:shd w:val="clear" w:color="auto" w:fill="auto"/>
          </w:tcPr>
          <w:p w14:paraId="4FC9222A" w14:textId="77777777" w:rsidR="00155496" w:rsidRPr="004F5FB4"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65,1 %</w:t>
            </w:r>
          </w:p>
        </w:tc>
        <w:tc>
          <w:tcPr>
            <w:tcW w:w="1058" w:type="dxa"/>
            <w:shd w:val="clear" w:color="auto" w:fill="auto"/>
          </w:tcPr>
          <w:p w14:paraId="72307DF8" w14:textId="77777777" w:rsidR="00155496" w:rsidRPr="004F5FB4"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19,1 %</w:t>
            </w:r>
          </w:p>
        </w:tc>
        <w:tc>
          <w:tcPr>
            <w:tcW w:w="1732" w:type="dxa"/>
            <w:shd w:val="clear" w:color="auto" w:fill="auto"/>
          </w:tcPr>
          <w:p w14:paraId="495D95B2" w14:textId="77777777" w:rsidR="00155496" w:rsidRPr="004F5FB4"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46,0 %</w:t>
            </w:r>
          </w:p>
        </w:tc>
        <w:tc>
          <w:tcPr>
            <w:tcW w:w="1024" w:type="dxa"/>
            <w:shd w:val="clear" w:color="auto" w:fill="auto"/>
          </w:tcPr>
          <w:p w14:paraId="26449838" w14:textId="77777777" w:rsidR="00155496" w:rsidRPr="004F5FB4"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29,5 %</w:t>
            </w:r>
          </w:p>
        </w:tc>
        <w:tc>
          <w:tcPr>
            <w:tcW w:w="1586" w:type="dxa"/>
            <w:shd w:val="clear" w:color="auto" w:fill="auto"/>
          </w:tcPr>
          <w:p w14:paraId="30906BEB" w14:textId="77777777" w:rsidR="00155496" w:rsidRPr="004F5FB4"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63,3 %</w:t>
            </w:r>
          </w:p>
        </w:tc>
      </w:tr>
      <w:tr w:rsidR="00155496" w:rsidRPr="004F5FB4" w14:paraId="12470704" w14:textId="77777777" w:rsidTr="00687087">
        <w:tc>
          <w:tcPr>
            <w:tcW w:w="1384" w:type="dxa"/>
            <w:shd w:val="clear" w:color="auto" w:fill="auto"/>
          </w:tcPr>
          <w:p w14:paraId="32E45FC2" w14:textId="77777777" w:rsidR="00155496" w:rsidRPr="004F5FB4" w:rsidRDefault="00155496" w:rsidP="005A68B9">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w:t>
            </w:r>
            <w:r w:rsidR="00DF1E6B"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7E3A56BC"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shd w:val="clear" w:color="auto" w:fill="auto"/>
          </w:tcPr>
          <w:p w14:paraId="1F1E7285"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58" w:type="dxa"/>
            <w:shd w:val="clear" w:color="auto" w:fill="auto"/>
          </w:tcPr>
          <w:p w14:paraId="6E1C147B"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32" w:type="dxa"/>
            <w:shd w:val="clear" w:color="auto" w:fill="auto"/>
          </w:tcPr>
          <w:p w14:paraId="464AAD6B"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24" w:type="dxa"/>
            <w:shd w:val="clear" w:color="auto" w:fill="auto"/>
          </w:tcPr>
          <w:p w14:paraId="39EBA9BA"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24,0 %</w:t>
            </w:r>
          </w:p>
        </w:tc>
        <w:tc>
          <w:tcPr>
            <w:tcW w:w="1586" w:type="dxa"/>
            <w:shd w:val="clear" w:color="auto" w:fill="auto"/>
          </w:tcPr>
          <w:p w14:paraId="20DB25D4"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58,9 %</w:t>
            </w:r>
          </w:p>
        </w:tc>
      </w:tr>
      <w:tr w:rsidR="00155496" w:rsidRPr="004F5FB4" w14:paraId="3CB2279F" w14:textId="77777777" w:rsidTr="00687087">
        <w:tc>
          <w:tcPr>
            <w:tcW w:w="1384" w:type="dxa"/>
            <w:shd w:val="clear" w:color="auto" w:fill="auto"/>
          </w:tcPr>
          <w:p w14:paraId="49E4E57E" w14:textId="77777777" w:rsidR="00155496" w:rsidRPr="004F5FB4" w:rsidRDefault="00155496" w:rsidP="005A68B9">
            <w:pPr>
              <w:pStyle w:val="TableParagraph"/>
              <w:keepNext/>
              <w:keepLines/>
              <w:widowControl/>
              <w:kinsoku w:val="0"/>
              <w:overflowPunct w:val="0"/>
              <w:spacing w:line="252" w:lineRule="exact"/>
              <w:ind w:left="-2"/>
              <w:rPr>
                <w:rFonts w:ascii="Times New Roman" w:hAnsi="Times New Roman"/>
                <w:color w:val="000000"/>
              </w:rPr>
            </w:pPr>
            <w:r w:rsidRPr="004F5FB4">
              <w:rPr>
                <w:rFonts w:ascii="Times New Roman" w:hAnsi="Times New Roman"/>
                <w:color w:val="000000"/>
              </w:rPr>
              <w:t>ACR-50</w:t>
            </w:r>
          </w:p>
        </w:tc>
        <w:tc>
          <w:tcPr>
            <w:tcW w:w="1059" w:type="dxa"/>
            <w:shd w:val="clear" w:color="auto" w:fill="auto"/>
          </w:tcPr>
          <w:p w14:paraId="6D44DFB9" w14:textId="77777777" w:rsidR="00155496" w:rsidRPr="004F5FB4" w:rsidRDefault="00155496" w:rsidP="005A68B9">
            <w:pPr>
              <w:keepNext/>
              <w:keepLines/>
              <w:jc w:val="center"/>
              <w:rPr>
                <w:rFonts w:eastAsia="Calibri"/>
                <w:color w:val="000000"/>
                <w:lang w:val="en-GB"/>
              </w:rPr>
            </w:pPr>
          </w:p>
        </w:tc>
        <w:tc>
          <w:tcPr>
            <w:tcW w:w="1534" w:type="dxa"/>
            <w:shd w:val="clear" w:color="auto" w:fill="auto"/>
          </w:tcPr>
          <w:p w14:paraId="0647AAF4" w14:textId="77777777" w:rsidR="00155496" w:rsidRPr="004F5FB4" w:rsidRDefault="00155496" w:rsidP="005A68B9">
            <w:pPr>
              <w:keepNext/>
              <w:keepLines/>
              <w:jc w:val="center"/>
              <w:rPr>
                <w:rFonts w:eastAsia="Calibri"/>
                <w:color w:val="000000"/>
                <w:lang w:val="en-GB"/>
              </w:rPr>
            </w:pPr>
          </w:p>
        </w:tc>
        <w:tc>
          <w:tcPr>
            <w:tcW w:w="1058" w:type="dxa"/>
            <w:shd w:val="clear" w:color="auto" w:fill="auto"/>
          </w:tcPr>
          <w:p w14:paraId="0676181A" w14:textId="77777777" w:rsidR="00155496" w:rsidRPr="004F5FB4" w:rsidRDefault="00155496" w:rsidP="005A68B9">
            <w:pPr>
              <w:keepNext/>
              <w:keepLines/>
              <w:jc w:val="center"/>
              <w:rPr>
                <w:rFonts w:eastAsia="Calibri"/>
                <w:color w:val="000000"/>
                <w:lang w:val="en-GB"/>
              </w:rPr>
            </w:pPr>
          </w:p>
        </w:tc>
        <w:tc>
          <w:tcPr>
            <w:tcW w:w="1732" w:type="dxa"/>
            <w:shd w:val="clear" w:color="auto" w:fill="auto"/>
          </w:tcPr>
          <w:p w14:paraId="7B875F87" w14:textId="77777777" w:rsidR="00155496" w:rsidRPr="004F5FB4" w:rsidRDefault="00155496" w:rsidP="005A68B9">
            <w:pPr>
              <w:keepNext/>
              <w:keepLines/>
              <w:jc w:val="center"/>
              <w:rPr>
                <w:rFonts w:eastAsia="Calibri"/>
                <w:color w:val="000000"/>
                <w:lang w:val="en-GB"/>
              </w:rPr>
            </w:pPr>
          </w:p>
        </w:tc>
        <w:tc>
          <w:tcPr>
            <w:tcW w:w="1024" w:type="dxa"/>
            <w:shd w:val="clear" w:color="auto" w:fill="auto"/>
          </w:tcPr>
          <w:p w14:paraId="1368C631" w14:textId="77777777" w:rsidR="00155496" w:rsidRPr="004F5FB4" w:rsidRDefault="00155496" w:rsidP="005A68B9">
            <w:pPr>
              <w:keepNext/>
              <w:keepLines/>
              <w:jc w:val="center"/>
              <w:rPr>
                <w:rFonts w:eastAsia="Calibri"/>
                <w:color w:val="000000"/>
                <w:lang w:val="en-GB"/>
              </w:rPr>
            </w:pPr>
          </w:p>
        </w:tc>
        <w:tc>
          <w:tcPr>
            <w:tcW w:w="1586" w:type="dxa"/>
            <w:shd w:val="clear" w:color="auto" w:fill="auto"/>
          </w:tcPr>
          <w:p w14:paraId="3587FAED" w14:textId="77777777" w:rsidR="00155496" w:rsidRPr="004F5FB4" w:rsidRDefault="00155496" w:rsidP="005A68B9">
            <w:pPr>
              <w:keepNext/>
              <w:keepLines/>
              <w:jc w:val="center"/>
              <w:rPr>
                <w:rFonts w:eastAsia="Calibri"/>
                <w:color w:val="000000"/>
                <w:lang w:val="en-GB"/>
              </w:rPr>
            </w:pPr>
          </w:p>
        </w:tc>
      </w:tr>
      <w:tr w:rsidR="00155496" w:rsidRPr="004F5FB4" w14:paraId="0AFC30B2" w14:textId="77777777" w:rsidTr="00687087">
        <w:tc>
          <w:tcPr>
            <w:tcW w:w="1384" w:type="dxa"/>
            <w:shd w:val="clear" w:color="auto" w:fill="auto"/>
          </w:tcPr>
          <w:p w14:paraId="19A6CA38" w14:textId="77777777" w:rsidR="00155496" w:rsidRPr="004F5FB4" w:rsidRDefault="00155496" w:rsidP="005A68B9">
            <w:pPr>
              <w:pStyle w:val="TableParagraph"/>
              <w:keepNext/>
              <w:keepLines/>
              <w:widowControl/>
              <w:kinsoku w:val="0"/>
              <w:overflowPunct w:val="0"/>
              <w:spacing w:line="251" w:lineRule="exact"/>
              <w:ind w:left="142"/>
              <w:rPr>
                <w:rFonts w:ascii="Times New Roman" w:hAnsi="Times New Roman"/>
                <w:color w:val="000000"/>
              </w:rPr>
            </w:pPr>
            <w:r w:rsidRPr="004F5FB4">
              <w:rPr>
                <w:rFonts w:ascii="Times New Roman" w:hAnsi="Times New Roman"/>
                <w:color w:val="000000"/>
              </w:rPr>
              <w:t>6</w:t>
            </w:r>
            <w:r w:rsidR="001A6074"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2EA87673" w14:textId="77777777" w:rsidR="00155496" w:rsidRPr="004F5FB4"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6,7 %</w:t>
            </w:r>
          </w:p>
        </w:tc>
        <w:tc>
          <w:tcPr>
            <w:tcW w:w="1534" w:type="dxa"/>
            <w:shd w:val="clear" w:color="auto" w:fill="auto"/>
          </w:tcPr>
          <w:p w14:paraId="0FD4E4C9" w14:textId="77777777" w:rsidR="00155496" w:rsidRPr="004F5FB4"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52,4 %</w:t>
            </w:r>
          </w:p>
        </w:tc>
        <w:tc>
          <w:tcPr>
            <w:tcW w:w="1058" w:type="dxa"/>
            <w:shd w:val="clear" w:color="auto" w:fill="auto"/>
          </w:tcPr>
          <w:p w14:paraId="75599FAD" w14:textId="77777777" w:rsidR="00155496" w:rsidRPr="004F5FB4"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8,2 %</w:t>
            </w:r>
          </w:p>
        </w:tc>
        <w:tc>
          <w:tcPr>
            <w:tcW w:w="1732" w:type="dxa"/>
            <w:shd w:val="clear" w:color="auto" w:fill="auto"/>
          </w:tcPr>
          <w:p w14:paraId="0A4F9395" w14:textId="77777777" w:rsidR="00155496" w:rsidRPr="004F5FB4"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22,1 %</w:t>
            </w:r>
          </w:p>
        </w:tc>
        <w:tc>
          <w:tcPr>
            <w:tcW w:w="1024" w:type="dxa"/>
            <w:shd w:val="clear" w:color="auto" w:fill="auto"/>
          </w:tcPr>
          <w:p w14:paraId="29DD659D" w14:textId="77777777" w:rsidR="00155496" w:rsidRPr="004F5FB4"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9,5 %</w:t>
            </w:r>
          </w:p>
        </w:tc>
        <w:tc>
          <w:tcPr>
            <w:tcW w:w="1586" w:type="dxa"/>
            <w:shd w:val="clear" w:color="auto" w:fill="auto"/>
          </w:tcPr>
          <w:p w14:paraId="2D901180" w14:textId="77777777" w:rsidR="00155496" w:rsidRPr="004F5FB4"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39,1 %</w:t>
            </w:r>
          </w:p>
        </w:tc>
      </w:tr>
      <w:tr w:rsidR="00155496" w:rsidRPr="004F5FB4" w14:paraId="3B379332" w14:textId="77777777" w:rsidTr="00687087">
        <w:tc>
          <w:tcPr>
            <w:tcW w:w="1384" w:type="dxa"/>
            <w:shd w:val="clear" w:color="auto" w:fill="auto"/>
          </w:tcPr>
          <w:p w14:paraId="07E4E44D" w14:textId="77777777" w:rsidR="00155496" w:rsidRPr="004F5FB4" w:rsidRDefault="00155496" w:rsidP="005A68B9">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w:t>
            </w:r>
            <w:r w:rsidR="00DF1E6B"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731703F5"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shd w:val="clear" w:color="auto" w:fill="auto"/>
          </w:tcPr>
          <w:p w14:paraId="54FFD1BA"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58" w:type="dxa"/>
            <w:shd w:val="clear" w:color="auto" w:fill="auto"/>
          </w:tcPr>
          <w:p w14:paraId="751DB2FF"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32" w:type="dxa"/>
            <w:shd w:val="clear" w:color="auto" w:fill="auto"/>
          </w:tcPr>
          <w:p w14:paraId="0F68C618"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24" w:type="dxa"/>
            <w:shd w:val="clear" w:color="auto" w:fill="auto"/>
          </w:tcPr>
          <w:p w14:paraId="41843819"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9,5 %</w:t>
            </w:r>
          </w:p>
        </w:tc>
        <w:tc>
          <w:tcPr>
            <w:tcW w:w="1586" w:type="dxa"/>
            <w:shd w:val="clear" w:color="auto" w:fill="auto"/>
          </w:tcPr>
          <w:p w14:paraId="0868E576"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41,5 %</w:t>
            </w:r>
          </w:p>
        </w:tc>
      </w:tr>
      <w:tr w:rsidR="00155496" w:rsidRPr="004F5FB4" w14:paraId="447B3360" w14:textId="77777777" w:rsidTr="00687087">
        <w:tc>
          <w:tcPr>
            <w:tcW w:w="1384" w:type="dxa"/>
            <w:shd w:val="clear" w:color="auto" w:fill="auto"/>
          </w:tcPr>
          <w:p w14:paraId="5E16A8E6" w14:textId="77777777" w:rsidR="00155496" w:rsidRPr="004F5FB4" w:rsidRDefault="00155496" w:rsidP="005A68B9">
            <w:pPr>
              <w:pStyle w:val="TableParagraph"/>
              <w:keepNext/>
              <w:keepLines/>
              <w:widowControl/>
              <w:kinsoku w:val="0"/>
              <w:overflowPunct w:val="0"/>
              <w:spacing w:line="252" w:lineRule="exact"/>
              <w:ind w:left="-2"/>
              <w:rPr>
                <w:rFonts w:ascii="Times New Roman" w:hAnsi="Times New Roman"/>
                <w:color w:val="000000"/>
              </w:rPr>
            </w:pPr>
            <w:r w:rsidRPr="004F5FB4">
              <w:rPr>
                <w:rFonts w:ascii="Times New Roman" w:hAnsi="Times New Roman"/>
                <w:color w:val="000000"/>
              </w:rPr>
              <w:t>ACR-70</w:t>
            </w:r>
          </w:p>
        </w:tc>
        <w:tc>
          <w:tcPr>
            <w:tcW w:w="1059" w:type="dxa"/>
            <w:shd w:val="clear" w:color="auto" w:fill="auto"/>
          </w:tcPr>
          <w:p w14:paraId="265A6130" w14:textId="77777777" w:rsidR="00155496" w:rsidRPr="004F5FB4" w:rsidRDefault="00155496" w:rsidP="005A68B9">
            <w:pPr>
              <w:keepNext/>
              <w:keepLines/>
              <w:jc w:val="center"/>
              <w:rPr>
                <w:rFonts w:eastAsia="Calibri"/>
                <w:color w:val="000000"/>
                <w:lang w:val="en-GB"/>
              </w:rPr>
            </w:pPr>
          </w:p>
        </w:tc>
        <w:tc>
          <w:tcPr>
            <w:tcW w:w="1534" w:type="dxa"/>
            <w:shd w:val="clear" w:color="auto" w:fill="auto"/>
          </w:tcPr>
          <w:p w14:paraId="744F3BE9" w14:textId="77777777" w:rsidR="00155496" w:rsidRPr="004F5FB4" w:rsidRDefault="00155496" w:rsidP="005A68B9">
            <w:pPr>
              <w:keepNext/>
              <w:keepLines/>
              <w:jc w:val="center"/>
              <w:rPr>
                <w:rFonts w:eastAsia="Calibri"/>
                <w:color w:val="000000"/>
                <w:lang w:val="en-GB"/>
              </w:rPr>
            </w:pPr>
          </w:p>
        </w:tc>
        <w:tc>
          <w:tcPr>
            <w:tcW w:w="1058" w:type="dxa"/>
            <w:shd w:val="clear" w:color="auto" w:fill="auto"/>
          </w:tcPr>
          <w:p w14:paraId="1EBA52CE" w14:textId="77777777" w:rsidR="00155496" w:rsidRPr="004F5FB4" w:rsidRDefault="00155496" w:rsidP="005A68B9">
            <w:pPr>
              <w:keepNext/>
              <w:keepLines/>
              <w:jc w:val="center"/>
              <w:rPr>
                <w:rFonts w:eastAsia="Calibri"/>
                <w:color w:val="000000"/>
                <w:lang w:val="en-GB"/>
              </w:rPr>
            </w:pPr>
          </w:p>
        </w:tc>
        <w:tc>
          <w:tcPr>
            <w:tcW w:w="1732" w:type="dxa"/>
            <w:shd w:val="clear" w:color="auto" w:fill="auto"/>
          </w:tcPr>
          <w:p w14:paraId="6D0777BC" w14:textId="77777777" w:rsidR="00155496" w:rsidRPr="004F5FB4" w:rsidRDefault="00155496" w:rsidP="005A68B9">
            <w:pPr>
              <w:keepNext/>
              <w:keepLines/>
              <w:jc w:val="center"/>
              <w:rPr>
                <w:rFonts w:eastAsia="Calibri"/>
                <w:color w:val="000000"/>
                <w:lang w:val="en-GB"/>
              </w:rPr>
            </w:pPr>
          </w:p>
        </w:tc>
        <w:tc>
          <w:tcPr>
            <w:tcW w:w="1024" w:type="dxa"/>
            <w:shd w:val="clear" w:color="auto" w:fill="auto"/>
          </w:tcPr>
          <w:p w14:paraId="52894B66" w14:textId="77777777" w:rsidR="00155496" w:rsidRPr="004F5FB4" w:rsidRDefault="00155496" w:rsidP="005A68B9">
            <w:pPr>
              <w:keepNext/>
              <w:keepLines/>
              <w:jc w:val="center"/>
              <w:rPr>
                <w:rFonts w:eastAsia="Calibri"/>
                <w:color w:val="000000"/>
                <w:lang w:val="en-GB"/>
              </w:rPr>
            </w:pPr>
          </w:p>
        </w:tc>
        <w:tc>
          <w:tcPr>
            <w:tcW w:w="1586" w:type="dxa"/>
            <w:shd w:val="clear" w:color="auto" w:fill="auto"/>
          </w:tcPr>
          <w:p w14:paraId="781E7BAA" w14:textId="77777777" w:rsidR="00155496" w:rsidRPr="004F5FB4" w:rsidRDefault="00155496" w:rsidP="005A68B9">
            <w:pPr>
              <w:keepNext/>
              <w:keepLines/>
              <w:jc w:val="center"/>
              <w:rPr>
                <w:rFonts w:eastAsia="Calibri"/>
                <w:color w:val="000000"/>
                <w:lang w:val="en-GB"/>
              </w:rPr>
            </w:pPr>
          </w:p>
        </w:tc>
      </w:tr>
      <w:tr w:rsidR="00155496" w:rsidRPr="004F5FB4" w14:paraId="422536E1" w14:textId="77777777" w:rsidTr="00687087">
        <w:tc>
          <w:tcPr>
            <w:tcW w:w="1384" w:type="dxa"/>
            <w:shd w:val="clear" w:color="auto" w:fill="auto"/>
          </w:tcPr>
          <w:p w14:paraId="456EC536" w14:textId="77777777" w:rsidR="00155496" w:rsidRPr="004F5FB4" w:rsidRDefault="00155496" w:rsidP="005A68B9">
            <w:pPr>
              <w:pStyle w:val="TableParagraph"/>
              <w:keepNext/>
              <w:keepLines/>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6</w:t>
            </w:r>
            <w:r w:rsidR="001A6074" w:rsidRPr="004F5FB4">
              <w:rPr>
                <w:rFonts w:ascii="Times New Roman" w:hAnsi="Times New Roman"/>
                <w:color w:val="000000"/>
              </w:rPr>
              <w:t> </w:t>
            </w:r>
            <w:r w:rsidRPr="004F5FB4">
              <w:rPr>
                <w:rFonts w:ascii="Times New Roman" w:hAnsi="Times New Roman"/>
                <w:color w:val="000000"/>
              </w:rPr>
              <w:t>Monate</w:t>
            </w:r>
          </w:p>
        </w:tc>
        <w:tc>
          <w:tcPr>
            <w:tcW w:w="1059" w:type="dxa"/>
            <w:shd w:val="clear" w:color="auto" w:fill="auto"/>
          </w:tcPr>
          <w:p w14:paraId="45909291" w14:textId="77777777" w:rsidR="00155496" w:rsidRPr="004F5FB4"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3,3 %</w:t>
            </w:r>
          </w:p>
        </w:tc>
        <w:tc>
          <w:tcPr>
            <w:tcW w:w="1534" w:type="dxa"/>
            <w:shd w:val="clear" w:color="auto" w:fill="auto"/>
          </w:tcPr>
          <w:p w14:paraId="5653985F" w14:textId="77777777" w:rsidR="00155496" w:rsidRPr="004F5FB4"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23,8 %</w:t>
            </w:r>
          </w:p>
        </w:tc>
        <w:tc>
          <w:tcPr>
            <w:tcW w:w="1058" w:type="dxa"/>
            <w:shd w:val="clear" w:color="auto" w:fill="auto"/>
          </w:tcPr>
          <w:p w14:paraId="60094A3A" w14:textId="77777777" w:rsidR="00155496" w:rsidRPr="004F5FB4"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1,8 %</w:t>
            </w:r>
          </w:p>
        </w:tc>
        <w:tc>
          <w:tcPr>
            <w:tcW w:w="1732" w:type="dxa"/>
            <w:shd w:val="clear" w:color="auto" w:fill="auto"/>
          </w:tcPr>
          <w:p w14:paraId="5F718B7A" w14:textId="77777777" w:rsidR="00155496" w:rsidRPr="004F5FB4"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12,4 %</w:t>
            </w:r>
          </w:p>
        </w:tc>
        <w:tc>
          <w:tcPr>
            <w:tcW w:w="1024" w:type="dxa"/>
            <w:shd w:val="clear" w:color="auto" w:fill="auto"/>
          </w:tcPr>
          <w:p w14:paraId="2200C38E" w14:textId="77777777" w:rsidR="00155496" w:rsidRPr="004F5FB4"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2,5 %</w:t>
            </w:r>
          </w:p>
        </w:tc>
        <w:tc>
          <w:tcPr>
            <w:tcW w:w="1586" w:type="dxa"/>
            <w:shd w:val="clear" w:color="auto" w:fill="auto"/>
          </w:tcPr>
          <w:p w14:paraId="125AD835" w14:textId="77777777" w:rsidR="00155496" w:rsidRPr="004F5FB4"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20,8 %</w:t>
            </w:r>
          </w:p>
        </w:tc>
      </w:tr>
      <w:tr w:rsidR="00155496" w:rsidRPr="004F5FB4" w14:paraId="3047E579" w14:textId="77777777" w:rsidTr="00687087">
        <w:tc>
          <w:tcPr>
            <w:tcW w:w="1384" w:type="dxa"/>
            <w:tcBorders>
              <w:bottom w:val="single" w:sz="4" w:space="0" w:color="auto"/>
            </w:tcBorders>
            <w:shd w:val="clear" w:color="auto" w:fill="auto"/>
          </w:tcPr>
          <w:p w14:paraId="28B73679" w14:textId="77777777" w:rsidR="00155496" w:rsidRPr="004F5FB4" w:rsidRDefault="00155496" w:rsidP="005A68B9">
            <w:pPr>
              <w:pStyle w:val="TableParagraph"/>
              <w:widowControl/>
              <w:kinsoku w:val="0"/>
              <w:overflowPunct w:val="0"/>
              <w:spacing w:line="252" w:lineRule="exact"/>
              <w:ind w:left="142"/>
              <w:rPr>
                <w:rFonts w:ascii="Times New Roman" w:hAnsi="Times New Roman"/>
                <w:color w:val="000000"/>
              </w:rPr>
            </w:pPr>
            <w:r w:rsidRPr="004F5FB4">
              <w:rPr>
                <w:rFonts w:ascii="Times New Roman" w:hAnsi="Times New Roman"/>
                <w:color w:val="000000"/>
              </w:rPr>
              <w:t>12</w:t>
            </w:r>
            <w:r w:rsidR="00DF1E6B" w:rsidRPr="004F5FB4">
              <w:rPr>
                <w:rFonts w:ascii="Times New Roman" w:hAnsi="Times New Roman"/>
                <w:color w:val="000000"/>
              </w:rPr>
              <w:t> </w:t>
            </w:r>
            <w:r w:rsidRPr="004F5FB4">
              <w:rPr>
                <w:rFonts w:ascii="Times New Roman" w:hAnsi="Times New Roman"/>
                <w:color w:val="000000"/>
              </w:rPr>
              <w:t>Monate</w:t>
            </w:r>
          </w:p>
        </w:tc>
        <w:tc>
          <w:tcPr>
            <w:tcW w:w="1059" w:type="dxa"/>
            <w:tcBorders>
              <w:bottom w:val="single" w:sz="4" w:space="0" w:color="auto"/>
            </w:tcBorders>
            <w:shd w:val="clear" w:color="auto" w:fill="auto"/>
          </w:tcPr>
          <w:p w14:paraId="17B1868B"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534" w:type="dxa"/>
            <w:tcBorders>
              <w:bottom w:val="single" w:sz="4" w:space="0" w:color="auto"/>
            </w:tcBorders>
            <w:shd w:val="clear" w:color="auto" w:fill="auto"/>
          </w:tcPr>
          <w:p w14:paraId="10833A05"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58" w:type="dxa"/>
            <w:tcBorders>
              <w:bottom w:val="single" w:sz="4" w:space="0" w:color="auto"/>
            </w:tcBorders>
            <w:shd w:val="clear" w:color="auto" w:fill="auto"/>
          </w:tcPr>
          <w:p w14:paraId="15559C26"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732" w:type="dxa"/>
            <w:tcBorders>
              <w:bottom w:val="single" w:sz="4" w:space="0" w:color="auto"/>
            </w:tcBorders>
            <w:shd w:val="clear" w:color="auto" w:fill="auto"/>
          </w:tcPr>
          <w:p w14:paraId="1054187A"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entfällt</w:t>
            </w:r>
          </w:p>
        </w:tc>
        <w:tc>
          <w:tcPr>
            <w:tcW w:w="1024" w:type="dxa"/>
            <w:tcBorders>
              <w:bottom w:val="single" w:sz="4" w:space="0" w:color="auto"/>
            </w:tcBorders>
            <w:shd w:val="clear" w:color="auto" w:fill="auto"/>
          </w:tcPr>
          <w:p w14:paraId="053BBC6B"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4,5 %</w:t>
            </w:r>
          </w:p>
        </w:tc>
        <w:tc>
          <w:tcPr>
            <w:tcW w:w="1586" w:type="dxa"/>
            <w:tcBorders>
              <w:bottom w:val="single" w:sz="4" w:space="0" w:color="auto"/>
            </w:tcBorders>
            <w:shd w:val="clear" w:color="auto" w:fill="auto"/>
          </w:tcPr>
          <w:p w14:paraId="5FB7FBE8" w14:textId="77777777" w:rsidR="00155496" w:rsidRPr="004F5FB4" w:rsidRDefault="00155496" w:rsidP="005A68B9">
            <w:pPr>
              <w:pStyle w:val="TableParagraph"/>
              <w:widowControl/>
              <w:kinsoku w:val="0"/>
              <w:overflowPunct w:val="0"/>
              <w:spacing w:line="252" w:lineRule="exact"/>
              <w:jc w:val="center"/>
              <w:rPr>
                <w:rFonts w:ascii="Times New Roman" w:hAnsi="Times New Roman"/>
                <w:color w:val="000000"/>
              </w:rPr>
            </w:pPr>
            <w:r w:rsidRPr="004F5FB4">
              <w:rPr>
                <w:rFonts w:ascii="Times New Roman" w:hAnsi="Times New Roman"/>
                <w:color w:val="000000"/>
              </w:rPr>
              <w:t>23,2 %</w:t>
            </w:r>
          </w:p>
        </w:tc>
      </w:tr>
      <w:tr w:rsidR="00922261" w:rsidRPr="004F5FB4" w14:paraId="7E5C8F4B" w14:textId="77777777" w:rsidTr="00922261">
        <w:tc>
          <w:tcPr>
            <w:tcW w:w="9377" w:type="dxa"/>
            <w:gridSpan w:val="7"/>
            <w:tcBorders>
              <w:left w:val="nil"/>
              <w:bottom w:val="nil"/>
              <w:right w:val="nil"/>
            </w:tcBorders>
            <w:shd w:val="clear" w:color="auto" w:fill="auto"/>
          </w:tcPr>
          <w:p w14:paraId="513B25E7" w14:textId="77777777" w:rsidR="00922261" w:rsidRPr="00206AEA" w:rsidRDefault="00922261" w:rsidP="00922261">
            <w:pPr>
              <w:tabs>
                <w:tab w:val="left" w:pos="288"/>
              </w:tabs>
              <w:ind w:left="270" w:hanging="270"/>
              <w:rPr>
                <w:color w:val="000000"/>
                <w:sz w:val="20"/>
              </w:rPr>
            </w:pPr>
            <w:r w:rsidRPr="00206AEA">
              <w:rPr>
                <w:color w:val="000000"/>
                <w:sz w:val="20"/>
                <w:vertAlign w:val="superscript"/>
              </w:rPr>
              <w:t xml:space="preserve">a </w:t>
            </w:r>
            <w:r w:rsidRPr="00206AEA">
              <w:rPr>
                <w:color w:val="000000"/>
                <w:sz w:val="20"/>
                <w:vertAlign w:val="superscript"/>
              </w:rPr>
              <w:tab/>
            </w:r>
            <w:r w:rsidRPr="00206AEA">
              <w:rPr>
                <w:color w:val="000000"/>
                <w:sz w:val="20"/>
              </w:rPr>
              <w:t>RA-Studie</w:t>
            </w:r>
            <w:r w:rsidR="0059638A" w:rsidRPr="00206AEA">
              <w:rPr>
                <w:color w:val="000000"/>
                <w:sz w:val="20"/>
              </w:rPr>
              <w:t> </w:t>
            </w:r>
            <w:r w:rsidRPr="00206AEA">
              <w:rPr>
                <w:color w:val="000000"/>
                <w:sz w:val="20"/>
              </w:rPr>
              <w:t>I nach 24</w:t>
            </w:r>
            <w:r w:rsidR="0059638A" w:rsidRPr="00206AEA">
              <w:rPr>
                <w:color w:val="000000"/>
                <w:sz w:val="20"/>
              </w:rPr>
              <w:t> </w:t>
            </w:r>
            <w:r w:rsidRPr="00206AEA">
              <w:rPr>
                <w:color w:val="000000"/>
                <w:sz w:val="20"/>
              </w:rPr>
              <w:t>Wochen, RA-Studie</w:t>
            </w:r>
            <w:r w:rsidR="0059638A" w:rsidRPr="00206AEA">
              <w:rPr>
                <w:color w:val="000000"/>
                <w:sz w:val="20"/>
              </w:rPr>
              <w:t> </w:t>
            </w:r>
            <w:r w:rsidRPr="00206AEA">
              <w:rPr>
                <w:color w:val="000000"/>
                <w:sz w:val="20"/>
              </w:rPr>
              <w:t>II nach 26</w:t>
            </w:r>
            <w:r w:rsidR="0059638A" w:rsidRPr="00206AEA">
              <w:rPr>
                <w:color w:val="000000"/>
                <w:sz w:val="20"/>
              </w:rPr>
              <w:t> </w:t>
            </w:r>
            <w:r w:rsidRPr="00206AEA">
              <w:rPr>
                <w:color w:val="000000"/>
                <w:sz w:val="20"/>
              </w:rPr>
              <w:t>Wochen und RA-Studie</w:t>
            </w:r>
            <w:r w:rsidR="0059638A" w:rsidRPr="00206AEA">
              <w:rPr>
                <w:color w:val="000000"/>
                <w:sz w:val="20"/>
              </w:rPr>
              <w:t> </w:t>
            </w:r>
            <w:r w:rsidRPr="00206AEA">
              <w:rPr>
                <w:color w:val="000000"/>
                <w:sz w:val="20"/>
              </w:rPr>
              <w:t>III nach 24 und 52</w:t>
            </w:r>
            <w:r w:rsidR="0059638A" w:rsidRPr="00206AEA">
              <w:rPr>
                <w:color w:val="000000"/>
                <w:sz w:val="20"/>
              </w:rPr>
              <w:t> </w:t>
            </w:r>
            <w:r w:rsidRPr="00206AEA">
              <w:rPr>
                <w:color w:val="000000"/>
                <w:sz w:val="20"/>
              </w:rPr>
              <w:t>Wochen</w:t>
            </w:r>
          </w:p>
          <w:p w14:paraId="6529EBAD" w14:textId="77777777" w:rsidR="00922261" w:rsidRPr="00206AEA" w:rsidRDefault="00922261" w:rsidP="00922261">
            <w:pPr>
              <w:tabs>
                <w:tab w:val="left" w:pos="288"/>
              </w:tabs>
              <w:ind w:left="270" w:hanging="270"/>
              <w:rPr>
                <w:color w:val="000000"/>
                <w:sz w:val="20"/>
              </w:rPr>
            </w:pPr>
            <w:r w:rsidRPr="00206AEA">
              <w:rPr>
                <w:color w:val="000000"/>
                <w:sz w:val="20"/>
                <w:vertAlign w:val="superscript"/>
              </w:rPr>
              <w:t xml:space="preserve">b </w:t>
            </w:r>
            <w:r w:rsidRPr="00206AEA">
              <w:rPr>
                <w:color w:val="000000"/>
                <w:sz w:val="20"/>
                <w:vertAlign w:val="superscript"/>
              </w:rPr>
              <w:tab/>
            </w:r>
            <w:r w:rsidRPr="00206AEA">
              <w:rPr>
                <w:color w:val="000000"/>
                <w:sz w:val="20"/>
              </w:rPr>
              <w:t>40 mg Adalimumab jede zweite Woche</w:t>
            </w:r>
          </w:p>
          <w:p w14:paraId="1443471C" w14:textId="77777777" w:rsidR="00922261" w:rsidRPr="00206AEA" w:rsidRDefault="00922261" w:rsidP="00922261">
            <w:pPr>
              <w:keepNext/>
              <w:tabs>
                <w:tab w:val="left" w:pos="288"/>
              </w:tabs>
              <w:ind w:left="274" w:hanging="274"/>
              <w:rPr>
                <w:color w:val="000000"/>
                <w:sz w:val="20"/>
              </w:rPr>
            </w:pPr>
            <w:r w:rsidRPr="00206AEA">
              <w:rPr>
                <w:color w:val="000000"/>
                <w:sz w:val="20"/>
                <w:vertAlign w:val="superscript"/>
              </w:rPr>
              <w:t xml:space="preserve">c </w:t>
            </w:r>
            <w:r w:rsidRPr="00206AEA">
              <w:rPr>
                <w:color w:val="000000"/>
                <w:sz w:val="20"/>
                <w:vertAlign w:val="superscript"/>
              </w:rPr>
              <w:tab/>
            </w:r>
            <w:r w:rsidRPr="00206AEA">
              <w:rPr>
                <w:color w:val="000000"/>
                <w:sz w:val="20"/>
              </w:rPr>
              <w:t>MTX</w:t>
            </w:r>
            <w:r w:rsidR="001A6074" w:rsidRPr="00206AEA">
              <w:rPr>
                <w:color w:val="000000"/>
                <w:sz w:val="20"/>
              </w:rPr>
              <w:t> </w:t>
            </w:r>
            <w:r w:rsidRPr="00206AEA">
              <w:rPr>
                <w:color w:val="000000"/>
                <w:sz w:val="20"/>
              </w:rPr>
              <w:t>=</w:t>
            </w:r>
            <w:r w:rsidR="001A6074" w:rsidRPr="00206AEA">
              <w:rPr>
                <w:color w:val="000000"/>
                <w:sz w:val="20"/>
              </w:rPr>
              <w:t> </w:t>
            </w:r>
            <w:r w:rsidRPr="00206AEA">
              <w:rPr>
                <w:color w:val="000000"/>
                <w:sz w:val="20"/>
              </w:rPr>
              <w:t>Methotrexat</w:t>
            </w:r>
          </w:p>
          <w:p w14:paraId="740BA8ED" w14:textId="77777777" w:rsidR="00922261" w:rsidRPr="00206AEA" w:rsidRDefault="00922261" w:rsidP="00922261">
            <w:pPr>
              <w:tabs>
                <w:tab w:val="left" w:pos="288"/>
              </w:tabs>
              <w:ind w:left="270" w:hanging="270"/>
              <w:rPr>
                <w:color w:val="000000"/>
                <w:sz w:val="20"/>
              </w:rPr>
            </w:pPr>
            <w:r w:rsidRPr="00206AEA">
              <w:rPr>
                <w:color w:val="000000"/>
                <w:sz w:val="20"/>
              </w:rPr>
              <w:t>**</w:t>
            </w:r>
            <w:r w:rsidRPr="00206AEA">
              <w:rPr>
                <w:color w:val="000000"/>
                <w:sz w:val="20"/>
              </w:rPr>
              <w:tab/>
              <w:t>p &lt; 0,01; Adalimumab gegenüber Placebo</w:t>
            </w:r>
          </w:p>
        </w:tc>
      </w:tr>
    </w:tbl>
    <w:p w14:paraId="3FF2328C" w14:textId="77777777" w:rsidR="00BC3084" w:rsidRPr="004F5FB4" w:rsidRDefault="00BC3084" w:rsidP="00982118">
      <w:pPr>
        <w:rPr>
          <w:color w:val="000000"/>
        </w:rPr>
      </w:pPr>
    </w:p>
    <w:p w14:paraId="4989F9E7" w14:textId="77777777" w:rsidR="00C46587" w:rsidRPr="004F5FB4" w:rsidRDefault="00C46587" w:rsidP="00982118">
      <w:pPr>
        <w:rPr>
          <w:color w:val="000000"/>
        </w:rPr>
      </w:pPr>
      <w:r w:rsidRPr="004F5FB4">
        <w:rPr>
          <w:color w:val="000000"/>
        </w:rPr>
        <w:t>In den RA-Studien</w:t>
      </w:r>
      <w:r w:rsidR="0059638A" w:rsidRPr="004F5FB4">
        <w:rPr>
          <w:color w:val="000000"/>
        </w:rPr>
        <w:t> </w:t>
      </w:r>
      <w:r w:rsidRPr="004F5FB4">
        <w:rPr>
          <w:color w:val="000000"/>
        </w:rPr>
        <w:t>I – IV wurde im Vergleich zu Placebo nach 24 bzw. 26</w:t>
      </w:r>
      <w:r w:rsidR="0059638A" w:rsidRPr="004F5FB4">
        <w:rPr>
          <w:color w:val="000000"/>
        </w:rPr>
        <w:t> </w:t>
      </w:r>
      <w:r w:rsidRPr="004F5FB4">
        <w:rPr>
          <w:color w:val="000000"/>
        </w:rPr>
        <w:t xml:space="preserve">Wochen eine Verbesserung aller individuellen ACR-Ansprechkriterien festgestellt (Anzahl der druckschmerzempfindlichen und geschwollenen Gelenke, Einstufung der Krankheitsaktivität und des Schmerzes durch Arzt und Patienten, Ausmaß der körperlichen Funktionseinschränkung </w:t>
      </w:r>
      <w:r w:rsidR="0059638A" w:rsidRPr="004F5FB4">
        <w:rPr>
          <w:color w:val="000000"/>
        </w:rPr>
        <w:t>[</w:t>
      </w:r>
      <w:r w:rsidRPr="004F5FB4">
        <w:rPr>
          <w:color w:val="000000"/>
        </w:rPr>
        <w:t>Health Assessment Questionnaire, HAQ</w:t>
      </w:r>
      <w:r w:rsidR="0059638A" w:rsidRPr="004F5FB4">
        <w:rPr>
          <w:color w:val="000000"/>
        </w:rPr>
        <w:t>]</w:t>
      </w:r>
      <w:r w:rsidRPr="004F5FB4">
        <w:rPr>
          <w:color w:val="000000"/>
        </w:rPr>
        <w:t xml:space="preserve"> und CRP-Werte </w:t>
      </w:r>
      <w:r w:rsidR="0059638A" w:rsidRPr="004F5FB4">
        <w:rPr>
          <w:color w:val="000000"/>
        </w:rPr>
        <w:t>[</w:t>
      </w:r>
      <w:r w:rsidRPr="004F5FB4">
        <w:rPr>
          <w:color w:val="000000"/>
        </w:rPr>
        <w:t>mg/dl</w:t>
      </w:r>
      <w:r w:rsidR="0059638A" w:rsidRPr="004F5FB4">
        <w:rPr>
          <w:color w:val="000000"/>
        </w:rPr>
        <w:t>]</w:t>
      </w:r>
      <w:r w:rsidRPr="004F5FB4">
        <w:rPr>
          <w:color w:val="000000"/>
        </w:rPr>
        <w:t>). In der RA-Studie</w:t>
      </w:r>
      <w:r w:rsidR="0059638A" w:rsidRPr="004F5FB4">
        <w:rPr>
          <w:color w:val="000000"/>
        </w:rPr>
        <w:t> </w:t>
      </w:r>
      <w:r w:rsidRPr="004F5FB4">
        <w:rPr>
          <w:color w:val="000000"/>
        </w:rPr>
        <w:t>III hielt diese Verbesserung bis zur Woche</w:t>
      </w:r>
      <w:r w:rsidR="0059638A" w:rsidRPr="004F5FB4">
        <w:rPr>
          <w:color w:val="000000"/>
        </w:rPr>
        <w:t> </w:t>
      </w:r>
      <w:r w:rsidRPr="004F5FB4">
        <w:rPr>
          <w:color w:val="000000"/>
        </w:rPr>
        <w:t>52 an.</w:t>
      </w:r>
    </w:p>
    <w:p w14:paraId="4D44F2FA" w14:textId="77777777" w:rsidR="00C46587" w:rsidRPr="004F5FB4" w:rsidRDefault="00C46587" w:rsidP="00982118">
      <w:pPr>
        <w:rPr>
          <w:color w:val="000000"/>
        </w:rPr>
      </w:pPr>
    </w:p>
    <w:p w14:paraId="692A356A" w14:textId="77777777" w:rsidR="00C46587" w:rsidRPr="004F5FB4" w:rsidRDefault="00C46587" w:rsidP="00982118">
      <w:pPr>
        <w:rPr>
          <w:color w:val="000000"/>
        </w:rPr>
      </w:pPr>
      <w:r w:rsidRPr="004F5FB4">
        <w:rPr>
          <w:color w:val="000000"/>
        </w:rPr>
        <w:t xml:space="preserve">In der offenen </w:t>
      </w:r>
      <w:r w:rsidR="0061033A" w:rsidRPr="004F5FB4">
        <w:rPr>
          <w:color w:val="000000"/>
        </w:rPr>
        <w:t>Fortsetz</w:t>
      </w:r>
      <w:r w:rsidRPr="004F5FB4">
        <w:rPr>
          <w:color w:val="000000"/>
        </w:rPr>
        <w:t>ungsphase der RA-Studie</w:t>
      </w:r>
      <w:r w:rsidR="0059638A" w:rsidRPr="004F5FB4">
        <w:rPr>
          <w:color w:val="000000"/>
        </w:rPr>
        <w:t> </w:t>
      </w:r>
      <w:r w:rsidRPr="004F5FB4">
        <w:rPr>
          <w:color w:val="000000"/>
        </w:rPr>
        <w:t xml:space="preserve">III blieb bei den meisten Patienten, die ein ACR-Ansprechen zeigten, dieses über eine Nachbeobachtung von bis zu 10 Jahren erhalten. Von 207 Patienten, die </w:t>
      </w:r>
      <w:r w:rsidR="00A92533" w:rsidRPr="004F5FB4">
        <w:rPr>
          <w:color w:val="000000"/>
        </w:rPr>
        <w:t>zu</w:t>
      </w:r>
      <w:r w:rsidRPr="004F5FB4">
        <w:rPr>
          <w:color w:val="000000"/>
        </w:rPr>
        <w:t xml:space="preserve"> Adalimumab-40-mg alle zwei Wochen randomisiert </w:t>
      </w:r>
      <w:r w:rsidR="00A92533" w:rsidRPr="004F5FB4">
        <w:rPr>
          <w:color w:val="000000"/>
        </w:rPr>
        <w:t>wurden</w:t>
      </w:r>
      <w:r w:rsidRPr="004F5FB4">
        <w:rPr>
          <w:color w:val="000000"/>
        </w:rPr>
        <w:t xml:space="preserve">, </w:t>
      </w:r>
      <w:r w:rsidR="00A92533" w:rsidRPr="004F5FB4">
        <w:rPr>
          <w:color w:val="000000"/>
        </w:rPr>
        <w:t>erhielten</w:t>
      </w:r>
      <w:r w:rsidRPr="004F5FB4">
        <w:rPr>
          <w:color w:val="000000"/>
        </w:rPr>
        <w:t xml:space="preserve"> 114 Patienten </w:t>
      </w:r>
      <w:r w:rsidR="00A92533" w:rsidRPr="004F5FB4">
        <w:rPr>
          <w:color w:val="000000"/>
        </w:rPr>
        <w:t>eine</w:t>
      </w:r>
      <w:r w:rsidRPr="004F5FB4">
        <w:rPr>
          <w:color w:val="000000"/>
        </w:rPr>
        <w:t xml:space="preserve"> </w:t>
      </w:r>
      <w:r w:rsidR="00A92533" w:rsidRPr="004F5FB4">
        <w:rPr>
          <w:color w:val="000000"/>
        </w:rPr>
        <w:t>Dauertherapie</w:t>
      </w:r>
      <w:r w:rsidRPr="004F5FB4">
        <w:rPr>
          <w:color w:val="000000"/>
        </w:rPr>
        <w:t xml:space="preserve"> </w:t>
      </w:r>
      <w:r w:rsidR="00A92533" w:rsidRPr="004F5FB4">
        <w:rPr>
          <w:color w:val="000000"/>
        </w:rPr>
        <w:t>jede zweite Woche für</w:t>
      </w:r>
      <w:r w:rsidRPr="004F5FB4">
        <w:rPr>
          <w:color w:val="000000"/>
        </w:rPr>
        <w:t xml:space="preserve"> 5 Jahre. Von diesen hatten 86</w:t>
      </w:r>
      <w:r w:rsidR="0059638A" w:rsidRPr="004F5FB4">
        <w:rPr>
          <w:color w:val="000000"/>
        </w:rPr>
        <w:t> </w:t>
      </w:r>
      <w:r w:rsidRPr="004F5FB4">
        <w:rPr>
          <w:color w:val="000000"/>
        </w:rPr>
        <w:t>Patienten (75,4 %) ein ACR-20-Ansprechen; 72</w:t>
      </w:r>
      <w:r w:rsidR="0059638A" w:rsidRPr="004F5FB4">
        <w:rPr>
          <w:color w:val="000000"/>
        </w:rPr>
        <w:t> </w:t>
      </w:r>
      <w:r w:rsidRPr="004F5FB4">
        <w:rPr>
          <w:color w:val="000000"/>
        </w:rPr>
        <w:t>Patienten (63,2 %) ein ACR-50-Ansprechen und 41</w:t>
      </w:r>
      <w:r w:rsidR="0059638A" w:rsidRPr="004F5FB4">
        <w:rPr>
          <w:color w:val="000000"/>
        </w:rPr>
        <w:t> </w:t>
      </w:r>
      <w:r w:rsidRPr="004F5FB4">
        <w:rPr>
          <w:color w:val="000000"/>
        </w:rPr>
        <w:t>Patienten (36</w:t>
      </w:r>
      <w:r w:rsidR="0059638A" w:rsidRPr="004F5FB4">
        <w:rPr>
          <w:color w:val="000000"/>
        </w:rPr>
        <w:t> </w:t>
      </w:r>
      <w:r w:rsidRPr="004F5FB4">
        <w:rPr>
          <w:color w:val="000000"/>
        </w:rPr>
        <w:t>%) ein ACR-70-Ansprechen. Von 207</w:t>
      </w:r>
      <w:r w:rsidR="0059638A" w:rsidRPr="004F5FB4">
        <w:rPr>
          <w:color w:val="000000"/>
        </w:rPr>
        <w:t> </w:t>
      </w:r>
      <w:r w:rsidRPr="004F5FB4">
        <w:rPr>
          <w:color w:val="000000"/>
        </w:rPr>
        <w:t>Patienten wurden 81 Patienten 10 Jahre lang mit 40 mg Adalimumab jede zweite Woche weiterbehandelt. Von diesen hatten 64 Patienten (79,0 %) ein ACR-20-Ansprechen; 56 Patienten (69,1 %) ein ACR-50-Ansprechen und 43 Patienten (53,1 %) ein ACR-70-Ansprechen.</w:t>
      </w:r>
    </w:p>
    <w:p w14:paraId="1350001F" w14:textId="77777777" w:rsidR="00C46587" w:rsidRPr="004F5FB4" w:rsidRDefault="00C46587" w:rsidP="00982118">
      <w:pPr>
        <w:rPr>
          <w:color w:val="000000"/>
        </w:rPr>
      </w:pPr>
    </w:p>
    <w:p w14:paraId="7F216C37" w14:textId="77777777" w:rsidR="00BC3084" w:rsidRPr="004F5FB4" w:rsidRDefault="00C46587" w:rsidP="00982118">
      <w:pPr>
        <w:rPr>
          <w:color w:val="000000"/>
        </w:rPr>
      </w:pPr>
      <w:r w:rsidRPr="004F5FB4">
        <w:rPr>
          <w:color w:val="000000"/>
        </w:rPr>
        <w:t>In der RA-Studie</w:t>
      </w:r>
      <w:r w:rsidR="0059638A" w:rsidRPr="004F5FB4">
        <w:rPr>
          <w:color w:val="000000"/>
        </w:rPr>
        <w:t> </w:t>
      </w:r>
      <w:r w:rsidRPr="004F5FB4">
        <w:rPr>
          <w:color w:val="000000"/>
        </w:rPr>
        <w:t>IV war die ACR-20-Ansprechrate bei Patienten, die mit Adalimumab plus Therapiestandard behandelt wurden, statistisch signifikant besser als bei Patienten, die Placebo plus Therapiestandard erhielten (p</w:t>
      </w:r>
      <w:r w:rsidR="001A6074" w:rsidRPr="004F5FB4">
        <w:rPr>
          <w:color w:val="000000"/>
        </w:rPr>
        <w:t> </w:t>
      </w:r>
      <w:r w:rsidRPr="004F5FB4">
        <w:rPr>
          <w:color w:val="000000"/>
        </w:rPr>
        <w:t>&lt;</w:t>
      </w:r>
      <w:r w:rsidR="001A6074" w:rsidRPr="004F5FB4">
        <w:rPr>
          <w:color w:val="000000"/>
        </w:rPr>
        <w:t> </w:t>
      </w:r>
      <w:r w:rsidRPr="004F5FB4">
        <w:rPr>
          <w:color w:val="000000"/>
        </w:rPr>
        <w:t>0,001).</w:t>
      </w:r>
    </w:p>
    <w:p w14:paraId="40417AB5" w14:textId="77777777" w:rsidR="00C46587" w:rsidRPr="004F5FB4" w:rsidRDefault="00A06906" w:rsidP="00982118">
      <w:pPr>
        <w:rPr>
          <w:color w:val="000000"/>
        </w:rPr>
      </w:pPr>
      <w:r w:rsidRPr="004F5FB4">
        <w:rPr>
          <w:color w:val="000000"/>
        </w:rPr>
        <w:t xml:space="preserve"> </w:t>
      </w:r>
    </w:p>
    <w:p w14:paraId="2B0D4DFE" w14:textId="77777777" w:rsidR="00C46587" w:rsidRPr="004F5FB4" w:rsidRDefault="00C46587" w:rsidP="00CA7719">
      <w:pPr>
        <w:pStyle w:val="BodyText"/>
        <w:widowControl/>
        <w:kinsoku w:val="0"/>
        <w:overflowPunct w:val="0"/>
        <w:ind w:left="0"/>
        <w:rPr>
          <w:color w:val="000000"/>
        </w:rPr>
      </w:pPr>
      <w:r w:rsidRPr="004F5FB4">
        <w:rPr>
          <w:color w:val="000000"/>
        </w:rPr>
        <w:t>Im Vergleich zu Placebo erreichten die mit Adalimumab behandelten Patienten in den RA-Studien</w:t>
      </w:r>
      <w:r w:rsidR="0059638A" w:rsidRPr="004F5FB4">
        <w:rPr>
          <w:color w:val="000000"/>
        </w:rPr>
        <w:t> </w:t>
      </w:r>
      <w:r w:rsidRPr="004F5FB4">
        <w:rPr>
          <w:color w:val="000000"/>
        </w:rPr>
        <w:t xml:space="preserve">I – IV </w:t>
      </w:r>
      <w:r w:rsidRPr="00CA7719">
        <w:rPr>
          <w:b/>
          <w:color w:val="000000"/>
        </w:rPr>
        <w:t>bereits</w:t>
      </w:r>
      <w:r w:rsidRPr="004F5FB4">
        <w:rPr>
          <w:color w:val="000000"/>
        </w:rPr>
        <w:t xml:space="preserve"> ein bis zwei Wochen nach Behandlungsbeginn statistisch signifikante ACR-20- und ACR-50-Ansprechraten.</w:t>
      </w:r>
    </w:p>
    <w:p w14:paraId="3875D3C1" w14:textId="77777777" w:rsidR="00C46587" w:rsidRPr="004F5FB4" w:rsidRDefault="00C46587" w:rsidP="00982118">
      <w:pPr>
        <w:rPr>
          <w:color w:val="000000"/>
        </w:rPr>
      </w:pPr>
    </w:p>
    <w:p w14:paraId="1B495BB9" w14:textId="77777777" w:rsidR="00C46587" w:rsidRPr="004F5FB4" w:rsidRDefault="00C46587" w:rsidP="00982118">
      <w:pPr>
        <w:rPr>
          <w:color w:val="000000"/>
        </w:rPr>
      </w:pPr>
      <w:r w:rsidRPr="004F5FB4">
        <w:rPr>
          <w:color w:val="000000"/>
        </w:rPr>
        <w:t>In der RA-Studie</w:t>
      </w:r>
      <w:r w:rsidR="0059638A" w:rsidRPr="004F5FB4">
        <w:rPr>
          <w:color w:val="000000"/>
        </w:rPr>
        <w:t> </w:t>
      </w:r>
      <w:r w:rsidRPr="004F5FB4">
        <w:rPr>
          <w:color w:val="000000"/>
        </w:rPr>
        <w:t>V führte die Kombinationstherapie mit Adalimumab und Methotrexat bei Methotrexat-naiven Patienten mit früher rheumatoider Arthritis nach 52 Wochen zu einem schnelleren und signifikant größeren ACR-Ansprechen als unter Methotrexat-Monotherapie und Adalimumab -Monotherapie. Das Ansprechen wurde bis Woche</w:t>
      </w:r>
      <w:r w:rsidR="0059638A" w:rsidRPr="004F5FB4">
        <w:rPr>
          <w:color w:val="000000"/>
        </w:rPr>
        <w:t> </w:t>
      </w:r>
      <w:r w:rsidRPr="004F5FB4">
        <w:rPr>
          <w:color w:val="000000"/>
        </w:rPr>
        <w:t>104 aufrechterhalten (siehe Tabelle</w:t>
      </w:r>
      <w:r w:rsidR="0059638A" w:rsidRPr="004F5FB4">
        <w:rPr>
          <w:color w:val="000000"/>
        </w:rPr>
        <w:t> </w:t>
      </w:r>
      <w:r w:rsidR="00B852E6">
        <w:rPr>
          <w:color w:val="000000"/>
        </w:rPr>
        <w:t>9</w:t>
      </w:r>
      <w:r w:rsidRPr="004F5FB4">
        <w:rPr>
          <w:color w:val="000000"/>
        </w:rPr>
        <w:t>).</w:t>
      </w:r>
    </w:p>
    <w:p w14:paraId="68507C0E" w14:textId="77777777" w:rsidR="00BC3084" w:rsidRPr="004F5FB4" w:rsidRDefault="00BC3084" w:rsidP="003469D1">
      <w:pPr>
        <w:keepNext/>
        <w:rPr>
          <w:color w:val="000000"/>
        </w:rPr>
      </w:pPr>
    </w:p>
    <w:p w14:paraId="72B41999" w14:textId="77777777" w:rsidR="00FA0342" w:rsidRPr="004F5FB4" w:rsidRDefault="00C46587" w:rsidP="003469D1">
      <w:pPr>
        <w:pStyle w:val="BodyText"/>
        <w:keepNext/>
        <w:widowControl/>
        <w:kinsoku w:val="0"/>
        <w:overflowPunct w:val="0"/>
        <w:ind w:left="0"/>
        <w:rPr>
          <w:b/>
          <w:color w:val="000000"/>
        </w:rPr>
      </w:pPr>
      <w:r w:rsidRPr="004F5FB4">
        <w:rPr>
          <w:b/>
          <w:color w:val="000000"/>
        </w:rPr>
        <w:t>Tabelle</w:t>
      </w:r>
      <w:r w:rsidR="00B852E6">
        <w:rPr>
          <w:b/>
          <w:color w:val="000000"/>
        </w:rPr>
        <w:t> 9</w:t>
      </w:r>
    </w:p>
    <w:p w14:paraId="0246EDBC" w14:textId="77777777" w:rsidR="003716CB" w:rsidRPr="004F5FB4" w:rsidRDefault="003716CB" w:rsidP="003469D1">
      <w:pPr>
        <w:pStyle w:val="BodyText"/>
        <w:keepNext/>
        <w:widowControl/>
        <w:kinsoku w:val="0"/>
        <w:overflowPunct w:val="0"/>
        <w:ind w:left="0"/>
        <w:rPr>
          <w:b/>
          <w:color w:val="000000"/>
        </w:rPr>
      </w:pPr>
      <w:r w:rsidRPr="004F5FB4">
        <w:rPr>
          <w:b/>
          <w:color w:val="000000"/>
        </w:rPr>
        <w:t>ACR-Ansprechraten in der RA-Studie</w:t>
      </w:r>
      <w:r w:rsidR="0059638A" w:rsidRPr="004F5FB4">
        <w:rPr>
          <w:b/>
          <w:color w:val="000000"/>
        </w:rPr>
        <w:t> </w:t>
      </w:r>
      <w:r w:rsidRPr="004F5FB4">
        <w:rPr>
          <w:b/>
          <w:color w:val="000000"/>
        </w:rPr>
        <w:t>V (prozentualer Anteil der Patienten)</w:t>
      </w:r>
    </w:p>
    <w:p w14:paraId="761AEF2E" w14:textId="77777777" w:rsidR="003716CB" w:rsidRPr="004F5FB4" w:rsidRDefault="003716CB" w:rsidP="003716CB">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1055"/>
        <w:gridCol w:w="1399"/>
        <w:gridCol w:w="1986"/>
        <w:gridCol w:w="997"/>
        <w:gridCol w:w="1046"/>
        <w:gridCol w:w="1046"/>
      </w:tblGrid>
      <w:tr w:rsidR="003716CB" w:rsidRPr="004F5FB4" w14:paraId="55F9A71B" w14:textId="77777777" w:rsidTr="00687087">
        <w:trPr>
          <w:tblHeader/>
        </w:trPr>
        <w:tc>
          <w:tcPr>
            <w:tcW w:w="1579" w:type="dxa"/>
            <w:tcBorders>
              <w:top w:val="single" w:sz="4" w:space="0" w:color="auto"/>
              <w:left w:val="single" w:sz="4" w:space="0" w:color="auto"/>
              <w:bottom w:val="single" w:sz="4" w:space="0" w:color="auto"/>
              <w:right w:val="single" w:sz="4" w:space="0" w:color="auto"/>
            </w:tcBorders>
            <w:vAlign w:val="center"/>
            <w:hideMark/>
          </w:tcPr>
          <w:p w14:paraId="0256A629" w14:textId="77777777" w:rsidR="003716CB" w:rsidRPr="004F5FB4" w:rsidRDefault="003716CB" w:rsidP="00E9681E">
            <w:pPr>
              <w:keepNext/>
              <w:jc w:val="center"/>
              <w:rPr>
                <w:b/>
                <w:color w:val="000000"/>
              </w:rPr>
            </w:pPr>
            <w:r w:rsidRPr="004F5FB4">
              <w:rPr>
                <w:b/>
                <w:color w:val="000000"/>
              </w:rPr>
              <w:t>Ansprechen</w:t>
            </w:r>
          </w:p>
        </w:tc>
        <w:tc>
          <w:tcPr>
            <w:tcW w:w="1081" w:type="dxa"/>
            <w:tcBorders>
              <w:top w:val="single" w:sz="4" w:space="0" w:color="auto"/>
              <w:left w:val="single" w:sz="4" w:space="0" w:color="auto"/>
              <w:bottom w:val="single" w:sz="4" w:space="0" w:color="auto"/>
              <w:right w:val="single" w:sz="4" w:space="0" w:color="auto"/>
            </w:tcBorders>
            <w:hideMark/>
          </w:tcPr>
          <w:p w14:paraId="51313368" w14:textId="77777777" w:rsidR="003716CB" w:rsidRPr="004F5FB4" w:rsidRDefault="003716CB" w:rsidP="00E9681E">
            <w:pPr>
              <w:keepNext/>
              <w:jc w:val="center"/>
              <w:rPr>
                <w:b/>
                <w:color w:val="000000"/>
              </w:rPr>
            </w:pPr>
            <w:r w:rsidRPr="004F5FB4">
              <w:rPr>
                <w:b/>
                <w:color w:val="000000"/>
              </w:rPr>
              <w:t>Methotrexat (MTX)</w:t>
            </w:r>
          </w:p>
          <w:p w14:paraId="678E05AE" w14:textId="77777777" w:rsidR="003716CB" w:rsidRPr="004F5FB4" w:rsidRDefault="003716CB" w:rsidP="00DF1E6B">
            <w:pPr>
              <w:keepNext/>
              <w:jc w:val="center"/>
              <w:rPr>
                <w:b/>
                <w:color w:val="000000"/>
              </w:rPr>
            </w:pPr>
            <w:r w:rsidRPr="004F5FB4">
              <w:rPr>
                <w:b/>
                <w:color w:val="000000"/>
              </w:rPr>
              <w:t>n</w:t>
            </w:r>
            <w:r w:rsidR="00DF1E6B" w:rsidRPr="004F5FB4">
              <w:rPr>
                <w:b/>
                <w:color w:val="000000"/>
              </w:rPr>
              <w:t> </w:t>
            </w:r>
            <w:r w:rsidRPr="004F5FB4">
              <w:rPr>
                <w:b/>
                <w:color w:val="000000"/>
              </w:rPr>
              <w:t>=</w:t>
            </w:r>
            <w:r w:rsidR="00DF1E6B" w:rsidRPr="004F5FB4">
              <w:rPr>
                <w:b/>
                <w:color w:val="000000"/>
              </w:rPr>
              <w:t> </w:t>
            </w:r>
            <w:r w:rsidRPr="004F5FB4">
              <w:rPr>
                <w:b/>
                <w:color w:val="000000"/>
              </w:rPr>
              <w:t>257</w:t>
            </w:r>
          </w:p>
        </w:tc>
        <w:tc>
          <w:tcPr>
            <w:tcW w:w="1436" w:type="dxa"/>
            <w:tcBorders>
              <w:top w:val="single" w:sz="4" w:space="0" w:color="auto"/>
              <w:left w:val="single" w:sz="4" w:space="0" w:color="auto"/>
              <w:bottom w:val="single" w:sz="4" w:space="0" w:color="auto"/>
              <w:right w:val="single" w:sz="4" w:space="0" w:color="auto"/>
            </w:tcBorders>
            <w:hideMark/>
          </w:tcPr>
          <w:p w14:paraId="4E7CE071" w14:textId="77777777" w:rsidR="003716CB" w:rsidRPr="004F5FB4" w:rsidRDefault="003716CB" w:rsidP="00E9681E">
            <w:pPr>
              <w:keepNext/>
              <w:jc w:val="center"/>
              <w:rPr>
                <w:b/>
                <w:color w:val="000000"/>
              </w:rPr>
            </w:pPr>
            <w:r w:rsidRPr="004F5FB4">
              <w:rPr>
                <w:b/>
                <w:color w:val="000000"/>
              </w:rPr>
              <w:t>Adalimumab</w:t>
            </w:r>
          </w:p>
          <w:p w14:paraId="27BB2F09" w14:textId="77777777" w:rsidR="003716CB" w:rsidRPr="004F5FB4" w:rsidRDefault="003716CB" w:rsidP="00DF1E6B">
            <w:pPr>
              <w:keepNext/>
              <w:jc w:val="center"/>
              <w:rPr>
                <w:b/>
                <w:color w:val="000000"/>
              </w:rPr>
            </w:pPr>
            <w:r w:rsidRPr="004F5FB4">
              <w:rPr>
                <w:b/>
                <w:color w:val="000000"/>
              </w:rPr>
              <w:t>n</w:t>
            </w:r>
            <w:r w:rsidR="00DF1E6B" w:rsidRPr="004F5FB4">
              <w:rPr>
                <w:b/>
                <w:color w:val="000000"/>
              </w:rPr>
              <w:t> </w:t>
            </w:r>
            <w:r w:rsidRPr="004F5FB4">
              <w:rPr>
                <w:b/>
                <w:color w:val="000000"/>
              </w:rPr>
              <w:t>=</w:t>
            </w:r>
            <w:r w:rsidR="00DF1E6B" w:rsidRPr="004F5FB4">
              <w:rPr>
                <w:b/>
                <w:color w:val="000000"/>
              </w:rPr>
              <w:t> </w:t>
            </w:r>
            <w:r w:rsidRPr="004F5FB4">
              <w:rPr>
                <w:b/>
                <w:color w:val="000000"/>
              </w:rPr>
              <w:t>274</w:t>
            </w:r>
          </w:p>
        </w:tc>
        <w:tc>
          <w:tcPr>
            <w:tcW w:w="2042" w:type="dxa"/>
            <w:tcBorders>
              <w:top w:val="single" w:sz="4" w:space="0" w:color="auto"/>
              <w:left w:val="single" w:sz="4" w:space="0" w:color="auto"/>
              <w:bottom w:val="single" w:sz="4" w:space="0" w:color="auto"/>
              <w:right w:val="single" w:sz="4" w:space="0" w:color="auto"/>
            </w:tcBorders>
            <w:hideMark/>
          </w:tcPr>
          <w:p w14:paraId="530839E5" w14:textId="77777777" w:rsidR="003716CB" w:rsidRPr="004F5FB4" w:rsidRDefault="003716CB" w:rsidP="00E9681E">
            <w:pPr>
              <w:keepNext/>
              <w:jc w:val="center"/>
              <w:rPr>
                <w:b/>
                <w:color w:val="000000"/>
              </w:rPr>
            </w:pPr>
            <w:r w:rsidRPr="004F5FB4">
              <w:rPr>
                <w:b/>
                <w:color w:val="000000"/>
              </w:rPr>
              <w:t>Adalimumab/MTX</w:t>
            </w:r>
          </w:p>
          <w:p w14:paraId="7DA1E6EC" w14:textId="77777777" w:rsidR="003716CB" w:rsidRPr="004F5FB4" w:rsidRDefault="003716CB" w:rsidP="00DF1E6B">
            <w:pPr>
              <w:keepNext/>
              <w:jc w:val="center"/>
              <w:rPr>
                <w:b/>
                <w:color w:val="000000"/>
              </w:rPr>
            </w:pPr>
            <w:r w:rsidRPr="004F5FB4">
              <w:rPr>
                <w:b/>
                <w:color w:val="000000"/>
              </w:rPr>
              <w:t>n</w:t>
            </w:r>
            <w:r w:rsidR="00DF1E6B" w:rsidRPr="004F5FB4">
              <w:rPr>
                <w:b/>
                <w:color w:val="000000"/>
              </w:rPr>
              <w:t> </w:t>
            </w:r>
            <w:r w:rsidRPr="004F5FB4">
              <w:rPr>
                <w:b/>
                <w:color w:val="000000"/>
              </w:rPr>
              <w:t>=</w:t>
            </w:r>
            <w:r w:rsidR="00DF1E6B" w:rsidRPr="004F5FB4">
              <w:rPr>
                <w:b/>
                <w:color w:val="000000"/>
              </w:rPr>
              <w:t> </w:t>
            </w:r>
            <w:r w:rsidRPr="004F5FB4">
              <w:rPr>
                <w:b/>
                <w:color w:val="000000"/>
              </w:rPr>
              <w:t>268</w:t>
            </w:r>
          </w:p>
        </w:tc>
        <w:tc>
          <w:tcPr>
            <w:tcW w:w="1021" w:type="dxa"/>
            <w:tcBorders>
              <w:top w:val="single" w:sz="4" w:space="0" w:color="auto"/>
              <w:left w:val="single" w:sz="4" w:space="0" w:color="auto"/>
              <w:bottom w:val="single" w:sz="4" w:space="0" w:color="auto"/>
              <w:right w:val="single" w:sz="4" w:space="0" w:color="auto"/>
            </w:tcBorders>
            <w:vAlign w:val="center"/>
            <w:hideMark/>
          </w:tcPr>
          <w:p w14:paraId="4724D8AE" w14:textId="77777777" w:rsidR="003716CB" w:rsidRPr="004F5FB4" w:rsidRDefault="003716CB" w:rsidP="00E9681E">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a</w:t>
            </w:r>
          </w:p>
        </w:tc>
        <w:tc>
          <w:tcPr>
            <w:tcW w:w="1072" w:type="dxa"/>
            <w:tcBorders>
              <w:top w:val="single" w:sz="4" w:space="0" w:color="auto"/>
              <w:left w:val="single" w:sz="4" w:space="0" w:color="auto"/>
              <w:bottom w:val="single" w:sz="4" w:space="0" w:color="auto"/>
              <w:right w:val="single" w:sz="4" w:space="0" w:color="auto"/>
            </w:tcBorders>
            <w:vAlign w:val="center"/>
            <w:hideMark/>
          </w:tcPr>
          <w:p w14:paraId="6B99693E" w14:textId="77777777" w:rsidR="003716CB" w:rsidRPr="004F5FB4" w:rsidRDefault="003716CB" w:rsidP="00E9681E">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b</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7676E26" w14:textId="77777777" w:rsidR="003716CB" w:rsidRPr="004F5FB4" w:rsidRDefault="003716CB" w:rsidP="00E9681E">
            <w:pPr>
              <w:keepNext/>
              <w:jc w:val="center"/>
              <w:rPr>
                <w:b/>
                <w:color w:val="000000"/>
              </w:rPr>
            </w:pPr>
            <w:r w:rsidRPr="004F5FB4">
              <w:rPr>
                <w:b/>
                <w:color w:val="000000"/>
              </w:rPr>
              <w:t>p</w:t>
            </w:r>
            <w:r w:rsidRPr="004F5FB4">
              <w:rPr>
                <w:b/>
                <w:color w:val="000000"/>
              </w:rPr>
              <w:noBreakHyphen/>
              <w:t>Wert</w:t>
            </w:r>
            <w:r w:rsidRPr="004F5FB4">
              <w:rPr>
                <w:b/>
                <w:color w:val="000000"/>
                <w:vertAlign w:val="superscript"/>
              </w:rPr>
              <w:t>c</w:t>
            </w:r>
          </w:p>
        </w:tc>
      </w:tr>
      <w:tr w:rsidR="003716CB" w:rsidRPr="004F5FB4" w14:paraId="73360507"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658CA806" w14:textId="77777777" w:rsidR="003716CB" w:rsidRPr="004F5FB4" w:rsidRDefault="003716CB" w:rsidP="00E9681E">
            <w:pPr>
              <w:keepNext/>
              <w:rPr>
                <w:color w:val="000000"/>
              </w:rPr>
            </w:pPr>
            <w:r w:rsidRPr="004F5FB4">
              <w:rPr>
                <w:color w:val="000000"/>
              </w:rPr>
              <w:t>ACR-20</w:t>
            </w:r>
          </w:p>
        </w:tc>
        <w:tc>
          <w:tcPr>
            <w:tcW w:w="1081" w:type="dxa"/>
            <w:tcBorders>
              <w:top w:val="single" w:sz="4" w:space="0" w:color="auto"/>
              <w:left w:val="single" w:sz="4" w:space="0" w:color="auto"/>
              <w:bottom w:val="single" w:sz="4" w:space="0" w:color="auto"/>
              <w:right w:val="single" w:sz="4" w:space="0" w:color="auto"/>
            </w:tcBorders>
          </w:tcPr>
          <w:p w14:paraId="6016D9A0" w14:textId="77777777" w:rsidR="003716CB" w:rsidRPr="004F5FB4" w:rsidRDefault="003716CB" w:rsidP="00E9681E">
            <w:pPr>
              <w:keepNext/>
              <w:jc w:val="center"/>
              <w:rPr>
                <w:color w:val="000000"/>
                <w:lang w:val="en-GB"/>
              </w:rPr>
            </w:pPr>
          </w:p>
        </w:tc>
        <w:tc>
          <w:tcPr>
            <w:tcW w:w="1436" w:type="dxa"/>
            <w:tcBorders>
              <w:top w:val="single" w:sz="4" w:space="0" w:color="auto"/>
              <w:left w:val="single" w:sz="4" w:space="0" w:color="auto"/>
              <w:bottom w:val="single" w:sz="4" w:space="0" w:color="auto"/>
              <w:right w:val="single" w:sz="4" w:space="0" w:color="auto"/>
            </w:tcBorders>
          </w:tcPr>
          <w:p w14:paraId="67A7BB18" w14:textId="77777777" w:rsidR="003716CB" w:rsidRPr="004F5FB4" w:rsidRDefault="003716CB" w:rsidP="00E9681E">
            <w:pPr>
              <w:keepNext/>
              <w:jc w:val="center"/>
              <w:rPr>
                <w:color w:val="000000"/>
                <w:lang w:val="en-GB"/>
              </w:rPr>
            </w:pPr>
          </w:p>
        </w:tc>
        <w:tc>
          <w:tcPr>
            <w:tcW w:w="2042" w:type="dxa"/>
            <w:tcBorders>
              <w:top w:val="single" w:sz="4" w:space="0" w:color="auto"/>
              <w:left w:val="single" w:sz="4" w:space="0" w:color="auto"/>
              <w:bottom w:val="single" w:sz="4" w:space="0" w:color="auto"/>
              <w:right w:val="single" w:sz="4" w:space="0" w:color="auto"/>
            </w:tcBorders>
          </w:tcPr>
          <w:p w14:paraId="28C17E1B" w14:textId="77777777" w:rsidR="003716CB" w:rsidRPr="004F5FB4" w:rsidRDefault="003716CB" w:rsidP="00E9681E">
            <w:pPr>
              <w:keepNext/>
              <w:jc w:val="center"/>
              <w:rPr>
                <w:color w:val="000000"/>
                <w:lang w:val="en-GB"/>
              </w:rPr>
            </w:pPr>
          </w:p>
        </w:tc>
        <w:tc>
          <w:tcPr>
            <w:tcW w:w="1021" w:type="dxa"/>
            <w:tcBorders>
              <w:top w:val="single" w:sz="4" w:space="0" w:color="auto"/>
              <w:left w:val="single" w:sz="4" w:space="0" w:color="auto"/>
              <w:bottom w:val="single" w:sz="4" w:space="0" w:color="auto"/>
              <w:right w:val="single" w:sz="4" w:space="0" w:color="auto"/>
            </w:tcBorders>
          </w:tcPr>
          <w:p w14:paraId="220FAB5A" w14:textId="77777777" w:rsidR="003716CB" w:rsidRPr="004F5FB4" w:rsidRDefault="003716CB" w:rsidP="00E9681E">
            <w:pPr>
              <w:keepNext/>
              <w:jc w:val="center"/>
              <w:rPr>
                <w:color w:val="000000"/>
                <w:lang w:val="en-GB"/>
              </w:rPr>
            </w:pPr>
          </w:p>
        </w:tc>
        <w:tc>
          <w:tcPr>
            <w:tcW w:w="1072" w:type="dxa"/>
            <w:tcBorders>
              <w:top w:val="single" w:sz="4" w:space="0" w:color="auto"/>
              <w:left w:val="single" w:sz="4" w:space="0" w:color="auto"/>
              <w:bottom w:val="single" w:sz="4" w:space="0" w:color="auto"/>
              <w:right w:val="single" w:sz="4" w:space="0" w:color="auto"/>
            </w:tcBorders>
          </w:tcPr>
          <w:p w14:paraId="4E2D517E" w14:textId="77777777" w:rsidR="003716CB" w:rsidRPr="004F5FB4" w:rsidRDefault="003716CB" w:rsidP="00E9681E">
            <w:pPr>
              <w:keepNext/>
              <w:jc w:val="center"/>
              <w:rPr>
                <w:color w:val="000000"/>
                <w:lang w:val="en-GB"/>
              </w:rPr>
            </w:pPr>
          </w:p>
        </w:tc>
        <w:tc>
          <w:tcPr>
            <w:tcW w:w="1072" w:type="dxa"/>
            <w:tcBorders>
              <w:top w:val="single" w:sz="4" w:space="0" w:color="auto"/>
              <w:left w:val="single" w:sz="4" w:space="0" w:color="auto"/>
              <w:bottom w:val="single" w:sz="4" w:space="0" w:color="auto"/>
              <w:right w:val="single" w:sz="4" w:space="0" w:color="auto"/>
            </w:tcBorders>
          </w:tcPr>
          <w:p w14:paraId="3B9C38A6" w14:textId="77777777" w:rsidR="003716CB" w:rsidRPr="004F5FB4" w:rsidRDefault="003716CB" w:rsidP="00E9681E">
            <w:pPr>
              <w:keepNext/>
              <w:jc w:val="center"/>
              <w:rPr>
                <w:color w:val="000000"/>
                <w:lang w:val="en-GB"/>
              </w:rPr>
            </w:pPr>
          </w:p>
        </w:tc>
      </w:tr>
      <w:tr w:rsidR="003716CB" w:rsidRPr="004F5FB4" w14:paraId="68325222"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7A6BDDBE" w14:textId="77777777" w:rsidR="003716CB" w:rsidRPr="004F5FB4" w:rsidRDefault="003716CB" w:rsidP="00E9681E">
            <w:pPr>
              <w:keepNext/>
              <w:ind w:left="270"/>
              <w:rPr>
                <w:color w:val="000000"/>
              </w:rPr>
            </w:pPr>
            <w:r w:rsidRPr="004F5FB4">
              <w:rPr>
                <w:color w:val="000000"/>
              </w:rPr>
              <w:t>Woche</w:t>
            </w:r>
            <w:r w:rsidR="001A6074" w:rsidRPr="004F5FB4">
              <w:rPr>
                <w:color w:val="000000"/>
              </w:rPr>
              <w:t> </w:t>
            </w:r>
            <w:r w:rsidRPr="004F5FB4">
              <w:rPr>
                <w:color w:val="000000"/>
              </w:rPr>
              <w:t>52</w:t>
            </w:r>
          </w:p>
        </w:tc>
        <w:tc>
          <w:tcPr>
            <w:tcW w:w="1081" w:type="dxa"/>
            <w:tcBorders>
              <w:top w:val="single" w:sz="4" w:space="0" w:color="auto"/>
              <w:left w:val="single" w:sz="4" w:space="0" w:color="auto"/>
              <w:bottom w:val="single" w:sz="4" w:space="0" w:color="auto"/>
              <w:right w:val="single" w:sz="4" w:space="0" w:color="auto"/>
            </w:tcBorders>
            <w:hideMark/>
          </w:tcPr>
          <w:p w14:paraId="1726BA23" w14:textId="77777777" w:rsidR="003716CB" w:rsidRPr="004F5FB4" w:rsidRDefault="003716CB" w:rsidP="00E9681E">
            <w:pPr>
              <w:keepNext/>
              <w:jc w:val="center"/>
              <w:rPr>
                <w:color w:val="000000"/>
              </w:rPr>
            </w:pPr>
            <w:r w:rsidRPr="004F5FB4">
              <w:rPr>
                <w:color w:val="000000"/>
              </w:rPr>
              <w:t>62,6 %</w:t>
            </w:r>
          </w:p>
        </w:tc>
        <w:tc>
          <w:tcPr>
            <w:tcW w:w="1436" w:type="dxa"/>
            <w:tcBorders>
              <w:top w:val="single" w:sz="4" w:space="0" w:color="auto"/>
              <w:left w:val="single" w:sz="4" w:space="0" w:color="auto"/>
              <w:bottom w:val="single" w:sz="4" w:space="0" w:color="auto"/>
              <w:right w:val="single" w:sz="4" w:space="0" w:color="auto"/>
            </w:tcBorders>
            <w:hideMark/>
          </w:tcPr>
          <w:p w14:paraId="43BF8AC9" w14:textId="77777777" w:rsidR="003716CB" w:rsidRPr="004F5FB4" w:rsidRDefault="003716CB" w:rsidP="00E9681E">
            <w:pPr>
              <w:keepNext/>
              <w:jc w:val="center"/>
              <w:rPr>
                <w:color w:val="000000"/>
              </w:rPr>
            </w:pPr>
            <w:r w:rsidRPr="004F5FB4">
              <w:rPr>
                <w:color w:val="000000"/>
              </w:rPr>
              <w:t>54,4 %</w:t>
            </w:r>
          </w:p>
        </w:tc>
        <w:tc>
          <w:tcPr>
            <w:tcW w:w="2042" w:type="dxa"/>
            <w:tcBorders>
              <w:top w:val="single" w:sz="4" w:space="0" w:color="auto"/>
              <w:left w:val="single" w:sz="4" w:space="0" w:color="auto"/>
              <w:bottom w:val="single" w:sz="4" w:space="0" w:color="auto"/>
              <w:right w:val="single" w:sz="4" w:space="0" w:color="auto"/>
            </w:tcBorders>
            <w:hideMark/>
          </w:tcPr>
          <w:p w14:paraId="263C1218" w14:textId="77777777" w:rsidR="003716CB" w:rsidRPr="004F5FB4" w:rsidRDefault="003716CB" w:rsidP="00E9681E">
            <w:pPr>
              <w:keepNext/>
              <w:jc w:val="center"/>
              <w:rPr>
                <w:color w:val="000000"/>
              </w:rPr>
            </w:pPr>
            <w:r w:rsidRPr="004F5FB4">
              <w:rPr>
                <w:color w:val="000000"/>
              </w:rPr>
              <w:t>72,8 %</w:t>
            </w:r>
          </w:p>
        </w:tc>
        <w:tc>
          <w:tcPr>
            <w:tcW w:w="1021" w:type="dxa"/>
            <w:tcBorders>
              <w:top w:val="single" w:sz="4" w:space="0" w:color="auto"/>
              <w:left w:val="single" w:sz="4" w:space="0" w:color="auto"/>
              <w:bottom w:val="single" w:sz="4" w:space="0" w:color="auto"/>
              <w:right w:val="single" w:sz="4" w:space="0" w:color="auto"/>
            </w:tcBorders>
            <w:hideMark/>
          </w:tcPr>
          <w:p w14:paraId="698EEAB9" w14:textId="77777777" w:rsidR="003716CB" w:rsidRPr="004F5FB4" w:rsidRDefault="003716CB" w:rsidP="00E9681E">
            <w:pPr>
              <w:keepNext/>
              <w:jc w:val="center"/>
              <w:rPr>
                <w:color w:val="000000"/>
              </w:rPr>
            </w:pPr>
            <w:r w:rsidRPr="004F5FB4">
              <w:rPr>
                <w:color w:val="000000"/>
              </w:rPr>
              <w:t>0,013</w:t>
            </w:r>
          </w:p>
        </w:tc>
        <w:tc>
          <w:tcPr>
            <w:tcW w:w="1072" w:type="dxa"/>
            <w:tcBorders>
              <w:top w:val="single" w:sz="4" w:space="0" w:color="auto"/>
              <w:left w:val="single" w:sz="4" w:space="0" w:color="auto"/>
              <w:bottom w:val="single" w:sz="4" w:space="0" w:color="auto"/>
              <w:right w:val="single" w:sz="4" w:space="0" w:color="auto"/>
            </w:tcBorders>
            <w:hideMark/>
          </w:tcPr>
          <w:p w14:paraId="2ACFAA67" w14:textId="77777777" w:rsidR="003716CB" w:rsidRPr="004F5FB4" w:rsidRDefault="003716CB" w:rsidP="00E9681E">
            <w:pPr>
              <w:keepNext/>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7BC8FA2C" w14:textId="77777777" w:rsidR="003716CB" w:rsidRPr="004F5FB4" w:rsidRDefault="003716CB" w:rsidP="00E9681E">
            <w:pPr>
              <w:keepNext/>
              <w:jc w:val="center"/>
              <w:rPr>
                <w:color w:val="000000"/>
              </w:rPr>
            </w:pPr>
            <w:r w:rsidRPr="004F5FB4">
              <w:rPr>
                <w:color w:val="000000"/>
              </w:rPr>
              <w:t>0,043</w:t>
            </w:r>
          </w:p>
        </w:tc>
      </w:tr>
      <w:tr w:rsidR="003716CB" w:rsidRPr="004F5FB4" w14:paraId="5477C73E"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6D85CEC5" w14:textId="77777777" w:rsidR="003716CB" w:rsidRPr="004F5FB4" w:rsidRDefault="003716CB" w:rsidP="00E9681E">
            <w:pPr>
              <w:ind w:left="270"/>
              <w:rPr>
                <w:color w:val="000000"/>
              </w:rPr>
            </w:pPr>
            <w:r w:rsidRPr="004F5FB4">
              <w:rPr>
                <w:color w:val="000000"/>
              </w:rPr>
              <w:t>Woche</w:t>
            </w:r>
            <w:r w:rsidR="001A6074" w:rsidRPr="004F5FB4">
              <w:rPr>
                <w:color w:val="000000"/>
              </w:rPr>
              <w:t> </w:t>
            </w:r>
            <w:r w:rsidRPr="004F5FB4">
              <w:rPr>
                <w:color w:val="000000"/>
              </w:rPr>
              <w:t>104</w:t>
            </w:r>
          </w:p>
        </w:tc>
        <w:tc>
          <w:tcPr>
            <w:tcW w:w="1081" w:type="dxa"/>
            <w:tcBorders>
              <w:top w:val="single" w:sz="4" w:space="0" w:color="auto"/>
              <w:left w:val="single" w:sz="4" w:space="0" w:color="auto"/>
              <w:bottom w:val="single" w:sz="4" w:space="0" w:color="auto"/>
              <w:right w:val="single" w:sz="4" w:space="0" w:color="auto"/>
            </w:tcBorders>
            <w:hideMark/>
          </w:tcPr>
          <w:p w14:paraId="415A5566" w14:textId="77777777" w:rsidR="003716CB" w:rsidRPr="004F5FB4" w:rsidRDefault="003716CB" w:rsidP="00E9681E">
            <w:pPr>
              <w:jc w:val="center"/>
              <w:rPr>
                <w:color w:val="000000"/>
              </w:rPr>
            </w:pPr>
            <w:r w:rsidRPr="004F5FB4">
              <w:rPr>
                <w:color w:val="000000"/>
              </w:rPr>
              <w:t>56,0 %</w:t>
            </w:r>
          </w:p>
        </w:tc>
        <w:tc>
          <w:tcPr>
            <w:tcW w:w="1436" w:type="dxa"/>
            <w:tcBorders>
              <w:top w:val="single" w:sz="4" w:space="0" w:color="auto"/>
              <w:left w:val="single" w:sz="4" w:space="0" w:color="auto"/>
              <w:bottom w:val="single" w:sz="4" w:space="0" w:color="auto"/>
              <w:right w:val="single" w:sz="4" w:space="0" w:color="auto"/>
            </w:tcBorders>
            <w:hideMark/>
          </w:tcPr>
          <w:p w14:paraId="418B1162" w14:textId="77777777" w:rsidR="003716CB" w:rsidRPr="004F5FB4" w:rsidRDefault="003716CB" w:rsidP="00E9681E">
            <w:pPr>
              <w:jc w:val="center"/>
              <w:rPr>
                <w:color w:val="000000"/>
              </w:rPr>
            </w:pPr>
            <w:r w:rsidRPr="004F5FB4">
              <w:rPr>
                <w:color w:val="000000"/>
              </w:rPr>
              <w:t>49,3 %</w:t>
            </w:r>
          </w:p>
        </w:tc>
        <w:tc>
          <w:tcPr>
            <w:tcW w:w="2042" w:type="dxa"/>
            <w:tcBorders>
              <w:top w:val="single" w:sz="4" w:space="0" w:color="auto"/>
              <w:left w:val="single" w:sz="4" w:space="0" w:color="auto"/>
              <w:bottom w:val="single" w:sz="4" w:space="0" w:color="auto"/>
              <w:right w:val="single" w:sz="4" w:space="0" w:color="auto"/>
            </w:tcBorders>
            <w:hideMark/>
          </w:tcPr>
          <w:p w14:paraId="0F26A297" w14:textId="77777777" w:rsidR="003716CB" w:rsidRPr="004F5FB4" w:rsidRDefault="003716CB" w:rsidP="00E9681E">
            <w:pPr>
              <w:jc w:val="center"/>
              <w:rPr>
                <w:color w:val="000000"/>
              </w:rPr>
            </w:pPr>
            <w:r w:rsidRPr="004F5FB4">
              <w:rPr>
                <w:color w:val="000000"/>
              </w:rPr>
              <w:t>69,4 %</w:t>
            </w:r>
          </w:p>
        </w:tc>
        <w:tc>
          <w:tcPr>
            <w:tcW w:w="1021" w:type="dxa"/>
            <w:tcBorders>
              <w:top w:val="single" w:sz="4" w:space="0" w:color="auto"/>
              <w:left w:val="single" w:sz="4" w:space="0" w:color="auto"/>
              <w:bottom w:val="single" w:sz="4" w:space="0" w:color="auto"/>
              <w:right w:val="single" w:sz="4" w:space="0" w:color="auto"/>
            </w:tcBorders>
            <w:hideMark/>
          </w:tcPr>
          <w:p w14:paraId="583820FE" w14:textId="77777777" w:rsidR="003716CB" w:rsidRPr="004F5FB4" w:rsidRDefault="003716CB" w:rsidP="00E9681E">
            <w:pPr>
              <w:jc w:val="center"/>
              <w:rPr>
                <w:color w:val="000000"/>
              </w:rPr>
            </w:pPr>
            <w:r w:rsidRPr="004F5FB4">
              <w:rPr>
                <w:color w:val="000000"/>
              </w:rPr>
              <w:t>0,002</w:t>
            </w:r>
          </w:p>
        </w:tc>
        <w:tc>
          <w:tcPr>
            <w:tcW w:w="1072" w:type="dxa"/>
            <w:tcBorders>
              <w:top w:val="single" w:sz="4" w:space="0" w:color="auto"/>
              <w:left w:val="single" w:sz="4" w:space="0" w:color="auto"/>
              <w:bottom w:val="single" w:sz="4" w:space="0" w:color="auto"/>
              <w:right w:val="single" w:sz="4" w:space="0" w:color="auto"/>
            </w:tcBorders>
            <w:hideMark/>
          </w:tcPr>
          <w:p w14:paraId="7C569B91"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219B0E14" w14:textId="77777777" w:rsidR="003716CB" w:rsidRPr="004F5FB4" w:rsidRDefault="003716CB" w:rsidP="00E9681E">
            <w:pPr>
              <w:jc w:val="center"/>
              <w:rPr>
                <w:color w:val="000000"/>
              </w:rPr>
            </w:pPr>
            <w:r w:rsidRPr="004F5FB4">
              <w:rPr>
                <w:color w:val="000000"/>
              </w:rPr>
              <w:t>0,140</w:t>
            </w:r>
          </w:p>
        </w:tc>
      </w:tr>
      <w:tr w:rsidR="003716CB" w:rsidRPr="004F5FB4" w14:paraId="038C5FF7"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12237549" w14:textId="77777777" w:rsidR="003716CB" w:rsidRPr="004F5FB4" w:rsidRDefault="003716CB" w:rsidP="00E9681E">
            <w:pPr>
              <w:rPr>
                <w:color w:val="000000"/>
              </w:rPr>
            </w:pPr>
            <w:r w:rsidRPr="004F5FB4">
              <w:rPr>
                <w:color w:val="000000"/>
              </w:rPr>
              <w:t>ACR-50</w:t>
            </w:r>
          </w:p>
        </w:tc>
        <w:tc>
          <w:tcPr>
            <w:tcW w:w="1081" w:type="dxa"/>
            <w:tcBorders>
              <w:top w:val="single" w:sz="4" w:space="0" w:color="auto"/>
              <w:left w:val="single" w:sz="4" w:space="0" w:color="auto"/>
              <w:bottom w:val="single" w:sz="4" w:space="0" w:color="auto"/>
              <w:right w:val="single" w:sz="4" w:space="0" w:color="auto"/>
            </w:tcBorders>
          </w:tcPr>
          <w:p w14:paraId="75572A3D" w14:textId="77777777" w:rsidR="003716CB" w:rsidRPr="004F5FB4" w:rsidRDefault="003716CB" w:rsidP="00E9681E">
            <w:pPr>
              <w:jc w:val="center"/>
              <w:rPr>
                <w:color w:val="000000"/>
                <w:lang w:val="en-GB"/>
              </w:rPr>
            </w:pPr>
          </w:p>
        </w:tc>
        <w:tc>
          <w:tcPr>
            <w:tcW w:w="1436" w:type="dxa"/>
            <w:tcBorders>
              <w:top w:val="single" w:sz="4" w:space="0" w:color="auto"/>
              <w:left w:val="single" w:sz="4" w:space="0" w:color="auto"/>
              <w:bottom w:val="single" w:sz="4" w:space="0" w:color="auto"/>
              <w:right w:val="single" w:sz="4" w:space="0" w:color="auto"/>
            </w:tcBorders>
          </w:tcPr>
          <w:p w14:paraId="2BFC5342" w14:textId="77777777" w:rsidR="003716CB" w:rsidRPr="004F5FB4" w:rsidRDefault="003716CB" w:rsidP="00E9681E">
            <w:pPr>
              <w:jc w:val="center"/>
              <w:rPr>
                <w:color w:val="000000"/>
                <w:lang w:val="en-GB"/>
              </w:rPr>
            </w:pPr>
          </w:p>
        </w:tc>
        <w:tc>
          <w:tcPr>
            <w:tcW w:w="2042" w:type="dxa"/>
            <w:tcBorders>
              <w:top w:val="single" w:sz="4" w:space="0" w:color="auto"/>
              <w:left w:val="single" w:sz="4" w:space="0" w:color="auto"/>
              <w:bottom w:val="single" w:sz="4" w:space="0" w:color="auto"/>
              <w:right w:val="single" w:sz="4" w:space="0" w:color="auto"/>
            </w:tcBorders>
          </w:tcPr>
          <w:p w14:paraId="0A12D070" w14:textId="77777777" w:rsidR="003716CB" w:rsidRPr="004F5FB4" w:rsidRDefault="003716CB" w:rsidP="00E9681E">
            <w:pPr>
              <w:jc w:val="center"/>
              <w:rPr>
                <w:color w:val="000000"/>
                <w:lang w:val="en-GB"/>
              </w:rPr>
            </w:pPr>
          </w:p>
        </w:tc>
        <w:tc>
          <w:tcPr>
            <w:tcW w:w="1021" w:type="dxa"/>
            <w:tcBorders>
              <w:top w:val="single" w:sz="4" w:space="0" w:color="auto"/>
              <w:left w:val="single" w:sz="4" w:space="0" w:color="auto"/>
              <w:bottom w:val="single" w:sz="4" w:space="0" w:color="auto"/>
              <w:right w:val="single" w:sz="4" w:space="0" w:color="auto"/>
            </w:tcBorders>
          </w:tcPr>
          <w:p w14:paraId="0ED31AC7" w14:textId="77777777" w:rsidR="003716CB" w:rsidRPr="004F5FB4" w:rsidRDefault="003716CB" w:rsidP="00E9681E">
            <w:pPr>
              <w:jc w:val="center"/>
              <w:rPr>
                <w:color w:val="000000"/>
                <w:lang w:val="en-GB"/>
              </w:rPr>
            </w:pPr>
          </w:p>
        </w:tc>
        <w:tc>
          <w:tcPr>
            <w:tcW w:w="1072" w:type="dxa"/>
            <w:tcBorders>
              <w:top w:val="single" w:sz="4" w:space="0" w:color="auto"/>
              <w:left w:val="single" w:sz="4" w:space="0" w:color="auto"/>
              <w:bottom w:val="single" w:sz="4" w:space="0" w:color="auto"/>
              <w:right w:val="single" w:sz="4" w:space="0" w:color="auto"/>
            </w:tcBorders>
          </w:tcPr>
          <w:p w14:paraId="53B6FFB6" w14:textId="77777777" w:rsidR="003716CB" w:rsidRPr="004F5FB4" w:rsidRDefault="003716CB" w:rsidP="00E9681E">
            <w:pPr>
              <w:jc w:val="center"/>
              <w:rPr>
                <w:color w:val="000000"/>
                <w:lang w:val="en-GB"/>
              </w:rPr>
            </w:pPr>
          </w:p>
        </w:tc>
        <w:tc>
          <w:tcPr>
            <w:tcW w:w="1072" w:type="dxa"/>
            <w:tcBorders>
              <w:top w:val="single" w:sz="4" w:space="0" w:color="auto"/>
              <w:left w:val="single" w:sz="4" w:space="0" w:color="auto"/>
              <w:bottom w:val="single" w:sz="4" w:space="0" w:color="auto"/>
              <w:right w:val="single" w:sz="4" w:space="0" w:color="auto"/>
            </w:tcBorders>
          </w:tcPr>
          <w:p w14:paraId="2E7CC488" w14:textId="77777777" w:rsidR="003716CB" w:rsidRPr="004F5FB4" w:rsidRDefault="003716CB" w:rsidP="00E9681E">
            <w:pPr>
              <w:jc w:val="center"/>
              <w:rPr>
                <w:color w:val="000000"/>
                <w:lang w:val="en-GB"/>
              </w:rPr>
            </w:pPr>
          </w:p>
        </w:tc>
      </w:tr>
      <w:tr w:rsidR="003716CB" w:rsidRPr="004F5FB4" w14:paraId="0B19C44B"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3B4A2FF1" w14:textId="77777777" w:rsidR="003716CB" w:rsidRPr="004F5FB4" w:rsidRDefault="003716CB" w:rsidP="00E9681E">
            <w:pPr>
              <w:ind w:left="270"/>
              <w:rPr>
                <w:color w:val="000000"/>
              </w:rPr>
            </w:pPr>
            <w:r w:rsidRPr="004F5FB4">
              <w:rPr>
                <w:color w:val="000000"/>
              </w:rPr>
              <w:t>Woche</w:t>
            </w:r>
            <w:r w:rsidR="001A6074" w:rsidRPr="004F5FB4">
              <w:rPr>
                <w:color w:val="000000"/>
              </w:rPr>
              <w:t> </w:t>
            </w:r>
            <w:r w:rsidRPr="004F5FB4">
              <w:rPr>
                <w:color w:val="000000"/>
              </w:rPr>
              <w:t>52</w:t>
            </w:r>
          </w:p>
        </w:tc>
        <w:tc>
          <w:tcPr>
            <w:tcW w:w="1081" w:type="dxa"/>
            <w:tcBorders>
              <w:top w:val="single" w:sz="4" w:space="0" w:color="auto"/>
              <w:left w:val="single" w:sz="4" w:space="0" w:color="auto"/>
              <w:bottom w:val="single" w:sz="4" w:space="0" w:color="auto"/>
              <w:right w:val="single" w:sz="4" w:space="0" w:color="auto"/>
            </w:tcBorders>
            <w:hideMark/>
          </w:tcPr>
          <w:p w14:paraId="281E06A5" w14:textId="77777777" w:rsidR="003716CB" w:rsidRPr="004F5FB4" w:rsidRDefault="003716CB" w:rsidP="00E9681E">
            <w:pPr>
              <w:jc w:val="center"/>
              <w:rPr>
                <w:color w:val="000000"/>
              </w:rPr>
            </w:pPr>
            <w:r w:rsidRPr="004F5FB4">
              <w:rPr>
                <w:color w:val="000000"/>
              </w:rPr>
              <w:t>45,9 %</w:t>
            </w:r>
          </w:p>
        </w:tc>
        <w:tc>
          <w:tcPr>
            <w:tcW w:w="1436" w:type="dxa"/>
            <w:tcBorders>
              <w:top w:val="single" w:sz="4" w:space="0" w:color="auto"/>
              <w:left w:val="single" w:sz="4" w:space="0" w:color="auto"/>
              <w:bottom w:val="single" w:sz="4" w:space="0" w:color="auto"/>
              <w:right w:val="single" w:sz="4" w:space="0" w:color="auto"/>
            </w:tcBorders>
            <w:hideMark/>
          </w:tcPr>
          <w:p w14:paraId="22F1B678" w14:textId="77777777" w:rsidR="003716CB" w:rsidRPr="004F5FB4" w:rsidRDefault="003716CB" w:rsidP="00E9681E">
            <w:pPr>
              <w:jc w:val="center"/>
              <w:rPr>
                <w:color w:val="000000"/>
              </w:rPr>
            </w:pPr>
            <w:r w:rsidRPr="004F5FB4">
              <w:rPr>
                <w:color w:val="000000"/>
              </w:rPr>
              <w:t>41,2 %</w:t>
            </w:r>
          </w:p>
        </w:tc>
        <w:tc>
          <w:tcPr>
            <w:tcW w:w="2042" w:type="dxa"/>
            <w:tcBorders>
              <w:top w:val="single" w:sz="4" w:space="0" w:color="auto"/>
              <w:left w:val="single" w:sz="4" w:space="0" w:color="auto"/>
              <w:bottom w:val="single" w:sz="4" w:space="0" w:color="auto"/>
              <w:right w:val="single" w:sz="4" w:space="0" w:color="auto"/>
            </w:tcBorders>
            <w:hideMark/>
          </w:tcPr>
          <w:p w14:paraId="2DF1DADC" w14:textId="77777777" w:rsidR="003716CB" w:rsidRPr="004F5FB4" w:rsidRDefault="003716CB" w:rsidP="00E9681E">
            <w:pPr>
              <w:jc w:val="center"/>
              <w:rPr>
                <w:color w:val="000000"/>
              </w:rPr>
            </w:pPr>
            <w:r w:rsidRPr="004F5FB4">
              <w:rPr>
                <w:color w:val="000000"/>
              </w:rPr>
              <w:t>61,6 %</w:t>
            </w:r>
          </w:p>
        </w:tc>
        <w:tc>
          <w:tcPr>
            <w:tcW w:w="1021" w:type="dxa"/>
            <w:tcBorders>
              <w:top w:val="single" w:sz="4" w:space="0" w:color="auto"/>
              <w:left w:val="single" w:sz="4" w:space="0" w:color="auto"/>
              <w:bottom w:val="single" w:sz="4" w:space="0" w:color="auto"/>
              <w:right w:val="single" w:sz="4" w:space="0" w:color="auto"/>
            </w:tcBorders>
            <w:hideMark/>
          </w:tcPr>
          <w:p w14:paraId="3265E56B"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0A1EF5E4"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60CBF242" w14:textId="77777777" w:rsidR="003716CB" w:rsidRPr="004F5FB4" w:rsidRDefault="003716CB" w:rsidP="00E9681E">
            <w:pPr>
              <w:jc w:val="center"/>
              <w:rPr>
                <w:color w:val="000000"/>
              </w:rPr>
            </w:pPr>
            <w:r w:rsidRPr="004F5FB4">
              <w:rPr>
                <w:color w:val="000000"/>
              </w:rPr>
              <w:t>0,317</w:t>
            </w:r>
          </w:p>
        </w:tc>
      </w:tr>
      <w:tr w:rsidR="003716CB" w:rsidRPr="004F5FB4" w14:paraId="2E5AF365"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768C1D73" w14:textId="77777777" w:rsidR="003716CB" w:rsidRPr="004F5FB4" w:rsidRDefault="003716CB" w:rsidP="00E9681E">
            <w:pPr>
              <w:ind w:left="270"/>
              <w:rPr>
                <w:color w:val="000000"/>
              </w:rPr>
            </w:pPr>
            <w:r w:rsidRPr="004F5FB4">
              <w:rPr>
                <w:color w:val="000000"/>
              </w:rPr>
              <w:t>Woche</w:t>
            </w:r>
            <w:r w:rsidR="001A6074" w:rsidRPr="004F5FB4">
              <w:rPr>
                <w:color w:val="000000"/>
              </w:rPr>
              <w:t> </w:t>
            </w:r>
            <w:r w:rsidRPr="004F5FB4">
              <w:rPr>
                <w:color w:val="000000"/>
              </w:rPr>
              <w:t>104</w:t>
            </w:r>
          </w:p>
        </w:tc>
        <w:tc>
          <w:tcPr>
            <w:tcW w:w="1081" w:type="dxa"/>
            <w:tcBorders>
              <w:top w:val="single" w:sz="4" w:space="0" w:color="auto"/>
              <w:left w:val="single" w:sz="4" w:space="0" w:color="auto"/>
              <w:bottom w:val="single" w:sz="4" w:space="0" w:color="auto"/>
              <w:right w:val="single" w:sz="4" w:space="0" w:color="auto"/>
            </w:tcBorders>
            <w:hideMark/>
          </w:tcPr>
          <w:p w14:paraId="7852CB6C" w14:textId="77777777" w:rsidR="003716CB" w:rsidRPr="004F5FB4" w:rsidRDefault="003716CB" w:rsidP="00E9681E">
            <w:pPr>
              <w:jc w:val="center"/>
              <w:rPr>
                <w:color w:val="000000"/>
              </w:rPr>
            </w:pPr>
            <w:r w:rsidRPr="004F5FB4">
              <w:rPr>
                <w:color w:val="000000"/>
              </w:rPr>
              <w:t>42,8 %</w:t>
            </w:r>
          </w:p>
        </w:tc>
        <w:tc>
          <w:tcPr>
            <w:tcW w:w="1436" w:type="dxa"/>
            <w:tcBorders>
              <w:top w:val="single" w:sz="4" w:space="0" w:color="auto"/>
              <w:left w:val="single" w:sz="4" w:space="0" w:color="auto"/>
              <w:bottom w:val="single" w:sz="4" w:space="0" w:color="auto"/>
              <w:right w:val="single" w:sz="4" w:space="0" w:color="auto"/>
            </w:tcBorders>
            <w:hideMark/>
          </w:tcPr>
          <w:p w14:paraId="1B52D7D0" w14:textId="77777777" w:rsidR="003716CB" w:rsidRPr="004F5FB4" w:rsidRDefault="003716CB" w:rsidP="00E9681E">
            <w:pPr>
              <w:jc w:val="center"/>
              <w:rPr>
                <w:color w:val="000000"/>
              </w:rPr>
            </w:pPr>
            <w:r w:rsidRPr="004F5FB4">
              <w:rPr>
                <w:color w:val="000000"/>
              </w:rPr>
              <w:t>36,9 %</w:t>
            </w:r>
          </w:p>
        </w:tc>
        <w:tc>
          <w:tcPr>
            <w:tcW w:w="2042" w:type="dxa"/>
            <w:tcBorders>
              <w:top w:val="single" w:sz="4" w:space="0" w:color="auto"/>
              <w:left w:val="single" w:sz="4" w:space="0" w:color="auto"/>
              <w:bottom w:val="single" w:sz="4" w:space="0" w:color="auto"/>
              <w:right w:val="single" w:sz="4" w:space="0" w:color="auto"/>
            </w:tcBorders>
            <w:hideMark/>
          </w:tcPr>
          <w:p w14:paraId="542DF77D" w14:textId="77777777" w:rsidR="003716CB" w:rsidRPr="004F5FB4" w:rsidRDefault="003716CB" w:rsidP="00E9681E">
            <w:pPr>
              <w:jc w:val="center"/>
              <w:rPr>
                <w:color w:val="000000"/>
              </w:rPr>
            </w:pPr>
            <w:r w:rsidRPr="004F5FB4">
              <w:rPr>
                <w:color w:val="000000"/>
              </w:rPr>
              <w:t>59,0 %</w:t>
            </w:r>
          </w:p>
        </w:tc>
        <w:tc>
          <w:tcPr>
            <w:tcW w:w="1021" w:type="dxa"/>
            <w:tcBorders>
              <w:top w:val="single" w:sz="4" w:space="0" w:color="auto"/>
              <w:left w:val="single" w:sz="4" w:space="0" w:color="auto"/>
              <w:bottom w:val="single" w:sz="4" w:space="0" w:color="auto"/>
              <w:right w:val="single" w:sz="4" w:space="0" w:color="auto"/>
            </w:tcBorders>
            <w:hideMark/>
          </w:tcPr>
          <w:p w14:paraId="027C67B5"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79A33071"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048646E8" w14:textId="77777777" w:rsidR="003716CB" w:rsidRPr="004F5FB4" w:rsidRDefault="003716CB" w:rsidP="00E9681E">
            <w:pPr>
              <w:jc w:val="center"/>
              <w:rPr>
                <w:color w:val="000000"/>
              </w:rPr>
            </w:pPr>
            <w:r w:rsidRPr="004F5FB4">
              <w:rPr>
                <w:color w:val="000000"/>
              </w:rPr>
              <w:t>0,162</w:t>
            </w:r>
          </w:p>
        </w:tc>
      </w:tr>
      <w:tr w:rsidR="003716CB" w:rsidRPr="004F5FB4" w14:paraId="46956CEA"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72383D9C" w14:textId="77777777" w:rsidR="003716CB" w:rsidRPr="004F5FB4" w:rsidRDefault="003716CB" w:rsidP="00E9681E">
            <w:pPr>
              <w:rPr>
                <w:color w:val="000000"/>
              </w:rPr>
            </w:pPr>
            <w:r w:rsidRPr="004F5FB4">
              <w:rPr>
                <w:color w:val="000000"/>
              </w:rPr>
              <w:t>ACR-70</w:t>
            </w:r>
          </w:p>
        </w:tc>
        <w:tc>
          <w:tcPr>
            <w:tcW w:w="1081" w:type="dxa"/>
            <w:tcBorders>
              <w:top w:val="single" w:sz="4" w:space="0" w:color="auto"/>
              <w:left w:val="single" w:sz="4" w:space="0" w:color="auto"/>
              <w:bottom w:val="single" w:sz="4" w:space="0" w:color="auto"/>
              <w:right w:val="single" w:sz="4" w:space="0" w:color="auto"/>
            </w:tcBorders>
          </w:tcPr>
          <w:p w14:paraId="72A0744B" w14:textId="77777777" w:rsidR="003716CB" w:rsidRPr="004F5FB4" w:rsidRDefault="003716CB" w:rsidP="00E9681E">
            <w:pPr>
              <w:jc w:val="center"/>
              <w:rPr>
                <w:color w:val="000000"/>
                <w:lang w:val="en-GB"/>
              </w:rPr>
            </w:pPr>
          </w:p>
        </w:tc>
        <w:tc>
          <w:tcPr>
            <w:tcW w:w="1436" w:type="dxa"/>
            <w:tcBorders>
              <w:top w:val="single" w:sz="4" w:space="0" w:color="auto"/>
              <w:left w:val="single" w:sz="4" w:space="0" w:color="auto"/>
              <w:bottom w:val="single" w:sz="4" w:space="0" w:color="auto"/>
              <w:right w:val="single" w:sz="4" w:space="0" w:color="auto"/>
            </w:tcBorders>
          </w:tcPr>
          <w:p w14:paraId="109A4D5F" w14:textId="77777777" w:rsidR="003716CB" w:rsidRPr="004F5FB4" w:rsidRDefault="003716CB" w:rsidP="00E9681E">
            <w:pPr>
              <w:jc w:val="center"/>
              <w:rPr>
                <w:color w:val="000000"/>
                <w:lang w:val="en-GB"/>
              </w:rPr>
            </w:pPr>
          </w:p>
        </w:tc>
        <w:tc>
          <w:tcPr>
            <w:tcW w:w="2042" w:type="dxa"/>
            <w:tcBorders>
              <w:top w:val="single" w:sz="4" w:space="0" w:color="auto"/>
              <w:left w:val="single" w:sz="4" w:space="0" w:color="auto"/>
              <w:bottom w:val="single" w:sz="4" w:space="0" w:color="auto"/>
              <w:right w:val="single" w:sz="4" w:space="0" w:color="auto"/>
            </w:tcBorders>
          </w:tcPr>
          <w:p w14:paraId="0A96ED30" w14:textId="77777777" w:rsidR="003716CB" w:rsidRPr="004F5FB4" w:rsidRDefault="003716CB" w:rsidP="00E9681E">
            <w:pPr>
              <w:jc w:val="center"/>
              <w:rPr>
                <w:color w:val="000000"/>
                <w:lang w:val="en-GB"/>
              </w:rPr>
            </w:pPr>
          </w:p>
        </w:tc>
        <w:tc>
          <w:tcPr>
            <w:tcW w:w="1021" w:type="dxa"/>
            <w:tcBorders>
              <w:top w:val="single" w:sz="4" w:space="0" w:color="auto"/>
              <w:left w:val="single" w:sz="4" w:space="0" w:color="auto"/>
              <w:bottom w:val="single" w:sz="4" w:space="0" w:color="auto"/>
              <w:right w:val="single" w:sz="4" w:space="0" w:color="auto"/>
            </w:tcBorders>
          </w:tcPr>
          <w:p w14:paraId="5B15FC57" w14:textId="77777777" w:rsidR="003716CB" w:rsidRPr="004F5FB4" w:rsidRDefault="003716CB" w:rsidP="00E9681E">
            <w:pPr>
              <w:jc w:val="center"/>
              <w:rPr>
                <w:color w:val="000000"/>
                <w:lang w:val="en-GB"/>
              </w:rPr>
            </w:pPr>
          </w:p>
        </w:tc>
        <w:tc>
          <w:tcPr>
            <w:tcW w:w="1072" w:type="dxa"/>
            <w:tcBorders>
              <w:top w:val="single" w:sz="4" w:space="0" w:color="auto"/>
              <w:left w:val="single" w:sz="4" w:space="0" w:color="auto"/>
              <w:bottom w:val="single" w:sz="4" w:space="0" w:color="auto"/>
              <w:right w:val="single" w:sz="4" w:space="0" w:color="auto"/>
            </w:tcBorders>
          </w:tcPr>
          <w:p w14:paraId="757E6E64" w14:textId="77777777" w:rsidR="003716CB" w:rsidRPr="004F5FB4" w:rsidRDefault="003716CB" w:rsidP="00E9681E">
            <w:pPr>
              <w:jc w:val="center"/>
              <w:rPr>
                <w:color w:val="000000"/>
                <w:lang w:val="en-GB"/>
              </w:rPr>
            </w:pPr>
          </w:p>
        </w:tc>
        <w:tc>
          <w:tcPr>
            <w:tcW w:w="1072" w:type="dxa"/>
            <w:tcBorders>
              <w:top w:val="single" w:sz="4" w:space="0" w:color="auto"/>
              <w:left w:val="single" w:sz="4" w:space="0" w:color="auto"/>
              <w:bottom w:val="single" w:sz="4" w:space="0" w:color="auto"/>
              <w:right w:val="single" w:sz="4" w:space="0" w:color="auto"/>
            </w:tcBorders>
          </w:tcPr>
          <w:p w14:paraId="0E5DFBE6" w14:textId="77777777" w:rsidR="003716CB" w:rsidRPr="004F5FB4" w:rsidRDefault="003716CB" w:rsidP="00E9681E">
            <w:pPr>
              <w:jc w:val="center"/>
              <w:rPr>
                <w:color w:val="000000"/>
                <w:lang w:val="en-GB"/>
              </w:rPr>
            </w:pPr>
          </w:p>
        </w:tc>
      </w:tr>
      <w:tr w:rsidR="003716CB" w:rsidRPr="004F5FB4" w14:paraId="5E8F9B6A"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6D8015FC" w14:textId="77777777" w:rsidR="003716CB" w:rsidRPr="004F5FB4" w:rsidRDefault="003716CB" w:rsidP="00E9681E">
            <w:pPr>
              <w:ind w:left="270"/>
              <w:rPr>
                <w:color w:val="000000"/>
              </w:rPr>
            </w:pPr>
            <w:r w:rsidRPr="004F5FB4">
              <w:rPr>
                <w:color w:val="000000"/>
              </w:rPr>
              <w:t>Woche</w:t>
            </w:r>
            <w:r w:rsidR="001A6074" w:rsidRPr="004F5FB4">
              <w:rPr>
                <w:color w:val="000000"/>
              </w:rPr>
              <w:t> </w:t>
            </w:r>
            <w:r w:rsidRPr="004F5FB4">
              <w:rPr>
                <w:color w:val="000000"/>
              </w:rPr>
              <w:t>52</w:t>
            </w:r>
          </w:p>
        </w:tc>
        <w:tc>
          <w:tcPr>
            <w:tcW w:w="1081" w:type="dxa"/>
            <w:tcBorders>
              <w:top w:val="single" w:sz="4" w:space="0" w:color="auto"/>
              <w:left w:val="single" w:sz="4" w:space="0" w:color="auto"/>
              <w:bottom w:val="single" w:sz="4" w:space="0" w:color="auto"/>
              <w:right w:val="single" w:sz="4" w:space="0" w:color="auto"/>
            </w:tcBorders>
            <w:hideMark/>
          </w:tcPr>
          <w:p w14:paraId="65D8619A" w14:textId="77777777" w:rsidR="003716CB" w:rsidRPr="004F5FB4" w:rsidRDefault="003716CB" w:rsidP="00E9681E">
            <w:pPr>
              <w:jc w:val="center"/>
              <w:rPr>
                <w:color w:val="000000"/>
              </w:rPr>
            </w:pPr>
            <w:r w:rsidRPr="004F5FB4">
              <w:rPr>
                <w:color w:val="000000"/>
              </w:rPr>
              <w:t>27,2 %</w:t>
            </w:r>
          </w:p>
        </w:tc>
        <w:tc>
          <w:tcPr>
            <w:tcW w:w="1436" w:type="dxa"/>
            <w:tcBorders>
              <w:top w:val="single" w:sz="4" w:space="0" w:color="auto"/>
              <w:left w:val="single" w:sz="4" w:space="0" w:color="auto"/>
              <w:bottom w:val="single" w:sz="4" w:space="0" w:color="auto"/>
              <w:right w:val="single" w:sz="4" w:space="0" w:color="auto"/>
            </w:tcBorders>
            <w:hideMark/>
          </w:tcPr>
          <w:p w14:paraId="392530EE" w14:textId="77777777" w:rsidR="003716CB" w:rsidRPr="004F5FB4" w:rsidRDefault="003716CB" w:rsidP="00E9681E">
            <w:pPr>
              <w:jc w:val="center"/>
              <w:rPr>
                <w:color w:val="000000"/>
              </w:rPr>
            </w:pPr>
            <w:r w:rsidRPr="004F5FB4">
              <w:rPr>
                <w:color w:val="000000"/>
              </w:rPr>
              <w:t>25,9 %</w:t>
            </w:r>
          </w:p>
        </w:tc>
        <w:tc>
          <w:tcPr>
            <w:tcW w:w="2042" w:type="dxa"/>
            <w:tcBorders>
              <w:top w:val="single" w:sz="4" w:space="0" w:color="auto"/>
              <w:left w:val="single" w:sz="4" w:space="0" w:color="auto"/>
              <w:bottom w:val="single" w:sz="4" w:space="0" w:color="auto"/>
              <w:right w:val="single" w:sz="4" w:space="0" w:color="auto"/>
            </w:tcBorders>
            <w:hideMark/>
          </w:tcPr>
          <w:p w14:paraId="62D2E816" w14:textId="77777777" w:rsidR="003716CB" w:rsidRPr="004F5FB4" w:rsidRDefault="003716CB" w:rsidP="00E9681E">
            <w:pPr>
              <w:jc w:val="center"/>
              <w:rPr>
                <w:color w:val="000000"/>
              </w:rPr>
            </w:pPr>
            <w:r w:rsidRPr="004F5FB4">
              <w:rPr>
                <w:color w:val="000000"/>
              </w:rPr>
              <w:t>45,5 %</w:t>
            </w:r>
          </w:p>
        </w:tc>
        <w:tc>
          <w:tcPr>
            <w:tcW w:w="1021" w:type="dxa"/>
            <w:tcBorders>
              <w:top w:val="single" w:sz="4" w:space="0" w:color="auto"/>
              <w:left w:val="single" w:sz="4" w:space="0" w:color="auto"/>
              <w:bottom w:val="single" w:sz="4" w:space="0" w:color="auto"/>
              <w:right w:val="single" w:sz="4" w:space="0" w:color="auto"/>
            </w:tcBorders>
            <w:hideMark/>
          </w:tcPr>
          <w:p w14:paraId="501E74B9"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3B70CA27"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7108180D" w14:textId="77777777" w:rsidR="003716CB" w:rsidRPr="004F5FB4" w:rsidRDefault="003716CB" w:rsidP="00E9681E">
            <w:pPr>
              <w:jc w:val="center"/>
              <w:rPr>
                <w:color w:val="000000"/>
              </w:rPr>
            </w:pPr>
            <w:r w:rsidRPr="004F5FB4">
              <w:rPr>
                <w:color w:val="000000"/>
              </w:rPr>
              <w:t>0,656</w:t>
            </w:r>
          </w:p>
        </w:tc>
      </w:tr>
      <w:tr w:rsidR="003716CB" w:rsidRPr="004F5FB4" w14:paraId="0AE46B54" w14:textId="77777777" w:rsidTr="00687087">
        <w:tc>
          <w:tcPr>
            <w:tcW w:w="1579" w:type="dxa"/>
            <w:tcBorders>
              <w:top w:val="single" w:sz="4" w:space="0" w:color="auto"/>
              <w:left w:val="single" w:sz="4" w:space="0" w:color="auto"/>
              <w:bottom w:val="single" w:sz="4" w:space="0" w:color="auto"/>
              <w:right w:val="single" w:sz="4" w:space="0" w:color="auto"/>
            </w:tcBorders>
            <w:hideMark/>
          </w:tcPr>
          <w:p w14:paraId="464A128A" w14:textId="77777777" w:rsidR="003716CB" w:rsidRPr="004F5FB4" w:rsidRDefault="003716CB" w:rsidP="00E9681E">
            <w:pPr>
              <w:ind w:left="270"/>
              <w:rPr>
                <w:color w:val="000000"/>
              </w:rPr>
            </w:pPr>
            <w:r w:rsidRPr="004F5FB4">
              <w:rPr>
                <w:color w:val="000000"/>
              </w:rPr>
              <w:t>Woche</w:t>
            </w:r>
            <w:r w:rsidR="001A6074" w:rsidRPr="004F5FB4">
              <w:rPr>
                <w:color w:val="000000"/>
              </w:rPr>
              <w:t> </w:t>
            </w:r>
            <w:r w:rsidRPr="004F5FB4">
              <w:rPr>
                <w:color w:val="000000"/>
              </w:rPr>
              <w:t>104</w:t>
            </w:r>
          </w:p>
        </w:tc>
        <w:tc>
          <w:tcPr>
            <w:tcW w:w="1081" w:type="dxa"/>
            <w:tcBorders>
              <w:top w:val="single" w:sz="4" w:space="0" w:color="auto"/>
              <w:left w:val="single" w:sz="4" w:space="0" w:color="auto"/>
              <w:bottom w:val="single" w:sz="4" w:space="0" w:color="auto"/>
              <w:right w:val="single" w:sz="4" w:space="0" w:color="auto"/>
            </w:tcBorders>
            <w:hideMark/>
          </w:tcPr>
          <w:p w14:paraId="22B61A97" w14:textId="77777777" w:rsidR="003716CB" w:rsidRPr="004F5FB4" w:rsidRDefault="003716CB" w:rsidP="00E9681E">
            <w:pPr>
              <w:jc w:val="center"/>
              <w:rPr>
                <w:color w:val="000000"/>
              </w:rPr>
            </w:pPr>
            <w:r w:rsidRPr="004F5FB4">
              <w:rPr>
                <w:color w:val="000000"/>
              </w:rPr>
              <w:t>28,4 %</w:t>
            </w:r>
          </w:p>
        </w:tc>
        <w:tc>
          <w:tcPr>
            <w:tcW w:w="1436" w:type="dxa"/>
            <w:tcBorders>
              <w:top w:val="single" w:sz="4" w:space="0" w:color="auto"/>
              <w:left w:val="single" w:sz="4" w:space="0" w:color="auto"/>
              <w:bottom w:val="single" w:sz="4" w:space="0" w:color="auto"/>
              <w:right w:val="single" w:sz="4" w:space="0" w:color="auto"/>
            </w:tcBorders>
            <w:hideMark/>
          </w:tcPr>
          <w:p w14:paraId="3F26E042" w14:textId="77777777" w:rsidR="003716CB" w:rsidRPr="004F5FB4" w:rsidRDefault="003716CB" w:rsidP="00E9681E">
            <w:pPr>
              <w:jc w:val="center"/>
              <w:rPr>
                <w:color w:val="000000"/>
              </w:rPr>
            </w:pPr>
            <w:r w:rsidRPr="004F5FB4">
              <w:rPr>
                <w:color w:val="000000"/>
              </w:rPr>
              <w:t>28,1 %</w:t>
            </w:r>
          </w:p>
        </w:tc>
        <w:tc>
          <w:tcPr>
            <w:tcW w:w="2042" w:type="dxa"/>
            <w:tcBorders>
              <w:top w:val="single" w:sz="4" w:space="0" w:color="auto"/>
              <w:left w:val="single" w:sz="4" w:space="0" w:color="auto"/>
              <w:bottom w:val="single" w:sz="4" w:space="0" w:color="auto"/>
              <w:right w:val="single" w:sz="4" w:space="0" w:color="auto"/>
            </w:tcBorders>
            <w:hideMark/>
          </w:tcPr>
          <w:p w14:paraId="51760FCE" w14:textId="77777777" w:rsidR="003716CB" w:rsidRPr="004F5FB4" w:rsidRDefault="003716CB" w:rsidP="00E9681E">
            <w:pPr>
              <w:jc w:val="center"/>
              <w:rPr>
                <w:color w:val="000000"/>
              </w:rPr>
            </w:pPr>
            <w:r w:rsidRPr="004F5FB4">
              <w:rPr>
                <w:color w:val="000000"/>
              </w:rPr>
              <w:t>46,6 %</w:t>
            </w:r>
          </w:p>
        </w:tc>
        <w:tc>
          <w:tcPr>
            <w:tcW w:w="1021" w:type="dxa"/>
            <w:tcBorders>
              <w:top w:val="single" w:sz="4" w:space="0" w:color="auto"/>
              <w:left w:val="single" w:sz="4" w:space="0" w:color="auto"/>
              <w:bottom w:val="single" w:sz="4" w:space="0" w:color="auto"/>
              <w:right w:val="single" w:sz="4" w:space="0" w:color="auto"/>
            </w:tcBorders>
            <w:hideMark/>
          </w:tcPr>
          <w:p w14:paraId="394924C8"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4614E96B" w14:textId="77777777" w:rsidR="003716CB" w:rsidRPr="004F5FB4" w:rsidRDefault="003716CB" w:rsidP="00E9681E">
            <w:pPr>
              <w:jc w:val="center"/>
              <w:rPr>
                <w:color w:val="000000"/>
              </w:rPr>
            </w:pPr>
            <w:r w:rsidRPr="004F5FB4">
              <w:rPr>
                <w:color w:val="000000"/>
              </w:rPr>
              <w:t>&lt;</w:t>
            </w:r>
            <w:r w:rsidR="001A6074" w:rsidRPr="004F5FB4">
              <w:rPr>
                <w:color w:val="000000"/>
              </w:rPr>
              <w:t> </w:t>
            </w:r>
            <w:r w:rsidRPr="004F5FB4">
              <w:rPr>
                <w:color w:val="000000"/>
              </w:rPr>
              <w:t>0,001</w:t>
            </w:r>
          </w:p>
        </w:tc>
        <w:tc>
          <w:tcPr>
            <w:tcW w:w="1072" w:type="dxa"/>
            <w:tcBorders>
              <w:top w:val="single" w:sz="4" w:space="0" w:color="auto"/>
              <w:left w:val="single" w:sz="4" w:space="0" w:color="auto"/>
              <w:bottom w:val="single" w:sz="4" w:space="0" w:color="auto"/>
              <w:right w:val="single" w:sz="4" w:space="0" w:color="auto"/>
            </w:tcBorders>
            <w:hideMark/>
          </w:tcPr>
          <w:p w14:paraId="2B4B82C4" w14:textId="77777777" w:rsidR="003716CB" w:rsidRPr="004F5FB4" w:rsidRDefault="003716CB" w:rsidP="00E9681E">
            <w:pPr>
              <w:jc w:val="center"/>
              <w:rPr>
                <w:color w:val="000000"/>
              </w:rPr>
            </w:pPr>
            <w:r w:rsidRPr="004F5FB4">
              <w:rPr>
                <w:color w:val="000000"/>
              </w:rPr>
              <w:t>0,864</w:t>
            </w:r>
          </w:p>
        </w:tc>
      </w:tr>
      <w:tr w:rsidR="00922261" w:rsidRPr="004F5FB4" w14:paraId="334EC06A" w14:textId="77777777" w:rsidTr="00922261">
        <w:tc>
          <w:tcPr>
            <w:tcW w:w="9303" w:type="dxa"/>
            <w:gridSpan w:val="7"/>
            <w:tcBorders>
              <w:top w:val="single" w:sz="4" w:space="0" w:color="auto"/>
              <w:left w:val="nil"/>
              <w:bottom w:val="nil"/>
              <w:right w:val="nil"/>
            </w:tcBorders>
          </w:tcPr>
          <w:p w14:paraId="77F62BFC" w14:textId="77777777" w:rsidR="00922261" w:rsidRPr="00206AEA" w:rsidRDefault="00922261" w:rsidP="00922261">
            <w:pPr>
              <w:tabs>
                <w:tab w:val="left" w:pos="288"/>
              </w:tabs>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Der p</w:t>
            </w:r>
            <w:r w:rsidRPr="00206AEA">
              <w:rPr>
                <w:color w:val="000000"/>
                <w:sz w:val="20"/>
              </w:rPr>
              <w:noBreakHyphen/>
              <w:t>Wert resultiert aus dem paarweisen Vergleich der Methotrexat-Monotherapie und der Adalimumab/Methotrexat-Kombinationstherapie unter Anwendung des Mann</w:t>
            </w:r>
            <w:r w:rsidRPr="00206AEA">
              <w:rPr>
                <w:color w:val="000000"/>
                <w:sz w:val="20"/>
              </w:rPr>
              <w:noBreakHyphen/>
              <w:t xml:space="preserve">Whitney-U-Tests. </w:t>
            </w:r>
          </w:p>
          <w:p w14:paraId="3A0264C6" w14:textId="77777777" w:rsidR="00922261" w:rsidRPr="00206AEA" w:rsidRDefault="00922261" w:rsidP="00922261">
            <w:pPr>
              <w:tabs>
                <w:tab w:val="left" w:pos="288"/>
              </w:tabs>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Der p</w:t>
            </w:r>
            <w:r w:rsidRPr="00206AEA">
              <w:rPr>
                <w:color w:val="000000"/>
                <w:sz w:val="20"/>
              </w:rPr>
              <w:noBreakHyphen/>
              <w:t>Wert resultiert aus dem paarweisen Vergleich der Adalimumab-Monotherapie und der Adalimumab/Methotrexat-Kombinationstherapie unter Anwendung des Mann</w:t>
            </w:r>
            <w:r w:rsidRPr="00206AEA">
              <w:rPr>
                <w:color w:val="000000"/>
                <w:sz w:val="20"/>
              </w:rPr>
              <w:noBreakHyphen/>
              <w:t>Whitney-U-Tests.</w:t>
            </w:r>
          </w:p>
          <w:p w14:paraId="08E0CE15" w14:textId="77777777" w:rsidR="00922261" w:rsidRPr="00206AEA" w:rsidRDefault="00922261" w:rsidP="00922261">
            <w:pPr>
              <w:tabs>
                <w:tab w:val="left" w:pos="288"/>
              </w:tabs>
              <w:ind w:left="270" w:hanging="270"/>
              <w:rPr>
                <w:color w:val="000000"/>
                <w:sz w:val="20"/>
              </w:rPr>
            </w:pPr>
            <w:r w:rsidRPr="00206AEA">
              <w:rPr>
                <w:color w:val="000000"/>
                <w:sz w:val="20"/>
                <w:vertAlign w:val="superscript"/>
              </w:rPr>
              <w:t>c</w:t>
            </w:r>
            <w:r w:rsidRPr="00206AEA">
              <w:rPr>
                <w:color w:val="000000"/>
                <w:sz w:val="20"/>
              </w:rPr>
              <w:t xml:space="preserve"> </w:t>
            </w:r>
            <w:r w:rsidR="00C75B4A" w:rsidRPr="00206AEA">
              <w:rPr>
                <w:color w:val="000000"/>
                <w:sz w:val="20"/>
              </w:rPr>
              <w:tab/>
            </w:r>
            <w:r w:rsidRPr="00206AEA">
              <w:rPr>
                <w:color w:val="000000"/>
                <w:sz w:val="20"/>
              </w:rPr>
              <w:t>Der p</w:t>
            </w:r>
            <w:r w:rsidRPr="00206AEA">
              <w:rPr>
                <w:color w:val="000000"/>
                <w:sz w:val="20"/>
              </w:rPr>
              <w:noBreakHyphen/>
              <w:t>Wert resultiert aus dem paarweisen Vergleich der Adalimumab-Monotherapie und der Methotrexat-Monotherapie unter Anwendung des Mann</w:t>
            </w:r>
            <w:r w:rsidRPr="00206AEA">
              <w:rPr>
                <w:color w:val="000000"/>
                <w:sz w:val="20"/>
              </w:rPr>
              <w:noBreakHyphen/>
              <w:t>Whitney-U-Tests.</w:t>
            </w:r>
          </w:p>
        </w:tc>
      </w:tr>
    </w:tbl>
    <w:p w14:paraId="6F38729B" w14:textId="77777777" w:rsidR="00C46587" w:rsidRPr="004F5FB4" w:rsidRDefault="00C46587" w:rsidP="00982118">
      <w:pPr>
        <w:rPr>
          <w:color w:val="000000"/>
        </w:rPr>
      </w:pPr>
    </w:p>
    <w:p w14:paraId="639184D0" w14:textId="77777777" w:rsidR="00C46587" w:rsidRPr="004F5FB4" w:rsidRDefault="00C46587" w:rsidP="00982118">
      <w:pPr>
        <w:rPr>
          <w:color w:val="000000"/>
        </w:rPr>
      </w:pPr>
      <w:r w:rsidRPr="004F5FB4">
        <w:rPr>
          <w:color w:val="000000"/>
        </w:rPr>
        <w:t xml:space="preserve">In der offenen </w:t>
      </w:r>
      <w:r w:rsidR="008139D1" w:rsidRPr="004F5FB4">
        <w:rPr>
          <w:color w:val="000000"/>
        </w:rPr>
        <w:t>Fortsetz</w:t>
      </w:r>
      <w:r w:rsidRPr="004F5FB4">
        <w:rPr>
          <w:color w:val="000000"/>
        </w:rPr>
        <w:t>ungsphase der RA-Studie</w:t>
      </w:r>
      <w:r w:rsidR="0059638A" w:rsidRPr="004F5FB4">
        <w:rPr>
          <w:color w:val="000000"/>
        </w:rPr>
        <w:t> </w:t>
      </w:r>
      <w:r w:rsidRPr="004F5FB4">
        <w:rPr>
          <w:color w:val="000000"/>
        </w:rPr>
        <w:t>V wurden die ACR-Ansprechraten über einen Nachbeobachtungszeitraum von bis zu 10</w:t>
      </w:r>
      <w:r w:rsidR="0059638A" w:rsidRPr="004F5FB4">
        <w:rPr>
          <w:color w:val="000000"/>
        </w:rPr>
        <w:t> </w:t>
      </w:r>
      <w:r w:rsidRPr="004F5FB4">
        <w:rPr>
          <w:color w:val="000000"/>
        </w:rPr>
        <w:t xml:space="preserve">Jahren aufrechterhalten. Von </w:t>
      </w:r>
      <w:r w:rsidR="008139D1" w:rsidRPr="004F5FB4">
        <w:rPr>
          <w:color w:val="000000"/>
        </w:rPr>
        <w:t xml:space="preserve">den </w:t>
      </w:r>
      <w:r w:rsidRPr="004F5FB4">
        <w:rPr>
          <w:color w:val="000000"/>
        </w:rPr>
        <w:t>542 Patienten, die in die Adalimumab-40-mg-Gruppe (alle zwei Wochen) randomisiert worden waren, wendeten 170 Patienten dieses Behandlungsschema über einen Zeitraum von 10 Jahren an. Davon erreichten 154</w:t>
      </w:r>
      <w:r w:rsidR="0059638A" w:rsidRPr="004F5FB4">
        <w:rPr>
          <w:color w:val="000000"/>
        </w:rPr>
        <w:t> </w:t>
      </w:r>
      <w:r w:rsidRPr="004F5FB4">
        <w:rPr>
          <w:color w:val="000000"/>
        </w:rPr>
        <w:t>Patienten (90,6 %) ein ACR-20-Ansprechen</w:t>
      </w:r>
      <w:r w:rsidR="008139D1" w:rsidRPr="004F5FB4">
        <w:rPr>
          <w:color w:val="000000"/>
        </w:rPr>
        <w:t>,</w:t>
      </w:r>
      <w:r w:rsidRPr="004F5FB4">
        <w:rPr>
          <w:color w:val="000000"/>
        </w:rPr>
        <w:t xml:space="preserve"> 127</w:t>
      </w:r>
      <w:r w:rsidR="0059638A" w:rsidRPr="004F5FB4">
        <w:rPr>
          <w:color w:val="000000"/>
        </w:rPr>
        <w:t> </w:t>
      </w:r>
      <w:r w:rsidRPr="004F5FB4">
        <w:rPr>
          <w:color w:val="000000"/>
        </w:rPr>
        <w:t>Patienten (74,7 %) ein ACR-50-Ansprechen und 102</w:t>
      </w:r>
      <w:r w:rsidR="0059638A" w:rsidRPr="004F5FB4">
        <w:rPr>
          <w:color w:val="000000"/>
        </w:rPr>
        <w:t> </w:t>
      </w:r>
      <w:r w:rsidRPr="004F5FB4">
        <w:rPr>
          <w:color w:val="000000"/>
        </w:rPr>
        <w:t>Patienten (60,0 %) ein ACR-70-Ansprechen.</w:t>
      </w:r>
    </w:p>
    <w:p w14:paraId="60A11DF7" w14:textId="77777777" w:rsidR="00C46587" w:rsidRPr="004F5FB4" w:rsidRDefault="00C46587" w:rsidP="00982118">
      <w:pPr>
        <w:rPr>
          <w:color w:val="000000"/>
        </w:rPr>
      </w:pPr>
    </w:p>
    <w:p w14:paraId="200776FB" w14:textId="77777777" w:rsidR="00C46587" w:rsidRPr="004F5FB4" w:rsidRDefault="00C46587" w:rsidP="00982118">
      <w:pPr>
        <w:rPr>
          <w:color w:val="000000"/>
        </w:rPr>
      </w:pPr>
      <w:r w:rsidRPr="004F5FB4">
        <w:rPr>
          <w:color w:val="000000"/>
        </w:rPr>
        <w:t>In Woche 52</w:t>
      </w:r>
      <w:r w:rsidR="0059638A" w:rsidRPr="004F5FB4">
        <w:rPr>
          <w:color w:val="000000"/>
        </w:rPr>
        <w:t> </w:t>
      </w:r>
      <w:r w:rsidRPr="004F5FB4">
        <w:rPr>
          <w:color w:val="000000"/>
        </w:rPr>
        <w:t>erreichten 42,9</w:t>
      </w:r>
      <w:r w:rsidR="0059638A" w:rsidRPr="004F5FB4">
        <w:rPr>
          <w:color w:val="000000"/>
        </w:rPr>
        <w:t> </w:t>
      </w:r>
      <w:r w:rsidRPr="004F5FB4">
        <w:rPr>
          <w:color w:val="000000"/>
        </w:rPr>
        <w:t xml:space="preserve">% der Patienten, die eine Kombinationstherapie aus Adalimumab und Methotrexat erhielten, eine klinische Remission (DAS28 </w:t>
      </w:r>
      <w:r w:rsidR="0059638A" w:rsidRPr="004F5FB4">
        <w:rPr>
          <w:color w:val="000000"/>
        </w:rPr>
        <w:t>[</w:t>
      </w:r>
      <w:r w:rsidRPr="004F5FB4">
        <w:rPr>
          <w:color w:val="000000"/>
        </w:rPr>
        <w:t>CRP</w:t>
      </w:r>
      <w:r w:rsidR="0059638A" w:rsidRPr="004F5FB4">
        <w:rPr>
          <w:color w:val="000000"/>
        </w:rPr>
        <w:t>]</w:t>
      </w:r>
      <w:r w:rsidRPr="004F5FB4">
        <w:rPr>
          <w:color w:val="000000"/>
        </w:rPr>
        <w:t xml:space="preserve"> &lt;</w:t>
      </w:r>
      <w:r w:rsidR="0059638A" w:rsidRPr="004F5FB4">
        <w:rPr>
          <w:color w:val="000000"/>
        </w:rPr>
        <w:t> </w:t>
      </w:r>
      <w:r w:rsidRPr="004F5FB4">
        <w:rPr>
          <w:color w:val="000000"/>
        </w:rPr>
        <w:t>2,6). Im Vergleich dazu erreichten 20,6</w:t>
      </w:r>
      <w:r w:rsidR="0059638A" w:rsidRPr="004F5FB4">
        <w:rPr>
          <w:color w:val="000000"/>
        </w:rPr>
        <w:t> </w:t>
      </w:r>
      <w:r w:rsidRPr="004F5FB4">
        <w:rPr>
          <w:color w:val="000000"/>
        </w:rPr>
        <w:t>% der Patienten unter Methotrexat- und 23,4</w:t>
      </w:r>
      <w:r w:rsidR="0059638A" w:rsidRPr="004F5FB4">
        <w:rPr>
          <w:color w:val="000000"/>
        </w:rPr>
        <w:t> </w:t>
      </w:r>
      <w:r w:rsidRPr="004F5FB4">
        <w:rPr>
          <w:color w:val="000000"/>
        </w:rPr>
        <w:t>% der Patienten unter Adalimumab-Monotherapie eine klinische Remission. Die Kombinationstherapie aus Adalimumab und Methotrexat war in klinischer und statistischer Hinsicht beim Erreichen einer geringen Krankheitsaktivität bei Patienten mit kürzlich diagnostizierter mittelschwerer bis schwerer rheumatoider Arthritis gegenüber einer Monotherapie mit entweder Methotrexat (p</w:t>
      </w:r>
      <w:r w:rsidR="007B1316" w:rsidRPr="004F5FB4">
        <w:rPr>
          <w:color w:val="000000"/>
        </w:rPr>
        <w:t> </w:t>
      </w:r>
      <w:r w:rsidRPr="004F5FB4">
        <w:rPr>
          <w:color w:val="000000"/>
        </w:rPr>
        <w:t>&lt;</w:t>
      </w:r>
      <w:r w:rsidR="007B1316" w:rsidRPr="004F5FB4">
        <w:rPr>
          <w:color w:val="000000"/>
        </w:rPr>
        <w:t> </w:t>
      </w:r>
      <w:r w:rsidRPr="004F5FB4">
        <w:rPr>
          <w:color w:val="000000"/>
        </w:rPr>
        <w:t>0,001) oder Adalimumab (p</w:t>
      </w:r>
      <w:r w:rsidR="007B1316" w:rsidRPr="004F5FB4">
        <w:rPr>
          <w:color w:val="000000"/>
        </w:rPr>
        <w:t> </w:t>
      </w:r>
      <w:r w:rsidRPr="004F5FB4">
        <w:rPr>
          <w:color w:val="000000"/>
        </w:rPr>
        <w:t>&lt;</w:t>
      </w:r>
      <w:r w:rsidR="007B1316" w:rsidRPr="004F5FB4">
        <w:rPr>
          <w:color w:val="000000"/>
        </w:rPr>
        <w:t> </w:t>
      </w:r>
      <w:r w:rsidRPr="004F5FB4">
        <w:rPr>
          <w:color w:val="000000"/>
        </w:rPr>
        <w:t>0,001) überlegen. Die Ansprechraten in den beiden Behandlungsarmen unter Monotherapie waren vergleichbar (p</w:t>
      </w:r>
      <w:r w:rsidR="007B1316" w:rsidRPr="004F5FB4">
        <w:rPr>
          <w:color w:val="000000"/>
        </w:rPr>
        <w:t> </w:t>
      </w:r>
      <w:r w:rsidRPr="004F5FB4">
        <w:rPr>
          <w:color w:val="000000"/>
        </w:rPr>
        <w:t>=</w:t>
      </w:r>
      <w:r w:rsidR="007B1316" w:rsidRPr="004F5FB4">
        <w:rPr>
          <w:color w:val="000000"/>
        </w:rPr>
        <w:t> </w:t>
      </w:r>
      <w:r w:rsidRPr="004F5FB4">
        <w:rPr>
          <w:color w:val="000000"/>
        </w:rPr>
        <w:t>0,447). Von den 342 Patienten, die ursprünglich in die Gruppe unter Adalimumab</w:t>
      </w:r>
      <w:r w:rsidRPr="004F5FB4">
        <w:rPr>
          <w:color w:val="000000"/>
        </w:rPr>
        <w:noBreakHyphen/>
        <w:t xml:space="preserve">Monotherapie oder unter Kombinationstherapie aus Adalimumab und Methotrexat randomisiert worden waren und die in die offene </w:t>
      </w:r>
      <w:r w:rsidR="008139D1" w:rsidRPr="004F5FB4">
        <w:rPr>
          <w:color w:val="000000"/>
        </w:rPr>
        <w:t>Fortsetz</w:t>
      </w:r>
      <w:r w:rsidRPr="004F5FB4">
        <w:rPr>
          <w:color w:val="000000"/>
        </w:rPr>
        <w:t>ungs</w:t>
      </w:r>
      <w:r w:rsidR="008139D1" w:rsidRPr="004F5FB4">
        <w:rPr>
          <w:color w:val="000000"/>
        </w:rPr>
        <w:t>phase</w:t>
      </w:r>
      <w:r w:rsidRPr="004F5FB4">
        <w:rPr>
          <w:color w:val="000000"/>
        </w:rPr>
        <w:t xml:space="preserve"> eingeschlossen wurden, setzten 171 die Adalimumab-Behandlung über einen Zeitraum von 10 Jahren fort. Von diesen </w:t>
      </w:r>
      <w:r w:rsidR="008139D1" w:rsidRPr="004F5FB4">
        <w:rPr>
          <w:color w:val="000000"/>
        </w:rPr>
        <w:t>171 </w:t>
      </w:r>
      <w:r w:rsidRPr="004F5FB4">
        <w:rPr>
          <w:color w:val="000000"/>
        </w:rPr>
        <w:t>Patienten waren 109 (63,7</w:t>
      </w:r>
      <w:r w:rsidR="0059638A" w:rsidRPr="004F5FB4">
        <w:rPr>
          <w:color w:val="000000"/>
        </w:rPr>
        <w:t> </w:t>
      </w:r>
      <w:r w:rsidRPr="004F5FB4">
        <w:rPr>
          <w:color w:val="000000"/>
        </w:rPr>
        <w:t>%) nach 10-jähriger Therapie in Remission.</w:t>
      </w:r>
    </w:p>
    <w:p w14:paraId="596C4463" w14:textId="77777777" w:rsidR="00C46587" w:rsidRPr="004F5FB4" w:rsidRDefault="00C46587" w:rsidP="00982118">
      <w:pPr>
        <w:rPr>
          <w:color w:val="000000"/>
        </w:rPr>
      </w:pPr>
    </w:p>
    <w:p w14:paraId="29887590" w14:textId="77777777" w:rsidR="00C46587" w:rsidRPr="004F5FB4" w:rsidRDefault="00C46587" w:rsidP="00DC3A99">
      <w:pPr>
        <w:keepNext/>
        <w:rPr>
          <w:i/>
          <w:color w:val="000000"/>
          <w:u w:val="single"/>
        </w:rPr>
      </w:pPr>
      <w:r w:rsidRPr="004F5FB4">
        <w:rPr>
          <w:i/>
          <w:color w:val="000000"/>
          <w:u w:val="single"/>
        </w:rPr>
        <w:t>Radiologisches Ansprechen</w:t>
      </w:r>
    </w:p>
    <w:p w14:paraId="7312E8DB" w14:textId="77777777" w:rsidR="00C46587" w:rsidRPr="004F5FB4" w:rsidRDefault="00C46587" w:rsidP="00DC3A99">
      <w:pPr>
        <w:keepNext/>
        <w:rPr>
          <w:color w:val="000000"/>
        </w:rPr>
      </w:pPr>
    </w:p>
    <w:p w14:paraId="377C07B4" w14:textId="77777777" w:rsidR="00C46587" w:rsidRPr="004F5FB4" w:rsidRDefault="00C46587" w:rsidP="00982118">
      <w:pPr>
        <w:rPr>
          <w:color w:val="000000"/>
        </w:rPr>
      </w:pPr>
      <w:r w:rsidRPr="004F5FB4">
        <w:rPr>
          <w:color w:val="000000"/>
        </w:rPr>
        <w:t>Die in der RA-Studie</w:t>
      </w:r>
      <w:r w:rsidR="0059638A" w:rsidRPr="004F5FB4">
        <w:rPr>
          <w:color w:val="000000"/>
        </w:rPr>
        <w:t> </w:t>
      </w:r>
      <w:r w:rsidRPr="004F5FB4">
        <w:rPr>
          <w:color w:val="000000"/>
        </w:rPr>
        <w:t>III mit Adalimumab behandelten Patienten waren im Durchschnitt ca. 11</w:t>
      </w:r>
      <w:r w:rsidR="0059638A" w:rsidRPr="004F5FB4">
        <w:rPr>
          <w:color w:val="000000"/>
        </w:rPr>
        <w:t> </w:t>
      </w:r>
      <w:r w:rsidRPr="004F5FB4">
        <w:rPr>
          <w:color w:val="000000"/>
        </w:rPr>
        <w:t>Jahre an rheumatoider Arthritis erkrankt. Die strukturelle Gelenkschädigung wurde radiologisch erfasst und als Veränderung des modifizierten Gesamt-Sharp-Scores (TSS) und seiner Komponenten, de</w:t>
      </w:r>
      <w:r w:rsidR="008139D1" w:rsidRPr="004F5FB4">
        <w:rPr>
          <w:color w:val="000000"/>
        </w:rPr>
        <w:t>m Ausmaß der</w:t>
      </w:r>
      <w:r w:rsidRPr="004F5FB4">
        <w:rPr>
          <w:color w:val="000000"/>
        </w:rPr>
        <w:t xml:space="preserve"> Erosion</w:t>
      </w:r>
      <w:r w:rsidR="008139D1" w:rsidRPr="004F5FB4">
        <w:rPr>
          <w:color w:val="000000"/>
        </w:rPr>
        <w:t>en</w:t>
      </w:r>
      <w:r w:rsidRPr="004F5FB4">
        <w:rPr>
          <w:color w:val="000000"/>
        </w:rPr>
        <w:t xml:space="preserve"> und der Gelenkspaltverengung (Joint Space Narrowing, JSN) ausgedrückt. Die mit Adalimumab und Methotrexat behandelten Patienten zeigten nach 6 und 12</w:t>
      </w:r>
      <w:r w:rsidR="001A6074" w:rsidRPr="004F5FB4">
        <w:rPr>
          <w:color w:val="000000"/>
        </w:rPr>
        <w:t> </w:t>
      </w:r>
      <w:r w:rsidRPr="004F5FB4">
        <w:rPr>
          <w:color w:val="000000"/>
        </w:rPr>
        <w:t>Monaten radiologisch eine signifikant geringere Progression als Patienten, die nur Methotrexat erhielten (siehe Tabelle</w:t>
      </w:r>
      <w:r w:rsidR="0059638A" w:rsidRPr="004F5FB4">
        <w:rPr>
          <w:color w:val="000000"/>
        </w:rPr>
        <w:t> </w:t>
      </w:r>
      <w:r w:rsidR="00B852E6">
        <w:rPr>
          <w:color w:val="000000"/>
        </w:rPr>
        <w:t>10</w:t>
      </w:r>
      <w:r w:rsidRPr="004F5FB4">
        <w:rPr>
          <w:color w:val="000000"/>
        </w:rPr>
        <w:t>).</w:t>
      </w:r>
    </w:p>
    <w:p w14:paraId="2C405ED5" w14:textId="77777777" w:rsidR="00C46587" w:rsidRPr="004F5FB4" w:rsidRDefault="00C46587" w:rsidP="00982118">
      <w:pPr>
        <w:rPr>
          <w:color w:val="000000"/>
        </w:rPr>
      </w:pPr>
    </w:p>
    <w:p w14:paraId="3C82CE12" w14:textId="77777777" w:rsidR="00C46587" w:rsidRPr="004F5FB4" w:rsidRDefault="00C46587" w:rsidP="00982118">
      <w:pPr>
        <w:rPr>
          <w:color w:val="000000"/>
        </w:rPr>
      </w:pPr>
      <w:r w:rsidRPr="004F5FB4">
        <w:rPr>
          <w:color w:val="000000"/>
        </w:rPr>
        <w:t xml:space="preserve">In der offenen </w:t>
      </w:r>
      <w:r w:rsidR="008139D1" w:rsidRPr="004F5FB4">
        <w:rPr>
          <w:color w:val="000000"/>
        </w:rPr>
        <w:t>Fortsetz</w:t>
      </w:r>
      <w:r w:rsidRPr="004F5FB4">
        <w:rPr>
          <w:color w:val="000000"/>
        </w:rPr>
        <w:t>ungsphase der RA-Studie</w:t>
      </w:r>
      <w:r w:rsidR="0059638A" w:rsidRPr="004F5FB4">
        <w:rPr>
          <w:color w:val="000000"/>
        </w:rPr>
        <w:t> </w:t>
      </w:r>
      <w:r w:rsidRPr="004F5FB4">
        <w:rPr>
          <w:color w:val="000000"/>
        </w:rPr>
        <w:t>III ist die Hemmung des Fortschreitens der strukturellen Schädigung in einer Untergruppe von Patienten 8 und 10</w:t>
      </w:r>
      <w:r w:rsidR="0059638A" w:rsidRPr="004F5FB4">
        <w:rPr>
          <w:color w:val="000000"/>
        </w:rPr>
        <w:t> </w:t>
      </w:r>
      <w:r w:rsidRPr="004F5FB4">
        <w:rPr>
          <w:color w:val="000000"/>
        </w:rPr>
        <w:t>Jahre lang aufrechterhalten worden. Nach 8</w:t>
      </w:r>
      <w:r w:rsidR="0059638A" w:rsidRPr="004F5FB4">
        <w:rPr>
          <w:color w:val="000000"/>
        </w:rPr>
        <w:t> </w:t>
      </w:r>
      <w:r w:rsidRPr="004F5FB4">
        <w:rPr>
          <w:color w:val="000000"/>
        </w:rPr>
        <w:t>Jahren wurden 81 von 207</w:t>
      </w:r>
      <w:r w:rsidR="0059638A" w:rsidRPr="004F5FB4">
        <w:rPr>
          <w:color w:val="000000"/>
        </w:rPr>
        <w:t> </w:t>
      </w:r>
      <w:r w:rsidRPr="004F5FB4">
        <w:rPr>
          <w:color w:val="000000"/>
        </w:rPr>
        <w:t xml:space="preserve">Patienten, die ursprünglich jede zweite Woche mit 40 mg </w:t>
      </w:r>
      <w:r w:rsidRPr="004F5FB4">
        <w:rPr>
          <w:color w:val="000000"/>
        </w:rPr>
        <w:lastRenderedPageBreak/>
        <w:t>Adalimumab behandelt wurden, radiologisch beurteilt. Von diesen Patienten zeigten 48 kein Fortschreiten der strukturellen Schädigung, definiert als mTSS-Änderung im Vergleich zu Studienbeginn von 0,5 oder weniger. Nach 10</w:t>
      </w:r>
      <w:r w:rsidR="0059638A" w:rsidRPr="004F5FB4">
        <w:rPr>
          <w:color w:val="000000"/>
        </w:rPr>
        <w:t> </w:t>
      </w:r>
      <w:r w:rsidRPr="004F5FB4">
        <w:rPr>
          <w:color w:val="000000"/>
        </w:rPr>
        <w:t>Jahren wurden 79 von 207</w:t>
      </w:r>
      <w:r w:rsidR="0059638A" w:rsidRPr="004F5FB4">
        <w:rPr>
          <w:color w:val="000000"/>
        </w:rPr>
        <w:t> </w:t>
      </w:r>
      <w:r w:rsidRPr="004F5FB4">
        <w:rPr>
          <w:color w:val="000000"/>
        </w:rPr>
        <w:t>Patienten, die ursprünglich jede zweite Woche mit 40 mg Adalimumab behandelt wurden, radiologisch beurteilt. Von diesen Patienten zeigten 40 kein Fortschreiten der strukturellen Schädigung, definiert als mTSS-Änderung im Vergleich zu Studienbeginn von 0,5 oder weniger.</w:t>
      </w:r>
    </w:p>
    <w:p w14:paraId="01286754" w14:textId="77777777" w:rsidR="00C46587" w:rsidRPr="004F5FB4" w:rsidRDefault="00C46587" w:rsidP="00982118">
      <w:pPr>
        <w:rPr>
          <w:color w:val="000000"/>
        </w:rPr>
      </w:pPr>
    </w:p>
    <w:p w14:paraId="0610AC61" w14:textId="77777777" w:rsidR="00FA0342" w:rsidRPr="004F5FB4" w:rsidRDefault="00C46587" w:rsidP="00687087">
      <w:pPr>
        <w:keepNext/>
        <w:rPr>
          <w:b/>
          <w:color w:val="000000"/>
        </w:rPr>
      </w:pPr>
      <w:r w:rsidRPr="004F5FB4">
        <w:rPr>
          <w:b/>
          <w:color w:val="000000"/>
        </w:rPr>
        <w:t>Tabelle</w:t>
      </w:r>
      <w:r w:rsidR="00B852E6">
        <w:rPr>
          <w:b/>
          <w:color w:val="000000"/>
        </w:rPr>
        <w:t> 10</w:t>
      </w:r>
    </w:p>
    <w:p w14:paraId="48B1B4D2" w14:textId="77777777" w:rsidR="00E9681E" w:rsidRPr="004F5FB4" w:rsidRDefault="00E9681E" w:rsidP="00687087">
      <w:pPr>
        <w:keepNext/>
        <w:rPr>
          <w:color w:val="000000"/>
        </w:rPr>
      </w:pPr>
      <w:r w:rsidRPr="004F5FB4">
        <w:rPr>
          <w:b/>
          <w:bCs/>
          <w:color w:val="000000"/>
        </w:rPr>
        <w:t>Mittlere radiologische Veränderungen über 12</w:t>
      </w:r>
      <w:r w:rsidR="00D374B5" w:rsidRPr="004F5FB4">
        <w:rPr>
          <w:b/>
          <w:bCs/>
          <w:color w:val="000000"/>
        </w:rPr>
        <w:t> </w:t>
      </w:r>
      <w:r w:rsidRPr="004F5FB4">
        <w:rPr>
          <w:b/>
          <w:bCs/>
          <w:color w:val="000000"/>
        </w:rPr>
        <w:t>Monate in der RA-Studie</w:t>
      </w:r>
      <w:r w:rsidR="00D374B5" w:rsidRPr="004F5FB4">
        <w:rPr>
          <w:b/>
          <w:bCs/>
          <w:color w:val="000000"/>
        </w:rPr>
        <w:t> </w:t>
      </w:r>
      <w:r w:rsidRPr="004F5FB4">
        <w:rPr>
          <w:b/>
          <w:bCs/>
          <w:color w:val="000000"/>
        </w:rPr>
        <w:t>III</w:t>
      </w:r>
    </w:p>
    <w:p w14:paraId="6472A85F" w14:textId="77777777" w:rsidR="00E9681E" w:rsidRPr="004F5FB4" w:rsidRDefault="00E9681E" w:rsidP="00E9681E">
      <w:pPr>
        <w:pStyle w:val="BodyText"/>
        <w:keepNext/>
        <w:widowControl/>
        <w:kinsoku w:val="0"/>
        <w:overflowPunct w:val="0"/>
        <w:ind w:left="0"/>
        <w:rPr>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4F5FB4" w14:paraId="5FB58E06" w14:textId="77777777" w:rsidTr="00DA48AB">
        <w:trPr>
          <w:cantSplit/>
        </w:trPr>
        <w:tc>
          <w:tcPr>
            <w:tcW w:w="1948" w:type="dxa"/>
            <w:shd w:val="clear" w:color="auto" w:fill="auto"/>
          </w:tcPr>
          <w:p w14:paraId="1DB23B6D" w14:textId="77777777" w:rsidR="00E9681E" w:rsidRPr="004F5FB4" w:rsidRDefault="00E9681E" w:rsidP="00E9681E">
            <w:pPr>
              <w:rPr>
                <w:b/>
                <w:color w:val="000000"/>
              </w:rPr>
            </w:pPr>
          </w:p>
        </w:tc>
        <w:tc>
          <w:tcPr>
            <w:tcW w:w="1220" w:type="dxa"/>
            <w:shd w:val="clear" w:color="auto" w:fill="auto"/>
          </w:tcPr>
          <w:p w14:paraId="599E8230" w14:textId="77777777" w:rsidR="00E9681E" w:rsidRPr="004F5FB4"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rPr>
            </w:pPr>
            <w:r w:rsidRPr="004F5FB4">
              <w:rPr>
                <w:rFonts w:ascii="Times New Roman" w:hAnsi="Times New Roman"/>
                <w:b/>
                <w:color w:val="000000"/>
              </w:rPr>
              <w:t>Placebo/MTX</w:t>
            </w:r>
            <w:r w:rsidRPr="004F5FB4">
              <w:rPr>
                <w:rFonts w:ascii="Times New Roman" w:hAnsi="Times New Roman"/>
                <w:b/>
                <w:color w:val="000000"/>
                <w:vertAlign w:val="superscript"/>
              </w:rPr>
              <w:t>a</w:t>
            </w:r>
          </w:p>
        </w:tc>
        <w:tc>
          <w:tcPr>
            <w:tcW w:w="2227" w:type="dxa"/>
            <w:shd w:val="clear" w:color="auto" w:fill="auto"/>
          </w:tcPr>
          <w:p w14:paraId="30F5511E" w14:textId="77777777" w:rsidR="00E9681E" w:rsidRPr="004F5FB4" w:rsidRDefault="00E9681E" w:rsidP="005A68B9">
            <w:pPr>
              <w:pStyle w:val="TableParagraph"/>
              <w:widowControl/>
              <w:kinsoku w:val="0"/>
              <w:overflowPunct w:val="0"/>
              <w:spacing w:before="8"/>
              <w:ind w:left="337" w:right="277" w:hanging="60"/>
              <w:jc w:val="center"/>
              <w:rPr>
                <w:rFonts w:ascii="Times New Roman" w:hAnsi="Times New Roman"/>
                <w:b/>
                <w:color w:val="000000"/>
              </w:rPr>
            </w:pPr>
            <w:r w:rsidRPr="004F5FB4">
              <w:rPr>
                <w:rFonts w:ascii="Times New Roman" w:hAnsi="Times New Roman"/>
                <w:b/>
                <w:color w:val="000000"/>
              </w:rPr>
              <w:t>Adalimumab/MTX 40 mg alle zwei Wochen</w:t>
            </w:r>
          </w:p>
        </w:tc>
        <w:tc>
          <w:tcPr>
            <w:tcW w:w="2415" w:type="dxa"/>
            <w:shd w:val="clear" w:color="auto" w:fill="auto"/>
          </w:tcPr>
          <w:p w14:paraId="4E35B208" w14:textId="77777777" w:rsidR="00E9681E" w:rsidRPr="005B2296"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lang w:val="en-US"/>
              </w:rPr>
            </w:pPr>
            <w:r w:rsidRPr="005B2296">
              <w:rPr>
                <w:rFonts w:ascii="Times New Roman" w:hAnsi="Times New Roman"/>
                <w:b/>
                <w:color w:val="000000"/>
                <w:lang w:val="en-US"/>
              </w:rPr>
              <w:t xml:space="preserve">Placebo/MTX-Adalimumab/MTX (95 % </w:t>
            </w:r>
            <w:proofErr w:type="spellStart"/>
            <w:r w:rsidRPr="005B2296">
              <w:rPr>
                <w:rFonts w:ascii="Times New Roman" w:hAnsi="Times New Roman"/>
                <w:b/>
                <w:color w:val="000000"/>
                <w:lang w:val="en-US"/>
              </w:rPr>
              <w:t>Konfidenzintervall</w:t>
            </w:r>
            <w:r w:rsidRPr="005B2296">
              <w:rPr>
                <w:rFonts w:ascii="Times New Roman" w:hAnsi="Times New Roman"/>
                <w:b/>
                <w:color w:val="000000"/>
                <w:vertAlign w:val="superscript"/>
                <w:lang w:val="en-US"/>
              </w:rPr>
              <w:t>b</w:t>
            </w:r>
            <w:proofErr w:type="spellEnd"/>
            <w:r w:rsidRPr="005B2296">
              <w:rPr>
                <w:rFonts w:ascii="Times New Roman" w:hAnsi="Times New Roman"/>
                <w:b/>
                <w:color w:val="000000"/>
                <w:lang w:val="en-US"/>
              </w:rPr>
              <w:t>)</w:t>
            </w:r>
          </w:p>
        </w:tc>
        <w:tc>
          <w:tcPr>
            <w:tcW w:w="1493" w:type="dxa"/>
            <w:shd w:val="clear" w:color="auto" w:fill="auto"/>
          </w:tcPr>
          <w:p w14:paraId="7CFBB757" w14:textId="77777777" w:rsidR="00E9681E" w:rsidRPr="004F5FB4" w:rsidRDefault="00E9681E" w:rsidP="005A68B9">
            <w:pPr>
              <w:pStyle w:val="TableParagraph"/>
              <w:widowControl/>
              <w:kinsoku w:val="0"/>
              <w:overflowPunct w:val="0"/>
              <w:spacing w:before="8"/>
              <w:ind w:left="438" w:hanging="438"/>
              <w:jc w:val="center"/>
              <w:rPr>
                <w:rFonts w:ascii="Times New Roman" w:hAnsi="Times New Roman"/>
                <w:b/>
                <w:color w:val="000000"/>
              </w:rPr>
            </w:pPr>
            <w:r w:rsidRPr="004F5FB4">
              <w:rPr>
                <w:rFonts w:ascii="Times New Roman" w:hAnsi="Times New Roman"/>
                <w:b/>
                <w:color w:val="000000"/>
              </w:rPr>
              <w:t>p-Wert</w:t>
            </w:r>
          </w:p>
        </w:tc>
      </w:tr>
      <w:tr w:rsidR="00E9681E" w:rsidRPr="004F5FB4" w14:paraId="27C50959" w14:textId="77777777" w:rsidTr="00DA48AB">
        <w:trPr>
          <w:cantSplit/>
        </w:trPr>
        <w:tc>
          <w:tcPr>
            <w:tcW w:w="1948" w:type="dxa"/>
            <w:shd w:val="clear" w:color="auto" w:fill="auto"/>
          </w:tcPr>
          <w:p w14:paraId="53165B1D" w14:textId="77777777" w:rsidR="00E9681E" w:rsidRPr="004F5FB4" w:rsidRDefault="00E9681E" w:rsidP="005A68B9">
            <w:pPr>
              <w:pStyle w:val="TableParagraph"/>
              <w:widowControl/>
              <w:kinsoku w:val="0"/>
              <w:overflowPunct w:val="0"/>
              <w:spacing w:before="7"/>
              <w:rPr>
                <w:rFonts w:ascii="Times New Roman" w:hAnsi="Times New Roman"/>
                <w:color w:val="000000"/>
              </w:rPr>
            </w:pPr>
            <w:r w:rsidRPr="004F5FB4">
              <w:rPr>
                <w:rFonts w:ascii="Times New Roman" w:hAnsi="Times New Roman"/>
                <w:color w:val="000000"/>
              </w:rPr>
              <w:t>Gesamt-Sharp-Score</w:t>
            </w:r>
          </w:p>
        </w:tc>
        <w:tc>
          <w:tcPr>
            <w:tcW w:w="1220" w:type="dxa"/>
            <w:shd w:val="clear" w:color="auto" w:fill="auto"/>
          </w:tcPr>
          <w:p w14:paraId="1BB246B2" w14:textId="77777777" w:rsidR="00E9681E" w:rsidRPr="004F5FB4" w:rsidRDefault="00E9681E"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2,7</w:t>
            </w:r>
          </w:p>
        </w:tc>
        <w:tc>
          <w:tcPr>
            <w:tcW w:w="2227" w:type="dxa"/>
            <w:shd w:val="clear" w:color="auto" w:fill="auto"/>
          </w:tcPr>
          <w:p w14:paraId="214EE85E" w14:textId="77777777" w:rsidR="00E9681E" w:rsidRPr="004F5FB4" w:rsidRDefault="00E9681E"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0,1</w:t>
            </w:r>
          </w:p>
        </w:tc>
        <w:tc>
          <w:tcPr>
            <w:tcW w:w="2415" w:type="dxa"/>
            <w:shd w:val="clear" w:color="auto" w:fill="auto"/>
          </w:tcPr>
          <w:p w14:paraId="6B351F7C" w14:textId="77777777" w:rsidR="00E9681E" w:rsidRPr="004F5FB4" w:rsidRDefault="00E9681E" w:rsidP="005A68B9">
            <w:pPr>
              <w:pStyle w:val="TableParagraph"/>
              <w:widowControl/>
              <w:kinsoku w:val="0"/>
              <w:overflowPunct w:val="0"/>
              <w:spacing w:before="7"/>
              <w:ind w:left="424"/>
              <w:rPr>
                <w:rFonts w:ascii="Times New Roman" w:hAnsi="Times New Roman"/>
                <w:color w:val="000000"/>
              </w:rPr>
            </w:pPr>
            <w:r w:rsidRPr="004F5FB4">
              <w:rPr>
                <w:rFonts w:ascii="Times New Roman" w:hAnsi="Times New Roman"/>
                <w:color w:val="000000"/>
              </w:rPr>
              <w:t>2,6 (1,4; 3,8)</w:t>
            </w:r>
          </w:p>
        </w:tc>
        <w:tc>
          <w:tcPr>
            <w:tcW w:w="1493" w:type="dxa"/>
            <w:shd w:val="clear" w:color="auto" w:fill="auto"/>
          </w:tcPr>
          <w:p w14:paraId="7005C0DE" w14:textId="77777777" w:rsidR="00E9681E" w:rsidRPr="004F5FB4" w:rsidRDefault="00E9681E" w:rsidP="00DF1E6B">
            <w:pPr>
              <w:pStyle w:val="TableParagraph"/>
              <w:widowControl/>
              <w:kinsoku w:val="0"/>
              <w:overflowPunct w:val="0"/>
              <w:spacing w:line="260" w:lineRule="exact"/>
              <w:ind w:left="399"/>
              <w:rPr>
                <w:rFonts w:ascii="Times New Roman" w:hAnsi="Times New Roman"/>
                <w:color w:val="000000"/>
              </w:rPr>
            </w:pPr>
            <w:r w:rsidRPr="004F5FB4">
              <w:rPr>
                <w:rFonts w:ascii="Times New Roman" w:hAnsi="Times New Roman"/>
                <w:color w:val="000000"/>
              </w:rPr>
              <w:t>&lt;</w:t>
            </w:r>
            <w:r w:rsidR="00DF1E6B" w:rsidRPr="004F5FB4">
              <w:rPr>
                <w:rFonts w:ascii="Times New Roman" w:hAnsi="Times New Roman"/>
                <w:color w:val="000000"/>
              </w:rPr>
              <w:t> </w:t>
            </w:r>
            <w:r w:rsidRPr="004F5FB4">
              <w:rPr>
                <w:rFonts w:ascii="Times New Roman" w:hAnsi="Times New Roman"/>
                <w:color w:val="000000"/>
              </w:rPr>
              <w:t>0,001</w:t>
            </w:r>
            <w:r w:rsidRPr="004F5FB4">
              <w:rPr>
                <w:rFonts w:ascii="Times New Roman" w:hAnsi="Times New Roman"/>
                <w:color w:val="000000"/>
                <w:vertAlign w:val="superscript"/>
              </w:rPr>
              <w:t>c</w:t>
            </w:r>
          </w:p>
        </w:tc>
      </w:tr>
      <w:tr w:rsidR="00E9681E" w:rsidRPr="004F5FB4" w14:paraId="0086EDB6" w14:textId="77777777" w:rsidTr="00DA48AB">
        <w:trPr>
          <w:cantSplit/>
        </w:trPr>
        <w:tc>
          <w:tcPr>
            <w:tcW w:w="1948" w:type="dxa"/>
            <w:shd w:val="clear" w:color="auto" w:fill="auto"/>
          </w:tcPr>
          <w:p w14:paraId="4D04692F" w14:textId="77777777" w:rsidR="00E9681E" w:rsidRPr="004F5FB4" w:rsidRDefault="00E9681E" w:rsidP="005A68B9">
            <w:pPr>
              <w:pStyle w:val="TableParagraph"/>
              <w:widowControl/>
              <w:kinsoku w:val="0"/>
              <w:overflowPunct w:val="0"/>
              <w:spacing w:before="7"/>
              <w:rPr>
                <w:rFonts w:ascii="Times New Roman" w:hAnsi="Times New Roman"/>
                <w:color w:val="000000"/>
              </w:rPr>
            </w:pPr>
            <w:r w:rsidRPr="004F5FB4">
              <w:rPr>
                <w:rFonts w:ascii="Times New Roman" w:hAnsi="Times New Roman"/>
                <w:color w:val="000000"/>
              </w:rPr>
              <w:t>Erosion-Score</w:t>
            </w:r>
          </w:p>
        </w:tc>
        <w:tc>
          <w:tcPr>
            <w:tcW w:w="1220" w:type="dxa"/>
            <w:shd w:val="clear" w:color="auto" w:fill="auto"/>
          </w:tcPr>
          <w:p w14:paraId="3D43FF59" w14:textId="77777777" w:rsidR="00E9681E" w:rsidRPr="004F5FB4" w:rsidRDefault="00E9681E"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1,6</w:t>
            </w:r>
          </w:p>
        </w:tc>
        <w:tc>
          <w:tcPr>
            <w:tcW w:w="2227" w:type="dxa"/>
            <w:shd w:val="clear" w:color="auto" w:fill="auto"/>
          </w:tcPr>
          <w:p w14:paraId="74A7D9E9" w14:textId="77777777" w:rsidR="00E9681E" w:rsidRPr="004F5FB4" w:rsidRDefault="00E9681E"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0,0</w:t>
            </w:r>
          </w:p>
        </w:tc>
        <w:tc>
          <w:tcPr>
            <w:tcW w:w="2415" w:type="dxa"/>
            <w:shd w:val="clear" w:color="auto" w:fill="auto"/>
          </w:tcPr>
          <w:p w14:paraId="665FC504" w14:textId="77777777" w:rsidR="00E9681E" w:rsidRPr="004F5FB4" w:rsidRDefault="00E9681E" w:rsidP="005A68B9">
            <w:pPr>
              <w:pStyle w:val="TableParagraph"/>
              <w:widowControl/>
              <w:kinsoku w:val="0"/>
              <w:overflowPunct w:val="0"/>
              <w:spacing w:before="7"/>
              <w:ind w:left="426"/>
              <w:rPr>
                <w:rFonts w:ascii="Times New Roman" w:hAnsi="Times New Roman"/>
                <w:color w:val="000000"/>
              </w:rPr>
            </w:pPr>
            <w:r w:rsidRPr="004F5FB4">
              <w:rPr>
                <w:rFonts w:ascii="Times New Roman" w:hAnsi="Times New Roman"/>
                <w:color w:val="000000"/>
              </w:rPr>
              <w:t>1,6 (0,9; 2,2)</w:t>
            </w:r>
          </w:p>
        </w:tc>
        <w:tc>
          <w:tcPr>
            <w:tcW w:w="1493" w:type="dxa"/>
            <w:shd w:val="clear" w:color="auto" w:fill="auto"/>
          </w:tcPr>
          <w:p w14:paraId="03161096" w14:textId="77777777" w:rsidR="00E9681E" w:rsidRPr="004F5FB4" w:rsidRDefault="00E9681E" w:rsidP="005A68B9">
            <w:pPr>
              <w:pStyle w:val="TableParagraph"/>
              <w:widowControl/>
              <w:kinsoku w:val="0"/>
              <w:overflowPunct w:val="0"/>
              <w:spacing w:before="7"/>
              <w:ind w:left="430"/>
              <w:rPr>
                <w:rFonts w:ascii="Times New Roman" w:hAnsi="Times New Roman"/>
                <w:color w:val="000000"/>
              </w:rPr>
            </w:pPr>
            <w:r w:rsidRPr="004F5FB4">
              <w:rPr>
                <w:rFonts w:ascii="Times New Roman" w:hAnsi="Times New Roman"/>
                <w:color w:val="000000"/>
              </w:rPr>
              <w:t>&lt;</w:t>
            </w:r>
            <w:r w:rsidR="00DF1E6B" w:rsidRPr="004F5FB4">
              <w:rPr>
                <w:rFonts w:ascii="Times New Roman" w:hAnsi="Times New Roman"/>
                <w:color w:val="000000"/>
              </w:rPr>
              <w:t> </w:t>
            </w:r>
            <w:r w:rsidRPr="004F5FB4">
              <w:rPr>
                <w:rFonts w:ascii="Times New Roman" w:hAnsi="Times New Roman"/>
                <w:color w:val="000000"/>
              </w:rPr>
              <w:t>0,001</w:t>
            </w:r>
          </w:p>
        </w:tc>
      </w:tr>
      <w:tr w:rsidR="00E9681E" w:rsidRPr="004F5FB4" w14:paraId="35E02E86" w14:textId="77777777" w:rsidTr="00BB089F">
        <w:trPr>
          <w:cantSplit/>
        </w:trPr>
        <w:tc>
          <w:tcPr>
            <w:tcW w:w="1948" w:type="dxa"/>
            <w:tcBorders>
              <w:bottom w:val="single" w:sz="4" w:space="0" w:color="auto"/>
            </w:tcBorders>
            <w:shd w:val="clear" w:color="auto" w:fill="auto"/>
          </w:tcPr>
          <w:p w14:paraId="535A20D5" w14:textId="77777777" w:rsidR="00E9681E" w:rsidRPr="004F5FB4" w:rsidRDefault="00E9681E" w:rsidP="005A68B9">
            <w:pPr>
              <w:pStyle w:val="TableParagraph"/>
              <w:widowControl/>
              <w:kinsoku w:val="0"/>
              <w:overflowPunct w:val="0"/>
              <w:spacing w:line="260" w:lineRule="exact"/>
              <w:rPr>
                <w:rFonts w:ascii="Times New Roman" w:hAnsi="Times New Roman"/>
                <w:color w:val="000000"/>
              </w:rPr>
            </w:pPr>
            <w:r w:rsidRPr="004F5FB4">
              <w:rPr>
                <w:rFonts w:ascii="Times New Roman" w:hAnsi="Times New Roman"/>
                <w:color w:val="000000"/>
              </w:rPr>
              <w:t>JSN</w:t>
            </w:r>
            <w:r w:rsidRPr="004F5FB4">
              <w:rPr>
                <w:rFonts w:ascii="Times New Roman" w:hAnsi="Times New Roman"/>
                <w:color w:val="000000"/>
                <w:vertAlign w:val="superscript"/>
              </w:rPr>
              <w:t>d</w:t>
            </w:r>
            <w:r w:rsidRPr="004F5FB4">
              <w:rPr>
                <w:rFonts w:ascii="Times New Roman" w:hAnsi="Times New Roman"/>
                <w:color w:val="000000"/>
              </w:rPr>
              <w:t xml:space="preserve"> Score</w:t>
            </w:r>
          </w:p>
        </w:tc>
        <w:tc>
          <w:tcPr>
            <w:tcW w:w="1220" w:type="dxa"/>
            <w:tcBorders>
              <w:bottom w:val="single" w:sz="4" w:space="0" w:color="auto"/>
            </w:tcBorders>
            <w:shd w:val="clear" w:color="auto" w:fill="auto"/>
          </w:tcPr>
          <w:p w14:paraId="43AA6151" w14:textId="77777777" w:rsidR="00E9681E" w:rsidRPr="004F5FB4" w:rsidRDefault="00E9681E" w:rsidP="005A68B9">
            <w:pPr>
              <w:pStyle w:val="TableParagraph"/>
              <w:widowControl/>
              <w:kinsoku w:val="0"/>
              <w:overflowPunct w:val="0"/>
              <w:spacing w:before="7"/>
              <w:jc w:val="center"/>
              <w:rPr>
                <w:rFonts w:ascii="Times New Roman" w:hAnsi="Times New Roman"/>
                <w:color w:val="000000"/>
              </w:rPr>
            </w:pPr>
            <w:r w:rsidRPr="004F5FB4">
              <w:rPr>
                <w:rFonts w:ascii="Times New Roman" w:hAnsi="Times New Roman"/>
                <w:color w:val="000000"/>
              </w:rPr>
              <w:t>1,0</w:t>
            </w:r>
          </w:p>
        </w:tc>
        <w:tc>
          <w:tcPr>
            <w:tcW w:w="2227" w:type="dxa"/>
            <w:tcBorders>
              <w:bottom w:val="single" w:sz="4" w:space="0" w:color="auto"/>
            </w:tcBorders>
            <w:shd w:val="clear" w:color="auto" w:fill="auto"/>
          </w:tcPr>
          <w:p w14:paraId="7A643444" w14:textId="77777777" w:rsidR="00E9681E" w:rsidRPr="004F5FB4" w:rsidRDefault="00E9681E" w:rsidP="005A68B9">
            <w:pPr>
              <w:pStyle w:val="TableParagraph"/>
              <w:widowControl/>
              <w:kinsoku w:val="0"/>
              <w:overflowPunct w:val="0"/>
              <w:spacing w:before="7"/>
              <w:ind w:right="1"/>
              <w:jc w:val="center"/>
              <w:rPr>
                <w:rFonts w:ascii="Times New Roman" w:hAnsi="Times New Roman"/>
                <w:color w:val="000000"/>
              </w:rPr>
            </w:pPr>
            <w:r w:rsidRPr="004F5FB4">
              <w:rPr>
                <w:rFonts w:ascii="Times New Roman" w:hAnsi="Times New Roman"/>
                <w:color w:val="000000"/>
              </w:rPr>
              <w:t>0,1</w:t>
            </w:r>
          </w:p>
        </w:tc>
        <w:tc>
          <w:tcPr>
            <w:tcW w:w="2415" w:type="dxa"/>
            <w:tcBorders>
              <w:bottom w:val="single" w:sz="4" w:space="0" w:color="auto"/>
            </w:tcBorders>
            <w:shd w:val="clear" w:color="auto" w:fill="auto"/>
          </w:tcPr>
          <w:p w14:paraId="71361EB8" w14:textId="77777777" w:rsidR="00E9681E" w:rsidRPr="004F5FB4" w:rsidRDefault="00E9681E" w:rsidP="005A68B9">
            <w:pPr>
              <w:pStyle w:val="TableParagraph"/>
              <w:widowControl/>
              <w:kinsoku w:val="0"/>
              <w:overflowPunct w:val="0"/>
              <w:spacing w:before="7"/>
              <w:ind w:left="426"/>
              <w:rPr>
                <w:rFonts w:ascii="Times New Roman" w:hAnsi="Times New Roman"/>
                <w:color w:val="000000"/>
              </w:rPr>
            </w:pPr>
            <w:r w:rsidRPr="004F5FB4">
              <w:rPr>
                <w:rFonts w:ascii="Times New Roman" w:hAnsi="Times New Roman"/>
                <w:color w:val="000000"/>
              </w:rPr>
              <w:t>0,9 (0,3; 1,4)</w:t>
            </w:r>
          </w:p>
        </w:tc>
        <w:tc>
          <w:tcPr>
            <w:tcW w:w="1493" w:type="dxa"/>
            <w:tcBorders>
              <w:bottom w:val="single" w:sz="4" w:space="0" w:color="auto"/>
            </w:tcBorders>
            <w:shd w:val="clear" w:color="auto" w:fill="auto"/>
          </w:tcPr>
          <w:p w14:paraId="44456929" w14:textId="77777777" w:rsidR="00E9681E" w:rsidRPr="004F5FB4" w:rsidRDefault="00E9681E" w:rsidP="005A68B9">
            <w:pPr>
              <w:pStyle w:val="TableParagraph"/>
              <w:widowControl/>
              <w:kinsoku w:val="0"/>
              <w:overflowPunct w:val="0"/>
              <w:spacing w:before="7"/>
              <w:ind w:left="576"/>
              <w:rPr>
                <w:rFonts w:ascii="Times New Roman" w:hAnsi="Times New Roman"/>
                <w:color w:val="000000"/>
              </w:rPr>
            </w:pPr>
            <w:r w:rsidRPr="004F5FB4">
              <w:rPr>
                <w:rFonts w:ascii="Times New Roman" w:hAnsi="Times New Roman"/>
                <w:color w:val="000000"/>
              </w:rPr>
              <w:t>0,002</w:t>
            </w:r>
          </w:p>
        </w:tc>
      </w:tr>
      <w:tr w:rsidR="00922261" w:rsidRPr="004F5FB4" w14:paraId="05B20658" w14:textId="77777777" w:rsidTr="00BB089F">
        <w:trPr>
          <w:cantSplit/>
        </w:trPr>
        <w:tc>
          <w:tcPr>
            <w:tcW w:w="9303" w:type="dxa"/>
            <w:gridSpan w:val="5"/>
            <w:tcBorders>
              <w:left w:val="nil"/>
              <w:bottom w:val="nil"/>
              <w:right w:val="nil"/>
            </w:tcBorders>
            <w:shd w:val="clear" w:color="auto" w:fill="auto"/>
          </w:tcPr>
          <w:p w14:paraId="7465A258" w14:textId="77777777" w:rsidR="00922261" w:rsidRPr="00206AEA" w:rsidRDefault="00922261" w:rsidP="00922261">
            <w:pPr>
              <w:pStyle w:val="BodyText"/>
              <w:widowControl/>
              <w:kinsoku w:val="0"/>
              <w:overflowPunct w:val="0"/>
              <w:ind w:left="270" w:hanging="270"/>
              <w:rPr>
                <w:color w:val="000000"/>
                <w:sz w:val="20"/>
              </w:rPr>
            </w:pPr>
            <w:r w:rsidRPr="00206AEA">
              <w:rPr>
                <w:bCs/>
                <w:color w:val="000000"/>
                <w:sz w:val="20"/>
                <w:szCs w:val="14"/>
                <w:vertAlign w:val="superscript"/>
              </w:rPr>
              <w:t>a</w:t>
            </w:r>
            <w:r w:rsidRPr="00206AEA">
              <w:rPr>
                <w:bCs/>
                <w:color w:val="000000"/>
                <w:sz w:val="20"/>
                <w:szCs w:val="14"/>
              </w:rPr>
              <w:t xml:space="preserve"> </w:t>
            </w:r>
            <w:r w:rsidRPr="00206AEA">
              <w:rPr>
                <w:bCs/>
                <w:color w:val="000000"/>
                <w:sz w:val="20"/>
                <w:szCs w:val="14"/>
              </w:rPr>
              <w:tab/>
            </w:r>
            <w:r w:rsidRPr="00206AEA">
              <w:rPr>
                <w:color w:val="000000"/>
                <w:sz w:val="20"/>
              </w:rPr>
              <w:t>Methotrexat</w:t>
            </w:r>
          </w:p>
          <w:p w14:paraId="7A11F7BC" w14:textId="77777777" w:rsidR="00922261" w:rsidRPr="00206AEA" w:rsidRDefault="00922261" w:rsidP="00922261">
            <w:pPr>
              <w:pStyle w:val="BodyText"/>
              <w:widowControl/>
              <w:kinsoku w:val="0"/>
              <w:overflowPunct w:val="0"/>
              <w:ind w:left="270" w:hanging="270"/>
              <w:rPr>
                <w:color w:val="000000"/>
                <w:sz w:val="20"/>
              </w:rPr>
            </w:pPr>
            <w:r w:rsidRPr="00206AEA">
              <w:rPr>
                <w:color w:val="000000"/>
                <w:sz w:val="20"/>
                <w:szCs w:val="14"/>
                <w:vertAlign w:val="superscript"/>
              </w:rPr>
              <w:t>b</w:t>
            </w:r>
            <w:r w:rsidRPr="00206AEA">
              <w:rPr>
                <w:color w:val="000000"/>
                <w:sz w:val="20"/>
                <w:szCs w:val="14"/>
              </w:rPr>
              <w:t xml:space="preserve"> </w:t>
            </w:r>
            <w:r w:rsidRPr="00206AEA">
              <w:rPr>
                <w:color w:val="000000"/>
                <w:sz w:val="20"/>
                <w:szCs w:val="14"/>
              </w:rPr>
              <w:tab/>
            </w:r>
            <w:r w:rsidRPr="00206AEA">
              <w:rPr>
                <w:color w:val="000000"/>
                <w:sz w:val="20"/>
              </w:rPr>
              <w:t>95 % Konfidenzintervalle für die Unterschiede der Veränderungen der Scores zwischen Methotrexat und Adalimumab</w:t>
            </w:r>
          </w:p>
          <w:p w14:paraId="1E59EB8C" w14:textId="77777777" w:rsidR="00922261" w:rsidRPr="00206AEA" w:rsidRDefault="00922261" w:rsidP="00922261">
            <w:pPr>
              <w:pStyle w:val="BodyText"/>
              <w:widowControl/>
              <w:kinsoku w:val="0"/>
              <w:overflowPunct w:val="0"/>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basierend auf Rangsummentest</w:t>
            </w:r>
          </w:p>
          <w:p w14:paraId="7AAE2443" w14:textId="77777777" w:rsidR="00922261" w:rsidRPr="00206AEA" w:rsidRDefault="00922261" w:rsidP="00922261">
            <w:pPr>
              <w:pStyle w:val="BodyText"/>
              <w:widowControl/>
              <w:kinsoku w:val="0"/>
              <w:overflowPunct w:val="0"/>
              <w:ind w:left="270" w:hanging="270"/>
              <w:rPr>
                <w:color w:val="000000"/>
                <w:sz w:val="20"/>
              </w:rPr>
            </w:pPr>
            <w:r w:rsidRPr="00206AEA">
              <w:rPr>
                <w:color w:val="000000"/>
                <w:sz w:val="20"/>
                <w:szCs w:val="14"/>
                <w:vertAlign w:val="superscript"/>
              </w:rPr>
              <w:t>d</w:t>
            </w:r>
            <w:r w:rsidRPr="00206AEA">
              <w:rPr>
                <w:color w:val="000000"/>
                <w:sz w:val="20"/>
                <w:szCs w:val="14"/>
              </w:rPr>
              <w:t xml:space="preserve"> </w:t>
            </w:r>
            <w:r w:rsidRPr="00206AEA">
              <w:rPr>
                <w:color w:val="000000"/>
                <w:sz w:val="20"/>
                <w:szCs w:val="14"/>
              </w:rPr>
              <w:tab/>
            </w:r>
            <w:r w:rsidRPr="00206AEA">
              <w:rPr>
                <w:color w:val="000000"/>
                <w:sz w:val="20"/>
              </w:rPr>
              <w:t>JSN (Joint Space Narrowing): Gelenkspaltverengung</w:t>
            </w:r>
          </w:p>
        </w:tc>
      </w:tr>
    </w:tbl>
    <w:p w14:paraId="19AA15F1" w14:textId="77777777" w:rsidR="00C46587" w:rsidRPr="004F5FB4" w:rsidRDefault="00C46587" w:rsidP="00982118">
      <w:pPr>
        <w:rPr>
          <w:color w:val="000000"/>
        </w:rPr>
      </w:pPr>
    </w:p>
    <w:p w14:paraId="2D188C54" w14:textId="77777777" w:rsidR="00C46587" w:rsidRPr="004F5FB4" w:rsidRDefault="00C46587" w:rsidP="00982118">
      <w:pPr>
        <w:rPr>
          <w:color w:val="000000"/>
        </w:rPr>
      </w:pPr>
      <w:r w:rsidRPr="004F5FB4">
        <w:rPr>
          <w:color w:val="000000"/>
        </w:rPr>
        <w:t>In der RA-Studie</w:t>
      </w:r>
      <w:r w:rsidR="00D374B5" w:rsidRPr="004F5FB4">
        <w:rPr>
          <w:color w:val="000000"/>
        </w:rPr>
        <w:t> </w:t>
      </w:r>
      <w:r w:rsidRPr="004F5FB4">
        <w:rPr>
          <w:color w:val="000000"/>
        </w:rPr>
        <w:t>V wurde die strukturelle Gelenkschädigung radiologisch untersucht und als Veränderung des modifizierten Gesamt-Sharp-Scores ausgedrückt (siehe Tabelle</w:t>
      </w:r>
      <w:r w:rsidR="00D374B5" w:rsidRPr="004F5FB4">
        <w:rPr>
          <w:color w:val="000000"/>
        </w:rPr>
        <w:t> </w:t>
      </w:r>
      <w:r w:rsidR="00B852E6">
        <w:rPr>
          <w:color w:val="000000"/>
        </w:rPr>
        <w:t>11</w:t>
      </w:r>
      <w:r w:rsidRPr="004F5FB4">
        <w:rPr>
          <w:color w:val="000000"/>
        </w:rPr>
        <w:t>).</w:t>
      </w:r>
    </w:p>
    <w:p w14:paraId="21CC3AD3" w14:textId="77777777" w:rsidR="002803DB" w:rsidRPr="004F5FB4" w:rsidRDefault="002803DB" w:rsidP="00982118">
      <w:pPr>
        <w:rPr>
          <w:color w:val="000000"/>
        </w:rPr>
      </w:pPr>
    </w:p>
    <w:p w14:paraId="32F96EFE" w14:textId="77777777" w:rsidR="00FA0342" w:rsidRPr="004F5FB4" w:rsidRDefault="00C46587" w:rsidP="00687087">
      <w:pPr>
        <w:keepNext/>
        <w:rPr>
          <w:b/>
          <w:color w:val="000000"/>
        </w:rPr>
      </w:pPr>
      <w:r w:rsidRPr="004F5FB4">
        <w:rPr>
          <w:b/>
          <w:color w:val="000000"/>
        </w:rPr>
        <w:t>Tabelle</w:t>
      </w:r>
      <w:r w:rsidR="00B852E6">
        <w:rPr>
          <w:b/>
          <w:color w:val="000000"/>
        </w:rPr>
        <w:t> 11</w:t>
      </w:r>
    </w:p>
    <w:p w14:paraId="2623E4E9" w14:textId="77777777" w:rsidR="00271CDD" w:rsidRPr="004F5FB4" w:rsidRDefault="00271CDD" w:rsidP="00687087">
      <w:pPr>
        <w:keepNext/>
        <w:rPr>
          <w:color w:val="000000"/>
        </w:rPr>
      </w:pPr>
      <w:r w:rsidRPr="004F5FB4">
        <w:rPr>
          <w:b/>
          <w:bCs/>
          <w:color w:val="000000"/>
        </w:rPr>
        <w:t>Mittlere radiologische Veränderungen nach 52</w:t>
      </w:r>
      <w:r w:rsidR="00D374B5" w:rsidRPr="004F5FB4">
        <w:rPr>
          <w:b/>
          <w:bCs/>
          <w:color w:val="000000"/>
        </w:rPr>
        <w:t> </w:t>
      </w:r>
      <w:r w:rsidRPr="004F5FB4">
        <w:rPr>
          <w:b/>
          <w:bCs/>
          <w:color w:val="000000"/>
        </w:rPr>
        <w:t>Wochen in der RA-Studie</w:t>
      </w:r>
      <w:r w:rsidR="00D374B5" w:rsidRPr="004F5FB4">
        <w:rPr>
          <w:b/>
          <w:bCs/>
          <w:color w:val="000000"/>
        </w:rPr>
        <w:t> </w:t>
      </w:r>
      <w:r w:rsidRPr="004F5FB4">
        <w:rPr>
          <w:b/>
          <w:bCs/>
          <w:color w:val="000000"/>
        </w:rPr>
        <w:t>V</w:t>
      </w:r>
    </w:p>
    <w:p w14:paraId="4A1181EE" w14:textId="77777777" w:rsidR="00271CDD" w:rsidRPr="004F5FB4" w:rsidRDefault="00271CDD" w:rsidP="00271CDD">
      <w:pPr>
        <w:pStyle w:val="BodyText"/>
        <w:keepNext/>
        <w:widowControl/>
        <w:kinsoku w:val="0"/>
        <w:overflowPunct w:val="0"/>
        <w:ind w:left="0"/>
        <w:rPr>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13"/>
        <w:gridCol w:w="1619"/>
        <w:gridCol w:w="1622"/>
        <w:gridCol w:w="1014"/>
        <w:gridCol w:w="1015"/>
        <w:gridCol w:w="1015"/>
      </w:tblGrid>
      <w:tr w:rsidR="00271CDD" w:rsidRPr="004F5FB4" w14:paraId="70452545" w14:textId="77777777" w:rsidTr="00D374B5">
        <w:trPr>
          <w:trHeight w:hRule="exact" w:val="1644"/>
          <w:tblHeader/>
        </w:trPr>
        <w:tc>
          <w:tcPr>
            <w:tcW w:w="1404" w:type="dxa"/>
            <w:shd w:val="clear" w:color="auto" w:fill="auto"/>
          </w:tcPr>
          <w:p w14:paraId="1CB265A6" w14:textId="77777777" w:rsidR="00271CDD" w:rsidRPr="004F5FB4" w:rsidRDefault="00271CDD" w:rsidP="005A68B9">
            <w:pPr>
              <w:keepNext/>
              <w:keepLines/>
              <w:rPr>
                <w:b/>
                <w:color w:val="000000"/>
              </w:rPr>
            </w:pPr>
          </w:p>
        </w:tc>
        <w:tc>
          <w:tcPr>
            <w:tcW w:w="1451" w:type="dxa"/>
            <w:shd w:val="clear" w:color="auto" w:fill="auto"/>
            <w:vAlign w:val="center"/>
          </w:tcPr>
          <w:p w14:paraId="02F25126" w14:textId="77777777" w:rsidR="00271CDD" w:rsidRPr="004F5FB4"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Methotrexat (MTX)</w:t>
            </w:r>
          </w:p>
          <w:p w14:paraId="251FC8FE" w14:textId="77777777" w:rsidR="00271CDD" w:rsidRPr="004F5FB4"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n</w:t>
            </w:r>
            <w:r w:rsidR="001A6074" w:rsidRPr="004F5FB4">
              <w:rPr>
                <w:rFonts w:ascii="Times New Roman" w:hAnsi="Times New Roman"/>
                <w:b/>
                <w:color w:val="000000"/>
              </w:rPr>
              <w:t> </w:t>
            </w:r>
            <w:r w:rsidRPr="004F5FB4">
              <w:rPr>
                <w:rFonts w:ascii="Times New Roman" w:hAnsi="Times New Roman"/>
                <w:b/>
                <w:color w:val="000000"/>
              </w:rPr>
              <w:t>=</w:t>
            </w:r>
            <w:r w:rsidR="001A6074" w:rsidRPr="004F5FB4">
              <w:rPr>
                <w:rFonts w:ascii="Times New Roman" w:hAnsi="Times New Roman"/>
                <w:b/>
                <w:color w:val="000000"/>
              </w:rPr>
              <w:t> </w:t>
            </w:r>
            <w:r w:rsidRPr="004F5FB4">
              <w:rPr>
                <w:rFonts w:ascii="Times New Roman" w:hAnsi="Times New Roman"/>
                <w:b/>
                <w:color w:val="000000"/>
              </w:rPr>
              <w:t>257</w:t>
            </w:r>
          </w:p>
          <w:p w14:paraId="4F6E75DE" w14:textId="77777777" w:rsidR="00271CDD" w:rsidRPr="004F5FB4"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F5FB4">
              <w:rPr>
                <w:rFonts w:ascii="Times New Roman" w:hAnsi="Times New Roman"/>
                <w:b/>
                <w:color w:val="000000"/>
              </w:rPr>
              <w:t>(95</w:t>
            </w:r>
            <w:r w:rsidR="00D374B5" w:rsidRPr="004F5FB4">
              <w:rPr>
                <w:rFonts w:ascii="Times New Roman" w:hAnsi="Times New Roman"/>
                <w:b/>
                <w:color w:val="000000"/>
              </w:rPr>
              <w:t> </w:t>
            </w:r>
            <w:r w:rsidRPr="004F5FB4">
              <w:rPr>
                <w:rFonts w:ascii="Times New Roman" w:hAnsi="Times New Roman"/>
                <w:b/>
                <w:color w:val="000000"/>
              </w:rPr>
              <w:t>% Konfidenzintervall)</w:t>
            </w:r>
          </w:p>
        </w:tc>
        <w:tc>
          <w:tcPr>
            <w:tcW w:w="1663" w:type="dxa"/>
            <w:shd w:val="clear" w:color="auto" w:fill="auto"/>
            <w:vAlign w:val="center"/>
          </w:tcPr>
          <w:p w14:paraId="5BAC9BF7" w14:textId="77777777" w:rsidR="00271CDD" w:rsidRPr="004F5FB4"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Adalimumab</w:t>
            </w:r>
          </w:p>
          <w:p w14:paraId="07E8362A" w14:textId="77777777" w:rsidR="00271CDD" w:rsidRPr="004F5FB4"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n</w:t>
            </w:r>
            <w:r w:rsidR="001A6074" w:rsidRPr="004F5FB4">
              <w:rPr>
                <w:rFonts w:ascii="Times New Roman" w:hAnsi="Times New Roman"/>
                <w:b/>
                <w:color w:val="000000"/>
              </w:rPr>
              <w:t> </w:t>
            </w:r>
            <w:r w:rsidRPr="004F5FB4">
              <w:rPr>
                <w:rFonts w:ascii="Times New Roman" w:hAnsi="Times New Roman"/>
                <w:b/>
                <w:color w:val="000000"/>
              </w:rPr>
              <w:t>=</w:t>
            </w:r>
            <w:r w:rsidR="001A6074" w:rsidRPr="004F5FB4">
              <w:rPr>
                <w:rFonts w:ascii="Times New Roman" w:hAnsi="Times New Roman"/>
                <w:b/>
                <w:color w:val="000000"/>
              </w:rPr>
              <w:t> </w:t>
            </w:r>
            <w:r w:rsidRPr="004F5FB4">
              <w:rPr>
                <w:rFonts w:ascii="Times New Roman" w:hAnsi="Times New Roman"/>
                <w:b/>
                <w:color w:val="000000"/>
              </w:rPr>
              <w:t>274</w:t>
            </w:r>
          </w:p>
          <w:p w14:paraId="72729E28" w14:textId="77777777" w:rsidR="00271CDD" w:rsidRPr="004F5FB4"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F5FB4">
              <w:rPr>
                <w:rFonts w:ascii="Times New Roman" w:hAnsi="Times New Roman"/>
                <w:b/>
                <w:color w:val="000000"/>
              </w:rPr>
              <w:t>(95</w:t>
            </w:r>
            <w:r w:rsidR="00D374B5" w:rsidRPr="004F5FB4">
              <w:rPr>
                <w:rFonts w:ascii="Times New Roman" w:hAnsi="Times New Roman"/>
                <w:b/>
                <w:color w:val="000000"/>
              </w:rPr>
              <w:t> </w:t>
            </w:r>
            <w:r w:rsidRPr="004F5FB4">
              <w:rPr>
                <w:rFonts w:ascii="Times New Roman" w:hAnsi="Times New Roman"/>
                <w:b/>
                <w:color w:val="000000"/>
              </w:rPr>
              <w:t>% Konfidenzintervall)</w:t>
            </w:r>
          </w:p>
        </w:tc>
        <w:tc>
          <w:tcPr>
            <w:tcW w:w="1666" w:type="dxa"/>
            <w:shd w:val="clear" w:color="auto" w:fill="auto"/>
            <w:vAlign w:val="center"/>
          </w:tcPr>
          <w:p w14:paraId="322A4783" w14:textId="77777777" w:rsidR="00271CDD" w:rsidRPr="004F5FB4" w:rsidRDefault="00271CDD" w:rsidP="005A68B9">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Adalimumab/MTX</w:t>
            </w:r>
          </w:p>
          <w:p w14:paraId="1B06447C" w14:textId="77777777" w:rsidR="00271CDD" w:rsidRPr="004F5FB4" w:rsidRDefault="00271CDD" w:rsidP="005A68B9">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n</w:t>
            </w:r>
            <w:r w:rsidR="001A6074" w:rsidRPr="004F5FB4">
              <w:rPr>
                <w:rFonts w:ascii="Times New Roman" w:hAnsi="Times New Roman"/>
                <w:b/>
                <w:color w:val="000000"/>
              </w:rPr>
              <w:t> </w:t>
            </w:r>
            <w:r w:rsidRPr="004F5FB4">
              <w:rPr>
                <w:rFonts w:ascii="Times New Roman" w:hAnsi="Times New Roman"/>
                <w:b/>
                <w:color w:val="000000"/>
              </w:rPr>
              <w:t>=</w:t>
            </w:r>
            <w:r w:rsidR="001A6074" w:rsidRPr="004F5FB4">
              <w:rPr>
                <w:rFonts w:ascii="Times New Roman" w:hAnsi="Times New Roman"/>
                <w:b/>
                <w:color w:val="000000"/>
              </w:rPr>
              <w:t> </w:t>
            </w:r>
            <w:r w:rsidRPr="004F5FB4">
              <w:rPr>
                <w:rFonts w:ascii="Times New Roman" w:hAnsi="Times New Roman"/>
                <w:b/>
                <w:color w:val="000000"/>
              </w:rPr>
              <w:t>268</w:t>
            </w:r>
          </w:p>
          <w:p w14:paraId="5A7DFEFE" w14:textId="77777777" w:rsidR="00271CDD" w:rsidRPr="004F5FB4" w:rsidRDefault="00271CDD" w:rsidP="005A68B9">
            <w:pPr>
              <w:pStyle w:val="TableParagraph"/>
              <w:keepNext/>
              <w:keepLines/>
              <w:widowControl/>
              <w:kinsoku w:val="0"/>
              <w:overflowPunct w:val="0"/>
              <w:spacing w:before="6"/>
              <w:jc w:val="center"/>
              <w:rPr>
                <w:rFonts w:ascii="Times New Roman" w:hAnsi="Times New Roman"/>
                <w:b/>
                <w:color w:val="000000"/>
              </w:rPr>
            </w:pPr>
            <w:r w:rsidRPr="004F5FB4">
              <w:rPr>
                <w:rFonts w:ascii="Times New Roman" w:hAnsi="Times New Roman"/>
                <w:b/>
                <w:color w:val="000000"/>
              </w:rPr>
              <w:t>(95</w:t>
            </w:r>
            <w:r w:rsidR="00D374B5" w:rsidRPr="004F5FB4">
              <w:rPr>
                <w:rFonts w:ascii="Times New Roman" w:hAnsi="Times New Roman"/>
                <w:b/>
                <w:color w:val="000000"/>
              </w:rPr>
              <w:t> </w:t>
            </w:r>
            <w:r w:rsidRPr="004F5FB4">
              <w:rPr>
                <w:rFonts w:ascii="Times New Roman" w:hAnsi="Times New Roman"/>
                <w:b/>
                <w:color w:val="000000"/>
              </w:rPr>
              <w:t>% Konfidenzintervall)</w:t>
            </w:r>
          </w:p>
        </w:tc>
        <w:tc>
          <w:tcPr>
            <w:tcW w:w="1039" w:type="dxa"/>
            <w:shd w:val="clear" w:color="auto" w:fill="auto"/>
            <w:vAlign w:val="center"/>
          </w:tcPr>
          <w:p w14:paraId="2EAC4E16" w14:textId="77777777" w:rsidR="00271CDD" w:rsidRPr="004F5FB4" w:rsidRDefault="00271CDD" w:rsidP="005A68B9">
            <w:pPr>
              <w:pStyle w:val="TableParagraph"/>
              <w:keepNext/>
              <w:keepLines/>
              <w:widowControl/>
              <w:kinsoku w:val="0"/>
              <w:overflowPunct w:val="0"/>
              <w:spacing w:before="188"/>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a</w:t>
            </w:r>
          </w:p>
        </w:tc>
        <w:tc>
          <w:tcPr>
            <w:tcW w:w="1040" w:type="dxa"/>
            <w:shd w:val="clear" w:color="auto" w:fill="auto"/>
            <w:vAlign w:val="center"/>
          </w:tcPr>
          <w:p w14:paraId="233C667B" w14:textId="77777777" w:rsidR="00271CDD" w:rsidRPr="004F5FB4" w:rsidRDefault="00271CDD" w:rsidP="005A68B9">
            <w:pPr>
              <w:pStyle w:val="TableParagraph"/>
              <w:keepNext/>
              <w:keepLines/>
              <w:widowControl/>
              <w:kinsoku w:val="0"/>
              <w:overflowPunct w:val="0"/>
              <w:spacing w:before="188"/>
              <w:ind w:left="2"/>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b</w:t>
            </w:r>
          </w:p>
        </w:tc>
        <w:tc>
          <w:tcPr>
            <w:tcW w:w="1040" w:type="dxa"/>
            <w:shd w:val="clear" w:color="auto" w:fill="auto"/>
            <w:vAlign w:val="center"/>
          </w:tcPr>
          <w:p w14:paraId="5F3430E8" w14:textId="77777777" w:rsidR="00271CDD" w:rsidRPr="004F5FB4" w:rsidRDefault="00271CDD" w:rsidP="005A68B9">
            <w:pPr>
              <w:pStyle w:val="TableParagraph"/>
              <w:keepNext/>
              <w:keepLines/>
              <w:widowControl/>
              <w:kinsoku w:val="0"/>
              <w:overflowPunct w:val="0"/>
              <w:spacing w:before="188"/>
              <w:ind w:left="31"/>
              <w:jc w:val="center"/>
              <w:rPr>
                <w:rFonts w:ascii="Times New Roman" w:hAnsi="Times New Roman"/>
                <w:b/>
                <w:color w:val="000000"/>
              </w:rPr>
            </w:pPr>
            <w:r w:rsidRPr="004F5FB4">
              <w:rPr>
                <w:rFonts w:ascii="Times New Roman" w:hAnsi="Times New Roman"/>
                <w:b/>
                <w:color w:val="000000"/>
              </w:rPr>
              <w:t>p-Wert</w:t>
            </w:r>
            <w:r w:rsidRPr="004F5FB4">
              <w:rPr>
                <w:rFonts w:ascii="Times New Roman" w:hAnsi="Times New Roman"/>
                <w:b/>
                <w:color w:val="000000"/>
                <w:vertAlign w:val="superscript"/>
              </w:rPr>
              <w:t>c</w:t>
            </w:r>
          </w:p>
        </w:tc>
      </w:tr>
      <w:tr w:rsidR="00271CDD" w:rsidRPr="004F5FB4" w14:paraId="5A5FED9A" w14:textId="77777777" w:rsidTr="00DA48AB">
        <w:trPr>
          <w:trHeight w:hRule="exact" w:val="516"/>
        </w:trPr>
        <w:tc>
          <w:tcPr>
            <w:tcW w:w="1404" w:type="dxa"/>
            <w:shd w:val="clear" w:color="auto" w:fill="auto"/>
          </w:tcPr>
          <w:p w14:paraId="27B3C4F9" w14:textId="77777777" w:rsidR="00271CDD" w:rsidRPr="004F5FB4" w:rsidRDefault="00271CDD" w:rsidP="005A68B9">
            <w:pPr>
              <w:pStyle w:val="TableParagraph"/>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Gesamt-Sharp-Score</w:t>
            </w:r>
          </w:p>
        </w:tc>
        <w:tc>
          <w:tcPr>
            <w:tcW w:w="1451" w:type="dxa"/>
            <w:shd w:val="clear" w:color="auto" w:fill="auto"/>
            <w:vAlign w:val="center"/>
          </w:tcPr>
          <w:p w14:paraId="36985681" w14:textId="77777777" w:rsidR="00271CDD" w:rsidRPr="004F5FB4" w:rsidRDefault="00271CDD" w:rsidP="005A68B9">
            <w:pPr>
              <w:pStyle w:val="TableParagraph"/>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5,7 (4,2 - 7,3)</w:t>
            </w:r>
          </w:p>
        </w:tc>
        <w:tc>
          <w:tcPr>
            <w:tcW w:w="1663" w:type="dxa"/>
            <w:shd w:val="clear" w:color="auto" w:fill="auto"/>
            <w:vAlign w:val="center"/>
          </w:tcPr>
          <w:p w14:paraId="0D3B68BC" w14:textId="77777777" w:rsidR="00271CDD" w:rsidRPr="004F5FB4" w:rsidRDefault="00271CDD" w:rsidP="005A68B9">
            <w:pPr>
              <w:pStyle w:val="TableParagraph"/>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3,0 (1,7 - 4,3)</w:t>
            </w:r>
          </w:p>
        </w:tc>
        <w:tc>
          <w:tcPr>
            <w:tcW w:w="1666" w:type="dxa"/>
            <w:shd w:val="clear" w:color="auto" w:fill="auto"/>
            <w:vAlign w:val="center"/>
          </w:tcPr>
          <w:p w14:paraId="3B2DADEB" w14:textId="77777777" w:rsidR="00271CDD" w:rsidRPr="004F5FB4" w:rsidRDefault="00271CDD" w:rsidP="005A68B9">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1,3 (0,5 - 2,1)</w:t>
            </w:r>
          </w:p>
        </w:tc>
        <w:tc>
          <w:tcPr>
            <w:tcW w:w="1039" w:type="dxa"/>
            <w:shd w:val="clear" w:color="auto" w:fill="auto"/>
            <w:vAlign w:val="center"/>
          </w:tcPr>
          <w:p w14:paraId="6275DDFF" w14:textId="77777777" w:rsidR="00271CDD" w:rsidRPr="004F5FB4" w:rsidRDefault="00271CDD" w:rsidP="00DF1E6B">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&lt;</w:t>
            </w:r>
            <w:r w:rsidR="00DF1E6B" w:rsidRPr="004F5FB4">
              <w:rPr>
                <w:rFonts w:ascii="Times New Roman" w:hAnsi="Times New Roman"/>
                <w:color w:val="000000"/>
              </w:rPr>
              <w:t> </w:t>
            </w:r>
            <w:r w:rsidRPr="004F5FB4">
              <w:rPr>
                <w:rFonts w:ascii="Times New Roman" w:hAnsi="Times New Roman"/>
                <w:color w:val="000000"/>
              </w:rPr>
              <w:t>0,001</w:t>
            </w:r>
          </w:p>
        </w:tc>
        <w:tc>
          <w:tcPr>
            <w:tcW w:w="1040" w:type="dxa"/>
            <w:shd w:val="clear" w:color="auto" w:fill="auto"/>
            <w:vAlign w:val="center"/>
          </w:tcPr>
          <w:p w14:paraId="5ED2605E" w14:textId="77777777" w:rsidR="00271CDD" w:rsidRPr="004F5FB4" w:rsidRDefault="00271CDD" w:rsidP="005A68B9">
            <w:pPr>
              <w:pStyle w:val="TableParagraph"/>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0,0020</w:t>
            </w:r>
          </w:p>
        </w:tc>
        <w:tc>
          <w:tcPr>
            <w:tcW w:w="1040" w:type="dxa"/>
            <w:shd w:val="clear" w:color="auto" w:fill="auto"/>
            <w:vAlign w:val="center"/>
          </w:tcPr>
          <w:p w14:paraId="47C7E318" w14:textId="77777777" w:rsidR="00271CDD" w:rsidRPr="004F5FB4" w:rsidRDefault="00271CDD" w:rsidP="00DF1E6B">
            <w:pPr>
              <w:pStyle w:val="TableParagraph"/>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&lt;</w:t>
            </w:r>
            <w:r w:rsidR="00DF1E6B" w:rsidRPr="004F5FB4">
              <w:rPr>
                <w:rFonts w:ascii="Times New Roman" w:hAnsi="Times New Roman"/>
                <w:color w:val="000000"/>
              </w:rPr>
              <w:t> </w:t>
            </w:r>
            <w:r w:rsidRPr="004F5FB4">
              <w:rPr>
                <w:rFonts w:ascii="Times New Roman" w:hAnsi="Times New Roman"/>
                <w:color w:val="000000"/>
              </w:rPr>
              <w:t>0,001</w:t>
            </w:r>
          </w:p>
        </w:tc>
      </w:tr>
      <w:tr w:rsidR="00271CDD" w:rsidRPr="004F5FB4" w14:paraId="5C0918A4" w14:textId="77777777" w:rsidTr="003533D2">
        <w:trPr>
          <w:trHeight w:hRule="exact" w:val="533"/>
        </w:trPr>
        <w:tc>
          <w:tcPr>
            <w:tcW w:w="1404" w:type="dxa"/>
            <w:shd w:val="clear" w:color="auto" w:fill="auto"/>
          </w:tcPr>
          <w:p w14:paraId="2D2B1DA4" w14:textId="77777777" w:rsidR="00271CDD" w:rsidRPr="004F5FB4" w:rsidRDefault="00271CDD" w:rsidP="005A68B9">
            <w:pPr>
              <w:pStyle w:val="TableParagraph"/>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Erosion-Score</w:t>
            </w:r>
          </w:p>
        </w:tc>
        <w:tc>
          <w:tcPr>
            <w:tcW w:w="1451" w:type="dxa"/>
            <w:shd w:val="clear" w:color="auto" w:fill="auto"/>
            <w:vAlign w:val="center"/>
          </w:tcPr>
          <w:p w14:paraId="6A1CD73F" w14:textId="77777777" w:rsidR="00271CDD" w:rsidRPr="004F5FB4" w:rsidRDefault="00271CDD" w:rsidP="005A68B9">
            <w:pPr>
              <w:pStyle w:val="TableParagraph"/>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3,7 (2,7 - 4,7)</w:t>
            </w:r>
          </w:p>
        </w:tc>
        <w:tc>
          <w:tcPr>
            <w:tcW w:w="1663" w:type="dxa"/>
            <w:shd w:val="clear" w:color="auto" w:fill="auto"/>
            <w:vAlign w:val="center"/>
          </w:tcPr>
          <w:p w14:paraId="6F7A6E57" w14:textId="77777777" w:rsidR="00271CDD" w:rsidRPr="004F5FB4" w:rsidRDefault="00271CDD" w:rsidP="005A68B9">
            <w:pPr>
              <w:pStyle w:val="TableParagraph"/>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1,7 (1,0 - 2,4)</w:t>
            </w:r>
          </w:p>
        </w:tc>
        <w:tc>
          <w:tcPr>
            <w:tcW w:w="1666" w:type="dxa"/>
            <w:shd w:val="clear" w:color="auto" w:fill="auto"/>
            <w:vAlign w:val="center"/>
          </w:tcPr>
          <w:p w14:paraId="46E7F35F" w14:textId="77777777" w:rsidR="00271CDD" w:rsidRPr="004F5FB4" w:rsidRDefault="00271CDD" w:rsidP="005A68B9">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0,8 (0,4 - 1,2)</w:t>
            </w:r>
          </w:p>
        </w:tc>
        <w:tc>
          <w:tcPr>
            <w:tcW w:w="1039" w:type="dxa"/>
            <w:shd w:val="clear" w:color="auto" w:fill="auto"/>
            <w:vAlign w:val="center"/>
          </w:tcPr>
          <w:p w14:paraId="4B704F6A" w14:textId="77777777" w:rsidR="00271CDD" w:rsidRPr="004F5FB4" w:rsidRDefault="00271CDD" w:rsidP="00DF1E6B">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&lt;</w:t>
            </w:r>
            <w:r w:rsidR="00DF1E6B" w:rsidRPr="004F5FB4">
              <w:rPr>
                <w:rFonts w:ascii="Times New Roman" w:hAnsi="Times New Roman"/>
                <w:color w:val="000000"/>
              </w:rPr>
              <w:t> </w:t>
            </w:r>
            <w:r w:rsidRPr="004F5FB4">
              <w:rPr>
                <w:rFonts w:ascii="Times New Roman" w:hAnsi="Times New Roman"/>
                <w:color w:val="000000"/>
              </w:rPr>
              <w:t>0,001</w:t>
            </w:r>
          </w:p>
        </w:tc>
        <w:tc>
          <w:tcPr>
            <w:tcW w:w="1040" w:type="dxa"/>
            <w:shd w:val="clear" w:color="auto" w:fill="auto"/>
            <w:vAlign w:val="center"/>
          </w:tcPr>
          <w:p w14:paraId="2EA36F6C" w14:textId="77777777" w:rsidR="00271CDD" w:rsidRPr="004F5FB4" w:rsidRDefault="00271CDD" w:rsidP="005A68B9">
            <w:pPr>
              <w:pStyle w:val="TableParagraph"/>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0,0082</w:t>
            </w:r>
          </w:p>
        </w:tc>
        <w:tc>
          <w:tcPr>
            <w:tcW w:w="1040" w:type="dxa"/>
            <w:shd w:val="clear" w:color="auto" w:fill="auto"/>
            <w:vAlign w:val="center"/>
          </w:tcPr>
          <w:p w14:paraId="4EF65AE0" w14:textId="77777777" w:rsidR="00271CDD" w:rsidRPr="004F5FB4" w:rsidRDefault="00271CDD" w:rsidP="00DF1E6B">
            <w:pPr>
              <w:pStyle w:val="TableParagraph"/>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&lt;</w:t>
            </w:r>
            <w:r w:rsidR="00DF1E6B" w:rsidRPr="004F5FB4">
              <w:rPr>
                <w:rFonts w:ascii="Times New Roman" w:hAnsi="Times New Roman"/>
                <w:color w:val="000000"/>
              </w:rPr>
              <w:t> </w:t>
            </w:r>
            <w:r w:rsidRPr="004F5FB4">
              <w:rPr>
                <w:rFonts w:ascii="Times New Roman" w:hAnsi="Times New Roman"/>
                <w:color w:val="000000"/>
              </w:rPr>
              <w:t>0,001</w:t>
            </w:r>
          </w:p>
        </w:tc>
      </w:tr>
      <w:tr w:rsidR="00271CDD" w:rsidRPr="004F5FB4" w14:paraId="0A09A1B8" w14:textId="77777777" w:rsidTr="00922261">
        <w:trPr>
          <w:trHeight w:hRule="exact" w:val="263"/>
        </w:trPr>
        <w:tc>
          <w:tcPr>
            <w:tcW w:w="1404" w:type="dxa"/>
            <w:tcBorders>
              <w:bottom w:val="single" w:sz="4" w:space="0" w:color="auto"/>
            </w:tcBorders>
            <w:shd w:val="clear" w:color="auto" w:fill="auto"/>
          </w:tcPr>
          <w:p w14:paraId="6403408A" w14:textId="77777777" w:rsidR="00271CDD" w:rsidRPr="004F5FB4" w:rsidRDefault="00271CDD" w:rsidP="005A68B9">
            <w:pPr>
              <w:pStyle w:val="TableParagraph"/>
              <w:widowControl/>
              <w:kinsoku w:val="0"/>
              <w:overflowPunct w:val="0"/>
              <w:spacing w:before="6"/>
              <w:ind w:right="36" w:hanging="3"/>
              <w:rPr>
                <w:rFonts w:ascii="Times New Roman" w:hAnsi="Times New Roman"/>
                <w:color w:val="000000"/>
              </w:rPr>
            </w:pPr>
            <w:r w:rsidRPr="004F5FB4">
              <w:rPr>
                <w:rFonts w:ascii="Times New Roman" w:hAnsi="Times New Roman"/>
                <w:color w:val="000000"/>
              </w:rPr>
              <w:t>JSN Score</w:t>
            </w:r>
          </w:p>
        </w:tc>
        <w:tc>
          <w:tcPr>
            <w:tcW w:w="1451" w:type="dxa"/>
            <w:tcBorders>
              <w:bottom w:val="single" w:sz="4" w:space="0" w:color="auto"/>
            </w:tcBorders>
            <w:shd w:val="clear" w:color="auto" w:fill="auto"/>
            <w:vAlign w:val="center"/>
          </w:tcPr>
          <w:p w14:paraId="6BCFDCBA" w14:textId="77777777" w:rsidR="00271CDD" w:rsidRPr="004F5FB4" w:rsidRDefault="00271CDD" w:rsidP="005A68B9">
            <w:pPr>
              <w:pStyle w:val="TableParagraph"/>
              <w:widowControl/>
              <w:kinsoku w:val="0"/>
              <w:overflowPunct w:val="0"/>
              <w:spacing w:before="6"/>
              <w:ind w:left="3"/>
              <w:jc w:val="center"/>
              <w:rPr>
                <w:rFonts w:ascii="Times New Roman" w:hAnsi="Times New Roman"/>
                <w:color w:val="000000"/>
              </w:rPr>
            </w:pPr>
            <w:r w:rsidRPr="004F5FB4">
              <w:rPr>
                <w:rFonts w:ascii="Times New Roman" w:hAnsi="Times New Roman"/>
                <w:color w:val="000000"/>
              </w:rPr>
              <w:t>2,0 (1,2 - 2,8)</w:t>
            </w:r>
          </w:p>
        </w:tc>
        <w:tc>
          <w:tcPr>
            <w:tcW w:w="1663" w:type="dxa"/>
            <w:tcBorders>
              <w:bottom w:val="single" w:sz="4" w:space="0" w:color="auto"/>
            </w:tcBorders>
            <w:shd w:val="clear" w:color="auto" w:fill="auto"/>
            <w:vAlign w:val="center"/>
          </w:tcPr>
          <w:p w14:paraId="2053A94F" w14:textId="77777777" w:rsidR="00271CDD" w:rsidRPr="004F5FB4" w:rsidRDefault="00271CDD" w:rsidP="005A68B9">
            <w:pPr>
              <w:pStyle w:val="TableParagraph"/>
              <w:widowControl/>
              <w:kinsoku w:val="0"/>
              <w:overflowPunct w:val="0"/>
              <w:spacing w:before="6"/>
              <w:ind w:left="-17"/>
              <w:jc w:val="center"/>
              <w:rPr>
                <w:rFonts w:ascii="Times New Roman" w:hAnsi="Times New Roman"/>
                <w:color w:val="000000"/>
              </w:rPr>
            </w:pPr>
            <w:r w:rsidRPr="004F5FB4">
              <w:rPr>
                <w:rFonts w:ascii="Times New Roman" w:hAnsi="Times New Roman"/>
                <w:color w:val="000000"/>
              </w:rPr>
              <w:t>1,3 (0,5 - 2,1)</w:t>
            </w:r>
          </w:p>
        </w:tc>
        <w:tc>
          <w:tcPr>
            <w:tcW w:w="1666" w:type="dxa"/>
            <w:tcBorders>
              <w:bottom w:val="single" w:sz="4" w:space="0" w:color="auto"/>
            </w:tcBorders>
            <w:shd w:val="clear" w:color="auto" w:fill="auto"/>
            <w:vAlign w:val="center"/>
          </w:tcPr>
          <w:p w14:paraId="4492F82B" w14:textId="77777777" w:rsidR="00271CDD" w:rsidRPr="004F5FB4" w:rsidRDefault="00271CDD" w:rsidP="005A68B9">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0,5 (0 - 1,0)</w:t>
            </w:r>
          </w:p>
        </w:tc>
        <w:tc>
          <w:tcPr>
            <w:tcW w:w="1039" w:type="dxa"/>
            <w:tcBorders>
              <w:bottom w:val="single" w:sz="4" w:space="0" w:color="auto"/>
            </w:tcBorders>
            <w:shd w:val="clear" w:color="auto" w:fill="auto"/>
            <w:vAlign w:val="center"/>
          </w:tcPr>
          <w:p w14:paraId="55475380" w14:textId="77777777" w:rsidR="00271CDD" w:rsidRPr="004F5FB4" w:rsidRDefault="00271CDD" w:rsidP="00DF1E6B">
            <w:pPr>
              <w:pStyle w:val="TableParagraph"/>
              <w:widowControl/>
              <w:kinsoku w:val="0"/>
              <w:overflowPunct w:val="0"/>
              <w:spacing w:before="6"/>
              <w:jc w:val="center"/>
              <w:rPr>
                <w:rFonts w:ascii="Times New Roman" w:hAnsi="Times New Roman"/>
                <w:color w:val="000000"/>
              </w:rPr>
            </w:pPr>
            <w:r w:rsidRPr="004F5FB4">
              <w:rPr>
                <w:rFonts w:ascii="Times New Roman" w:hAnsi="Times New Roman"/>
                <w:color w:val="000000"/>
              </w:rPr>
              <w:t>&lt;</w:t>
            </w:r>
            <w:r w:rsidR="00DF1E6B" w:rsidRPr="004F5FB4">
              <w:rPr>
                <w:rFonts w:ascii="Times New Roman" w:hAnsi="Times New Roman"/>
                <w:color w:val="000000"/>
              </w:rPr>
              <w:t> </w:t>
            </w:r>
            <w:r w:rsidRPr="004F5FB4">
              <w:rPr>
                <w:rFonts w:ascii="Times New Roman" w:hAnsi="Times New Roman"/>
                <w:color w:val="000000"/>
              </w:rPr>
              <w:t>0,001</w:t>
            </w:r>
          </w:p>
        </w:tc>
        <w:tc>
          <w:tcPr>
            <w:tcW w:w="1040" w:type="dxa"/>
            <w:tcBorders>
              <w:bottom w:val="single" w:sz="4" w:space="0" w:color="auto"/>
            </w:tcBorders>
            <w:shd w:val="clear" w:color="auto" w:fill="auto"/>
            <w:vAlign w:val="center"/>
          </w:tcPr>
          <w:p w14:paraId="2C5B3316" w14:textId="77777777" w:rsidR="00271CDD" w:rsidRPr="004F5FB4" w:rsidRDefault="00271CDD" w:rsidP="005A68B9">
            <w:pPr>
              <w:pStyle w:val="TableParagraph"/>
              <w:widowControl/>
              <w:kinsoku w:val="0"/>
              <w:overflowPunct w:val="0"/>
              <w:spacing w:before="6"/>
              <w:ind w:left="2"/>
              <w:jc w:val="center"/>
              <w:rPr>
                <w:rFonts w:ascii="Times New Roman" w:hAnsi="Times New Roman"/>
                <w:color w:val="000000"/>
              </w:rPr>
            </w:pPr>
            <w:r w:rsidRPr="004F5FB4">
              <w:rPr>
                <w:rFonts w:ascii="Times New Roman" w:hAnsi="Times New Roman"/>
                <w:color w:val="000000"/>
              </w:rPr>
              <w:t>0,0037</w:t>
            </w:r>
          </w:p>
        </w:tc>
        <w:tc>
          <w:tcPr>
            <w:tcW w:w="1040" w:type="dxa"/>
            <w:tcBorders>
              <w:bottom w:val="single" w:sz="4" w:space="0" w:color="auto"/>
            </w:tcBorders>
            <w:shd w:val="clear" w:color="auto" w:fill="auto"/>
            <w:vAlign w:val="center"/>
          </w:tcPr>
          <w:p w14:paraId="41C3A7D0" w14:textId="77777777" w:rsidR="00271CDD" w:rsidRPr="004F5FB4" w:rsidRDefault="00271CDD" w:rsidP="005A68B9">
            <w:pPr>
              <w:pStyle w:val="TableParagraph"/>
              <w:widowControl/>
              <w:kinsoku w:val="0"/>
              <w:overflowPunct w:val="0"/>
              <w:spacing w:before="6"/>
              <w:ind w:left="31"/>
              <w:jc w:val="center"/>
              <w:rPr>
                <w:rFonts w:ascii="Times New Roman" w:hAnsi="Times New Roman"/>
                <w:color w:val="000000"/>
              </w:rPr>
            </w:pPr>
            <w:r w:rsidRPr="004F5FB4">
              <w:rPr>
                <w:rFonts w:ascii="Times New Roman" w:hAnsi="Times New Roman"/>
                <w:color w:val="000000"/>
              </w:rPr>
              <w:t>0,151</w:t>
            </w:r>
          </w:p>
        </w:tc>
      </w:tr>
      <w:tr w:rsidR="00922261" w:rsidRPr="004F5FB4" w14:paraId="0D71DF78" w14:textId="77777777" w:rsidTr="00922261">
        <w:tc>
          <w:tcPr>
            <w:tcW w:w="9303" w:type="dxa"/>
            <w:gridSpan w:val="7"/>
            <w:tcBorders>
              <w:left w:val="nil"/>
              <w:bottom w:val="nil"/>
              <w:right w:val="nil"/>
            </w:tcBorders>
            <w:shd w:val="clear" w:color="auto" w:fill="auto"/>
          </w:tcPr>
          <w:p w14:paraId="2E8DCA70" w14:textId="77777777" w:rsidR="00922261" w:rsidRPr="00206AEA" w:rsidRDefault="00922261" w:rsidP="00A13AE4">
            <w:pPr>
              <w:pStyle w:val="BodyText"/>
              <w:widowControl/>
              <w:kinsoku w:val="0"/>
              <w:overflowPunct w:val="0"/>
              <w:ind w:left="274" w:hanging="274"/>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Der p-Wert resultiert aus dem paarweisen Vergleich der Methotrexat-Monotherapie und der Adalimumab/Methotrexat-Kombinationstherapie unter Anwendung des Mann-Whitney-U-Tests.</w:t>
            </w:r>
          </w:p>
          <w:p w14:paraId="109C062E" w14:textId="77777777" w:rsidR="00922261" w:rsidRPr="00206AEA" w:rsidRDefault="00922261" w:rsidP="00A13AE4">
            <w:pPr>
              <w:pStyle w:val="BodyText"/>
              <w:widowControl/>
              <w:kinsoku w:val="0"/>
              <w:overflowPunct w:val="0"/>
              <w:ind w:left="274" w:hanging="274"/>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Der p-Wert resultiert aus dem paarweisen Vergleich der Adalimumab-Monotherapie und der Adalimumab/Methotrexat-Kombinationstherapie unter Anwendung des Mann-Whitney-U-Tests.</w:t>
            </w:r>
          </w:p>
          <w:p w14:paraId="4CA5BDDF" w14:textId="77777777" w:rsidR="00922261" w:rsidRPr="00206AEA" w:rsidRDefault="00922261" w:rsidP="00A13AE4">
            <w:pPr>
              <w:pStyle w:val="BodyText"/>
              <w:widowControl/>
              <w:kinsoku w:val="0"/>
              <w:overflowPunct w:val="0"/>
              <w:ind w:left="274" w:hanging="274"/>
              <w:rPr>
                <w:color w:val="000000"/>
                <w:sz w:val="20"/>
              </w:rPr>
            </w:pPr>
            <w:r w:rsidRPr="00206AEA">
              <w:rPr>
                <w:color w:val="000000"/>
                <w:sz w:val="20"/>
                <w:vertAlign w:val="superscript"/>
              </w:rPr>
              <w:t>c</w:t>
            </w:r>
            <w:r w:rsidRPr="00206AEA">
              <w:rPr>
                <w:color w:val="000000"/>
                <w:sz w:val="20"/>
              </w:rPr>
              <w:t xml:space="preserve"> </w:t>
            </w:r>
            <w:r w:rsidR="00C75B4A" w:rsidRPr="00206AEA">
              <w:rPr>
                <w:color w:val="000000"/>
                <w:sz w:val="20"/>
              </w:rPr>
              <w:tab/>
            </w:r>
            <w:r w:rsidRPr="00206AEA">
              <w:rPr>
                <w:color w:val="000000"/>
                <w:sz w:val="20"/>
              </w:rPr>
              <w:t>Der p-Wert resultiert aus dem paarweisen Vergleich der Adalimumab-Monotherapie und der Methotrexat-Monotherapie unter Anwendung des Mann-Whitney-U-Tests.</w:t>
            </w:r>
          </w:p>
        </w:tc>
      </w:tr>
    </w:tbl>
    <w:p w14:paraId="6496AEB2" w14:textId="77777777" w:rsidR="00C46587" w:rsidRPr="004F5FB4" w:rsidRDefault="00C46587" w:rsidP="00982118">
      <w:pPr>
        <w:rPr>
          <w:color w:val="000000"/>
        </w:rPr>
      </w:pPr>
    </w:p>
    <w:p w14:paraId="03B8D409" w14:textId="77777777" w:rsidR="00C46587" w:rsidRPr="004F5FB4" w:rsidRDefault="00C46587" w:rsidP="00982118">
      <w:pPr>
        <w:rPr>
          <w:color w:val="000000"/>
        </w:rPr>
      </w:pPr>
      <w:r w:rsidRPr="004F5FB4">
        <w:rPr>
          <w:color w:val="000000"/>
        </w:rPr>
        <w:t xml:space="preserve">Der prozentuale Anteil der Patienten ohne </w:t>
      </w:r>
      <w:r w:rsidR="008139D1" w:rsidRPr="004F5FB4">
        <w:rPr>
          <w:color w:val="000000"/>
        </w:rPr>
        <w:t xml:space="preserve">radiologische </w:t>
      </w:r>
      <w:r w:rsidRPr="004F5FB4">
        <w:rPr>
          <w:color w:val="000000"/>
        </w:rPr>
        <w:t>Progression (Veränderung des modifizierten Gesamt-Sharp-Scores gegenüber dem Ausgangswert ≤</w:t>
      </w:r>
      <w:r w:rsidR="00D374B5" w:rsidRPr="004F5FB4">
        <w:rPr>
          <w:color w:val="000000"/>
        </w:rPr>
        <w:t> </w:t>
      </w:r>
      <w:r w:rsidRPr="004F5FB4">
        <w:rPr>
          <w:color w:val="000000"/>
        </w:rPr>
        <w:t>0,5) war nach 52 bzw. 104</w:t>
      </w:r>
      <w:r w:rsidR="00D374B5" w:rsidRPr="004F5FB4">
        <w:rPr>
          <w:color w:val="000000"/>
        </w:rPr>
        <w:t> </w:t>
      </w:r>
      <w:r w:rsidRPr="004F5FB4">
        <w:rPr>
          <w:color w:val="000000"/>
        </w:rPr>
        <w:t>Behandlungswochen unter der Kombinationstherapie mit Adalimumab und Methotrexat (63,8 % bzw. 61,2 %) signifikant höher als unter der Methotrexat-Monotherapie (37,4 % bzw. 33,5 %; p</w:t>
      </w:r>
      <w:r w:rsidR="007B1316" w:rsidRPr="004F5FB4">
        <w:rPr>
          <w:color w:val="000000"/>
        </w:rPr>
        <w:t> </w:t>
      </w:r>
      <w:r w:rsidRPr="004F5FB4">
        <w:rPr>
          <w:color w:val="000000"/>
        </w:rPr>
        <w:t>&lt;</w:t>
      </w:r>
      <w:r w:rsidR="007B1316" w:rsidRPr="004F5FB4">
        <w:rPr>
          <w:color w:val="000000"/>
        </w:rPr>
        <w:t> </w:t>
      </w:r>
      <w:r w:rsidRPr="004F5FB4">
        <w:rPr>
          <w:color w:val="000000"/>
        </w:rPr>
        <w:t>0,001) und der Adalimumab-Monotherapie (50,7 %; p</w:t>
      </w:r>
      <w:r w:rsidR="007B1316" w:rsidRPr="004F5FB4">
        <w:rPr>
          <w:color w:val="000000"/>
        </w:rPr>
        <w:t> </w:t>
      </w:r>
      <w:r w:rsidRPr="004F5FB4">
        <w:rPr>
          <w:color w:val="000000"/>
        </w:rPr>
        <w:t>&lt;</w:t>
      </w:r>
      <w:r w:rsidR="007B1316" w:rsidRPr="004F5FB4">
        <w:rPr>
          <w:color w:val="000000"/>
        </w:rPr>
        <w:t> </w:t>
      </w:r>
      <w:r w:rsidRPr="004F5FB4">
        <w:rPr>
          <w:color w:val="000000"/>
        </w:rPr>
        <w:t>0,002 bzw. 44,5 %; p</w:t>
      </w:r>
      <w:r w:rsidR="007B1316" w:rsidRPr="004F5FB4">
        <w:rPr>
          <w:color w:val="000000"/>
        </w:rPr>
        <w:t> </w:t>
      </w:r>
      <w:r w:rsidRPr="004F5FB4">
        <w:rPr>
          <w:color w:val="000000"/>
        </w:rPr>
        <w:t>&lt;</w:t>
      </w:r>
      <w:r w:rsidR="007B1316" w:rsidRPr="004F5FB4">
        <w:rPr>
          <w:color w:val="000000"/>
        </w:rPr>
        <w:t> </w:t>
      </w:r>
      <w:r w:rsidRPr="004F5FB4">
        <w:rPr>
          <w:color w:val="000000"/>
        </w:rPr>
        <w:t>0,001).</w:t>
      </w:r>
    </w:p>
    <w:p w14:paraId="64AB09ED" w14:textId="77777777" w:rsidR="00C46587" w:rsidRPr="004F5FB4" w:rsidRDefault="00C46587" w:rsidP="00982118">
      <w:pPr>
        <w:rPr>
          <w:color w:val="000000"/>
        </w:rPr>
      </w:pPr>
    </w:p>
    <w:p w14:paraId="10A8ACD5" w14:textId="77777777" w:rsidR="00C46587" w:rsidRPr="004F5FB4" w:rsidRDefault="00C46587" w:rsidP="00982118">
      <w:pPr>
        <w:rPr>
          <w:color w:val="000000"/>
        </w:rPr>
      </w:pPr>
      <w:r w:rsidRPr="004F5FB4">
        <w:rPr>
          <w:color w:val="000000"/>
        </w:rPr>
        <w:t xml:space="preserve">In der offenen </w:t>
      </w:r>
      <w:r w:rsidR="008139D1" w:rsidRPr="004F5FB4">
        <w:rPr>
          <w:color w:val="000000"/>
        </w:rPr>
        <w:t>Fortsetz</w:t>
      </w:r>
      <w:r w:rsidRPr="004F5FB4">
        <w:rPr>
          <w:color w:val="000000"/>
        </w:rPr>
        <w:t>ungsphase der RA-Studie</w:t>
      </w:r>
      <w:r w:rsidR="00D374B5" w:rsidRPr="004F5FB4">
        <w:rPr>
          <w:color w:val="000000"/>
        </w:rPr>
        <w:t> </w:t>
      </w:r>
      <w:r w:rsidRPr="004F5FB4">
        <w:rPr>
          <w:color w:val="000000"/>
        </w:rPr>
        <w:t>V betrug die mittlere Veränderung gegenüber Baseline nach 10</w:t>
      </w:r>
      <w:r w:rsidR="00D374B5" w:rsidRPr="004F5FB4">
        <w:rPr>
          <w:color w:val="000000"/>
        </w:rPr>
        <w:t> </w:t>
      </w:r>
      <w:r w:rsidRPr="004F5FB4">
        <w:rPr>
          <w:color w:val="000000"/>
        </w:rPr>
        <w:t xml:space="preserve">Jahren beim modifizierten Gesamt-Sharp-Score 10,8 bei Patienten, die ursprünglich </w:t>
      </w:r>
      <w:r w:rsidRPr="004F5FB4">
        <w:rPr>
          <w:color w:val="000000"/>
        </w:rPr>
        <w:lastRenderedPageBreak/>
        <w:t>in die Gruppe unter Methotrexat-Monotherapie randomisiert worden waren, 9,2 bei Patienten unter Adalimumab -Monotherapie und 3,9 bei Patienten unter Kombinationstherapie aus Adalimumab und Methotrexat. Die entsprechenden Anteile der Patienten ohne röntgenologisch nachweisbare Progression waren 31,3 %, 23,7 % und 36,7 %.</w:t>
      </w:r>
    </w:p>
    <w:p w14:paraId="31FB11CA" w14:textId="77777777" w:rsidR="00C46587" w:rsidRPr="004F5FB4" w:rsidRDefault="00C46587" w:rsidP="00982118">
      <w:pPr>
        <w:rPr>
          <w:color w:val="000000"/>
        </w:rPr>
      </w:pPr>
    </w:p>
    <w:p w14:paraId="07E644E2" w14:textId="77777777" w:rsidR="00C46587" w:rsidRPr="004F5FB4" w:rsidRDefault="00C46587" w:rsidP="00DC3A99">
      <w:pPr>
        <w:keepNext/>
        <w:rPr>
          <w:i/>
          <w:color w:val="000000"/>
          <w:u w:val="single"/>
        </w:rPr>
      </w:pPr>
      <w:r w:rsidRPr="004F5FB4">
        <w:rPr>
          <w:i/>
          <w:color w:val="000000"/>
          <w:u w:val="single"/>
        </w:rPr>
        <w:t>Lebensqualität und körperliche Funktionsfähigkeit</w:t>
      </w:r>
    </w:p>
    <w:p w14:paraId="27ED450E" w14:textId="77777777" w:rsidR="00C46587" w:rsidRPr="004F5FB4" w:rsidRDefault="00C46587" w:rsidP="00DC3A99">
      <w:pPr>
        <w:keepNext/>
        <w:rPr>
          <w:color w:val="000000"/>
        </w:rPr>
      </w:pPr>
    </w:p>
    <w:p w14:paraId="547EF158" w14:textId="77777777" w:rsidR="00C46587" w:rsidRPr="004F5FB4" w:rsidRDefault="00C46587" w:rsidP="00982118">
      <w:pPr>
        <w:rPr>
          <w:color w:val="000000"/>
        </w:rPr>
      </w:pPr>
      <w:r w:rsidRPr="004F5FB4">
        <w:rPr>
          <w:color w:val="000000"/>
        </w:rPr>
        <w:t>In den vier ursprünglichen, gut kontrollierten Studien wurden die gesundheitsbezogene Lebensqualität und die körperliche Funktionsfähigkeit anhand des Index zur körperlichen Funktionseinschränkung (Health Assessment Questionnaire, HAQ) bewertet. In der RA-Studie</w:t>
      </w:r>
      <w:r w:rsidR="00092369" w:rsidRPr="004F5FB4">
        <w:rPr>
          <w:color w:val="000000"/>
        </w:rPr>
        <w:t> </w:t>
      </w:r>
      <w:r w:rsidRPr="004F5FB4">
        <w:rPr>
          <w:color w:val="000000"/>
        </w:rPr>
        <w:t>III bildete die</w:t>
      </w:r>
      <w:r w:rsidR="008139D1" w:rsidRPr="004F5FB4">
        <w:rPr>
          <w:color w:val="000000"/>
        </w:rPr>
        <w:t xml:space="preserve"> gesundheitsbezogene Lebensqualität</w:t>
      </w:r>
      <w:r w:rsidRPr="004F5FB4">
        <w:rPr>
          <w:color w:val="000000"/>
        </w:rPr>
        <w:t xml:space="preserve"> nach 52</w:t>
      </w:r>
      <w:r w:rsidR="00092369" w:rsidRPr="004F5FB4">
        <w:rPr>
          <w:color w:val="000000"/>
        </w:rPr>
        <w:t> </w:t>
      </w:r>
      <w:r w:rsidRPr="004F5FB4">
        <w:rPr>
          <w:color w:val="000000"/>
        </w:rPr>
        <w:t>Wochen einen vor Studienbeginn festgelegten, primären Endpunkt. Vom Studienbeginn bis Monat</w:t>
      </w:r>
      <w:r w:rsidR="00092369" w:rsidRPr="004F5FB4">
        <w:rPr>
          <w:color w:val="000000"/>
        </w:rPr>
        <w:t> </w:t>
      </w:r>
      <w:r w:rsidRPr="004F5FB4">
        <w:rPr>
          <w:color w:val="000000"/>
        </w:rPr>
        <w:t>6 zeigte sich in allen vier Studien und bei allen Dosen/</w:t>
      </w:r>
      <w:r w:rsidR="00397E91" w:rsidRPr="004F5FB4">
        <w:rPr>
          <w:color w:val="000000"/>
        </w:rPr>
        <w:t xml:space="preserve"> </w:t>
      </w:r>
      <w:r w:rsidRPr="004F5FB4">
        <w:rPr>
          <w:color w:val="000000"/>
        </w:rPr>
        <w:t>Behandlungsschemen von Adalimumab eine im Vergleich zu Placebo statistisch signifikant größere Verbesserung der körperlichen Funktionseinschränkung (HAQ). In der RA-Studie</w:t>
      </w:r>
      <w:r w:rsidR="00397E91" w:rsidRPr="004F5FB4">
        <w:rPr>
          <w:color w:val="000000"/>
        </w:rPr>
        <w:t> </w:t>
      </w:r>
      <w:r w:rsidRPr="004F5FB4">
        <w:rPr>
          <w:color w:val="000000"/>
        </w:rPr>
        <w:t>III wurde nach 52</w:t>
      </w:r>
      <w:r w:rsidR="00397E91" w:rsidRPr="004F5FB4">
        <w:rPr>
          <w:color w:val="000000"/>
        </w:rPr>
        <w:t> </w:t>
      </w:r>
      <w:r w:rsidRPr="004F5FB4">
        <w:rPr>
          <w:color w:val="000000"/>
        </w:rPr>
        <w:t>Wochen dasselbe beobachtet. Die in den vier Studien für alle Dosen/</w:t>
      </w:r>
      <w:r w:rsidR="00397E91" w:rsidRPr="004F5FB4">
        <w:rPr>
          <w:color w:val="000000"/>
        </w:rPr>
        <w:t xml:space="preserve"> </w:t>
      </w:r>
      <w:r w:rsidRPr="004F5FB4">
        <w:rPr>
          <w:color w:val="000000"/>
        </w:rPr>
        <w:t>Behandlungsschemen gefundenen Ergebnisse des Gesundheitsfragebogens Short Form Health Survey (SF</w:t>
      </w:r>
      <w:r w:rsidR="00397E91" w:rsidRPr="004F5FB4">
        <w:rPr>
          <w:color w:val="000000"/>
        </w:rPr>
        <w:t> </w:t>
      </w:r>
      <w:r w:rsidRPr="004F5FB4">
        <w:rPr>
          <w:color w:val="000000"/>
        </w:rPr>
        <w:t>36) unterstützen diese Befunde. Statistisch signifikante Werte wurden unter Behandlung mit 40 mg Adalimumab jede zweite Woche für die körperliche Funktionsfähigkeit (Physical Component Summary, PCS) sowie für den Bereich Schmerz und Vitalität (Pain and Vitality Scores) gefunden. Eine statistisch signifikante Verringerung der Abgeschlagenheit, gemessen anhand des Functional-Assessment-of-Chronic-Illness-Therapy</w:t>
      </w:r>
      <w:r w:rsidR="002F5776" w:rsidRPr="004F5FB4">
        <w:rPr>
          <w:color w:val="000000"/>
        </w:rPr>
        <w:t xml:space="preserve"> </w:t>
      </w:r>
      <w:r w:rsidRPr="004F5FB4">
        <w:rPr>
          <w:color w:val="000000"/>
        </w:rPr>
        <w:t>(FACIT)-Scores, wurde in allen drei Studien beobachtet, in denen dieser Punkt bewertet wurde (RA-Studien</w:t>
      </w:r>
      <w:r w:rsidR="00397E91" w:rsidRPr="004F5FB4">
        <w:rPr>
          <w:color w:val="000000"/>
        </w:rPr>
        <w:t> </w:t>
      </w:r>
      <w:r w:rsidRPr="004F5FB4">
        <w:rPr>
          <w:color w:val="000000"/>
        </w:rPr>
        <w:t>I, III, IV).</w:t>
      </w:r>
    </w:p>
    <w:p w14:paraId="24FD8CD8" w14:textId="77777777" w:rsidR="00C46587" w:rsidRPr="004F5FB4" w:rsidRDefault="00C46587" w:rsidP="00982118">
      <w:pPr>
        <w:rPr>
          <w:color w:val="000000"/>
        </w:rPr>
      </w:pPr>
    </w:p>
    <w:p w14:paraId="2E110613" w14:textId="77777777" w:rsidR="00C46587" w:rsidRPr="004F5FB4" w:rsidRDefault="00C46587" w:rsidP="00982118">
      <w:pPr>
        <w:rPr>
          <w:color w:val="000000"/>
        </w:rPr>
      </w:pPr>
      <w:r w:rsidRPr="004F5FB4">
        <w:rPr>
          <w:color w:val="000000"/>
        </w:rPr>
        <w:t>In der RA-Studie</w:t>
      </w:r>
      <w:r w:rsidR="00397E91" w:rsidRPr="004F5FB4">
        <w:rPr>
          <w:color w:val="000000"/>
        </w:rPr>
        <w:t> </w:t>
      </w:r>
      <w:r w:rsidRPr="004F5FB4">
        <w:rPr>
          <w:color w:val="000000"/>
        </w:rPr>
        <w:t xml:space="preserve">III wurde bei den meisten Patienten, bei denen sich die körperliche Funktionsfähigkeit verbesserte und die die Therapie fortsetzten, im Rahmen der offenen </w:t>
      </w:r>
      <w:r w:rsidR="008139D1" w:rsidRPr="004F5FB4">
        <w:rPr>
          <w:color w:val="000000"/>
        </w:rPr>
        <w:t>Fortsetzungsphase</w:t>
      </w:r>
      <w:r w:rsidRPr="004F5FB4">
        <w:rPr>
          <w:color w:val="000000"/>
        </w:rPr>
        <w:t xml:space="preserve"> die Verbesserung über den Behandlungszeitraum von 520 Wochen (120 Monate) aufrechterhalten. Die Verbesserung der Lebensqualität wurde bis zu 156</w:t>
      </w:r>
      <w:r w:rsidR="00397E91" w:rsidRPr="004F5FB4">
        <w:rPr>
          <w:color w:val="000000"/>
        </w:rPr>
        <w:t> </w:t>
      </w:r>
      <w:r w:rsidRPr="004F5FB4">
        <w:rPr>
          <w:color w:val="000000"/>
        </w:rPr>
        <w:t>Wochen (36</w:t>
      </w:r>
      <w:r w:rsidR="00397E91" w:rsidRPr="004F5FB4">
        <w:rPr>
          <w:color w:val="000000"/>
        </w:rPr>
        <w:t> </w:t>
      </w:r>
      <w:r w:rsidRPr="004F5FB4">
        <w:rPr>
          <w:color w:val="000000"/>
        </w:rPr>
        <w:t>Monate) bestimmt, und die Verbesserung hielt über diesen Zeitraum an.</w:t>
      </w:r>
    </w:p>
    <w:p w14:paraId="5E22C4F1" w14:textId="77777777" w:rsidR="00C46587" w:rsidRPr="004F5FB4" w:rsidRDefault="00C46587" w:rsidP="00982118">
      <w:pPr>
        <w:rPr>
          <w:color w:val="000000"/>
        </w:rPr>
      </w:pPr>
    </w:p>
    <w:p w14:paraId="76EA3AAC" w14:textId="77777777" w:rsidR="00C46587" w:rsidRPr="004F5FB4" w:rsidRDefault="00C46587" w:rsidP="00982118">
      <w:pPr>
        <w:rPr>
          <w:color w:val="000000"/>
        </w:rPr>
      </w:pPr>
      <w:r w:rsidRPr="004F5FB4">
        <w:rPr>
          <w:color w:val="000000"/>
        </w:rPr>
        <w:t>In der RA-Studie</w:t>
      </w:r>
      <w:r w:rsidR="00397E91" w:rsidRPr="004F5FB4">
        <w:rPr>
          <w:color w:val="000000"/>
        </w:rPr>
        <w:t> </w:t>
      </w:r>
      <w:r w:rsidRPr="004F5FB4">
        <w:rPr>
          <w:color w:val="000000"/>
        </w:rPr>
        <w:t>V zeigten die Patienten unter der Kombinationstherapie mit Adalimumab und Methotrexat nach 52</w:t>
      </w:r>
      <w:r w:rsidR="00397E91" w:rsidRPr="004F5FB4">
        <w:rPr>
          <w:color w:val="000000"/>
        </w:rPr>
        <w:t> </w:t>
      </w:r>
      <w:r w:rsidRPr="004F5FB4">
        <w:rPr>
          <w:color w:val="000000"/>
        </w:rPr>
        <w:t>Wochen eine im Vergleich zur Methotrexat- und Adalimumab-Monotherapie stärkere Verbesserung (p</w:t>
      </w:r>
      <w:r w:rsidR="001A6074" w:rsidRPr="004F5FB4">
        <w:rPr>
          <w:color w:val="000000"/>
        </w:rPr>
        <w:t> </w:t>
      </w:r>
      <w:r w:rsidRPr="004F5FB4">
        <w:rPr>
          <w:color w:val="000000"/>
        </w:rPr>
        <w:t>&lt;</w:t>
      </w:r>
      <w:r w:rsidR="001A6074" w:rsidRPr="004F5FB4">
        <w:rPr>
          <w:color w:val="000000"/>
        </w:rPr>
        <w:t> </w:t>
      </w:r>
      <w:r w:rsidRPr="004F5FB4">
        <w:rPr>
          <w:color w:val="000000"/>
        </w:rPr>
        <w:t>0,001) des Index zur körperlichen Funktionseinschränkung (HAQ) und der physischen Komponente des SF</w:t>
      </w:r>
      <w:r w:rsidR="00397E91" w:rsidRPr="004F5FB4">
        <w:rPr>
          <w:color w:val="000000"/>
        </w:rPr>
        <w:t> </w:t>
      </w:r>
      <w:r w:rsidRPr="004F5FB4">
        <w:rPr>
          <w:color w:val="000000"/>
        </w:rPr>
        <w:t>36, die über 104</w:t>
      </w:r>
      <w:r w:rsidR="00397E91" w:rsidRPr="004F5FB4">
        <w:rPr>
          <w:color w:val="000000"/>
        </w:rPr>
        <w:t> </w:t>
      </w:r>
      <w:r w:rsidRPr="004F5FB4">
        <w:rPr>
          <w:color w:val="000000"/>
        </w:rPr>
        <w:t>Wochen anhielt. Bei den 250</w:t>
      </w:r>
      <w:r w:rsidR="00397E91" w:rsidRPr="004F5FB4">
        <w:rPr>
          <w:color w:val="000000"/>
        </w:rPr>
        <w:t> </w:t>
      </w:r>
      <w:r w:rsidRPr="004F5FB4">
        <w:rPr>
          <w:color w:val="000000"/>
        </w:rPr>
        <w:t xml:space="preserve">Patienten, die die offene </w:t>
      </w:r>
      <w:r w:rsidR="008139D1" w:rsidRPr="004F5FB4">
        <w:rPr>
          <w:color w:val="000000"/>
        </w:rPr>
        <w:t>Fortsetz</w:t>
      </w:r>
      <w:r w:rsidRPr="004F5FB4">
        <w:rPr>
          <w:color w:val="000000"/>
        </w:rPr>
        <w:t>ungs</w:t>
      </w:r>
      <w:r w:rsidR="008139D1" w:rsidRPr="004F5FB4">
        <w:rPr>
          <w:color w:val="000000"/>
        </w:rPr>
        <w:t>phase</w:t>
      </w:r>
      <w:r w:rsidRPr="004F5FB4">
        <w:rPr>
          <w:color w:val="000000"/>
        </w:rPr>
        <w:t xml:space="preserve"> abschlossen, konnten die Verbesserungen hinsichtlich der körperlichen Funktionsfähigkeit über den 10-jährigen Behandlungszeitraum aufrechterhalten werden.</w:t>
      </w:r>
    </w:p>
    <w:p w14:paraId="12D9D29F" w14:textId="77777777" w:rsidR="00C46587" w:rsidRPr="004F5FB4" w:rsidRDefault="00C46587" w:rsidP="00982118">
      <w:pPr>
        <w:rPr>
          <w:color w:val="000000"/>
        </w:rPr>
      </w:pPr>
    </w:p>
    <w:p w14:paraId="4971D43C" w14:textId="77777777" w:rsidR="00C46587" w:rsidRPr="004F5FB4" w:rsidRDefault="00C46587" w:rsidP="00687087">
      <w:pPr>
        <w:keepNext/>
        <w:rPr>
          <w:i/>
          <w:color w:val="000000"/>
        </w:rPr>
      </w:pPr>
      <w:r w:rsidRPr="004F5FB4">
        <w:rPr>
          <w:i/>
          <w:color w:val="000000"/>
        </w:rPr>
        <w:t>Axiale Spondyloarthritis</w:t>
      </w:r>
    </w:p>
    <w:p w14:paraId="2EE7DDA9" w14:textId="77777777" w:rsidR="00C46587" w:rsidRPr="004F5FB4" w:rsidRDefault="00C46587" w:rsidP="00687087">
      <w:pPr>
        <w:keepNext/>
        <w:rPr>
          <w:color w:val="000000"/>
        </w:rPr>
      </w:pPr>
    </w:p>
    <w:p w14:paraId="102F6A66" w14:textId="77777777" w:rsidR="00C46587" w:rsidRPr="004F5FB4" w:rsidRDefault="00C46587" w:rsidP="00687087">
      <w:pPr>
        <w:keepNext/>
        <w:rPr>
          <w:i/>
          <w:color w:val="000000"/>
          <w:u w:val="single"/>
        </w:rPr>
      </w:pPr>
      <w:r w:rsidRPr="004F5FB4">
        <w:rPr>
          <w:i/>
          <w:color w:val="000000"/>
          <w:u w:val="single"/>
        </w:rPr>
        <w:t>Ankylosierende Spondylitis (AS)</w:t>
      </w:r>
    </w:p>
    <w:p w14:paraId="061181E8" w14:textId="77777777" w:rsidR="00C46587" w:rsidRPr="004F5FB4" w:rsidRDefault="00C46587" w:rsidP="00687087">
      <w:pPr>
        <w:keepNext/>
        <w:rPr>
          <w:color w:val="000000"/>
        </w:rPr>
      </w:pPr>
    </w:p>
    <w:p w14:paraId="68B15342" w14:textId="77777777" w:rsidR="00C46587" w:rsidRPr="004F5FB4" w:rsidRDefault="005A4709" w:rsidP="00982118">
      <w:pPr>
        <w:rPr>
          <w:color w:val="000000"/>
        </w:rPr>
      </w:pPr>
      <w:r w:rsidRPr="004F5FB4">
        <w:rPr>
          <w:color w:val="000000"/>
        </w:rPr>
        <w:t>Adalimumab wurde in zwei randomisierten, doppelblinden placebokontrollierten Studien in einer Dosierung von 40 mg jede zweite Woche bei 393</w:t>
      </w:r>
      <w:r w:rsidR="00127A80" w:rsidRPr="004F5FB4">
        <w:rPr>
          <w:color w:val="000000"/>
        </w:rPr>
        <w:t> </w:t>
      </w:r>
      <w:r w:rsidRPr="004F5FB4">
        <w:rPr>
          <w:color w:val="000000"/>
        </w:rPr>
        <w:t>Patienten mit aktiver ankylosierender Spondylitis, die unzureichend auf eine konventionelle Therapie angesprochen hatten, über einen Zeitraum von 24</w:t>
      </w:r>
      <w:r w:rsidR="00497E38" w:rsidRPr="004F5FB4">
        <w:rPr>
          <w:color w:val="000000"/>
        </w:rPr>
        <w:t> </w:t>
      </w:r>
      <w:r w:rsidRPr="004F5FB4">
        <w:rPr>
          <w:color w:val="000000"/>
        </w:rPr>
        <w:t>Wochen untersucht (mittlerer Ausgangswert der Krankheitsaktivität [</w:t>
      </w:r>
      <w:r w:rsidRPr="004F5FB4">
        <w:rPr>
          <w:i/>
          <w:color w:val="000000"/>
        </w:rPr>
        <w:t>Bath Ankylosing Spondylitis Disease Activity Index</w:t>
      </w:r>
      <w:r w:rsidRPr="004F5FB4">
        <w:rPr>
          <w:color w:val="000000"/>
        </w:rPr>
        <w:t xml:space="preserve"> (BASDAI)] war in allen Gruppen 6,3). Als Begleittherapie erhielten 79 (20,1</w:t>
      </w:r>
      <w:r w:rsidR="00497E38" w:rsidRPr="004F5FB4">
        <w:rPr>
          <w:color w:val="000000"/>
        </w:rPr>
        <w:t> </w:t>
      </w:r>
      <w:r w:rsidRPr="004F5FB4">
        <w:rPr>
          <w:color w:val="000000"/>
        </w:rPr>
        <w:t xml:space="preserve">%) Patienten krankheitsmodifizierende Antirheumatika und 37 (9,4 %) Patienten Glukokortikoide. Der verblindeten Periode folgte eine offene </w:t>
      </w:r>
      <w:r w:rsidR="00841557" w:rsidRPr="004F5FB4">
        <w:rPr>
          <w:color w:val="000000"/>
        </w:rPr>
        <w:t>Fortsetzungsp</w:t>
      </w:r>
      <w:r w:rsidRPr="004F5FB4">
        <w:rPr>
          <w:color w:val="000000"/>
        </w:rPr>
        <w:t>hase, während der die Patienten über bis zu 28 zusätzliche Wochen jede zweite Woche 40 mg Adalimumab subkutan erhielten. Patienten (n</w:t>
      </w:r>
      <w:r w:rsidR="004616AA" w:rsidRPr="004F5FB4">
        <w:rPr>
          <w:color w:val="000000"/>
        </w:rPr>
        <w:t> </w:t>
      </w:r>
      <w:r w:rsidRPr="004F5FB4">
        <w:rPr>
          <w:color w:val="000000"/>
        </w:rPr>
        <w:t>=</w:t>
      </w:r>
      <w:r w:rsidR="004616AA" w:rsidRPr="004F5FB4">
        <w:rPr>
          <w:color w:val="000000"/>
        </w:rPr>
        <w:t> </w:t>
      </w:r>
      <w:r w:rsidRPr="004F5FB4">
        <w:rPr>
          <w:color w:val="000000"/>
        </w:rPr>
        <w:t>215; 54,7</w:t>
      </w:r>
      <w:r w:rsidR="00127A80" w:rsidRPr="004F5FB4">
        <w:rPr>
          <w:color w:val="000000"/>
        </w:rPr>
        <w:t> </w:t>
      </w:r>
      <w:r w:rsidRPr="004F5FB4">
        <w:rPr>
          <w:color w:val="000000"/>
        </w:rPr>
        <w:t>%), die kein ASAS-20-Ansprechen in Woche</w:t>
      </w:r>
      <w:r w:rsidR="00127A80" w:rsidRPr="004F5FB4">
        <w:rPr>
          <w:color w:val="000000"/>
        </w:rPr>
        <w:t> </w:t>
      </w:r>
      <w:r w:rsidRPr="004F5FB4">
        <w:rPr>
          <w:color w:val="000000"/>
        </w:rPr>
        <w:t>12 oder 16 oder 20 erreichten, wurden in einen Early</w:t>
      </w:r>
      <w:r w:rsidRPr="004F5FB4">
        <w:rPr>
          <w:color w:val="000000"/>
        </w:rPr>
        <w:noBreakHyphen/>
        <w:t>Escape-Arm überführt, in dem sie offen 40 mg Adalimumab jede zweite Woche subkutan erhielten. Diese Patienten wurden nachfolgend in den doppelblinden statistischen Analysen als Non</w:t>
      </w:r>
      <w:r w:rsidRPr="004F5FB4">
        <w:rPr>
          <w:color w:val="000000"/>
        </w:rPr>
        <w:noBreakHyphen/>
        <w:t>Responder behandelt.</w:t>
      </w:r>
    </w:p>
    <w:p w14:paraId="75D3EABB" w14:textId="77777777" w:rsidR="00C46587" w:rsidRPr="004F5FB4" w:rsidRDefault="00C46587" w:rsidP="00982118">
      <w:pPr>
        <w:rPr>
          <w:color w:val="000000"/>
        </w:rPr>
      </w:pPr>
    </w:p>
    <w:p w14:paraId="5DE10D61" w14:textId="77777777" w:rsidR="00C46587" w:rsidRPr="004F5FB4" w:rsidRDefault="00C46587" w:rsidP="00982118">
      <w:pPr>
        <w:rPr>
          <w:color w:val="000000"/>
        </w:rPr>
      </w:pPr>
      <w:r w:rsidRPr="004F5FB4">
        <w:rPr>
          <w:color w:val="000000"/>
        </w:rPr>
        <w:t>In der größeren AS-Studie</w:t>
      </w:r>
      <w:r w:rsidR="00127A80" w:rsidRPr="004F5FB4">
        <w:rPr>
          <w:color w:val="000000"/>
        </w:rPr>
        <w:t> </w:t>
      </w:r>
      <w:r w:rsidRPr="004F5FB4">
        <w:rPr>
          <w:color w:val="000000"/>
        </w:rPr>
        <w:t>I mit 315</w:t>
      </w:r>
      <w:r w:rsidR="00127A80" w:rsidRPr="004F5FB4">
        <w:rPr>
          <w:color w:val="000000"/>
        </w:rPr>
        <w:t> </w:t>
      </w:r>
      <w:r w:rsidRPr="004F5FB4">
        <w:rPr>
          <w:color w:val="000000"/>
        </w:rPr>
        <w:t>Patienten zeigten die Ergebnisse eine statistisch signifikante Verbesserung der klinischen Anzeichen und Symptome der ankylosierenden Spondylitis bei mit Adalimumab behandelten Patienten im Vergleich zu Placebo. Ein signifikantes Ansprechen wurde zuerst in Woche</w:t>
      </w:r>
      <w:r w:rsidR="00127A80" w:rsidRPr="004F5FB4">
        <w:rPr>
          <w:color w:val="000000"/>
        </w:rPr>
        <w:t> </w:t>
      </w:r>
      <w:r w:rsidRPr="004F5FB4">
        <w:rPr>
          <w:color w:val="000000"/>
        </w:rPr>
        <w:t>2 beobachtet und über 24</w:t>
      </w:r>
      <w:r w:rsidR="00127A80" w:rsidRPr="004F5FB4">
        <w:rPr>
          <w:color w:val="000000"/>
        </w:rPr>
        <w:t> </w:t>
      </w:r>
      <w:r w:rsidRPr="004F5FB4">
        <w:rPr>
          <w:color w:val="000000"/>
        </w:rPr>
        <w:t>Wochen aufrechterhalten (Tabelle</w:t>
      </w:r>
      <w:r w:rsidR="00127A80" w:rsidRPr="004F5FB4">
        <w:rPr>
          <w:color w:val="000000"/>
        </w:rPr>
        <w:t> </w:t>
      </w:r>
      <w:r w:rsidR="00B852E6">
        <w:rPr>
          <w:color w:val="000000"/>
        </w:rPr>
        <w:t>12</w:t>
      </w:r>
      <w:r w:rsidRPr="004F5FB4">
        <w:rPr>
          <w:color w:val="000000"/>
        </w:rPr>
        <w:t xml:space="preserve">). </w:t>
      </w:r>
    </w:p>
    <w:p w14:paraId="1DCB2F69" w14:textId="77777777" w:rsidR="00C46587" w:rsidRPr="004F5FB4" w:rsidRDefault="00C46587" w:rsidP="00922261">
      <w:pPr>
        <w:rPr>
          <w:color w:val="000000"/>
        </w:rPr>
      </w:pPr>
    </w:p>
    <w:p w14:paraId="16E69B93" w14:textId="77777777" w:rsidR="00FA0342" w:rsidRPr="004F5FB4" w:rsidRDefault="00C46587" w:rsidP="00687087">
      <w:pPr>
        <w:keepNext/>
        <w:rPr>
          <w:b/>
          <w:color w:val="000000"/>
        </w:rPr>
      </w:pPr>
      <w:r w:rsidRPr="004F5FB4">
        <w:rPr>
          <w:b/>
          <w:color w:val="000000"/>
        </w:rPr>
        <w:t>Tabelle</w:t>
      </w:r>
      <w:r w:rsidR="00127A80" w:rsidRPr="004F5FB4">
        <w:rPr>
          <w:b/>
          <w:color w:val="000000"/>
        </w:rPr>
        <w:t> </w:t>
      </w:r>
      <w:r w:rsidR="00B852E6">
        <w:rPr>
          <w:b/>
          <w:color w:val="000000"/>
        </w:rPr>
        <w:t>12</w:t>
      </w:r>
    </w:p>
    <w:p w14:paraId="27EB145F" w14:textId="77777777" w:rsidR="00C46587" w:rsidRPr="004F5FB4" w:rsidRDefault="00C46587" w:rsidP="00687087">
      <w:pPr>
        <w:keepNext/>
        <w:rPr>
          <w:b/>
          <w:color w:val="000000"/>
        </w:rPr>
      </w:pPr>
      <w:r w:rsidRPr="004F5FB4">
        <w:rPr>
          <w:b/>
          <w:color w:val="000000"/>
        </w:rPr>
        <w:t>Ansprechen bezüglich Wirksamkeit in der placebokontrollierten AS-Studie – Studie</w:t>
      </w:r>
      <w:r w:rsidR="00127A80" w:rsidRPr="004F5FB4">
        <w:rPr>
          <w:b/>
          <w:color w:val="000000"/>
        </w:rPr>
        <w:t> </w:t>
      </w:r>
      <w:r w:rsidRPr="004F5FB4">
        <w:rPr>
          <w:b/>
          <w:color w:val="000000"/>
        </w:rPr>
        <w:t>I</w:t>
      </w:r>
      <w:r w:rsidR="00DF1E6B" w:rsidRPr="004F5FB4">
        <w:rPr>
          <w:b/>
          <w:color w:val="000000"/>
        </w:rPr>
        <w:t xml:space="preserve"> – </w:t>
      </w:r>
      <w:r w:rsidRPr="004F5FB4">
        <w:rPr>
          <w:b/>
          <w:color w:val="000000"/>
        </w:rPr>
        <w:t>Verringerung der klinischen Anzeichen und Symptome</w:t>
      </w:r>
    </w:p>
    <w:p w14:paraId="00793C4F" w14:textId="77777777" w:rsidR="00C46587" w:rsidRPr="004F5FB4" w:rsidRDefault="00C46587" w:rsidP="00A13AE4">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03"/>
        <w:gridCol w:w="3026"/>
      </w:tblGrid>
      <w:tr w:rsidR="00C46587" w:rsidRPr="004F5FB4" w14:paraId="26F2EC1F" w14:textId="77777777" w:rsidTr="00D67346">
        <w:trPr>
          <w:tblHeader/>
        </w:trPr>
        <w:tc>
          <w:tcPr>
            <w:tcW w:w="3101" w:type="dxa"/>
            <w:tcBorders>
              <w:top w:val="single" w:sz="4" w:space="0" w:color="auto"/>
              <w:left w:val="single" w:sz="4" w:space="0" w:color="auto"/>
              <w:bottom w:val="single" w:sz="4" w:space="0" w:color="auto"/>
              <w:right w:val="single" w:sz="4" w:space="0" w:color="auto"/>
            </w:tcBorders>
            <w:hideMark/>
          </w:tcPr>
          <w:p w14:paraId="460B543A" w14:textId="77777777" w:rsidR="00C46587" w:rsidRPr="004F5FB4" w:rsidRDefault="00C46587" w:rsidP="00A13AE4">
            <w:pPr>
              <w:keepNext/>
              <w:rPr>
                <w:b/>
                <w:color w:val="000000"/>
              </w:rPr>
            </w:pPr>
            <w:r w:rsidRPr="004F5FB4">
              <w:rPr>
                <w:b/>
                <w:color w:val="000000"/>
              </w:rPr>
              <w:t>Ansprechen</w:t>
            </w:r>
          </w:p>
        </w:tc>
        <w:tc>
          <w:tcPr>
            <w:tcW w:w="3101" w:type="dxa"/>
            <w:tcBorders>
              <w:top w:val="single" w:sz="4" w:space="0" w:color="auto"/>
              <w:left w:val="single" w:sz="4" w:space="0" w:color="auto"/>
              <w:bottom w:val="single" w:sz="4" w:space="0" w:color="auto"/>
              <w:right w:val="single" w:sz="4" w:space="0" w:color="auto"/>
            </w:tcBorders>
            <w:hideMark/>
          </w:tcPr>
          <w:p w14:paraId="3BAB1162" w14:textId="77777777" w:rsidR="00C46587" w:rsidRPr="004F5FB4" w:rsidRDefault="00C46587" w:rsidP="00A13AE4">
            <w:pPr>
              <w:keepNext/>
              <w:jc w:val="center"/>
              <w:rPr>
                <w:b/>
                <w:color w:val="000000"/>
              </w:rPr>
            </w:pPr>
            <w:r w:rsidRPr="004F5FB4">
              <w:rPr>
                <w:b/>
                <w:color w:val="000000"/>
              </w:rPr>
              <w:t>Placebo</w:t>
            </w:r>
          </w:p>
          <w:p w14:paraId="2CC6B984" w14:textId="77777777" w:rsidR="00C46587" w:rsidRPr="004F5FB4" w:rsidRDefault="00C46587" w:rsidP="00DF1E6B">
            <w:pPr>
              <w:keepNext/>
              <w:jc w:val="center"/>
              <w:rPr>
                <w:b/>
                <w:color w:val="000000"/>
              </w:rPr>
            </w:pPr>
            <w:r w:rsidRPr="004F5FB4">
              <w:rPr>
                <w:b/>
                <w:color w:val="000000"/>
              </w:rPr>
              <w:t>n</w:t>
            </w:r>
            <w:r w:rsidR="00DF1E6B" w:rsidRPr="004F5FB4">
              <w:rPr>
                <w:b/>
                <w:color w:val="000000"/>
              </w:rPr>
              <w:t> </w:t>
            </w:r>
            <w:r w:rsidRPr="004F5FB4">
              <w:rPr>
                <w:b/>
                <w:color w:val="000000"/>
              </w:rPr>
              <w:t>=</w:t>
            </w:r>
            <w:r w:rsidR="00DF1E6B" w:rsidRPr="004F5FB4">
              <w:rPr>
                <w:b/>
                <w:color w:val="000000"/>
              </w:rPr>
              <w:t> </w:t>
            </w:r>
            <w:r w:rsidRPr="004F5FB4">
              <w:rPr>
                <w:b/>
                <w:color w:val="000000"/>
              </w:rPr>
              <w:t>107</w:t>
            </w:r>
          </w:p>
        </w:tc>
        <w:tc>
          <w:tcPr>
            <w:tcW w:w="3101" w:type="dxa"/>
            <w:tcBorders>
              <w:top w:val="single" w:sz="4" w:space="0" w:color="auto"/>
              <w:left w:val="single" w:sz="4" w:space="0" w:color="auto"/>
              <w:bottom w:val="single" w:sz="4" w:space="0" w:color="auto"/>
              <w:right w:val="single" w:sz="4" w:space="0" w:color="auto"/>
            </w:tcBorders>
            <w:hideMark/>
          </w:tcPr>
          <w:p w14:paraId="5EC7B96B" w14:textId="77777777" w:rsidR="00C46587" w:rsidRPr="004F5FB4" w:rsidRDefault="005A4709" w:rsidP="00A13AE4">
            <w:pPr>
              <w:keepNext/>
              <w:jc w:val="center"/>
              <w:rPr>
                <w:b/>
                <w:color w:val="000000"/>
              </w:rPr>
            </w:pPr>
            <w:r w:rsidRPr="004F5FB4">
              <w:rPr>
                <w:b/>
                <w:color w:val="000000"/>
              </w:rPr>
              <w:t>Adalimumab</w:t>
            </w:r>
          </w:p>
          <w:p w14:paraId="2F212E1D" w14:textId="77777777" w:rsidR="00C46587" w:rsidRPr="004F5FB4" w:rsidRDefault="00C46587" w:rsidP="00DF1E6B">
            <w:pPr>
              <w:keepNext/>
              <w:jc w:val="center"/>
              <w:rPr>
                <w:b/>
                <w:color w:val="000000"/>
              </w:rPr>
            </w:pPr>
            <w:r w:rsidRPr="004F5FB4">
              <w:rPr>
                <w:b/>
                <w:color w:val="000000"/>
              </w:rPr>
              <w:t>n</w:t>
            </w:r>
            <w:r w:rsidR="00DF1E6B" w:rsidRPr="004F5FB4">
              <w:rPr>
                <w:b/>
                <w:color w:val="000000"/>
              </w:rPr>
              <w:t> </w:t>
            </w:r>
            <w:r w:rsidRPr="004F5FB4">
              <w:rPr>
                <w:b/>
                <w:color w:val="000000"/>
              </w:rPr>
              <w:t>=</w:t>
            </w:r>
            <w:r w:rsidR="00DF1E6B" w:rsidRPr="004F5FB4">
              <w:rPr>
                <w:b/>
                <w:color w:val="000000"/>
              </w:rPr>
              <w:t> </w:t>
            </w:r>
            <w:r w:rsidRPr="004F5FB4">
              <w:rPr>
                <w:b/>
                <w:color w:val="000000"/>
              </w:rPr>
              <w:t>208</w:t>
            </w:r>
          </w:p>
        </w:tc>
      </w:tr>
      <w:tr w:rsidR="00C46587" w:rsidRPr="004F5FB4" w14:paraId="2F8CB586"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50593614" w14:textId="77777777" w:rsidR="00C46587" w:rsidRPr="004F5FB4" w:rsidRDefault="00C46587" w:rsidP="00A13AE4">
            <w:pPr>
              <w:keepNext/>
              <w:rPr>
                <w:color w:val="000000"/>
              </w:rPr>
            </w:pPr>
            <w:r w:rsidRPr="004F5FB4">
              <w:rPr>
                <w:color w:val="000000"/>
              </w:rPr>
              <w:t>ASAS</w:t>
            </w:r>
            <w:r w:rsidRPr="004F5FB4">
              <w:rPr>
                <w:color w:val="000000"/>
                <w:vertAlign w:val="superscript"/>
              </w:rPr>
              <w:t>a</w:t>
            </w:r>
            <w:r w:rsidR="00841557" w:rsidRPr="004F5FB4">
              <w:rPr>
                <w:color w:val="000000"/>
              </w:rPr>
              <w:t>-</w:t>
            </w:r>
            <w:r w:rsidRPr="004F5FB4">
              <w:rPr>
                <w:color w:val="000000"/>
              </w:rPr>
              <w:t>20</w:t>
            </w:r>
          </w:p>
        </w:tc>
        <w:tc>
          <w:tcPr>
            <w:tcW w:w="3101" w:type="dxa"/>
            <w:tcBorders>
              <w:top w:val="single" w:sz="4" w:space="0" w:color="auto"/>
              <w:left w:val="single" w:sz="4" w:space="0" w:color="auto"/>
              <w:bottom w:val="single" w:sz="4" w:space="0" w:color="auto"/>
              <w:right w:val="single" w:sz="4" w:space="0" w:color="auto"/>
            </w:tcBorders>
          </w:tcPr>
          <w:p w14:paraId="097C8EC9" w14:textId="77777777" w:rsidR="00C46587" w:rsidRPr="004F5FB4" w:rsidRDefault="00C46587" w:rsidP="00A13AE4">
            <w:pPr>
              <w:keepNext/>
              <w:jc w:val="center"/>
              <w:rPr>
                <w:color w:val="000000"/>
                <w:lang w:val="en-GB"/>
              </w:rPr>
            </w:pPr>
          </w:p>
        </w:tc>
        <w:tc>
          <w:tcPr>
            <w:tcW w:w="3101" w:type="dxa"/>
            <w:tcBorders>
              <w:top w:val="single" w:sz="4" w:space="0" w:color="auto"/>
              <w:left w:val="single" w:sz="4" w:space="0" w:color="auto"/>
              <w:bottom w:val="single" w:sz="4" w:space="0" w:color="auto"/>
              <w:right w:val="single" w:sz="4" w:space="0" w:color="auto"/>
            </w:tcBorders>
          </w:tcPr>
          <w:p w14:paraId="0A7E6F9E" w14:textId="77777777" w:rsidR="00C46587" w:rsidRPr="004F5FB4" w:rsidRDefault="00C46587" w:rsidP="00A13AE4">
            <w:pPr>
              <w:keepNext/>
              <w:jc w:val="center"/>
              <w:rPr>
                <w:color w:val="000000"/>
                <w:lang w:val="en-GB"/>
              </w:rPr>
            </w:pPr>
          </w:p>
        </w:tc>
      </w:tr>
      <w:tr w:rsidR="00C46587" w:rsidRPr="004F5FB4" w14:paraId="0C64CAB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41CA734" w14:textId="77777777" w:rsidR="00C46587" w:rsidRPr="004F5FB4" w:rsidRDefault="00C46587" w:rsidP="00A13AE4">
            <w:pPr>
              <w:keepNext/>
              <w:rPr>
                <w:color w:val="000000"/>
              </w:rPr>
            </w:pPr>
            <w:r w:rsidRPr="004F5FB4">
              <w:rPr>
                <w:color w:val="000000"/>
              </w:rPr>
              <w:tab/>
              <w:t>Woche</w:t>
            </w:r>
            <w:r w:rsidR="004616AA" w:rsidRPr="004F5FB4">
              <w:rPr>
                <w:color w:val="000000"/>
              </w:rPr>
              <w:t> </w:t>
            </w:r>
            <w:r w:rsidRPr="004F5FB4">
              <w:rPr>
                <w:color w:val="000000"/>
              </w:rPr>
              <w:t>2</w:t>
            </w:r>
          </w:p>
        </w:tc>
        <w:tc>
          <w:tcPr>
            <w:tcW w:w="3101" w:type="dxa"/>
            <w:tcBorders>
              <w:top w:val="single" w:sz="4" w:space="0" w:color="auto"/>
              <w:left w:val="single" w:sz="4" w:space="0" w:color="auto"/>
              <w:bottom w:val="single" w:sz="4" w:space="0" w:color="auto"/>
              <w:right w:val="single" w:sz="4" w:space="0" w:color="auto"/>
            </w:tcBorders>
            <w:hideMark/>
          </w:tcPr>
          <w:p w14:paraId="1A474159" w14:textId="77777777" w:rsidR="00C46587" w:rsidRPr="004F5FB4" w:rsidRDefault="00C46587" w:rsidP="00A13AE4">
            <w:pPr>
              <w:keepNext/>
              <w:jc w:val="center"/>
              <w:rPr>
                <w:color w:val="000000"/>
              </w:rPr>
            </w:pPr>
            <w:r w:rsidRPr="004F5FB4">
              <w:rPr>
                <w:color w:val="000000"/>
              </w:rPr>
              <w:t>16 %</w:t>
            </w:r>
          </w:p>
        </w:tc>
        <w:tc>
          <w:tcPr>
            <w:tcW w:w="3101" w:type="dxa"/>
            <w:tcBorders>
              <w:top w:val="single" w:sz="4" w:space="0" w:color="auto"/>
              <w:left w:val="single" w:sz="4" w:space="0" w:color="auto"/>
              <w:bottom w:val="single" w:sz="4" w:space="0" w:color="auto"/>
              <w:right w:val="single" w:sz="4" w:space="0" w:color="auto"/>
            </w:tcBorders>
            <w:hideMark/>
          </w:tcPr>
          <w:p w14:paraId="3AA2A370" w14:textId="77777777" w:rsidR="00C46587" w:rsidRPr="004F5FB4" w:rsidRDefault="00C46587" w:rsidP="00A13AE4">
            <w:pPr>
              <w:keepNext/>
              <w:jc w:val="center"/>
              <w:rPr>
                <w:color w:val="000000"/>
              </w:rPr>
            </w:pPr>
            <w:r w:rsidRPr="004F5FB4">
              <w:rPr>
                <w:color w:val="000000"/>
              </w:rPr>
              <w:t>42</w:t>
            </w:r>
            <w:r w:rsidR="00127A80" w:rsidRPr="004F5FB4">
              <w:rPr>
                <w:color w:val="000000"/>
              </w:rPr>
              <w:t> </w:t>
            </w:r>
            <w:r w:rsidRPr="004F5FB4">
              <w:rPr>
                <w:color w:val="000000"/>
              </w:rPr>
              <w:t>%***</w:t>
            </w:r>
          </w:p>
        </w:tc>
      </w:tr>
      <w:tr w:rsidR="00C46587" w:rsidRPr="004F5FB4" w14:paraId="4E28A3DA"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1C0BB53" w14:textId="77777777" w:rsidR="00C46587" w:rsidRPr="004F5FB4" w:rsidRDefault="00C46587" w:rsidP="00A13AE4">
            <w:pPr>
              <w:keepNext/>
              <w:rPr>
                <w:color w:val="000000"/>
              </w:rPr>
            </w:pPr>
            <w:r w:rsidRPr="004F5FB4">
              <w:rPr>
                <w:color w:val="000000"/>
              </w:rPr>
              <w:tab/>
              <w:t>Woche</w:t>
            </w:r>
            <w:r w:rsidR="004616AA" w:rsidRPr="004F5FB4">
              <w:rPr>
                <w:color w:val="000000"/>
              </w:rPr>
              <w:t> </w:t>
            </w:r>
            <w:r w:rsidRPr="004F5FB4">
              <w:rPr>
                <w:color w:val="000000"/>
              </w:rPr>
              <w:t>12</w:t>
            </w:r>
          </w:p>
        </w:tc>
        <w:tc>
          <w:tcPr>
            <w:tcW w:w="3101" w:type="dxa"/>
            <w:tcBorders>
              <w:top w:val="single" w:sz="4" w:space="0" w:color="auto"/>
              <w:left w:val="single" w:sz="4" w:space="0" w:color="auto"/>
              <w:bottom w:val="single" w:sz="4" w:space="0" w:color="auto"/>
              <w:right w:val="single" w:sz="4" w:space="0" w:color="auto"/>
            </w:tcBorders>
            <w:hideMark/>
          </w:tcPr>
          <w:p w14:paraId="29DF1C85" w14:textId="77777777" w:rsidR="00C46587" w:rsidRPr="004F5FB4" w:rsidRDefault="00C46587" w:rsidP="00A13AE4">
            <w:pPr>
              <w:keepNext/>
              <w:jc w:val="center"/>
              <w:rPr>
                <w:color w:val="000000"/>
              </w:rPr>
            </w:pPr>
            <w:r w:rsidRPr="004F5FB4">
              <w:rPr>
                <w:color w:val="000000"/>
              </w:rPr>
              <w:t>21 %</w:t>
            </w:r>
          </w:p>
        </w:tc>
        <w:tc>
          <w:tcPr>
            <w:tcW w:w="3101" w:type="dxa"/>
            <w:tcBorders>
              <w:top w:val="single" w:sz="4" w:space="0" w:color="auto"/>
              <w:left w:val="single" w:sz="4" w:space="0" w:color="auto"/>
              <w:bottom w:val="single" w:sz="4" w:space="0" w:color="auto"/>
              <w:right w:val="single" w:sz="4" w:space="0" w:color="auto"/>
            </w:tcBorders>
            <w:hideMark/>
          </w:tcPr>
          <w:p w14:paraId="6F55EB16" w14:textId="77777777" w:rsidR="00C46587" w:rsidRPr="004F5FB4" w:rsidRDefault="00C46587" w:rsidP="00A13AE4">
            <w:pPr>
              <w:keepNext/>
              <w:jc w:val="center"/>
              <w:rPr>
                <w:color w:val="000000"/>
              </w:rPr>
            </w:pPr>
            <w:r w:rsidRPr="004F5FB4">
              <w:rPr>
                <w:color w:val="000000"/>
              </w:rPr>
              <w:t>58 %***</w:t>
            </w:r>
          </w:p>
        </w:tc>
      </w:tr>
      <w:tr w:rsidR="00C46587" w:rsidRPr="004F5FB4" w14:paraId="75630E8E"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822BB97" w14:textId="77777777" w:rsidR="00C46587" w:rsidRPr="004F5FB4" w:rsidRDefault="00C46587" w:rsidP="00A13AE4">
            <w:pPr>
              <w:keepNext/>
              <w:rPr>
                <w:color w:val="000000"/>
              </w:rPr>
            </w:pPr>
            <w:r w:rsidRPr="004F5FB4">
              <w:rPr>
                <w:color w:val="000000"/>
              </w:rPr>
              <w:tab/>
              <w:t>Woche</w:t>
            </w:r>
            <w:r w:rsidR="004616AA" w:rsidRPr="004F5FB4">
              <w:rPr>
                <w:color w:val="000000"/>
              </w:rPr>
              <w:t> </w:t>
            </w:r>
            <w:r w:rsidRPr="004F5FB4">
              <w:rPr>
                <w:color w:val="000000"/>
              </w:rPr>
              <w:t>24</w:t>
            </w:r>
          </w:p>
        </w:tc>
        <w:tc>
          <w:tcPr>
            <w:tcW w:w="3101" w:type="dxa"/>
            <w:tcBorders>
              <w:top w:val="single" w:sz="4" w:space="0" w:color="auto"/>
              <w:left w:val="single" w:sz="4" w:space="0" w:color="auto"/>
              <w:bottom w:val="single" w:sz="4" w:space="0" w:color="auto"/>
              <w:right w:val="single" w:sz="4" w:space="0" w:color="auto"/>
            </w:tcBorders>
            <w:hideMark/>
          </w:tcPr>
          <w:p w14:paraId="378337B8" w14:textId="77777777" w:rsidR="00C46587" w:rsidRPr="004F5FB4" w:rsidRDefault="00C46587" w:rsidP="00A13AE4">
            <w:pPr>
              <w:keepNext/>
              <w:jc w:val="center"/>
              <w:rPr>
                <w:color w:val="000000"/>
              </w:rPr>
            </w:pPr>
            <w:r w:rsidRPr="004F5FB4">
              <w:rPr>
                <w:color w:val="000000"/>
              </w:rPr>
              <w:t>19 %</w:t>
            </w:r>
          </w:p>
        </w:tc>
        <w:tc>
          <w:tcPr>
            <w:tcW w:w="3101" w:type="dxa"/>
            <w:tcBorders>
              <w:top w:val="single" w:sz="4" w:space="0" w:color="auto"/>
              <w:left w:val="single" w:sz="4" w:space="0" w:color="auto"/>
              <w:bottom w:val="single" w:sz="4" w:space="0" w:color="auto"/>
              <w:right w:val="single" w:sz="4" w:space="0" w:color="auto"/>
            </w:tcBorders>
            <w:hideMark/>
          </w:tcPr>
          <w:p w14:paraId="3FFD5999" w14:textId="77777777" w:rsidR="00C46587" w:rsidRPr="004F5FB4" w:rsidRDefault="00C46587" w:rsidP="00A13AE4">
            <w:pPr>
              <w:keepNext/>
              <w:jc w:val="center"/>
              <w:rPr>
                <w:color w:val="000000"/>
              </w:rPr>
            </w:pPr>
            <w:r w:rsidRPr="004F5FB4">
              <w:rPr>
                <w:color w:val="000000"/>
              </w:rPr>
              <w:t>51 %***</w:t>
            </w:r>
          </w:p>
        </w:tc>
      </w:tr>
      <w:tr w:rsidR="00C46587" w:rsidRPr="004F5FB4" w14:paraId="5E3B9D5E"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743264D4" w14:textId="77777777" w:rsidR="00C46587" w:rsidRPr="004F5FB4" w:rsidRDefault="00C46587" w:rsidP="00922261">
            <w:pPr>
              <w:rPr>
                <w:color w:val="000000"/>
              </w:rPr>
            </w:pPr>
            <w:r w:rsidRPr="004F5FB4">
              <w:rPr>
                <w:color w:val="000000"/>
              </w:rPr>
              <w:t>ASAS-50</w:t>
            </w:r>
          </w:p>
        </w:tc>
        <w:tc>
          <w:tcPr>
            <w:tcW w:w="3101" w:type="dxa"/>
            <w:tcBorders>
              <w:top w:val="single" w:sz="4" w:space="0" w:color="auto"/>
              <w:left w:val="single" w:sz="4" w:space="0" w:color="auto"/>
              <w:bottom w:val="single" w:sz="4" w:space="0" w:color="auto"/>
              <w:right w:val="single" w:sz="4" w:space="0" w:color="auto"/>
            </w:tcBorders>
          </w:tcPr>
          <w:p w14:paraId="4C5313F9" w14:textId="77777777" w:rsidR="00C46587" w:rsidRPr="004F5FB4" w:rsidRDefault="00C46587" w:rsidP="00922261">
            <w:pPr>
              <w:jc w:val="center"/>
              <w:rPr>
                <w:color w:val="000000"/>
                <w:lang w:val="en-GB"/>
              </w:rPr>
            </w:pPr>
          </w:p>
        </w:tc>
        <w:tc>
          <w:tcPr>
            <w:tcW w:w="3101" w:type="dxa"/>
            <w:tcBorders>
              <w:top w:val="single" w:sz="4" w:space="0" w:color="auto"/>
              <w:left w:val="single" w:sz="4" w:space="0" w:color="auto"/>
              <w:bottom w:val="single" w:sz="4" w:space="0" w:color="auto"/>
              <w:right w:val="single" w:sz="4" w:space="0" w:color="auto"/>
            </w:tcBorders>
          </w:tcPr>
          <w:p w14:paraId="2A321425" w14:textId="77777777" w:rsidR="00C46587" w:rsidRPr="004F5FB4" w:rsidRDefault="00C46587" w:rsidP="00922261">
            <w:pPr>
              <w:jc w:val="center"/>
              <w:rPr>
                <w:color w:val="000000"/>
                <w:lang w:val="en-GB"/>
              </w:rPr>
            </w:pPr>
          </w:p>
        </w:tc>
      </w:tr>
      <w:tr w:rsidR="00C46587" w:rsidRPr="004F5FB4" w14:paraId="7F3FB6CE"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010F564"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2</w:t>
            </w:r>
          </w:p>
        </w:tc>
        <w:tc>
          <w:tcPr>
            <w:tcW w:w="3101" w:type="dxa"/>
            <w:tcBorders>
              <w:top w:val="single" w:sz="4" w:space="0" w:color="auto"/>
              <w:left w:val="single" w:sz="4" w:space="0" w:color="auto"/>
              <w:bottom w:val="single" w:sz="4" w:space="0" w:color="auto"/>
              <w:right w:val="single" w:sz="4" w:space="0" w:color="auto"/>
            </w:tcBorders>
            <w:hideMark/>
          </w:tcPr>
          <w:p w14:paraId="15A2D9CB" w14:textId="77777777" w:rsidR="00C46587" w:rsidRPr="004F5FB4" w:rsidRDefault="00C46587" w:rsidP="00922261">
            <w:pPr>
              <w:jc w:val="center"/>
              <w:rPr>
                <w:color w:val="000000"/>
              </w:rPr>
            </w:pPr>
            <w:r w:rsidRPr="004F5FB4">
              <w:rPr>
                <w:color w:val="000000"/>
              </w:rPr>
              <w:t>3</w:t>
            </w:r>
            <w:r w:rsidR="00127A80" w:rsidRPr="004F5FB4">
              <w:rPr>
                <w:color w:val="000000"/>
              </w:rPr>
              <w:t> </w:t>
            </w:r>
            <w:r w:rsidRPr="004F5FB4">
              <w:rPr>
                <w:color w:val="000000"/>
              </w:rPr>
              <w:t>%</w:t>
            </w:r>
          </w:p>
        </w:tc>
        <w:tc>
          <w:tcPr>
            <w:tcW w:w="3101" w:type="dxa"/>
            <w:tcBorders>
              <w:top w:val="single" w:sz="4" w:space="0" w:color="auto"/>
              <w:left w:val="single" w:sz="4" w:space="0" w:color="auto"/>
              <w:bottom w:val="single" w:sz="4" w:space="0" w:color="auto"/>
              <w:right w:val="single" w:sz="4" w:space="0" w:color="auto"/>
            </w:tcBorders>
            <w:hideMark/>
          </w:tcPr>
          <w:p w14:paraId="2389F9C5" w14:textId="77777777" w:rsidR="00C46587" w:rsidRPr="004F5FB4" w:rsidRDefault="00C46587" w:rsidP="00922261">
            <w:pPr>
              <w:jc w:val="center"/>
              <w:rPr>
                <w:color w:val="000000"/>
              </w:rPr>
            </w:pPr>
            <w:r w:rsidRPr="004F5FB4">
              <w:rPr>
                <w:color w:val="000000"/>
              </w:rPr>
              <w:t>16 %***</w:t>
            </w:r>
          </w:p>
        </w:tc>
      </w:tr>
      <w:tr w:rsidR="00C46587" w:rsidRPr="004F5FB4" w14:paraId="6700AAB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A54FE89"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12</w:t>
            </w:r>
          </w:p>
        </w:tc>
        <w:tc>
          <w:tcPr>
            <w:tcW w:w="3101" w:type="dxa"/>
            <w:tcBorders>
              <w:top w:val="single" w:sz="4" w:space="0" w:color="auto"/>
              <w:left w:val="single" w:sz="4" w:space="0" w:color="auto"/>
              <w:bottom w:val="single" w:sz="4" w:space="0" w:color="auto"/>
              <w:right w:val="single" w:sz="4" w:space="0" w:color="auto"/>
            </w:tcBorders>
            <w:hideMark/>
          </w:tcPr>
          <w:p w14:paraId="39B5B7CB" w14:textId="77777777" w:rsidR="00C46587" w:rsidRPr="004F5FB4" w:rsidRDefault="00C46587" w:rsidP="00922261">
            <w:pPr>
              <w:jc w:val="center"/>
              <w:rPr>
                <w:color w:val="000000"/>
              </w:rPr>
            </w:pPr>
            <w:r w:rsidRPr="004F5FB4">
              <w:rPr>
                <w:color w:val="000000"/>
              </w:rPr>
              <w:t>10 %</w:t>
            </w:r>
          </w:p>
        </w:tc>
        <w:tc>
          <w:tcPr>
            <w:tcW w:w="3101" w:type="dxa"/>
            <w:tcBorders>
              <w:top w:val="single" w:sz="4" w:space="0" w:color="auto"/>
              <w:left w:val="single" w:sz="4" w:space="0" w:color="auto"/>
              <w:bottom w:val="single" w:sz="4" w:space="0" w:color="auto"/>
              <w:right w:val="single" w:sz="4" w:space="0" w:color="auto"/>
            </w:tcBorders>
            <w:hideMark/>
          </w:tcPr>
          <w:p w14:paraId="0B58C16A" w14:textId="77777777" w:rsidR="00C46587" w:rsidRPr="004F5FB4" w:rsidRDefault="00C46587" w:rsidP="00922261">
            <w:pPr>
              <w:jc w:val="center"/>
              <w:rPr>
                <w:color w:val="000000"/>
              </w:rPr>
            </w:pPr>
            <w:r w:rsidRPr="004F5FB4">
              <w:rPr>
                <w:color w:val="000000"/>
              </w:rPr>
              <w:t>38 %***</w:t>
            </w:r>
          </w:p>
        </w:tc>
      </w:tr>
      <w:tr w:rsidR="00C46587" w:rsidRPr="004F5FB4" w14:paraId="244D47D8"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FA30D72"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24</w:t>
            </w:r>
          </w:p>
        </w:tc>
        <w:tc>
          <w:tcPr>
            <w:tcW w:w="3101" w:type="dxa"/>
            <w:tcBorders>
              <w:top w:val="single" w:sz="4" w:space="0" w:color="auto"/>
              <w:left w:val="single" w:sz="4" w:space="0" w:color="auto"/>
              <w:bottom w:val="single" w:sz="4" w:space="0" w:color="auto"/>
              <w:right w:val="single" w:sz="4" w:space="0" w:color="auto"/>
            </w:tcBorders>
            <w:hideMark/>
          </w:tcPr>
          <w:p w14:paraId="4D47A0C3" w14:textId="77777777" w:rsidR="00C46587" w:rsidRPr="004F5FB4" w:rsidRDefault="00C46587" w:rsidP="00922261">
            <w:pPr>
              <w:jc w:val="center"/>
              <w:rPr>
                <w:color w:val="000000"/>
              </w:rPr>
            </w:pPr>
            <w:r w:rsidRPr="004F5FB4">
              <w:rPr>
                <w:color w:val="000000"/>
              </w:rPr>
              <w:t>11 %</w:t>
            </w:r>
          </w:p>
        </w:tc>
        <w:tc>
          <w:tcPr>
            <w:tcW w:w="3101" w:type="dxa"/>
            <w:tcBorders>
              <w:top w:val="single" w:sz="4" w:space="0" w:color="auto"/>
              <w:left w:val="single" w:sz="4" w:space="0" w:color="auto"/>
              <w:bottom w:val="single" w:sz="4" w:space="0" w:color="auto"/>
              <w:right w:val="single" w:sz="4" w:space="0" w:color="auto"/>
            </w:tcBorders>
            <w:hideMark/>
          </w:tcPr>
          <w:p w14:paraId="4FEF2438" w14:textId="77777777" w:rsidR="00C46587" w:rsidRPr="004F5FB4" w:rsidRDefault="00C46587" w:rsidP="00922261">
            <w:pPr>
              <w:jc w:val="center"/>
              <w:rPr>
                <w:color w:val="000000"/>
              </w:rPr>
            </w:pPr>
            <w:r w:rsidRPr="004F5FB4">
              <w:rPr>
                <w:color w:val="000000"/>
              </w:rPr>
              <w:t>35 %***</w:t>
            </w:r>
          </w:p>
        </w:tc>
      </w:tr>
      <w:tr w:rsidR="00C46587" w:rsidRPr="004F5FB4" w14:paraId="1231372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3C9F898" w14:textId="77777777" w:rsidR="00C46587" w:rsidRPr="004F5FB4" w:rsidRDefault="00C46587" w:rsidP="00922261">
            <w:pPr>
              <w:rPr>
                <w:color w:val="000000"/>
              </w:rPr>
            </w:pPr>
            <w:r w:rsidRPr="004F5FB4">
              <w:rPr>
                <w:color w:val="000000"/>
              </w:rPr>
              <w:t>ASAS-70</w:t>
            </w:r>
          </w:p>
        </w:tc>
        <w:tc>
          <w:tcPr>
            <w:tcW w:w="3101" w:type="dxa"/>
            <w:tcBorders>
              <w:top w:val="single" w:sz="4" w:space="0" w:color="auto"/>
              <w:left w:val="single" w:sz="4" w:space="0" w:color="auto"/>
              <w:bottom w:val="single" w:sz="4" w:space="0" w:color="auto"/>
              <w:right w:val="single" w:sz="4" w:space="0" w:color="auto"/>
            </w:tcBorders>
          </w:tcPr>
          <w:p w14:paraId="3652B1DE" w14:textId="77777777" w:rsidR="00C46587" w:rsidRPr="004F5FB4" w:rsidRDefault="00C46587" w:rsidP="00922261">
            <w:pPr>
              <w:jc w:val="center"/>
              <w:rPr>
                <w:color w:val="000000"/>
                <w:lang w:val="en-GB"/>
              </w:rPr>
            </w:pPr>
          </w:p>
        </w:tc>
        <w:tc>
          <w:tcPr>
            <w:tcW w:w="3101" w:type="dxa"/>
            <w:tcBorders>
              <w:top w:val="single" w:sz="4" w:space="0" w:color="auto"/>
              <w:left w:val="single" w:sz="4" w:space="0" w:color="auto"/>
              <w:bottom w:val="single" w:sz="4" w:space="0" w:color="auto"/>
              <w:right w:val="single" w:sz="4" w:space="0" w:color="auto"/>
            </w:tcBorders>
          </w:tcPr>
          <w:p w14:paraId="1D7E528A" w14:textId="77777777" w:rsidR="00C46587" w:rsidRPr="004F5FB4" w:rsidRDefault="00C46587" w:rsidP="00922261">
            <w:pPr>
              <w:jc w:val="center"/>
              <w:rPr>
                <w:color w:val="000000"/>
                <w:lang w:val="en-GB"/>
              </w:rPr>
            </w:pPr>
          </w:p>
        </w:tc>
      </w:tr>
      <w:tr w:rsidR="00C46587" w:rsidRPr="004F5FB4" w14:paraId="21463BE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51D7D6E"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2</w:t>
            </w:r>
          </w:p>
        </w:tc>
        <w:tc>
          <w:tcPr>
            <w:tcW w:w="3101" w:type="dxa"/>
            <w:tcBorders>
              <w:top w:val="single" w:sz="4" w:space="0" w:color="auto"/>
              <w:left w:val="single" w:sz="4" w:space="0" w:color="auto"/>
              <w:bottom w:val="single" w:sz="4" w:space="0" w:color="auto"/>
              <w:right w:val="single" w:sz="4" w:space="0" w:color="auto"/>
            </w:tcBorders>
            <w:hideMark/>
          </w:tcPr>
          <w:p w14:paraId="5761A985" w14:textId="77777777" w:rsidR="00C46587" w:rsidRPr="004F5FB4" w:rsidRDefault="00C46587" w:rsidP="00922261">
            <w:pPr>
              <w:jc w:val="center"/>
              <w:rPr>
                <w:color w:val="000000"/>
              </w:rPr>
            </w:pPr>
            <w:r w:rsidRPr="004F5FB4">
              <w:rPr>
                <w:color w:val="000000"/>
              </w:rPr>
              <w:t>0 %</w:t>
            </w:r>
          </w:p>
        </w:tc>
        <w:tc>
          <w:tcPr>
            <w:tcW w:w="3101" w:type="dxa"/>
            <w:tcBorders>
              <w:top w:val="single" w:sz="4" w:space="0" w:color="auto"/>
              <w:left w:val="single" w:sz="4" w:space="0" w:color="auto"/>
              <w:bottom w:val="single" w:sz="4" w:space="0" w:color="auto"/>
              <w:right w:val="single" w:sz="4" w:space="0" w:color="auto"/>
            </w:tcBorders>
            <w:hideMark/>
          </w:tcPr>
          <w:p w14:paraId="58B134DF" w14:textId="77777777" w:rsidR="00C46587" w:rsidRPr="004F5FB4" w:rsidRDefault="00C46587" w:rsidP="00922261">
            <w:pPr>
              <w:jc w:val="center"/>
              <w:rPr>
                <w:color w:val="000000"/>
              </w:rPr>
            </w:pPr>
            <w:r w:rsidRPr="004F5FB4">
              <w:rPr>
                <w:color w:val="000000"/>
              </w:rPr>
              <w:t>7 %**</w:t>
            </w:r>
          </w:p>
        </w:tc>
      </w:tr>
      <w:tr w:rsidR="00C46587" w:rsidRPr="004F5FB4" w14:paraId="10E10E6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E742405"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12</w:t>
            </w:r>
          </w:p>
        </w:tc>
        <w:tc>
          <w:tcPr>
            <w:tcW w:w="3101" w:type="dxa"/>
            <w:tcBorders>
              <w:top w:val="single" w:sz="4" w:space="0" w:color="auto"/>
              <w:left w:val="single" w:sz="4" w:space="0" w:color="auto"/>
              <w:bottom w:val="single" w:sz="4" w:space="0" w:color="auto"/>
              <w:right w:val="single" w:sz="4" w:space="0" w:color="auto"/>
            </w:tcBorders>
            <w:hideMark/>
          </w:tcPr>
          <w:p w14:paraId="6896A244" w14:textId="77777777" w:rsidR="00C46587" w:rsidRPr="004F5FB4" w:rsidRDefault="00C46587" w:rsidP="00922261">
            <w:pPr>
              <w:jc w:val="center"/>
              <w:rPr>
                <w:color w:val="000000"/>
              </w:rPr>
            </w:pPr>
            <w:r w:rsidRPr="004F5FB4">
              <w:rPr>
                <w:color w:val="000000"/>
              </w:rPr>
              <w:t>5 %</w:t>
            </w:r>
          </w:p>
        </w:tc>
        <w:tc>
          <w:tcPr>
            <w:tcW w:w="3101" w:type="dxa"/>
            <w:tcBorders>
              <w:top w:val="single" w:sz="4" w:space="0" w:color="auto"/>
              <w:left w:val="single" w:sz="4" w:space="0" w:color="auto"/>
              <w:bottom w:val="single" w:sz="4" w:space="0" w:color="auto"/>
              <w:right w:val="single" w:sz="4" w:space="0" w:color="auto"/>
            </w:tcBorders>
            <w:hideMark/>
          </w:tcPr>
          <w:p w14:paraId="75DBEB5C" w14:textId="77777777" w:rsidR="00C46587" w:rsidRPr="004F5FB4" w:rsidRDefault="00C46587" w:rsidP="00922261">
            <w:pPr>
              <w:jc w:val="center"/>
              <w:rPr>
                <w:color w:val="000000"/>
              </w:rPr>
            </w:pPr>
            <w:r w:rsidRPr="004F5FB4">
              <w:rPr>
                <w:color w:val="000000"/>
              </w:rPr>
              <w:t>23 %***</w:t>
            </w:r>
          </w:p>
        </w:tc>
      </w:tr>
      <w:tr w:rsidR="00C46587" w:rsidRPr="004F5FB4" w14:paraId="56E4B673"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4F24123"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24</w:t>
            </w:r>
          </w:p>
        </w:tc>
        <w:tc>
          <w:tcPr>
            <w:tcW w:w="3101" w:type="dxa"/>
            <w:tcBorders>
              <w:top w:val="single" w:sz="4" w:space="0" w:color="auto"/>
              <w:left w:val="single" w:sz="4" w:space="0" w:color="auto"/>
              <w:bottom w:val="single" w:sz="4" w:space="0" w:color="auto"/>
              <w:right w:val="single" w:sz="4" w:space="0" w:color="auto"/>
            </w:tcBorders>
            <w:hideMark/>
          </w:tcPr>
          <w:p w14:paraId="7CB9ACA2" w14:textId="77777777" w:rsidR="00C46587" w:rsidRPr="004F5FB4" w:rsidRDefault="00C46587" w:rsidP="00922261">
            <w:pPr>
              <w:jc w:val="center"/>
              <w:rPr>
                <w:color w:val="000000"/>
              </w:rPr>
            </w:pPr>
            <w:r w:rsidRPr="004F5FB4">
              <w:rPr>
                <w:color w:val="000000"/>
              </w:rPr>
              <w:t>8 %</w:t>
            </w:r>
          </w:p>
        </w:tc>
        <w:tc>
          <w:tcPr>
            <w:tcW w:w="3101" w:type="dxa"/>
            <w:tcBorders>
              <w:top w:val="single" w:sz="4" w:space="0" w:color="auto"/>
              <w:left w:val="single" w:sz="4" w:space="0" w:color="auto"/>
              <w:bottom w:val="single" w:sz="4" w:space="0" w:color="auto"/>
              <w:right w:val="single" w:sz="4" w:space="0" w:color="auto"/>
            </w:tcBorders>
            <w:hideMark/>
          </w:tcPr>
          <w:p w14:paraId="7A20C9A5" w14:textId="77777777" w:rsidR="00C46587" w:rsidRPr="004F5FB4" w:rsidRDefault="00C46587" w:rsidP="00922261">
            <w:pPr>
              <w:jc w:val="center"/>
              <w:rPr>
                <w:color w:val="000000"/>
              </w:rPr>
            </w:pPr>
            <w:r w:rsidRPr="004F5FB4">
              <w:rPr>
                <w:color w:val="000000"/>
              </w:rPr>
              <w:t>24 %***</w:t>
            </w:r>
          </w:p>
        </w:tc>
      </w:tr>
      <w:tr w:rsidR="00C46587" w:rsidRPr="004F5FB4" w14:paraId="0B86F84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F384F31" w14:textId="77777777" w:rsidR="00C46587" w:rsidRPr="004F5FB4" w:rsidRDefault="00C46587" w:rsidP="00922261">
            <w:pPr>
              <w:rPr>
                <w:color w:val="000000"/>
              </w:rPr>
            </w:pPr>
            <w:r w:rsidRPr="004F5FB4">
              <w:rPr>
                <w:color w:val="000000"/>
              </w:rPr>
              <w:t>BASDAI</w:t>
            </w:r>
            <w:r w:rsidRPr="004F5FB4">
              <w:rPr>
                <w:color w:val="000000"/>
                <w:vertAlign w:val="superscript"/>
              </w:rPr>
              <w:t>b</w:t>
            </w:r>
            <w:r w:rsidR="00841557" w:rsidRPr="004F5FB4">
              <w:rPr>
                <w:color w:val="000000"/>
              </w:rPr>
              <w:t>-</w:t>
            </w:r>
            <w:r w:rsidRPr="004F5FB4">
              <w:rPr>
                <w:color w:val="000000"/>
              </w:rPr>
              <w:t>50</w:t>
            </w:r>
          </w:p>
        </w:tc>
        <w:tc>
          <w:tcPr>
            <w:tcW w:w="3101" w:type="dxa"/>
            <w:tcBorders>
              <w:top w:val="single" w:sz="4" w:space="0" w:color="auto"/>
              <w:left w:val="single" w:sz="4" w:space="0" w:color="auto"/>
              <w:bottom w:val="single" w:sz="4" w:space="0" w:color="auto"/>
              <w:right w:val="single" w:sz="4" w:space="0" w:color="auto"/>
            </w:tcBorders>
          </w:tcPr>
          <w:p w14:paraId="4E42D67A" w14:textId="77777777" w:rsidR="00C46587" w:rsidRPr="004F5FB4" w:rsidRDefault="00C46587" w:rsidP="00922261">
            <w:pPr>
              <w:jc w:val="center"/>
              <w:rPr>
                <w:color w:val="000000"/>
                <w:lang w:val="en-GB"/>
              </w:rPr>
            </w:pPr>
          </w:p>
        </w:tc>
        <w:tc>
          <w:tcPr>
            <w:tcW w:w="3101" w:type="dxa"/>
            <w:tcBorders>
              <w:top w:val="single" w:sz="4" w:space="0" w:color="auto"/>
              <w:left w:val="single" w:sz="4" w:space="0" w:color="auto"/>
              <w:bottom w:val="single" w:sz="4" w:space="0" w:color="auto"/>
              <w:right w:val="single" w:sz="4" w:space="0" w:color="auto"/>
            </w:tcBorders>
          </w:tcPr>
          <w:p w14:paraId="752AF1B1" w14:textId="77777777" w:rsidR="00C46587" w:rsidRPr="004F5FB4" w:rsidRDefault="00C46587" w:rsidP="00922261">
            <w:pPr>
              <w:jc w:val="center"/>
              <w:rPr>
                <w:color w:val="000000"/>
                <w:lang w:val="en-GB"/>
              </w:rPr>
            </w:pPr>
          </w:p>
        </w:tc>
      </w:tr>
      <w:tr w:rsidR="00C46587" w:rsidRPr="004F5FB4" w14:paraId="4502BF1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53F09C7B"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2</w:t>
            </w:r>
          </w:p>
        </w:tc>
        <w:tc>
          <w:tcPr>
            <w:tcW w:w="3101" w:type="dxa"/>
            <w:tcBorders>
              <w:top w:val="single" w:sz="4" w:space="0" w:color="auto"/>
              <w:left w:val="single" w:sz="4" w:space="0" w:color="auto"/>
              <w:bottom w:val="single" w:sz="4" w:space="0" w:color="auto"/>
              <w:right w:val="single" w:sz="4" w:space="0" w:color="auto"/>
            </w:tcBorders>
            <w:hideMark/>
          </w:tcPr>
          <w:p w14:paraId="50AFF3D9" w14:textId="77777777" w:rsidR="00C46587" w:rsidRPr="004F5FB4" w:rsidRDefault="00C46587" w:rsidP="00922261">
            <w:pPr>
              <w:jc w:val="center"/>
              <w:rPr>
                <w:color w:val="000000"/>
              </w:rPr>
            </w:pPr>
            <w:r w:rsidRPr="004F5FB4">
              <w:rPr>
                <w:color w:val="000000"/>
              </w:rPr>
              <w:t>4 %</w:t>
            </w:r>
          </w:p>
        </w:tc>
        <w:tc>
          <w:tcPr>
            <w:tcW w:w="3101" w:type="dxa"/>
            <w:tcBorders>
              <w:top w:val="single" w:sz="4" w:space="0" w:color="auto"/>
              <w:left w:val="single" w:sz="4" w:space="0" w:color="auto"/>
              <w:bottom w:val="single" w:sz="4" w:space="0" w:color="auto"/>
              <w:right w:val="single" w:sz="4" w:space="0" w:color="auto"/>
            </w:tcBorders>
            <w:hideMark/>
          </w:tcPr>
          <w:p w14:paraId="092AAB85" w14:textId="77777777" w:rsidR="00C46587" w:rsidRPr="004F5FB4" w:rsidRDefault="00C46587" w:rsidP="00922261">
            <w:pPr>
              <w:jc w:val="center"/>
              <w:rPr>
                <w:color w:val="000000"/>
              </w:rPr>
            </w:pPr>
            <w:r w:rsidRPr="004F5FB4">
              <w:rPr>
                <w:color w:val="000000"/>
              </w:rPr>
              <w:t>20 %***</w:t>
            </w:r>
          </w:p>
        </w:tc>
      </w:tr>
      <w:tr w:rsidR="00C46587" w:rsidRPr="004F5FB4" w14:paraId="01920805"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568E065"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12</w:t>
            </w:r>
          </w:p>
        </w:tc>
        <w:tc>
          <w:tcPr>
            <w:tcW w:w="3101" w:type="dxa"/>
            <w:tcBorders>
              <w:top w:val="single" w:sz="4" w:space="0" w:color="auto"/>
              <w:left w:val="single" w:sz="4" w:space="0" w:color="auto"/>
              <w:bottom w:val="single" w:sz="4" w:space="0" w:color="auto"/>
              <w:right w:val="single" w:sz="4" w:space="0" w:color="auto"/>
            </w:tcBorders>
            <w:hideMark/>
          </w:tcPr>
          <w:p w14:paraId="737547C6" w14:textId="77777777" w:rsidR="00C46587" w:rsidRPr="004F5FB4" w:rsidRDefault="00C46587" w:rsidP="00922261">
            <w:pPr>
              <w:jc w:val="center"/>
              <w:rPr>
                <w:color w:val="000000"/>
              </w:rPr>
            </w:pPr>
            <w:r w:rsidRPr="004F5FB4">
              <w:rPr>
                <w:color w:val="000000"/>
              </w:rPr>
              <w:t>16 %</w:t>
            </w:r>
          </w:p>
        </w:tc>
        <w:tc>
          <w:tcPr>
            <w:tcW w:w="3101" w:type="dxa"/>
            <w:tcBorders>
              <w:top w:val="single" w:sz="4" w:space="0" w:color="auto"/>
              <w:left w:val="single" w:sz="4" w:space="0" w:color="auto"/>
              <w:bottom w:val="single" w:sz="4" w:space="0" w:color="auto"/>
              <w:right w:val="single" w:sz="4" w:space="0" w:color="auto"/>
            </w:tcBorders>
            <w:hideMark/>
          </w:tcPr>
          <w:p w14:paraId="754F62E6" w14:textId="77777777" w:rsidR="00C46587" w:rsidRPr="004F5FB4" w:rsidRDefault="00C46587" w:rsidP="00922261">
            <w:pPr>
              <w:jc w:val="center"/>
              <w:rPr>
                <w:color w:val="000000"/>
              </w:rPr>
            </w:pPr>
            <w:r w:rsidRPr="004F5FB4">
              <w:rPr>
                <w:color w:val="000000"/>
              </w:rPr>
              <w:t>45 %***</w:t>
            </w:r>
          </w:p>
        </w:tc>
      </w:tr>
      <w:tr w:rsidR="00C46587" w:rsidRPr="004F5FB4" w14:paraId="1E509A88" w14:textId="77777777" w:rsidTr="00922261">
        <w:tc>
          <w:tcPr>
            <w:tcW w:w="3101" w:type="dxa"/>
            <w:tcBorders>
              <w:top w:val="single" w:sz="4" w:space="0" w:color="auto"/>
              <w:left w:val="single" w:sz="4" w:space="0" w:color="auto"/>
              <w:bottom w:val="single" w:sz="4" w:space="0" w:color="auto"/>
              <w:right w:val="single" w:sz="4" w:space="0" w:color="auto"/>
            </w:tcBorders>
            <w:hideMark/>
          </w:tcPr>
          <w:p w14:paraId="5A4A6209" w14:textId="77777777" w:rsidR="00C46587" w:rsidRPr="004F5FB4" w:rsidRDefault="00C46587" w:rsidP="00922261">
            <w:pPr>
              <w:rPr>
                <w:color w:val="000000"/>
              </w:rPr>
            </w:pPr>
            <w:r w:rsidRPr="004F5FB4">
              <w:rPr>
                <w:color w:val="000000"/>
              </w:rPr>
              <w:tab/>
              <w:t>Woche</w:t>
            </w:r>
            <w:r w:rsidR="004616AA" w:rsidRPr="004F5FB4">
              <w:rPr>
                <w:color w:val="000000"/>
              </w:rPr>
              <w:t> </w:t>
            </w:r>
            <w:r w:rsidRPr="004F5FB4">
              <w:rPr>
                <w:color w:val="000000"/>
              </w:rPr>
              <w:t>24</w:t>
            </w:r>
          </w:p>
        </w:tc>
        <w:tc>
          <w:tcPr>
            <w:tcW w:w="3101" w:type="dxa"/>
            <w:tcBorders>
              <w:top w:val="single" w:sz="4" w:space="0" w:color="auto"/>
              <w:left w:val="single" w:sz="4" w:space="0" w:color="auto"/>
              <w:bottom w:val="single" w:sz="4" w:space="0" w:color="auto"/>
              <w:right w:val="single" w:sz="4" w:space="0" w:color="auto"/>
            </w:tcBorders>
            <w:hideMark/>
          </w:tcPr>
          <w:p w14:paraId="729FD247" w14:textId="77777777" w:rsidR="00C46587" w:rsidRPr="004F5FB4" w:rsidRDefault="00C46587" w:rsidP="00922261">
            <w:pPr>
              <w:jc w:val="center"/>
              <w:rPr>
                <w:color w:val="000000"/>
              </w:rPr>
            </w:pPr>
            <w:r w:rsidRPr="004F5FB4">
              <w:rPr>
                <w:color w:val="000000"/>
              </w:rPr>
              <w:t>15 %</w:t>
            </w:r>
          </w:p>
        </w:tc>
        <w:tc>
          <w:tcPr>
            <w:tcW w:w="3101" w:type="dxa"/>
            <w:tcBorders>
              <w:top w:val="single" w:sz="4" w:space="0" w:color="auto"/>
              <w:left w:val="single" w:sz="4" w:space="0" w:color="auto"/>
              <w:bottom w:val="single" w:sz="4" w:space="0" w:color="auto"/>
              <w:right w:val="single" w:sz="4" w:space="0" w:color="auto"/>
            </w:tcBorders>
            <w:hideMark/>
          </w:tcPr>
          <w:p w14:paraId="7852DF62" w14:textId="77777777" w:rsidR="00C46587" w:rsidRPr="004F5FB4" w:rsidRDefault="00C46587" w:rsidP="00922261">
            <w:pPr>
              <w:jc w:val="center"/>
              <w:rPr>
                <w:color w:val="000000"/>
              </w:rPr>
            </w:pPr>
            <w:r w:rsidRPr="004F5FB4">
              <w:rPr>
                <w:color w:val="000000"/>
              </w:rPr>
              <w:t>42</w:t>
            </w:r>
            <w:r w:rsidR="00127A80" w:rsidRPr="004F5FB4">
              <w:rPr>
                <w:color w:val="000000"/>
              </w:rPr>
              <w:t> </w:t>
            </w:r>
            <w:r w:rsidRPr="004F5FB4">
              <w:rPr>
                <w:color w:val="000000"/>
              </w:rPr>
              <w:t>%***</w:t>
            </w:r>
          </w:p>
        </w:tc>
      </w:tr>
      <w:tr w:rsidR="00922261" w:rsidRPr="00E26A2B" w14:paraId="08A2E788" w14:textId="77777777" w:rsidTr="00922261">
        <w:tc>
          <w:tcPr>
            <w:tcW w:w="9303" w:type="dxa"/>
            <w:gridSpan w:val="3"/>
            <w:tcBorders>
              <w:top w:val="single" w:sz="4" w:space="0" w:color="auto"/>
              <w:left w:val="nil"/>
              <w:bottom w:val="nil"/>
              <w:right w:val="nil"/>
            </w:tcBorders>
          </w:tcPr>
          <w:p w14:paraId="1545047D" w14:textId="77777777" w:rsidR="00922261" w:rsidRPr="00206AEA" w:rsidRDefault="00922261" w:rsidP="00922261">
            <w:pPr>
              <w:rPr>
                <w:color w:val="000000"/>
                <w:sz w:val="20"/>
              </w:rPr>
            </w:pPr>
            <w:r w:rsidRPr="00206AEA">
              <w:rPr>
                <w:color w:val="000000"/>
                <w:sz w:val="20"/>
              </w:rPr>
              <w:t>***, ** statistisch signifikant mit p</w:t>
            </w:r>
            <w:r w:rsidR="007B1316" w:rsidRPr="00206AEA">
              <w:rPr>
                <w:color w:val="000000"/>
                <w:sz w:val="20"/>
              </w:rPr>
              <w:t> </w:t>
            </w:r>
            <w:r w:rsidRPr="00206AEA">
              <w:rPr>
                <w:color w:val="000000"/>
                <w:sz w:val="20"/>
              </w:rPr>
              <w:t>&lt;</w:t>
            </w:r>
            <w:r w:rsidR="007B1316" w:rsidRPr="00206AEA">
              <w:rPr>
                <w:color w:val="000000"/>
                <w:sz w:val="20"/>
              </w:rPr>
              <w:t> </w:t>
            </w:r>
            <w:r w:rsidRPr="00206AEA">
              <w:rPr>
                <w:color w:val="000000"/>
                <w:sz w:val="20"/>
              </w:rPr>
              <w:t>0,001; &lt;</w:t>
            </w:r>
            <w:r w:rsidR="007B1316" w:rsidRPr="00206AEA">
              <w:rPr>
                <w:color w:val="000000"/>
                <w:sz w:val="20"/>
              </w:rPr>
              <w:t> </w:t>
            </w:r>
            <w:r w:rsidRPr="00206AEA">
              <w:rPr>
                <w:color w:val="000000"/>
                <w:sz w:val="20"/>
              </w:rPr>
              <w:t>0,01 für alle Vergleiche von Adalimumab mit Placebo in den Wochen</w:t>
            </w:r>
            <w:r w:rsidR="00127A80" w:rsidRPr="00206AEA">
              <w:rPr>
                <w:color w:val="000000"/>
                <w:sz w:val="20"/>
              </w:rPr>
              <w:t> </w:t>
            </w:r>
            <w:r w:rsidRPr="00206AEA">
              <w:rPr>
                <w:color w:val="000000"/>
                <w:sz w:val="20"/>
              </w:rPr>
              <w:t>2, 12 und 24 </w:t>
            </w:r>
          </w:p>
          <w:p w14:paraId="13C9E1EA" w14:textId="77777777" w:rsidR="00922261" w:rsidRPr="00206AEA" w:rsidRDefault="00922261" w:rsidP="00922261">
            <w:pPr>
              <w:ind w:left="270" w:hanging="270"/>
              <w:rPr>
                <w:color w:val="000000"/>
                <w:sz w:val="20"/>
                <w:lang w:val="en-US"/>
              </w:rPr>
            </w:pPr>
            <w:proofErr w:type="gramStart"/>
            <w:r w:rsidRPr="00206AEA">
              <w:rPr>
                <w:color w:val="000000"/>
                <w:sz w:val="20"/>
                <w:vertAlign w:val="superscript"/>
                <w:lang w:val="en-US"/>
              </w:rPr>
              <w:t>a</w:t>
            </w:r>
            <w:proofErr w:type="gramEnd"/>
            <w:r w:rsidRPr="00206AEA">
              <w:rPr>
                <w:color w:val="000000"/>
                <w:sz w:val="20"/>
                <w:lang w:val="en-US"/>
              </w:rPr>
              <w:t xml:space="preserve"> </w:t>
            </w:r>
            <w:r w:rsidRPr="00206AEA">
              <w:rPr>
                <w:color w:val="000000"/>
                <w:sz w:val="20"/>
                <w:lang w:val="en-US"/>
              </w:rPr>
              <w:tab/>
            </w:r>
            <w:r w:rsidRPr="00206AEA">
              <w:rPr>
                <w:i/>
                <w:color w:val="000000"/>
                <w:sz w:val="20"/>
                <w:lang w:val="en-US"/>
              </w:rPr>
              <w:t>Assessments in Ankylosing Spondylitis</w:t>
            </w:r>
            <w:r w:rsidRPr="00206AEA">
              <w:rPr>
                <w:color w:val="000000"/>
                <w:sz w:val="20"/>
                <w:lang w:val="en-US"/>
              </w:rPr>
              <w:t xml:space="preserve"> </w:t>
            </w:r>
          </w:p>
          <w:p w14:paraId="42EC91D1" w14:textId="77777777" w:rsidR="00922261" w:rsidRPr="00206AEA" w:rsidRDefault="00922261" w:rsidP="00922261">
            <w:pPr>
              <w:ind w:left="270" w:hanging="270"/>
              <w:rPr>
                <w:color w:val="000000"/>
                <w:sz w:val="20"/>
                <w:lang w:val="en-US"/>
              </w:rPr>
            </w:pPr>
            <w:r w:rsidRPr="00206AEA">
              <w:rPr>
                <w:color w:val="000000"/>
                <w:sz w:val="20"/>
                <w:vertAlign w:val="superscript"/>
                <w:lang w:val="en-US"/>
              </w:rPr>
              <w:t>b</w:t>
            </w:r>
            <w:r w:rsidRPr="00206AEA">
              <w:rPr>
                <w:color w:val="000000"/>
                <w:sz w:val="20"/>
                <w:lang w:val="en-US"/>
              </w:rPr>
              <w:t xml:space="preserve"> </w:t>
            </w:r>
            <w:r w:rsidRPr="00206AEA">
              <w:rPr>
                <w:color w:val="000000"/>
                <w:sz w:val="20"/>
                <w:lang w:val="en-US"/>
              </w:rPr>
              <w:tab/>
            </w:r>
            <w:r w:rsidRPr="00206AEA">
              <w:rPr>
                <w:i/>
                <w:color w:val="000000"/>
                <w:sz w:val="20"/>
                <w:lang w:val="en-US"/>
              </w:rPr>
              <w:t>Bath Ankylosing Spondylitis Disease Activity Index</w:t>
            </w:r>
          </w:p>
        </w:tc>
      </w:tr>
    </w:tbl>
    <w:p w14:paraId="6C98EF65" w14:textId="77777777" w:rsidR="00C46587" w:rsidRPr="004F5FB4" w:rsidRDefault="00C46587" w:rsidP="00922261">
      <w:pPr>
        <w:rPr>
          <w:color w:val="000000"/>
          <w:lang w:val="en-GB"/>
        </w:rPr>
      </w:pPr>
    </w:p>
    <w:p w14:paraId="4224EF3A" w14:textId="77777777" w:rsidR="00C46587" w:rsidRPr="004F5FB4" w:rsidRDefault="005A4709" w:rsidP="00982118">
      <w:pPr>
        <w:rPr>
          <w:color w:val="000000"/>
        </w:rPr>
      </w:pPr>
      <w:r w:rsidRPr="004F5FB4">
        <w:rPr>
          <w:color w:val="000000"/>
        </w:rPr>
        <w:t>Mit Adalimumab behandelte Patienten zeigten eine signifikant größere Verbesserung in Woche</w:t>
      </w:r>
      <w:r w:rsidR="00127A80" w:rsidRPr="004F5FB4">
        <w:rPr>
          <w:color w:val="000000"/>
        </w:rPr>
        <w:t> </w:t>
      </w:r>
      <w:r w:rsidRPr="004F5FB4">
        <w:rPr>
          <w:color w:val="000000"/>
        </w:rPr>
        <w:t>12, die über 24</w:t>
      </w:r>
      <w:r w:rsidR="00127A80" w:rsidRPr="004F5FB4">
        <w:rPr>
          <w:color w:val="000000"/>
        </w:rPr>
        <w:t> </w:t>
      </w:r>
      <w:r w:rsidRPr="004F5FB4">
        <w:rPr>
          <w:color w:val="000000"/>
        </w:rPr>
        <w:t>Wochen aufrechterhalten wurde, sowohl im SF</w:t>
      </w:r>
      <w:r w:rsidR="00127A80" w:rsidRPr="004F5FB4">
        <w:rPr>
          <w:color w:val="000000"/>
        </w:rPr>
        <w:t> </w:t>
      </w:r>
      <w:r w:rsidRPr="004F5FB4">
        <w:rPr>
          <w:color w:val="000000"/>
        </w:rPr>
        <w:t xml:space="preserve">36 als auch im Fragebogen zur Lebensqualität bei ankylosierender Spondylitis </w:t>
      </w:r>
      <w:r w:rsidR="00127A80" w:rsidRPr="004F5FB4">
        <w:rPr>
          <w:color w:val="000000"/>
        </w:rPr>
        <w:t>(</w:t>
      </w:r>
      <w:r w:rsidRPr="004F5FB4">
        <w:rPr>
          <w:color w:val="000000"/>
        </w:rPr>
        <w:t xml:space="preserve">Ankylosing Spondylitis Quality of Life Questionnaire </w:t>
      </w:r>
      <w:r w:rsidR="00127A80" w:rsidRPr="004F5FB4">
        <w:rPr>
          <w:color w:val="000000"/>
        </w:rPr>
        <w:t>[</w:t>
      </w:r>
      <w:r w:rsidRPr="004F5FB4">
        <w:rPr>
          <w:color w:val="000000"/>
        </w:rPr>
        <w:t>ASQoL</w:t>
      </w:r>
      <w:r w:rsidR="00127A80" w:rsidRPr="004F5FB4">
        <w:rPr>
          <w:color w:val="000000"/>
        </w:rPr>
        <w:t>])</w:t>
      </w:r>
      <w:r w:rsidRPr="004F5FB4">
        <w:rPr>
          <w:color w:val="000000"/>
        </w:rPr>
        <w:t>.</w:t>
      </w:r>
    </w:p>
    <w:p w14:paraId="1DFA4F87" w14:textId="77777777" w:rsidR="00C46587" w:rsidRPr="004F5FB4" w:rsidRDefault="00C46587" w:rsidP="00982118">
      <w:pPr>
        <w:rPr>
          <w:color w:val="000000"/>
        </w:rPr>
      </w:pPr>
    </w:p>
    <w:p w14:paraId="26C99E26" w14:textId="77777777" w:rsidR="00C46587" w:rsidRPr="004F5FB4" w:rsidRDefault="00C46587" w:rsidP="00982118">
      <w:pPr>
        <w:rPr>
          <w:color w:val="000000"/>
        </w:rPr>
      </w:pPr>
      <w:r w:rsidRPr="004F5FB4">
        <w:rPr>
          <w:color w:val="000000"/>
        </w:rPr>
        <w:t>Ähnliche Verläufe (nicht alle mit statistischer Signifikanz) wurden in der kleineren randomisierten, doppelblinden placebokontrollierten AS-Studie</w:t>
      </w:r>
      <w:r w:rsidR="00127A80" w:rsidRPr="004F5FB4">
        <w:rPr>
          <w:color w:val="000000"/>
        </w:rPr>
        <w:t> </w:t>
      </w:r>
      <w:r w:rsidRPr="004F5FB4">
        <w:rPr>
          <w:color w:val="000000"/>
        </w:rPr>
        <w:t>II mit 82</w:t>
      </w:r>
      <w:r w:rsidR="004616AA" w:rsidRPr="004F5FB4">
        <w:rPr>
          <w:color w:val="000000"/>
        </w:rPr>
        <w:t> </w:t>
      </w:r>
      <w:r w:rsidRPr="004F5FB4">
        <w:rPr>
          <w:color w:val="000000"/>
        </w:rPr>
        <w:t>erwachsenen Patienten mit aktiver ankylosierender Spondylitis beobachtet.</w:t>
      </w:r>
    </w:p>
    <w:p w14:paraId="1FC4E2CF" w14:textId="77777777" w:rsidR="00C46587" w:rsidRPr="004F5FB4" w:rsidRDefault="00C46587" w:rsidP="00982118">
      <w:pPr>
        <w:rPr>
          <w:color w:val="000000"/>
        </w:rPr>
      </w:pPr>
    </w:p>
    <w:p w14:paraId="5F3DF238" w14:textId="77777777" w:rsidR="00C46587" w:rsidRPr="004F5FB4" w:rsidRDefault="00C46587" w:rsidP="00DC3A99">
      <w:pPr>
        <w:keepNext/>
        <w:rPr>
          <w:i/>
          <w:color w:val="000000"/>
          <w:u w:val="single"/>
        </w:rPr>
      </w:pPr>
      <w:r w:rsidRPr="004F5FB4">
        <w:rPr>
          <w:i/>
          <w:color w:val="000000"/>
          <w:u w:val="single"/>
        </w:rPr>
        <w:t>Axiale Spondyloarthritis ohne Röntgennachweis einer AS</w:t>
      </w:r>
    </w:p>
    <w:p w14:paraId="66823212" w14:textId="77777777" w:rsidR="00C46587" w:rsidRPr="004F5FB4" w:rsidRDefault="00C46587" w:rsidP="00DC3A99">
      <w:pPr>
        <w:keepNext/>
        <w:rPr>
          <w:color w:val="000000"/>
        </w:rPr>
      </w:pPr>
    </w:p>
    <w:p w14:paraId="2BC7D3AD" w14:textId="77777777" w:rsidR="00C86BC9" w:rsidRPr="004F5FB4" w:rsidRDefault="00C86BC9" w:rsidP="00982118">
      <w:pPr>
        <w:autoSpaceDE w:val="0"/>
        <w:autoSpaceDN w:val="0"/>
        <w:adjustRightInd w:val="0"/>
        <w:rPr>
          <w:color w:val="000000"/>
        </w:rPr>
      </w:pPr>
      <w:r w:rsidRPr="004F5FB4">
        <w:rPr>
          <w:color w:val="000000"/>
        </w:rPr>
        <w:t>Die Sicherheit und Wirksamkeit von Adalimumab wurden in zwei randomisierten, doppelblinden, placebokontrollierten Studien bei Patienten mit nicht röntgenologischer axialer Spondyloarthritis (nr-axSpA) untersucht. In der nr</w:t>
      </w:r>
      <w:r w:rsidRPr="004F5FB4">
        <w:rPr>
          <w:color w:val="000000"/>
        </w:rPr>
        <w:noBreakHyphen/>
        <w:t>axSpA-Studie</w:t>
      </w:r>
      <w:r w:rsidR="00C77CB5" w:rsidRPr="004F5FB4">
        <w:rPr>
          <w:color w:val="000000"/>
        </w:rPr>
        <w:t> </w:t>
      </w:r>
      <w:r w:rsidRPr="004F5FB4">
        <w:rPr>
          <w:color w:val="000000"/>
        </w:rPr>
        <w:t>I wurden Patienten mit aktiver nr-axSpA eingeschlossen. Bei der nr-axSpA-Studie</w:t>
      </w:r>
      <w:r w:rsidR="00C77CB5" w:rsidRPr="004F5FB4">
        <w:rPr>
          <w:color w:val="000000"/>
        </w:rPr>
        <w:t> </w:t>
      </w:r>
      <w:r w:rsidRPr="004F5FB4">
        <w:rPr>
          <w:color w:val="000000"/>
        </w:rPr>
        <w:t xml:space="preserve">II handelte es sich um eine Studie, in der die Behandlung mit Adalimumab bei Patienten mit aktiver nr-axSpA abgesetzt wurde, wenn diese während der offenen </w:t>
      </w:r>
      <w:r w:rsidR="00841557" w:rsidRPr="004F5FB4">
        <w:rPr>
          <w:color w:val="000000"/>
        </w:rPr>
        <w:t>Fortsetzungsp</w:t>
      </w:r>
      <w:r w:rsidRPr="004F5FB4">
        <w:rPr>
          <w:color w:val="000000"/>
        </w:rPr>
        <w:t>hase eine Remission erreichten.</w:t>
      </w:r>
    </w:p>
    <w:p w14:paraId="2C106658" w14:textId="77777777" w:rsidR="00C86BC9" w:rsidRPr="004F5FB4" w:rsidRDefault="00C86BC9" w:rsidP="00982118">
      <w:pPr>
        <w:rPr>
          <w:color w:val="000000"/>
        </w:rPr>
      </w:pPr>
    </w:p>
    <w:p w14:paraId="0C331749" w14:textId="77777777" w:rsidR="00C86BC9" w:rsidRPr="004F5FB4" w:rsidRDefault="00C86BC9" w:rsidP="004D46DF">
      <w:pPr>
        <w:keepNext/>
        <w:rPr>
          <w:color w:val="000000"/>
        </w:rPr>
      </w:pPr>
      <w:r w:rsidRPr="004F5FB4">
        <w:rPr>
          <w:color w:val="000000"/>
        </w:rPr>
        <w:t>nr-axSpA-Studie</w:t>
      </w:r>
      <w:r w:rsidR="00127A80" w:rsidRPr="004F5FB4">
        <w:rPr>
          <w:color w:val="000000"/>
        </w:rPr>
        <w:t> </w:t>
      </w:r>
      <w:r w:rsidRPr="004F5FB4">
        <w:rPr>
          <w:color w:val="000000"/>
        </w:rPr>
        <w:t>I</w:t>
      </w:r>
    </w:p>
    <w:p w14:paraId="1F1112C7" w14:textId="77777777" w:rsidR="00C86BC9" w:rsidRPr="004F5FB4" w:rsidRDefault="00C86BC9" w:rsidP="004D46DF">
      <w:pPr>
        <w:keepNext/>
        <w:rPr>
          <w:color w:val="000000"/>
        </w:rPr>
      </w:pPr>
    </w:p>
    <w:p w14:paraId="6D0A2C2A" w14:textId="77777777" w:rsidR="00C46587" w:rsidRPr="004F5FB4" w:rsidRDefault="00C86BC9" w:rsidP="00982118">
      <w:pPr>
        <w:rPr>
          <w:color w:val="000000"/>
        </w:rPr>
      </w:pPr>
      <w:r w:rsidRPr="004F5FB4">
        <w:rPr>
          <w:color w:val="000000"/>
        </w:rPr>
        <w:t>In der randomisierten, 12-wöchigen, doppelblinden, placebokontrollierten nr-axSpA-Studie</w:t>
      </w:r>
      <w:r w:rsidR="00127A80" w:rsidRPr="004F5FB4">
        <w:rPr>
          <w:color w:val="000000"/>
        </w:rPr>
        <w:t> </w:t>
      </w:r>
      <w:r w:rsidRPr="004F5FB4">
        <w:rPr>
          <w:color w:val="000000"/>
        </w:rPr>
        <w:t>I wurde Adalimumab in einer Dosierung von 40 mg jede zweite Woche bei 185</w:t>
      </w:r>
      <w:r w:rsidR="00127A80" w:rsidRPr="004F5FB4">
        <w:rPr>
          <w:color w:val="000000"/>
        </w:rPr>
        <w:t> </w:t>
      </w:r>
      <w:r w:rsidRPr="004F5FB4">
        <w:rPr>
          <w:color w:val="000000"/>
        </w:rPr>
        <w:t>Patienten mit aktiver nr-axSpA untersucht, die auf ≥</w:t>
      </w:r>
      <w:r w:rsidR="00127A80" w:rsidRPr="004F5FB4">
        <w:rPr>
          <w:color w:val="000000"/>
        </w:rPr>
        <w:t> </w:t>
      </w:r>
      <w:r w:rsidRPr="004F5FB4">
        <w:rPr>
          <w:color w:val="000000"/>
        </w:rPr>
        <w:t>1 nicht steroidales Antirheumatikum (NSAR) unzureichend angesprochen haben oder bei denen eine Unverträglichkeit oder Kontraindikation gegenüber diesen vorlag (mittlerer Ausgangswert der Krankheitsaktivität [</w:t>
      </w:r>
      <w:r w:rsidRPr="004F5FB4">
        <w:rPr>
          <w:i/>
          <w:color w:val="000000"/>
        </w:rPr>
        <w:t>Bath Ankylosing Spondylitis Disease Activity Index</w:t>
      </w:r>
      <w:r w:rsidRPr="004F5FB4">
        <w:rPr>
          <w:color w:val="000000"/>
        </w:rPr>
        <w:t xml:space="preserve"> (BASDAI)] war 6,4 bei Patienten, die mit Adalimumab behandelt wurden, und 6,5 bei Placebopatienten). </w:t>
      </w:r>
    </w:p>
    <w:p w14:paraId="3A4D3939" w14:textId="77777777" w:rsidR="00C46587" w:rsidRPr="004F5FB4" w:rsidRDefault="00C46587" w:rsidP="00982118">
      <w:pPr>
        <w:rPr>
          <w:color w:val="000000"/>
        </w:rPr>
      </w:pPr>
    </w:p>
    <w:p w14:paraId="3F992430" w14:textId="77777777" w:rsidR="00C46587" w:rsidRPr="004F5FB4" w:rsidRDefault="00C46587" w:rsidP="00982118">
      <w:pPr>
        <w:rPr>
          <w:color w:val="000000"/>
        </w:rPr>
      </w:pPr>
      <w:r w:rsidRPr="004F5FB4">
        <w:rPr>
          <w:color w:val="000000"/>
        </w:rPr>
        <w:t>Zu Studienbeginn wurden 33</w:t>
      </w:r>
      <w:r w:rsidR="004616AA" w:rsidRPr="004F5FB4">
        <w:rPr>
          <w:color w:val="000000"/>
        </w:rPr>
        <w:t> </w:t>
      </w:r>
      <w:r w:rsidRPr="004F5FB4">
        <w:rPr>
          <w:color w:val="000000"/>
        </w:rPr>
        <w:t>(18 %) Patienten gleichzeitig mit krankheitsmodifizierenden Antirheumatika behandelt und 146</w:t>
      </w:r>
      <w:r w:rsidR="004616AA" w:rsidRPr="004F5FB4">
        <w:rPr>
          <w:color w:val="000000"/>
        </w:rPr>
        <w:t> </w:t>
      </w:r>
      <w:r w:rsidRPr="004F5FB4">
        <w:rPr>
          <w:color w:val="000000"/>
        </w:rPr>
        <w:t>(79</w:t>
      </w:r>
      <w:r w:rsidR="00763A61" w:rsidRPr="004F5FB4">
        <w:rPr>
          <w:color w:val="000000"/>
        </w:rPr>
        <w:t> </w:t>
      </w:r>
      <w:r w:rsidRPr="004F5FB4">
        <w:rPr>
          <w:color w:val="000000"/>
        </w:rPr>
        <w:t>%) Patienten mit NSARs. Auf die doppelblinde P</w:t>
      </w:r>
      <w:r w:rsidR="00841557" w:rsidRPr="004F5FB4">
        <w:rPr>
          <w:color w:val="000000"/>
        </w:rPr>
        <w:t>eriode</w:t>
      </w:r>
      <w:r w:rsidRPr="004F5FB4">
        <w:rPr>
          <w:color w:val="000000"/>
        </w:rPr>
        <w:t xml:space="preserve"> folgte eine offene </w:t>
      </w:r>
      <w:r w:rsidR="00841557" w:rsidRPr="004F5FB4">
        <w:rPr>
          <w:color w:val="000000"/>
        </w:rPr>
        <w:t>Fortsetzungsstudie</w:t>
      </w:r>
      <w:r w:rsidRPr="004F5FB4">
        <w:rPr>
          <w:color w:val="000000"/>
        </w:rPr>
        <w:t xml:space="preserve">, während der die Patienten jede zweite Woche subkutan Adalimumab </w:t>
      </w:r>
      <w:r w:rsidRPr="004F5FB4">
        <w:rPr>
          <w:color w:val="000000"/>
        </w:rPr>
        <w:lastRenderedPageBreak/>
        <w:t>40 mg für bis zu weitere 144</w:t>
      </w:r>
      <w:r w:rsidR="00763A61" w:rsidRPr="004F5FB4">
        <w:rPr>
          <w:color w:val="000000"/>
        </w:rPr>
        <w:t> </w:t>
      </w:r>
      <w:r w:rsidRPr="004F5FB4">
        <w:rPr>
          <w:color w:val="000000"/>
        </w:rPr>
        <w:t>Wochen erhielten. Im Vergleich zu Placebo zeigten die Ergebnisse zu Woche</w:t>
      </w:r>
      <w:r w:rsidR="00763A61" w:rsidRPr="004F5FB4">
        <w:rPr>
          <w:color w:val="000000"/>
        </w:rPr>
        <w:t> </w:t>
      </w:r>
      <w:r w:rsidRPr="004F5FB4">
        <w:rPr>
          <w:color w:val="000000"/>
        </w:rPr>
        <w:t>12 bei Patienten, die mit Adalimumab behandelt wurden, eine statistisch signifikante Verbesserung der Anzeichen und Symptome der aktiven nr-axSpA (Tabelle</w:t>
      </w:r>
      <w:r w:rsidR="00763A61" w:rsidRPr="004F5FB4">
        <w:rPr>
          <w:color w:val="000000"/>
        </w:rPr>
        <w:t> </w:t>
      </w:r>
      <w:r w:rsidR="00B852E6">
        <w:rPr>
          <w:color w:val="000000"/>
        </w:rPr>
        <w:t>13</w:t>
      </w:r>
      <w:r w:rsidRPr="004F5FB4">
        <w:rPr>
          <w:color w:val="000000"/>
        </w:rPr>
        <w:t xml:space="preserve">). </w:t>
      </w:r>
    </w:p>
    <w:p w14:paraId="710E0F2A" w14:textId="77777777" w:rsidR="00C46587" w:rsidRPr="004F5FB4" w:rsidRDefault="00C46587" w:rsidP="00982118">
      <w:pPr>
        <w:rPr>
          <w:color w:val="000000"/>
        </w:rPr>
      </w:pPr>
    </w:p>
    <w:p w14:paraId="4368B445" w14:textId="77777777" w:rsidR="00FA0342" w:rsidRPr="004F5FB4" w:rsidRDefault="00C46587" w:rsidP="00687087">
      <w:pPr>
        <w:keepNext/>
        <w:rPr>
          <w:b/>
          <w:color w:val="000000"/>
        </w:rPr>
      </w:pPr>
      <w:r w:rsidRPr="004F5FB4">
        <w:rPr>
          <w:b/>
          <w:color w:val="000000"/>
        </w:rPr>
        <w:t>Tabelle</w:t>
      </w:r>
      <w:r w:rsidR="00B852E6">
        <w:rPr>
          <w:b/>
          <w:color w:val="000000"/>
        </w:rPr>
        <w:t> 13</w:t>
      </w:r>
    </w:p>
    <w:p w14:paraId="22D89834" w14:textId="77777777" w:rsidR="00C46587" w:rsidRPr="004F5FB4" w:rsidRDefault="00C46587" w:rsidP="00687087">
      <w:pPr>
        <w:keepNext/>
        <w:rPr>
          <w:b/>
          <w:color w:val="000000"/>
        </w:rPr>
      </w:pPr>
      <w:r w:rsidRPr="004F5FB4">
        <w:rPr>
          <w:b/>
          <w:color w:val="000000"/>
        </w:rPr>
        <w:t>Ansprechraten bezüglich Wirksamkeit bei placebokontrollierter nr-axSpA-Studie I</w:t>
      </w:r>
    </w:p>
    <w:p w14:paraId="6A53D443" w14:textId="77777777" w:rsidR="00C46587" w:rsidRPr="004F5FB4" w:rsidRDefault="00C46587" w:rsidP="00982118">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2458"/>
        <w:gridCol w:w="2481"/>
      </w:tblGrid>
      <w:tr w:rsidR="00C46587" w:rsidRPr="004F5FB4" w14:paraId="0E59B50F"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2D02F239" w14:textId="77777777" w:rsidR="00C46587" w:rsidRPr="004F5FB4" w:rsidRDefault="00C46587" w:rsidP="00982118">
            <w:pPr>
              <w:rPr>
                <w:b/>
                <w:color w:val="000000"/>
              </w:rPr>
            </w:pPr>
            <w:r w:rsidRPr="004F5FB4">
              <w:rPr>
                <w:b/>
                <w:color w:val="000000"/>
              </w:rPr>
              <w:t>Ansprechen in Woche 12</w:t>
            </w:r>
            <w:r w:rsidR="00A020D6" w:rsidRPr="004F5FB4">
              <w:rPr>
                <w:b/>
                <w:color w:val="000000"/>
              </w:rPr>
              <w:t xml:space="preserve"> (doppelblind)</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5132D0D" w14:textId="77777777" w:rsidR="00C46587" w:rsidRPr="004F5FB4" w:rsidRDefault="00C46587" w:rsidP="00982118">
            <w:pPr>
              <w:jc w:val="center"/>
              <w:rPr>
                <w:b/>
                <w:color w:val="000000"/>
              </w:rPr>
            </w:pPr>
            <w:r w:rsidRPr="004F5FB4">
              <w:rPr>
                <w:b/>
                <w:color w:val="000000"/>
              </w:rPr>
              <w:t>Placebo</w:t>
            </w:r>
          </w:p>
          <w:p w14:paraId="2BB43C57" w14:textId="77777777" w:rsidR="00C46587" w:rsidRPr="004F5FB4" w:rsidRDefault="00C46587" w:rsidP="000079DD">
            <w:pPr>
              <w:jc w:val="center"/>
              <w:rPr>
                <w:b/>
                <w:color w:val="000000"/>
              </w:rPr>
            </w:pPr>
            <w:r w:rsidRPr="004F5FB4">
              <w:rPr>
                <w:b/>
                <w:color w:val="000000"/>
              </w:rPr>
              <w:t>n</w:t>
            </w:r>
            <w:r w:rsidR="000079DD" w:rsidRPr="004F5FB4">
              <w:rPr>
                <w:b/>
                <w:color w:val="000000"/>
              </w:rPr>
              <w:t> </w:t>
            </w:r>
            <w:r w:rsidRPr="004F5FB4">
              <w:rPr>
                <w:b/>
                <w:color w:val="000000"/>
              </w:rPr>
              <w:t>=</w:t>
            </w:r>
            <w:r w:rsidR="000079DD" w:rsidRPr="004F5FB4">
              <w:rPr>
                <w:b/>
                <w:color w:val="000000"/>
              </w:rPr>
              <w:t> </w:t>
            </w:r>
            <w:r w:rsidRPr="004F5FB4">
              <w:rPr>
                <w:b/>
                <w:color w:val="000000"/>
              </w:rPr>
              <w:t>94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C7BAFAB" w14:textId="77777777" w:rsidR="00C46587" w:rsidRPr="004F5FB4" w:rsidRDefault="005A4709" w:rsidP="00982118">
            <w:pPr>
              <w:jc w:val="center"/>
              <w:rPr>
                <w:b/>
                <w:color w:val="000000"/>
              </w:rPr>
            </w:pPr>
            <w:r w:rsidRPr="004F5FB4">
              <w:rPr>
                <w:b/>
                <w:color w:val="000000"/>
              </w:rPr>
              <w:t>Adalimumab</w:t>
            </w:r>
          </w:p>
          <w:p w14:paraId="700F19B2" w14:textId="77777777" w:rsidR="00C46587" w:rsidRPr="004F5FB4" w:rsidRDefault="00C46587" w:rsidP="000079DD">
            <w:pPr>
              <w:jc w:val="center"/>
              <w:rPr>
                <w:b/>
                <w:color w:val="000000"/>
              </w:rPr>
            </w:pPr>
            <w:r w:rsidRPr="004F5FB4">
              <w:rPr>
                <w:b/>
                <w:color w:val="000000"/>
              </w:rPr>
              <w:t>n</w:t>
            </w:r>
            <w:r w:rsidR="000079DD" w:rsidRPr="004F5FB4">
              <w:rPr>
                <w:b/>
                <w:color w:val="000000"/>
              </w:rPr>
              <w:t> </w:t>
            </w:r>
            <w:r w:rsidRPr="004F5FB4">
              <w:rPr>
                <w:b/>
                <w:color w:val="000000"/>
              </w:rPr>
              <w:t>=</w:t>
            </w:r>
            <w:r w:rsidR="000079DD" w:rsidRPr="004F5FB4">
              <w:rPr>
                <w:b/>
                <w:color w:val="000000"/>
              </w:rPr>
              <w:t> </w:t>
            </w:r>
            <w:r w:rsidRPr="004F5FB4">
              <w:rPr>
                <w:b/>
                <w:color w:val="000000"/>
              </w:rPr>
              <w:t>91</w:t>
            </w:r>
          </w:p>
        </w:tc>
      </w:tr>
      <w:tr w:rsidR="00C46587" w:rsidRPr="004F5FB4" w14:paraId="01EC0AD9"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2283A970" w14:textId="77777777" w:rsidR="00C46587" w:rsidRPr="004F5FB4" w:rsidRDefault="00C46587" w:rsidP="00982118">
            <w:pPr>
              <w:rPr>
                <w:color w:val="000000"/>
              </w:rPr>
            </w:pPr>
            <w:r w:rsidRPr="004F5FB4">
              <w:rPr>
                <w:color w:val="000000"/>
              </w:rPr>
              <w:t>ASAS</w:t>
            </w:r>
            <w:r w:rsidRPr="004F5FB4">
              <w:rPr>
                <w:color w:val="000000"/>
                <w:vertAlign w:val="superscript"/>
              </w:rPr>
              <w:t>a</w:t>
            </w:r>
            <w:r w:rsidR="00841557" w:rsidRPr="004F5FB4">
              <w:rPr>
                <w:color w:val="000000"/>
              </w:rPr>
              <w:t>-</w:t>
            </w:r>
            <w:r w:rsidRPr="004F5FB4">
              <w:rPr>
                <w:color w:val="000000"/>
              </w:rPr>
              <w:t>40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3007EEE0" w14:textId="77777777" w:rsidR="00C46587" w:rsidRPr="004F5FB4" w:rsidRDefault="00C46587" w:rsidP="00982118">
            <w:pPr>
              <w:jc w:val="center"/>
              <w:rPr>
                <w:color w:val="000000"/>
              </w:rPr>
            </w:pPr>
            <w:r w:rsidRPr="004F5FB4">
              <w:rPr>
                <w:color w:val="000000"/>
              </w:rPr>
              <w:t>15 %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B63E243" w14:textId="77777777" w:rsidR="00C46587" w:rsidRPr="004F5FB4" w:rsidRDefault="00C46587" w:rsidP="00982118">
            <w:pPr>
              <w:jc w:val="center"/>
              <w:rPr>
                <w:color w:val="000000"/>
              </w:rPr>
            </w:pPr>
            <w:r w:rsidRPr="004F5FB4">
              <w:rPr>
                <w:color w:val="000000"/>
              </w:rPr>
              <w:t>36 %***</w:t>
            </w:r>
          </w:p>
        </w:tc>
      </w:tr>
      <w:tr w:rsidR="00C46587" w:rsidRPr="004F5FB4" w14:paraId="35A3F9E9"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5768C687" w14:textId="77777777" w:rsidR="00C46587" w:rsidRPr="004F5FB4" w:rsidRDefault="00C46587" w:rsidP="00982118">
            <w:pPr>
              <w:rPr>
                <w:color w:val="000000"/>
              </w:rPr>
            </w:pPr>
            <w:r w:rsidRPr="004F5FB4">
              <w:rPr>
                <w:color w:val="000000"/>
              </w:rPr>
              <w:t>ASAS-20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994FC83" w14:textId="77777777" w:rsidR="00C46587" w:rsidRPr="004F5FB4" w:rsidRDefault="00C46587" w:rsidP="00982118">
            <w:pPr>
              <w:jc w:val="center"/>
              <w:rPr>
                <w:color w:val="000000"/>
              </w:rPr>
            </w:pPr>
            <w:r w:rsidRPr="004F5FB4">
              <w:rPr>
                <w:color w:val="000000"/>
              </w:rPr>
              <w:t>31 %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3A82BC6" w14:textId="77777777" w:rsidR="00C46587" w:rsidRPr="004F5FB4" w:rsidRDefault="00C46587" w:rsidP="00982118">
            <w:pPr>
              <w:jc w:val="center"/>
              <w:rPr>
                <w:color w:val="000000"/>
              </w:rPr>
            </w:pPr>
            <w:r w:rsidRPr="004F5FB4">
              <w:rPr>
                <w:color w:val="000000"/>
              </w:rPr>
              <w:t>52 %**</w:t>
            </w:r>
          </w:p>
        </w:tc>
      </w:tr>
      <w:tr w:rsidR="00C46587" w:rsidRPr="004F5FB4" w14:paraId="19E33F56"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6EB73536" w14:textId="77777777" w:rsidR="00C46587" w:rsidRPr="004F5FB4" w:rsidRDefault="00C46587" w:rsidP="00982118">
            <w:pPr>
              <w:rPr>
                <w:color w:val="000000"/>
              </w:rPr>
            </w:pPr>
            <w:r w:rsidRPr="004F5FB4">
              <w:rPr>
                <w:color w:val="000000"/>
              </w:rPr>
              <w:t>ASAS-5/6</w:t>
            </w:r>
          </w:p>
        </w:tc>
        <w:tc>
          <w:tcPr>
            <w:tcW w:w="2527" w:type="dxa"/>
            <w:tcBorders>
              <w:top w:val="single" w:sz="4" w:space="0" w:color="auto"/>
              <w:left w:val="single" w:sz="4" w:space="0" w:color="auto"/>
              <w:bottom w:val="single" w:sz="4" w:space="0" w:color="auto"/>
              <w:right w:val="single" w:sz="4" w:space="0" w:color="auto"/>
            </w:tcBorders>
            <w:vAlign w:val="center"/>
            <w:hideMark/>
          </w:tcPr>
          <w:p w14:paraId="05814318" w14:textId="77777777" w:rsidR="00C46587" w:rsidRPr="004F5FB4" w:rsidRDefault="00C46587" w:rsidP="00982118">
            <w:pPr>
              <w:jc w:val="center"/>
              <w:rPr>
                <w:color w:val="000000"/>
              </w:rPr>
            </w:pPr>
            <w:r w:rsidRPr="004F5FB4">
              <w:rPr>
                <w:color w:val="000000"/>
              </w:rPr>
              <w:t>6</w:t>
            </w:r>
            <w:r w:rsidR="00763A61" w:rsidRPr="004F5FB4">
              <w:rPr>
                <w:color w:val="000000"/>
              </w:rPr>
              <w:t> </w:t>
            </w:r>
            <w:r w:rsidRPr="004F5FB4">
              <w:rPr>
                <w:color w:val="000000"/>
              </w:rPr>
              <w:t>%</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AF7A78A" w14:textId="77777777" w:rsidR="00C46587" w:rsidRPr="004F5FB4" w:rsidRDefault="00C46587" w:rsidP="00982118">
            <w:pPr>
              <w:jc w:val="center"/>
              <w:rPr>
                <w:color w:val="000000"/>
              </w:rPr>
            </w:pPr>
            <w:r w:rsidRPr="004F5FB4">
              <w:rPr>
                <w:color w:val="000000"/>
              </w:rPr>
              <w:t>31</w:t>
            </w:r>
            <w:r w:rsidR="00763A61" w:rsidRPr="004F5FB4">
              <w:rPr>
                <w:color w:val="000000"/>
              </w:rPr>
              <w:t> </w:t>
            </w:r>
            <w:r w:rsidRPr="004F5FB4">
              <w:rPr>
                <w:color w:val="000000"/>
              </w:rPr>
              <w:t>%***</w:t>
            </w:r>
          </w:p>
        </w:tc>
      </w:tr>
      <w:tr w:rsidR="00C46587" w:rsidRPr="004F5FB4" w14:paraId="259DEADF"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3E0196CA" w14:textId="77777777" w:rsidR="00C46587" w:rsidRPr="004F5FB4" w:rsidRDefault="00C46587" w:rsidP="00982118">
            <w:pPr>
              <w:rPr>
                <w:color w:val="000000"/>
              </w:rPr>
            </w:pPr>
            <w:r w:rsidRPr="004F5FB4">
              <w:rPr>
                <w:color w:val="000000"/>
              </w:rPr>
              <w:t>ASAS partielle Remission</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E02A756" w14:textId="77777777" w:rsidR="00C46587" w:rsidRPr="004F5FB4" w:rsidRDefault="00C46587" w:rsidP="00982118">
            <w:pPr>
              <w:jc w:val="center"/>
              <w:rPr>
                <w:color w:val="000000"/>
              </w:rPr>
            </w:pPr>
            <w:r w:rsidRPr="004F5FB4">
              <w:rPr>
                <w:color w:val="000000"/>
              </w:rPr>
              <w:t>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6DA73EC" w14:textId="77777777" w:rsidR="00C46587" w:rsidRPr="004F5FB4" w:rsidRDefault="00C46587" w:rsidP="00982118">
            <w:pPr>
              <w:jc w:val="center"/>
              <w:rPr>
                <w:color w:val="000000"/>
              </w:rPr>
            </w:pPr>
            <w:r w:rsidRPr="004F5FB4">
              <w:rPr>
                <w:color w:val="000000"/>
              </w:rPr>
              <w:t>16 %*</w:t>
            </w:r>
          </w:p>
        </w:tc>
      </w:tr>
      <w:tr w:rsidR="00C46587" w:rsidRPr="004F5FB4" w14:paraId="7C6107A9"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36482116" w14:textId="77777777" w:rsidR="00C46587" w:rsidRPr="004F5FB4" w:rsidRDefault="00C46587" w:rsidP="00982118">
            <w:pPr>
              <w:rPr>
                <w:color w:val="000000"/>
              </w:rPr>
            </w:pPr>
            <w:r w:rsidRPr="004F5FB4">
              <w:rPr>
                <w:color w:val="000000"/>
              </w:rPr>
              <w:t>BASDAI</w:t>
            </w:r>
            <w:r w:rsidRPr="004F5FB4">
              <w:rPr>
                <w:color w:val="000000"/>
                <w:vertAlign w:val="superscript"/>
              </w:rPr>
              <w:t>b</w:t>
            </w:r>
            <w:r w:rsidRPr="004F5FB4">
              <w:rPr>
                <w:color w:val="000000"/>
              </w:rPr>
              <w:t xml:space="preserve"> 50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082A2C0D" w14:textId="77777777" w:rsidR="00C46587" w:rsidRPr="004F5FB4" w:rsidRDefault="00C46587" w:rsidP="00982118">
            <w:pPr>
              <w:jc w:val="center"/>
              <w:rPr>
                <w:color w:val="000000"/>
              </w:rPr>
            </w:pPr>
            <w:r w:rsidRPr="004F5FB4">
              <w:rPr>
                <w:color w:val="000000"/>
              </w:rPr>
              <w:t>15 %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54E8A725" w14:textId="77777777" w:rsidR="00C46587" w:rsidRPr="004F5FB4" w:rsidRDefault="00C46587" w:rsidP="00982118">
            <w:pPr>
              <w:jc w:val="center"/>
              <w:rPr>
                <w:color w:val="000000"/>
              </w:rPr>
            </w:pPr>
            <w:r w:rsidRPr="004F5FB4">
              <w:rPr>
                <w:color w:val="000000"/>
              </w:rPr>
              <w:t>35 %**</w:t>
            </w:r>
          </w:p>
        </w:tc>
      </w:tr>
      <w:tr w:rsidR="00C46587" w:rsidRPr="004F5FB4" w14:paraId="1A253BF0"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316FDAB4" w14:textId="77777777" w:rsidR="00C46587" w:rsidRPr="004F5FB4" w:rsidRDefault="00C46587" w:rsidP="00982118">
            <w:pPr>
              <w:rPr>
                <w:color w:val="000000"/>
              </w:rPr>
            </w:pPr>
            <w:r w:rsidRPr="004F5FB4">
              <w:rPr>
                <w:color w:val="000000"/>
              </w:rPr>
              <w:t>ASDAS</w:t>
            </w:r>
            <w:r w:rsidRPr="004F5FB4">
              <w:rPr>
                <w:color w:val="000000"/>
                <w:vertAlign w:val="superscript"/>
              </w:rPr>
              <w:t>c,d,e</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B25EC0E" w14:textId="77777777" w:rsidR="00C46587" w:rsidRPr="004F5FB4" w:rsidRDefault="00C46587" w:rsidP="00982118">
            <w:pPr>
              <w:jc w:val="center"/>
              <w:rPr>
                <w:color w:val="000000"/>
              </w:rPr>
            </w:pPr>
            <w:r w:rsidRPr="004F5FB4">
              <w:rPr>
                <w:color w:val="000000"/>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8DDA58F" w14:textId="77777777" w:rsidR="00C46587" w:rsidRPr="004F5FB4" w:rsidRDefault="00C46587" w:rsidP="00982118">
            <w:pPr>
              <w:jc w:val="center"/>
              <w:rPr>
                <w:color w:val="000000"/>
              </w:rPr>
            </w:pPr>
            <w:r w:rsidRPr="004F5FB4">
              <w:rPr>
                <w:color w:val="000000"/>
              </w:rPr>
              <w:t>-1,0</w:t>
            </w:r>
            <w:r w:rsidR="00841557" w:rsidRPr="004F5FB4">
              <w:rPr>
                <w:color w:val="000000"/>
              </w:rPr>
              <w:t>***</w:t>
            </w:r>
          </w:p>
        </w:tc>
      </w:tr>
      <w:tr w:rsidR="00C46587" w:rsidRPr="004F5FB4" w14:paraId="7734471B"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217929A0" w14:textId="77777777" w:rsidR="00C46587" w:rsidRPr="004F5FB4" w:rsidRDefault="00C46587" w:rsidP="00982118">
            <w:pPr>
              <w:rPr>
                <w:color w:val="000000"/>
              </w:rPr>
            </w:pPr>
            <w:r w:rsidRPr="004F5FB4">
              <w:rPr>
                <w:color w:val="000000"/>
              </w:rPr>
              <w:t>ASDAS Inactive Disease</w:t>
            </w:r>
          </w:p>
        </w:tc>
        <w:tc>
          <w:tcPr>
            <w:tcW w:w="2527" w:type="dxa"/>
            <w:tcBorders>
              <w:top w:val="single" w:sz="4" w:space="0" w:color="auto"/>
              <w:left w:val="single" w:sz="4" w:space="0" w:color="auto"/>
              <w:bottom w:val="single" w:sz="4" w:space="0" w:color="auto"/>
              <w:right w:val="single" w:sz="4" w:space="0" w:color="auto"/>
            </w:tcBorders>
            <w:vAlign w:val="center"/>
            <w:hideMark/>
          </w:tcPr>
          <w:p w14:paraId="403EA4E2" w14:textId="77777777" w:rsidR="00C46587" w:rsidRPr="004F5FB4" w:rsidRDefault="00C46587" w:rsidP="00982118">
            <w:pPr>
              <w:jc w:val="center"/>
              <w:rPr>
                <w:color w:val="000000"/>
              </w:rPr>
            </w:pPr>
            <w:r w:rsidRPr="004F5FB4">
              <w:rPr>
                <w:color w:val="000000"/>
              </w:rPr>
              <w:t>4 %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E485010" w14:textId="77777777" w:rsidR="00C46587" w:rsidRPr="004F5FB4" w:rsidRDefault="00C46587" w:rsidP="00982118">
            <w:pPr>
              <w:jc w:val="center"/>
              <w:rPr>
                <w:color w:val="000000"/>
              </w:rPr>
            </w:pPr>
            <w:r w:rsidRPr="004F5FB4">
              <w:rPr>
                <w:color w:val="000000"/>
              </w:rPr>
              <w:t>24 %***</w:t>
            </w:r>
          </w:p>
        </w:tc>
      </w:tr>
      <w:tr w:rsidR="00C46587" w:rsidRPr="004F5FB4" w14:paraId="7AD59EF8"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2B98DA16" w14:textId="77777777" w:rsidR="00C46587" w:rsidRPr="004F5FB4" w:rsidRDefault="00C46587" w:rsidP="00982118">
            <w:pPr>
              <w:rPr>
                <w:color w:val="000000"/>
              </w:rPr>
            </w:pPr>
            <w:r w:rsidRPr="004F5FB4">
              <w:rPr>
                <w:color w:val="000000"/>
              </w:rPr>
              <w:t>hs</w:t>
            </w:r>
            <w:r w:rsidRPr="004F5FB4">
              <w:rPr>
                <w:color w:val="000000"/>
              </w:rPr>
              <w:noBreakHyphen/>
              <w:t>CRP</w:t>
            </w:r>
            <w:r w:rsidRPr="004F5FB4">
              <w:rPr>
                <w:color w:val="000000"/>
                <w:vertAlign w:val="superscript"/>
              </w:rPr>
              <w:t>d,f,g</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1F33A76" w14:textId="77777777" w:rsidR="00C46587" w:rsidRPr="004F5FB4" w:rsidRDefault="00C46587" w:rsidP="00982118">
            <w:pPr>
              <w:jc w:val="center"/>
              <w:rPr>
                <w:color w:val="000000"/>
              </w:rPr>
            </w:pPr>
            <w:r w:rsidRPr="004F5FB4">
              <w:rPr>
                <w:color w:val="000000"/>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B168AC0" w14:textId="77777777" w:rsidR="00C46587" w:rsidRPr="004F5FB4" w:rsidRDefault="00C46587" w:rsidP="00982118">
            <w:pPr>
              <w:jc w:val="center"/>
              <w:rPr>
                <w:color w:val="000000"/>
              </w:rPr>
            </w:pPr>
            <w:r w:rsidRPr="004F5FB4">
              <w:rPr>
                <w:color w:val="000000"/>
              </w:rPr>
              <w:t>-4,7</w:t>
            </w:r>
            <w:r w:rsidR="00841557" w:rsidRPr="004F5FB4">
              <w:rPr>
                <w:color w:val="000000"/>
              </w:rPr>
              <w:t>***</w:t>
            </w:r>
          </w:p>
        </w:tc>
      </w:tr>
      <w:tr w:rsidR="00C46587" w:rsidRPr="004F5FB4" w14:paraId="19D94F73"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70408B46" w14:textId="77777777" w:rsidR="00C46587" w:rsidRPr="004F5FB4" w:rsidRDefault="00C46587" w:rsidP="00982118">
            <w:pPr>
              <w:rPr>
                <w:color w:val="000000"/>
                <w:lang w:val="en-US"/>
              </w:rPr>
            </w:pPr>
            <w:proofErr w:type="spellStart"/>
            <w:r w:rsidRPr="004F5FB4">
              <w:rPr>
                <w:color w:val="000000"/>
                <w:lang w:val="en-US"/>
              </w:rPr>
              <w:t>SPARCC</w:t>
            </w:r>
            <w:r w:rsidRPr="004F5FB4">
              <w:rPr>
                <w:color w:val="000000"/>
                <w:vertAlign w:val="superscript"/>
                <w:lang w:val="en-US"/>
              </w:rPr>
              <w:t>h</w:t>
            </w:r>
            <w:proofErr w:type="spellEnd"/>
            <w:r w:rsidRPr="004F5FB4">
              <w:rPr>
                <w:color w:val="000000"/>
                <w:lang w:val="en-US"/>
              </w:rPr>
              <w:t xml:space="preserve"> MRI Sacroiliac </w:t>
            </w:r>
            <w:proofErr w:type="spellStart"/>
            <w:proofErr w:type="gramStart"/>
            <w:r w:rsidRPr="004F5FB4">
              <w:rPr>
                <w:color w:val="000000"/>
                <w:lang w:val="en-US"/>
              </w:rPr>
              <w:t>Joints</w:t>
            </w:r>
            <w:r w:rsidRPr="004F5FB4">
              <w:rPr>
                <w:color w:val="000000"/>
                <w:vertAlign w:val="superscript"/>
                <w:lang w:val="en-US"/>
              </w:rPr>
              <w:t>d,i</w:t>
            </w:r>
            <w:proofErr w:type="spellEnd"/>
            <w:proofErr w:type="gramEnd"/>
            <w:r w:rsidRPr="004F5FB4">
              <w:rPr>
                <w:color w:val="000000"/>
                <w:lang w:val="en-US"/>
              </w:rPr>
              <w:t xml:space="preserve"> </w:t>
            </w:r>
          </w:p>
        </w:tc>
        <w:tc>
          <w:tcPr>
            <w:tcW w:w="2527" w:type="dxa"/>
            <w:tcBorders>
              <w:top w:val="single" w:sz="4" w:space="0" w:color="auto"/>
              <w:left w:val="single" w:sz="4" w:space="0" w:color="auto"/>
              <w:bottom w:val="single" w:sz="4" w:space="0" w:color="auto"/>
              <w:right w:val="single" w:sz="4" w:space="0" w:color="auto"/>
            </w:tcBorders>
            <w:vAlign w:val="center"/>
            <w:hideMark/>
          </w:tcPr>
          <w:p w14:paraId="772BEDF1" w14:textId="77777777" w:rsidR="00C46587" w:rsidRPr="004F5FB4" w:rsidRDefault="00C46587" w:rsidP="00982118">
            <w:pPr>
              <w:jc w:val="center"/>
              <w:rPr>
                <w:color w:val="000000"/>
              </w:rPr>
            </w:pPr>
            <w:r w:rsidRPr="004F5FB4">
              <w:rPr>
                <w:color w:val="000000"/>
              </w:rPr>
              <w:t>-0,6</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B543DF2" w14:textId="77777777" w:rsidR="00C46587" w:rsidRPr="004F5FB4" w:rsidRDefault="00C46587" w:rsidP="00982118">
            <w:pPr>
              <w:jc w:val="center"/>
              <w:rPr>
                <w:color w:val="000000"/>
              </w:rPr>
            </w:pPr>
            <w:r w:rsidRPr="004F5FB4">
              <w:rPr>
                <w:color w:val="000000"/>
              </w:rPr>
              <w:t>-3,2</w:t>
            </w:r>
            <w:r w:rsidR="00841557" w:rsidRPr="004F5FB4">
              <w:rPr>
                <w:color w:val="000000"/>
              </w:rPr>
              <w:t>**</w:t>
            </w:r>
          </w:p>
        </w:tc>
      </w:tr>
      <w:tr w:rsidR="00C46587" w:rsidRPr="004F5FB4" w14:paraId="7AFCA044" w14:textId="77777777" w:rsidTr="00634BE0">
        <w:tc>
          <w:tcPr>
            <w:tcW w:w="4248" w:type="dxa"/>
            <w:tcBorders>
              <w:top w:val="single" w:sz="4" w:space="0" w:color="auto"/>
              <w:left w:val="single" w:sz="4" w:space="0" w:color="auto"/>
              <w:bottom w:val="single" w:sz="4" w:space="0" w:color="auto"/>
              <w:right w:val="single" w:sz="4" w:space="0" w:color="auto"/>
            </w:tcBorders>
            <w:hideMark/>
          </w:tcPr>
          <w:p w14:paraId="40C99CDC" w14:textId="77777777" w:rsidR="00C46587" w:rsidRPr="004F5FB4" w:rsidRDefault="00C46587" w:rsidP="00982118">
            <w:pPr>
              <w:rPr>
                <w:color w:val="000000"/>
              </w:rPr>
            </w:pPr>
            <w:r w:rsidRPr="004F5FB4">
              <w:rPr>
                <w:color w:val="000000"/>
              </w:rPr>
              <w:t>SPARCC MRI Spine</w:t>
            </w:r>
            <w:r w:rsidRPr="004F5FB4">
              <w:rPr>
                <w:color w:val="000000"/>
                <w:vertAlign w:val="superscript"/>
              </w:rPr>
              <w:t>d,j</w:t>
            </w:r>
          </w:p>
        </w:tc>
        <w:tc>
          <w:tcPr>
            <w:tcW w:w="2527" w:type="dxa"/>
            <w:tcBorders>
              <w:top w:val="single" w:sz="4" w:space="0" w:color="auto"/>
              <w:left w:val="single" w:sz="4" w:space="0" w:color="auto"/>
              <w:bottom w:val="single" w:sz="4" w:space="0" w:color="auto"/>
              <w:right w:val="single" w:sz="4" w:space="0" w:color="auto"/>
            </w:tcBorders>
            <w:vAlign w:val="center"/>
            <w:hideMark/>
          </w:tcPr>
          <w:p w14:paraId="1193729A" w14:textId="77777777" w:rsidR="00C46587" w:rsidRPr="004F5FB4" w:rsidRDefault="00C46587" w:rsidP="00982118">
            <w:pPr>
              <w:jc w:val="center"/>
              <w:rPr>
                <w:color w:val="000000"/>
              </w:rPr>
            </w:pPr>
            <w:r w:rsidRPr="004F5FB4">
              <w:rPr>
                <w:color w:val="000000"/>
              </w:rPr>
              <w:t>-0,2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0A026C8" w14:textId="77777777" w:rsidR="00C46587" w:rsidRPr="004F5FB4" w:rsidRDefault="00C46587" w:rsidP="00982118">
            <w:pPr>
              <w:jc w:val="center"/>
              <w:rPr>
                <w:color w:val="000000"/>
              </w:rPr>
            </w:pPr>
            <w:r w:rsidRPr="004F5FB4">
              <w:rPr>
                <w:color w:val="000000"/>
              </w:rPr>
              <w:t>-1,8</w:t>
            </w:r>
            <w:r w:rsidR="00841557" w:rsidRPr="004F5FB4">
              <w:rPr>
                <w:color w:val="000000"/>
              </w:rPr>
              <w:t>**</w:t>
            </w:r>
          </w:p>
        </w:tc>
      </w:tr>
      <w:tr w:rsidR="00922261" w:rsidRPr="004F5FB4" w14:paraId="29FFF93B" w14:textId="77777777" w:rsidTr="00634BE0">
        <w:tc>
          <w:tcPr>
            <w:tcW w:w="9303" w:type="dxa"/>
            <w:gridSpan w:val="3"/>
            <w:tcBorders>
              <w:top w:val="single" w:sz="4" w:space="0" w:color="auto"/>
              <w:left w:val="nil"/>
              <w:bottom w:val="nil"/>
              <w:right w:val="nil"/>
            </w:tcBorders>
          </w:tcPr>
          <w:p w14:paraId="489D5A32" w14:textId="77777777" w:rsidR="00922261" w:rsidRPr="00206AEA" w:rsidRDefault="00922261" w:rsidP="00922261">
            <w:pPr>
              <w:ind w:left="270" w:hanging="270"/>
              <w:rPr>
                <w:color w:val="000000"/>
                <w:sz w:val="20"/>
                <w:lang w:val="en-US"/>
              </w:rPr>
            </w:pPr>
            <w:proofErr w:type="spellStart"/>
            <w:proofErr w:type="gramStart"/>
            <w:r w:rsidRPr="00206AEA">
              <w:rPr>
                <w:color w:val="000000"/>
                <w:sz w:val="20"/>
                <w:vertAlign w:val="superscript"/>
                <w:lang w:val="en-US"/>
              </w:rPr>
              <w:t>a</w:t>
            </w:r>
            <w:proofErr w:type="spellEnd"/>
            <w:proofErr w:type="gramEnd"/>
            <w:r w:rsidRPr="00206AEA">
              <w:rPr>
                <w:color w:val="000000"/>
                <w:sz w:val="20"/>
                <w:lang w:val="en-US"/>
              </w:rPr>
              <w:t xml:space="preserve"> </w:t>
            </w:r>
            <w:r w:rsidRPr="00206AEA">
              <w:rPr>
                <w:color w:val="000000"/>
                <w:sz w:val="20"/>
                <w:lang w:val="en-US"/>
              </w:rPr>
              <w:tab/>
              <w:t xml:space="preserve">Assessment of </w:t>
            </w:r>
            <w:proofErr w:type="spellStart"/>
            <w:r w:rsidRPr="00206AEA">
              <w:rPr>
                <w:color w:val="000000"/>
                <w:sz w:val="20"/>
                <w:lang w:val="en-US"/>
              </w:rPr>
              <w:t>SpondyloArthritis</w:t>
            </w:r>
            <w:proofErr w:type="spellEnd"/>
            <w:r w:rsidRPr="00206AEA">
              <w:rPr>
                <w:color w:val="000000"/>
                <w:sz w:val="20"/>
                <w:lang w:val="en-US"/>
              </w:rPr>
              <w:t xml:space="preserve"> International Society</w:t>
            </w:r>
          </w:p>
          <w:p w14:paraId="579A15FE" w14:textId="77777777" w:rsidR="00922261" w:rsidRPr="00206AEA" w:rsidRDefault="00922261" w:rsidP="00922261">
            <w:pPr>
              <w:ind w:left="270" w:hanging="270"/>
              <w:rPr>
                <w:color w:val="000000"/>
                <w:sz w:val="20"/>
                <w:lang w:val="en-US"/>
              </w:rPr>
            </w:pPr>
            <w:r w:rsidRPr="00206AEA">
              <w:rPr>
                <w:color w:val="000000"/>
                <w:sz w:val="20"/>
                <w:vertAlign w:val="superscript"/>
                <w:lang w:val="en-US"/>
              </w:rPr>
              <w:t>b</w:t>
            </w:r>
            <w:r w:rsidRPr="00206AEA">
              <w:rPr>
                <w:color w:val="000000"/>
                <w:sz w:val="20"/>
                <w:lang w:val="en-US"/>
              </w:rPr>
              <w:t xml:space="preserve"> </w:t>
            </w:r>
            <w:r w:rsidRPr="00206AEA">
              <w:rPr>
                <w:color w:val="000000"/>
                <w:sz w:val="20"/>
                <w:lang w:val="en-US"/>
              </w:rPr>
              <w:tab/>
              <w:t>Bath Ankylosing Spondylitis Disease Activity Index</w:t>
            </w:r>
          </w:p>
          <w:p w14:paraId="4D4A8558" w14:textId="77777777" w:rsidR="00922261" w:rsidRPr="00206AEA" w:rsidRDefault="00922261" w:rsidP="00922261">
            <w:pPr>
              <w:ind w:left="270" w:hanging="270"/>
              <w:rPr>
                <w:color w:val="000000"/>
                <w:sz w:val="20"/>
                <w:lang w:val="en-US"/>
              </w:rPr>
            </w:pPr>
            <w:r w:rsidRPr="00206AEA">
              <w:rPr>
                <w:color w:val="000000"/>
                <w:sz w:val="20"/>
                <w:vertAlign w:val="superscript"/>
                <w:lang w:val="en-US"/>
              </w:rPr>
              <w:t>c</w:t>
            </w:r>
            <w:r w:rsidRPr="00206AEA">
              <w:rPr>
                <w:color w:val="000000"/>
                <w:sz w:val="20"/>
                <w:lang w:val="en-US"/>
              </w:rPr>
              <w:t xml:space="preserve"> </w:t>
            </w:r>
            <w:r w:rsidRPr="00206AEA">
              <w:rPr>
                <w:color w:val="000000"/>
                <w:sz w:val="20"/>
                <w:lang w:val="en-US"/>
              </w:rPr>
              <w:tab/>
              <w:t xml:space="preserve">Ankylosing Spondylitis Disease Activity Score </w:t>
            </w:r>
          </w:p>
          <w:p w14:paraId="3EEA532A" w14:textId="77777777" w:rsidR="00922261" w:rsidRPr="00206AEA" w:rsidRDefault="00922261" w:rsidP="00922261">
            <w:pPr>
              <w:ind w:left="270" w:hanging="270"/>
              <w:rPr>
                <w:color w:val="000000"/>
                <w:sz w:val="20"/>
              </w:rPr>
            </w:pPr>
            <w:r w:rsidRPr="00206AEA">
              <w:rPr>
                <w:color w:val="000000"/>
                <w:sz w:val="20"/>
                <w:vertAlign w:val="superscript"/>
              </w:rPr>
              <w:t>d</w:t>
            </w:r>
            <w:r w:rsidRPr="00206AEA">
              <w:rPr>
                <w:color w:val="000000"/>
                <w:sz w:val="20"/>
              </w:rPr>
              <w:t xml:space="preserve"> </w:t>
            </w:r>
            <w:r w:rsidRPr="00206AEA">
              <w:rPr>
                <w:color w:val="000000"/>
                <w:sz w:val="20"/>
              </w:rPr>
              <w:tab/>
              <w:t>Mittlere Veränderung gegenüber Baseline</w:t>
            </w:r>
          </w:p>
          <w:p w14:paraId="3E855610" w14:textId="77777777" w:rsidR="00922261" w:rsidRPr="00206AEA" w:rsidRDefault="00922261" w:rsidP="00922261">
            <w:pPr>
              <w:ind w:left="270" w:hanging="270"/>
              <w:rPr>
                <w:color w:val="000000"/>
                <w:sz w:val="20"/>
              </w:rPr>
            </w:pPr>
            <w:r w:rsidRPr="00206AEA">
              <w:rPr>
                <w:color w:val="000000"/>
                <w:sz w:val="20"/>
                <w:vertAlign w:val="superscript"/>
              </w:rPr>
              <w:t>e</w:t>
            </w:r>
            <w:r w:rsidRPr="00206AEA">
              <w:rPr>
                <w:color w:val="000000"/>
                <w:sz w:val="20"/>
              </w:rPr>
              <w:t xml:space="preserve"> </w:t>
            </w:r>
            <w:r w:rsidRPr="00206AEA">
              <w:rPr>
                <w:color w:val="000000"/>
                <w:sz w:val="20"/>
              </w:rPr>
              <w:tab/>
              <w:t>n = 91 Placebo und n = 87 Adalimumab</w:t>
            </w:r>
          </w:p>
          <w:p w14:paraId="1C437B8E" w14:textId="77777777" w:rsidR="00922261" w:rsidRPr="00206AEA" w:rsidRDefault="00922261" w:rsidP="00922261">
            <w:pPr>
              <w:ind w:left="270" w:hanging="270"/>
              <w:rPr>
                <w:color w:val="000000"/>
                <w:sz w:val="20"/>
              </w:rPr>
            </w:pPr>
            <w:r w:rsidRPr="00206AEA">
              <w:rPr>
                <w:color w:val="000000"/>
                <w:sz w:val="20"/>
                <w:vertAlign w:val="superscript"/>
              </w:rPr>
              <w:t>f</w:t>
            </w:r>
            <w:r w:rsidRPr="00206AEA">
              <w:rPr>
                <w:color w:val="000000"/>
                <w:sz w:val="20"/>
              </w:rPr>
              <w:t xml:space="preserve"> </w:t>
            </w:r>
            <w:r w:rsidRPr="00206AEA">
              <w:rPr>
                <w:color w:val="000000"/>
                <w:sz w:val="20"/>
              </w:rPr>
              <w:tab/>
              <w:t>hochsensitives C</w:t>
            </w:r>
            <w:r w:rsidRPr="00206AEA">
              <w:rPr>
                <w:color w:val="000000"/>
                <w:sz w:val="20"/>
              </w:rPr>
              <w:noBreakHyphen/>
              <w:t>reaktives Protein (mg/l)</w:t>
            </w:r>
          </w:p>
          <w:p w14:paraId="63E7C4F6" w14:textId="77777777" w:rsidR="00922261" w:rsidRPr="00EC03BF" w:rsidRDefault="00922261" w:rsidP="00922261">
            <w:pPr>
              <w:ind w:left="270" w:hanging="270"/>
              <w:rPr>
                <w:color w:val="000000"/>
                <w:sz w:val="20"/>
                <w:lang w:val="pt-BR"/>
              </w:rPr>
            </w:pPr>
            <w:r w:rsidRPr="00EC03BF">
              <w:rPr>
                <w:color w:val="000000"/>
                <w:sz w:val="20"/>
                <w:vertAlign w:val="superscript"/>
                <w:lang w:val="pt-BR"/>
              </w:rPr>
              <w:t>g</w:t>
            </w:r>
            <w:r w:rsidRPr="00EC03BF">
              <w:rPr>
                <w:color w:val="000000"/>
                <w:sz w:val="20"/>
                <w:lang w:val="pt-BR"/>
              </w:rPr>
              <w:t xml:space="preserve"> </w:t>
            </w:r>
            <w:r w:rsidRPr="00EC03BF">
              <w:rPr>
                <w:color w:val="000000"/>
                <w:sz w:val="20"/>
                <w:lang w:val="pt-BR"/>
              </w:rPr>
              <w:tab/>
              <w:t>n = 73 Placebo und n = 70 Adalimumab</w:t>
            </w:r>
          </w:p>
          <w:p w14:paraId="4D7BEB0E" w14:textId="77777777" w:rsidR="00922261" w:rsidRPr="00206AEA" w:rsidRDefault="00922261" w:rsidP="00922261">
            <w:pPr>
              <w:ind w:left="270" w:hanging="270"/>
              <w:rPr>
                <w:color w:val="000000"/>
                <w:sz w:val="20"/>
                <w:lang w:val="en-US"/>
              </w:rPr>
            </w:pPr>
            <w:r w:rsidRPr="00206AEA">
              <w:rPr>
                <w:color w:val="000000"/>
                <w:sz w:val="20"/>
                <w:vertAlign w:val="superscript"/>
                <w:lang w:val="en-US"/>
              </w:rPr>
              <w:t>h</w:t>
            </w:r>
            <w:r w:rsidRPr="00206AEA">
              <w:rPr>
                <w:color w:val="000000"/>
                <w:sz w:val="20"/>
                <w:lang w:val="en-US"/>
              </w:rPr>
              <w:t xml:space="preserve"> </w:t>
            </w:r>
            <w:r w:rsidRPr="00206AEA">
              <w:rPr>
                <w:color w:val="000000"/>
                <w:sz w:val="20"/>
                <w:lang w:val="en-US"/>
              </w:rPr>
              <w:tab/>
            </w:r>
            <w:proofErr w:type="spellStart"/>
            <w:r w:rsidRPr="00206AEA">
              <w:rPr>
                <w:color w:val="000000"/>
                <w:sz w:val="20"/>
                <w:lang w:val="en-US"/>
              </w:rPr>
              <w:t>Spondyloarthritis</w:t>
            </w:r>
            <w:proofErr w:type="spellEnd"/>
            <w:r w:rsidRPr="00206AEA">
              <w:rPr>
                <w:color w:val="000000"/>
                <w:sz w:val="20"/>
                <w:lang w:val="en-US"/>
              </w:rPr>
              <w:t xml:space="preserve"> Research Consortium of Canada</w:t>
            </w:r>
          </w:p>
          <w:p w14:paraId="25F56230" w14:textId="77777777" w:rsidR="00922261" w:rsidRPr="00EC03BF" w:rsidRDefault="00922261" w:rsidP="00922261">
            <w:pPr>
              <w:ind w:left="270" w:hanging="270"/>
              <w:rPr>
                <w:color w:val="000000"/>
                <w:sz w:val="20"/>
                <w:lang w:val="pt-BR"/>
              </w:rPr>
            </w:pPr>
            <w:r w:rsidRPr="00EC03BF">
              <w:rPr>
                <w:color w:val="000000"/>
                <w:sz w:val="20"/>
                <w:vertAlign w:val="superscript"/>
                <w:lang w:val="pt-BR"/>
              </w:rPr>
              <w:t>i</w:t>
            </w:r>
            <w:r w:rsidRPr="00EC03BF">
              <w:rPr>
                <w:color w:val="000000"/>
                <w:sz w:val="20"/>
                <w:lang w:val="pt-BR"/>
              </w:rPr>
              <w:t xml:space="preserve"> </w:t>
            </w:r>
            <w:r w:rsidRPr="00EC03BF">
              <w:rPr>
                <w:color w:val="000000"/>
                <w:sz w:val="20"/>
                <w:lang w:val="pt-BR"/>
              </w:rPr>
              <w:tab/>
              <w:t>n = 84 Placebo und Adalimumab</w:t>
            </w:r>
          </w:p>
          <w:p w14:paraId="51C486B4" w14:textId="77777777" w:rsidR="00922261" w:rsidRPr="00EC03BF" w:rsidRDefault="00922261" w:rsidP="00A13AE4">
            <w:pPr>
              <w:tabs>
                <w:tab w:val="left" w:pos="270"/>
              </w:tabs>
              <w:rPr>
                <w:color w:val="000000"/>
                <w:sz w:val="20"/>
                <w:lang w:val="pt-BR"/>
              </w:rPr>
            </w:pPr>
            <w:r w:rsidRPr="00EC03BF">
              <w:rPr>
                <w:color w:val="000000"/>
                <w:sz w:val="20"/>
                <w:vertAlign w:val="superscript"/>
                <w:lang w:val="pt-BR"/>
              </w:rPr>
              <w:t>j</w:t>
            </w:r>
            <w:r w:rsidRPr="00EC03BF">
              <w:rPr>
                <w:color w:val="000000"/>
                <w:sz w:val="20"/>
                <w:lang w:val="pt-BR"/>
              </w:rPr>
              <w:t xml:space="preserve"> </w:t>
            </w:r>
            <w:r w:rsidRPr="00EC03BF">
              <w:rPr>
                <w:color w:val="000000"/>
                <w:sz w:val="20"/>
                <w:lang w:val="pt-BR"/>
              </w:rPr>
              <w:tab/>
              <w:t>n = 82 Placebo und n = 85 Adalimumab</w:t>
            </w:r>
          </w:p>
          <w:p w14:paraId="7B709B3A" w14:textId="77777777" w:rsidR="00922261" w:rsidRPr="00206AEA" w:rsidRDefault="00922261" w:rsidP="00922261">
            <w:pPr>
              <w:rPr>
                <w:color w:val="000000"/>
                <w:sz w:val="20"/>
              </w:rPr>
            </w:pPr>
            <w:r w:rsidRPr="00206AEA">
              <w:rPr>
                <w:color w:val="000000"/>
                <w:sz w:val="20"/>
              </w:rPr>
              <w:t>***, **, * statistisch signifikant mit p</w:t>
            </w:r>
            <w:r w:rsidR="004616AA" w:rsidRPr="00206AEA">
              <w:rPr>
                <w:color w:val="000000"/>
                <w:sz w:val="20"/>
              </w:rPr>
              <w:t> </w:t>
            </w:r>
            <w:r w:rsidRPr="00206AEA">
              <w:rPr>
                <w:color w:val="000000"/>
                <w:sz w:val="20"/>
              </w:rPr>
              <w:t>&lt;</w:t>
            </w:r>
            <w:r w:rsidR="004616AA" w:rsidRPr="00206AEA">
              <w:rPr>
                <w:color w:val="000000"/>
                <w:sz w:val="20"/>
              </w:rPr>
              <w:t> </w:t>
            </w:r>
            <w:r w:rsidRPr="00206AEA">
              <w:rPr>
                <w:color w:val="000000"/>
                <w:sz w:val="20"/>
              </w:rPr>
              <w:t>0,001; &lt;</w:t>
            </w:r>
            <w:r w:rsidR="004616AA" w:rsidRPr="00206AEA">
              <w:rPr>
                <w:color w:val="000000"/>
                <w:sz w:val="20"/>
              </w:rPr>
              <w:t> </w:t>
            </w:r>
            <w:r w:rsidRPr="00206AEA">
              <w:rPr>
                <w:color w:val="000000"/>
                <w:sz w:val="20"/>
              </w:rPr>
              <w:t>0,01 bzw. &lt;</w:t>
            </w:r>
            <w:r w:rsidR="004616AA" w:rsidRPr="00206AEA">
              <w:rPr>
                <w:color w:val="000000"/>
                <w:sz w:val="20"/>
              </w:rPr>
              <w:t> </w:t>
            </w:r>
            <w:r w:rsidRPr="00206AEA">
              <w:rPr>
                <w:color w:val="000000"/>
                <w:sz w:val="20"/>
              </w:rPr>
              <w:t xml:space="preserve">0,05 für alle Vergleiche von Adalimumab mit Placebo </w:t>
            </w:r>
          </w:p>
        </w:tc>
      </w:tr>
    </w:tbl>
    <w:p w14:paraId="5C091B55" w14:textId="77777777" w:rsidR="00C46587" w:rsidRPr="004F5FB4" w:rsidRDefault="00C46587" w:rsidP="00982118">
      <w:pPr>
        <w:rPr>
          <w:color w:val="000000"/>
        </w:rPr>
      </w:pPr>
    </w:p>
    <w:p w14:paraId="646A6FFB" w14:textId="77777777" w:rsidR="00C46587" w:rsidRPr="004F5FB4" w:rsidRDefault="00C46587" w:rsidP="00982118">
      <w:pPr>
        <w:rPr>
          <w:color w:val="000000"/>
        </w:rPr>
      </w:pPr>
      <w:r w:rsidRPr="004F5FB4">
        <w:rPr>
          <w:color w:val="000000"/>
        </w:rPr>
        <w:t>In der offenen Erweiterungsstudie konnte die Verbesserung der Anzeichen und Symptome unter der Behandlung mit Adalimumab bis Woche</w:t>
      </w:r>
      <w:r w:rsidR="00763A61" w:rsidRPr="004F5FB4">
        <w:rPr>
          <w:color w:val="000000"/>
        </w:rPr>
        <w:t> </w:t>
      </w:r>
      <w:r w:rsidRPr="004F5FB4">
        <w:rPr>
          <w:color w:val="000000"/>
        </w:rPr>
        <w:t>156 aufrechterhalten werden.</w:t>
      </w:r>
    </w:p>
    <w:p w14:paraId="6256E3CC" w14:textId="77777777" w:rsidR="00C46587" w:rsidRPr="004F5FB4" w:rsidRDefault="00C46587" w:rsidP="00982118">
      <w:pPr>
        <w:rPr>
          <w:color w:val="000000"/>
        </w:rPr>
      </w:pPr>
    </w:p>
    <w:p w14:paraId="3A6DED5D" w14:textId="77777777" w:rsidR="00C46587" w:rsidRPr="004F5FB4" w:rsidRDefault="00C46587" w:rsidP="00DC3A99">
      <w:pPr>
        <w:keepNext/>
        <w:rPr>
          <w:color w:val="000000"/>
        </w:rPr>
      </w:pPr>
      <w:r w:rsidRPr="004F5FB4">
        <w:rPr>
          <w:color w:val="000000"/>
        </w:rPr>
        <w:t>Hemmung der Entzündung</w:t>
      </w:r>
    </w:p>
    <w:p w14:paraId="2637E3FA" w14:textId="77777777" w:rsidR="00C46587" w:rsidRPr="004F5FB4" w:rsidRDefault="00C46587" w:rsidP="00DC3A99">
      <w:pPr>
        <w:keepNext/>
        <w:rPr>
          <w:color w:val="000000"/>
        </w:rPr>
      </w:pPr>
    </w:p>
    <w:p w14:paraId="4931A378" w14:textId="77777777" w:rsidR="00C46587" w:rsidRPr="004F5FB4" w:rsidRDefault="00C46587" w:rsidP="00982118">
      <w:pPr>
        <w:rPr>
          <w:color w:val="000000"/>
        </w:rPr>
      </w:pPr>
      <w:r w:rsidRPr="004F5FB4">
        <w:rPr>
          <w:color w:val="000000"/>
        </w:rPr>
        <w:t>Eine signifikante Verbesserung der Anzeichen der Entzündung beider Iliosakralgelenke und der Wirbelsäule, gemessen mittels hs</w:t>
      </w:r>
      <w:r w:rsidRPr="004F5FB4">
        <w:rPr>
          <w:color w:val="000000"/>
        </w:rPr>
        <w:noBreakHyphen/>
        <w:t>CRP-Wert und MRT, konnte bei den mit Adalimumab behandelten Patienten bis Woche</w:t>
      </w:r>
      <w:r w:rsidR="00763A61" w:rsidRPr="004F5FB4">
        <w:rPr>
          <w:color w:val="000000"/>
        </w:rPr>
        <w:t> </w:t>
      </w:r>
      <w:r w:rsidRPr="004F5FB4">
        <w:rPr>
          <w:color w:val="000000"/>
        </w:rPr>
        <w:t>156 bzw. 104 aufrechterhalten werden.</w:t>
      </w:r>
    </w:p>
    <w:p w14:paraId="10590E89" w14:textId="77777777" w:rsidR="00C46587" w:rsidRPr="004F5FB4" w:rsidRDefault="00C46587" w:rsidP="00982118">
      <w:pPr>
        <w:rPr>
          <w:color w:val="000000"/>
        </w:rPr>
      </w:pPr>
    </w:p>
    <w:p w14:paraId="438F4C60" w14:textId="77777777" w:rsidR="00C46587" w:rsidRPr="004F5FB4" w:rsidRDefault="00C46587" w:rsidP="00982118">
      <w:pPr>
        <w:keepNext/>
        <w:rPr>
          <w:color w:val="000000"/>
        </w:rPr>
      </w:pPr>
      <w:r w:rsidRPr="004F5FB4">
        <w:rPr>
          <w:color w:val="000000"/>
        </w:rPr>
        <w:t>Lebensqualität und körperliche Funktionsfähigkeit</w:t>
      </w:r>
    </w:p>
    <w:p w14:paraId="6B71D7F6" w14:textId="77777777" w:rsidR="00C46587" w:rsidRPr="004F5FB4" w:rsidRDefault="00C46587" w:rsidP="00687087">
      <w:pPr>
        <w:keepNext/>
        <w:rPr>
          <w:color w:val="000000"/>
        </w:rPr>
      </w:pPr>
    </w:p>
    <w:p w14:paraId="0976F773" w14:textId="77777777" w:rsidR="00C46587" w:rsidRPr="004F5FB4" w:rsidRDefault="00C46587" w:rsidP="00982118">
      <w:pPr>
        <w:rPr>
          <w:color w:val="000000"/>
        </w:rPr>
      </w:pPr>
      <w:r w:rsidRPr="004F5FB4">
        <w:rPr>
          <w:color w:val="000000"/>
        </w:rPr>
        <w:t>Die gesundheitsbezogene Lebensqualität und körperliche Funktionsfähigkeit wurden unter Anwendung der HAQ</w:t>
      </w:r>
      <w:r w:rsidRPr="004F5FB4">
        <w:rPr>
          <w:color w:val="000000"/>
        </w:rPr>
        <w:noBreakHyphen/>
        <w:t>S- und SF</w:t>
      </w:r>
      <w:r w:rsidRPr="004F5FB4">
        <w:rPr>
          <w:color w:val="000000"/>
        </w:rPr>
        <w:noBreakHyphen/>
        <w:t>36</w:t>
      </w:r>
      <w:r w:rsidRPr="004F5FB4">
        <w:rPr>
          <w:color w:val="000000"/>
        </w:rPr>
        <w:noBreakHyphen/>
        <w:t>Fragebögen geprüft. Im Vergleich zu Placebo zeigte Adalimumab von Studienbeginn bis Woche 12 eine statistisch signifikant stärkere Verbesserung im HAQ</w:t>
      </w:r>
      <w:r w:rsidRPr="004F5FB4">
        <w:rPr>
          <w:color w:val="000000"/>
        </w:rPr>
        <w:noBreakHyphen/>
        <w:t>S-Gesamtscore und der körperlichen Funktionsfähigkeit (SF</w:t>
      </w:r>
      <w:r w:rsidRPr="004F5FB4">
        <w:rPr>
          <w:color w:val="000000"/>
        </w:rPr>
        <w:noBreakHyphen/>
        <w:t xml:space="preserve">36 Physical Component Score </w:t>
      </w:r>
      <w:r w:rsidR="00763A61" w:rsidRPr="004F5FB4">
        <w:rPr>
          <w:color w:val="000000"/>
        </w:rPr>
        <w:t>[</w:t>
      </w:r>
      <w:r w:rsidRPr="004F5FB4">
        <w:rPr>
          <w:color w:val="000000"/>
        </w:rPr>
        <w:t>PCS</w:t>
      </w:r>
      <w:r w:rsidR="00763A61" w:rsidRPr="004F5FB4">
        <w:rPr>
          <w:color w:val="000000"/>
        </w:rPr>
        <w:t>]</w:t>
      </w:r>
      <w:r w:rsidRPr="004F5FB4">
        <w:rPr>
          <w:color w:val="000000"/>
        </w:rPr>
        <w:t xml:space="preserve">). Die Verbesserung der gesundheitsbezogenen Lebensqualität und der körperlichen Funktionsfähigkeit konnte in der offenen </w:t>
      </w:r>
      <w:r w:rsidR="00605145" w:rsidRPr="004F5FB4">
        <w:rPr>
          <w:color w:val="000000"/>
        </w:rPr>
        <w:t>Fortsetz</w:t>
      </w:r>
      <w:r w:rsidRPr="004F5FB4">
        <w:rPr>
          <w:color w:val="000000"/>
        </w:rPr>
        <w:t>ungsstudie bis Woche</w:t>
      </w:r>
      <w:r w:rsidR="00763A61" w:rsidRPr="004F5FB4">
        <w:rPr>
          <w:color w:val="000000"/>
        </w:rPr>
        <w:t> </w:t>
      </w:r>
      <w:r w:rsidRPr="004F5FB4">
        <w:rPr>
          <w:color w:val="000000"/>
        </w:rPr>
        <w:t xml:space="preserve">156 aufrechterhalten werden. </w:t>
      </w:r>
    </w:p>
    <w:p w14:paraId="33FFACA7" w14:textId="77777777" w:rsidR="00C46587" w:rsidRPr="004F5FB4" w:rsidRDefault="00C46587" w:rsidP="00982118">
      <w:pPr>
        <w:rPr>
          <w:color w:val="000000"/>
        </w:rPr>
      </w:pPr>
    </w:p>
    <w:p w14:paraId="728F4D25" w14:textId="77777777" w:rsidR="00CF5C4A" w:rsidRPr="004F5FB4" w:rsidRDefault="00CF5C4A" w:rsidP="00982118">
      <w:pPr>
        <w:keepNext/>
        <w:autoSpaceDE w:val="0"/>
        <w:autoSpaceDN w:val="0"/>
        <w:adjustRightInd w:val="0"/>
        <w:rPr>
          <w:color w:val="000000"/>
        </w:rPr>
      </w:pPr>
      <w:r w:rsidRPr="004F5FB4">
        <w:rPr>
          <w:color w:val="000000"/>
        </w:rPr>
        <w:t>nr-axSpA-Studie</w:t>
      </w:r>
      <w:r w:rsidR="00763A61" w:rsidRPr="004F5FB4">
        <w:rPr>
          <w:color w:val="000000"/>
        </w:rPr>
        <w:t> </w:t>
      </w:r>
      <w:r w:rsidRPr="004F5FB4">
        <w:rPr>
          <w:color w:val="000000"/>
        </w:rPr>
        <w:t>II</w:t>
      </w:r>
    </w:p>
    <w:p w14:paraId="7E8F7368" w14:textId="77777777" w:rsidR="00CF5C4A" w:rsidRPr="004F5FB4" w:rsidRDefault="00CF5C4A" w:rsidP="00982118">
      <w:pPr>
        <w:keepNext/>
        <w:autoSpaceDE w:val="0"/>
        <w:autoSpaceDN w:val="0"/>
        <w:adjustRightInd w:val="0"/>
        <w:rPr>
          <w:color w:val="000000"/>
        </w:rPr>
      </w:pPr>
    </w:p>
    <w:p w14:paraId="604B5D6E" w14:textId="77777777" w:rsidR="00CF5C4A" w:rsidRPr="004F5FB4" w:rsidRDefault="00CF5C4A" w:rsidP="00687087">
      <w:pPr>
        <w:autoSpaceDE w:val="0"/>
        <w:autoSpaceDN w:val="0"/>
        <w:adjustRightInd w:val="0"/>
        <w:rPr>
          <w:color w:val="000000"/>
        </w:rPr>
      </w:pPr>
      <w:r w:rsidRPr="004F5FB4">
        <w:rPr>
          <w:color w:val="000000"/>
        </w:rPr>
        <w:t>673</w:t>
      </w:r>
      <w:r w:rsidR="00763A61" w:rsidRPr="004F5FB4">
        <w:rPr>
          <w:color w:val="000000"/>
        </w:rPr>
        <w:t> </w:t>
      </w:r>
      <w:r w:rsidRPr="004F5FB4">
        <w:rPr>
          <w:color w:val="000000"/>
        </w:rPr>
        <w:t>Patienten mit aktiver nr-axSpA (mittlerer Ausgangswert der Krankheitsaktivität [BASDAI] war 7,0), die auf ≥</w:t>
      </w:r>
      <w:r w:rsidR="00763A61" w:rsidRPr="004F5FB4">
        <w:rPr>
          <w:color w:val="000000"/>
        </w:rPr>
        <w:t> </w:t>
      </w:r>
      <w:r w:rsidRPr="004F5FB4">
        <w:rPr>
          <w:color w:val="000000"/>
        </w:rPr>
        <w:t xml:space="preserve">2 NSAR unzureichend angesprochen haben oder bei denen eine Unverträglichkeit oder Kontraindikation gegenüber diesen vorlag, wurden in die offene </w:t>
      </w:r>
      <w:r w:rsidR="00605145" w:rsidRPr="004F5FB4">
        <w:rPr>
          <w:color w:val="000000"/>
        </w:rPr>
        <w:t>Fortsetzungsp</w:t>
      </w:r>
      <w:r w:rsidRPr="004F5FB4">
        <w:rPr>
          <w:color w:val="000000"/>
        </w:rPr>
        <w:t>hase der nr-axSpA-Studie</w:t>
      </w:r>
      <w:r w:rsidR="00763A61" w:rsidRPr="004F5FB4">
        <w:rPr>
          <w:color w:val="000000"/>
        </w:rPr>
        <w:t> </w:t>
      </w:r>
      <w:r w:rsidRPr="004F5FB4">
        <w:rPr>
          <w:color w:val="000000"/>
        </w:rPr>
        <w:t>II aufgenommen. Die Patienten erhielten jede zweite Woche Adalimumab 40</w:t>
      </w:r>
      <w:r w:rsidR="00763A61" w:rsidRPr="004F5FB4">
        <w:rPr>
          <w:color w:val="000000"/>
        </w:rPr>
        <w:t> </w:t>
      </w:r>
      <w:r w:rsidRPr="004F5FB4">
        <w:rPr>
          <w:color w:val="000000"/>
        </w:rPr>
        <w:t>mg für 28</w:t>
      </w:r>
      <w:r w:rsidR="00763A61" w:rsidRPr="004F5FB4">
        <w:rPr>
          <w:color w:val="000000"/>
        </w:rPr>
        <w:t> </w:t>
      </w:r>
      <w:r w:rsidRPr="004F5FB4">
        <w:rPr>
          <w:color w:val="000000"/>
        </w:rPr>
        <w:t>Wochen.</w:t>
      </w:r>
    </w:p>
    <w:p w14:paraId="464C4085" w14:textId="77777777" w:rsidR="00CF5C4A" w:rsidRPr="004F5FB4" w:rsidRDefault="00CF5C4A" w:rsidP="00687087">
      <w:pPr>
        <w:autoSpaceDE w:val="0"/>
        <w:autoSpaceDN w:val="0"/>
        <w:adjustRightInd w:val="0"/>
        <w:rPr>
          <w:color w:val="000000"/>
        </w:rPr>
      </w:pPr>
    </w:p>
    <w:p w14:paraId="7653F5F2" w14:textId="77777777" w:rsidR="00CF5C4A" w:rsidRPr="004F5FB4" w:rsidRDefault="00605145" w:rsidP="00982118">
      <w:pPr>
        <w:autoSpaceDE w:val="0"/>
        <w:autoSpaceDN w:val="0"/>
        <w:adjustRightInd w:val="0"/>
        <w:rPr>
          <w:color w:val="000000"/>
        </w:rPr>
      </w:pPr>
      <w:r w:rsidRPr="004F5FB4">
        <w:rPr>
          <w:color w:val="000000"/>
        </w:rPr>
        <w:lastRenderedPageBreak/>
        <w:t>Alle</w:t>
      </w:r>
      <w:r w:rsidR="00CF5C4A" w:rsidRPr="004F5FB4">
        <w:rPr>
          <w:color w:val="000000"/>
        </w:rPr>
        <w:t xml:space="preserve"> Patienten hatten Anzeichen einer Entzündung des Iliosakralgelenkes oder der Wirbelsäule, die mittels MRT nachgewiesen wurden, oder erhöhte hs-CRP-Werte. Patienten, die während der offenen </w:t>
      </w:r>
      <w:r w:rsidRPr="004F5FB4">
        <w:rPr>
          <w:color w:val="000000"/>
        </w:rPr>
        <w:t>Fortsetzungsp</w:t>
      </w:r>
      <w:r w:rsidR="00CF5C4A" w:rsidRPr="004F5FB4">
        <w:rPr>
          <w:color w:val="000000"/>
        </w:rPr>
        <w:t>hase eine über mindestens 12</w:t>
      </w:r>
      <w:r w:rsidR="00763A61" w:rsidRPr="004F5FB4">
        <w:rPr>
          <w:color w:val="000000"/>
        </w:rPr>
        <w:t> </w:t>
      </w:r>
      <w:r w:rsidR="00CF5C4A" w:rsidRPr="004F5FB4">
        <w:rPr>
          <w:color w:val="000000"/>
        </w:rPr>
        <w:t>Wochen anhaltende Remission erreichten (</w:t>
      </w:r>
      <w:r w:rsidR="000079DD" w:rsidRPr="004F5FB4">
        <w:rPr>
          <w:color w:val="000000"/>
        </w:rPr>
        <w:t>n </w:t>
      </w:r>
      <w:r w:rsidR="00CF5C4A" w:rsidRPr="004F5FB4">
        <w:rPr>
          <w:color w:val="000000"/>
        </w:rPr>
        <w:t>=</w:t>
      </w:r>
      <w:r w:rsidR="000079DD" w:rsidRPr="004F5FB4">
        <w:rPr>
          <w:color w:val="000000"/>
        </w:rPr>
        <w:t> </w:t>
      </w:r>
      <w:r w:rsidR="00CF5C4A" w:rsidRPr="004F5FB4">
        <w:rPr>
          <w:color w:val="000000"/>
        </w:rPr>
        <w:t>305) (ASDAS</w:t>
      </w:r>
      <w:r w:rsidR="00F219C0" w:rsidRPr="004F5FB4">
        <w:rPr>
          <w:color w:val="000000"/>
        </w:rPr>
        <w:t> </w:t>
      </w:r>
      <w:r w:rsidR="00CF5C4A" w:rsidRPr="004F5FB4">
        <w:rPr>
          <w:color w:val="000000"/>
        </w:rPr>
        <w:t>&lt;</w:t>
      </w:r>
      <w:r w:rsidR="00763A61" w:rsidRPr="004F5FB4">
        <w:rPr>
          <w:color w:val="000000"/>
        </w:rPr>
        <w:t> </w:t>
      </w:r>
      <w:r w:rsidR="00CF5C4A" w:rsidRPr="004F5FB4">
        <w:rPr>
          <w:color w:val="000000"/>
        </w:rPr>
        <w:t>1,3 in Woche</w:t>
      </w:r>
      <w:r w:rsidR="00763A61" w:rsidRPr="004F5FB4">
        <w:rPr>
          <w:color w:val="000000"/>
        </w:rPr>
        <w:t> </w:t>
      </w:r>
      <w:r w:rsidR="00CF5C4A" w:rsidRPr="004F5FB4">
        <w:rPr>
          <w:color w:val="000000"/>
        </w:rPr>
        <w:t>16, 20, 24 und 28), wurden daraufhin randomisiert. Sie erhielten in einer doppelblinden, placebokontrollierten Phase weitere 40</w:t>
      </w:r>
      <w:r w:rsidR="00763A61" w:rsidRPr="004F5FB4">
        <w:rPr>
          <w:color w:val="000000"/>
        </w:rPr>
        <w:t> </w:t>
      </w:r>
      <w:r w:rsidR="00CF5C4A" w:rsidRPr="004F5FB4">
        <w:rPr>
          <w:color w:val="000000"/>
        </w:rPr>
        <w:t>Wochen lang (Gesamtdauer der Studie 68</w:t>
      </w:r>
      <w:r w:rsidR="00763A61" w:rsidRPr="004F5FB4">
        <w:rPr>
          <w:color w:val="000000"/>
        </w:rPr>
        <w:t> </w:t>
      </w:r>
      <w:r w:rsidR="00CF5C4A" w:rsidRPr="004F5FB4">
        <w:rPr>
          <w:color w:val="000000"/>
        </w:rPr>
        <w:t>Wochen) entweder weiterhin jede zweite Woche Adalimumab 40</w:t>
      </w:r>
      <w:r w:rsidR="00763A61" w:rsidRPr="004F5FB4">
        <w:rPr>
          <w:color w:val="000000"/>
        </w:rPr>
        <w:t> </w:t>
      </w:r>
      <w:r w:rsidR="00CF5C4A" w:rsidRPr="004F5FB4">
        <w:rPr>
          <w:color w:val="000000"/>
        </w:rPr>
        <w:t>mg (n</w:t>
      </w:r>
      <w:r w:rsidR="000079DD" w:rsidRPr="004F5FB4">
        <w:rPr>
          <w:color w:val="000000"/>
        </w:rPr>
        <w:t> </w:t>
      </w:r>
      <w:r w:rsidR="00CF5C4A" w:rsidRPr="004F5FB4">
        <w:rPr>
          <w:color w:val="000000"/>
        </w:rPr>
        <w:t>=</w:t>
      </w:r>
      <w:r w:rsidR="000079DD" w:rsidRPr="004F5FB4">
        <w:rPr>
          <w:color w:val="000000"/>
        </w:rPr>
        <w:t> </w:t>
      </w:r>
      <w:r w:rsidR="00CF5C4A" w:rsidRPr="004F5FB4">
        <w:rPr>
          <w:color w:val="000000"/>
        </w:rPr>
        <w:t>152) oder Placebo (n</w:t>
      </w:r>
      <w:r w:rsidR="000079DD" w:rsidRPr="004F5FB4">
        <w:rPr>
          <w:color w:val="000000"/>
        </w:rPr>
        <w:t> </w:t>
      </w:r>
      <w:r w:rsidR="00CF5C4A" w:rsidRPr="004F5FB4">
        <w:rPr>
          <w:color w:val="000000"/>
        </w:rPr>
        <w:t>=</w:t>
      </w:r>
      <w:r w:rsidR="000079DD" w:rsidRPr="004F5FB4">
        <w:rPr>
          <w:color w:val="000000"/>
        </w:rPr>
        <w:t> </w:t>
      </w:r>
      <w:r w:rsidR="00CF5C4A" w:rsidRPr="004F5FB4">
        <w:rPr>
          <w:color w:val="000000"/>
        </w:rPr>
        <w:t>153). Studienteilnehmer, die in der doppelblinden Phase einen Schub bekamen, konnten für mindestens 12</w:t>
      </w:r>
      <w:r w:rsidR="00763A61" w:rsidRPr="004F5FB4">
        <w:rPr>
          <w:color w:val="000000"/>
        </w:rPr>
        <w:t> </w:t>
      </w:r>
      <w:r w:rsidR="00CF5C4A" w:rsidRPr="004F5FB4">
        <w:rPr>
          <w:color w:val="000000"/>
        </w:rPr>
        <w:t>Wochen eine Rescue-Therapie mit Adalimumab 40</w:t>
      </w:r>
      <w:r w:rsidR="00763A61" w:rsidRPr="004F5FB4">
        <w:rPr>
          <w:color w:val="000000"/>
        </w:rPr>
        <w:t> </w:t>
      </w:r>
      <w:r w:rsidR="00CF5C4A" w:rsidRPr="004F5FB4">
        <w:rPr>
          <w:color w:val="000000"/>
        </w:rPr>
        <w:t>mg jede zweite Woche erhalten.</w:t>
      </w:r>
    </w:p>
    <w:p w14:paraId="0E0F37A2" w14:textId="77777777" w:rsidR="00CF5C4A" w:rsidRPr="004F5FB4" w:rsidRDefault="00CF5C4A" w:rsidP="00982118">
      <w:pPr>
        <w:autoSpaceDE w:val="0"/>
        <w:autoSpaceDN w:val="0"/>
        <w:adjustRightInd w:val="0"/>
        <w:rPr>
          <w:color w:val="000000"/>
        </w:rPr>
      </w:pPr>
    </w:p>
    <w:p w14:paraId="78D5F8EC" w14:textId="77777777" w:rsidR="00CF5C4A" w:rsidRPr="004F5FB4" w:rsidRDefault="00CF5C4A" w:rsidP="00982118">
      <w:pPr>
        <w:autoSpaceDE w:val="0"/>
        <w:autoSpaceDN w:val="0"/>
        <w:adjustRightInd w:val="0"/>
        <w:rPr>
          <w:color w:val="000000"/>
        </w:rPr>
      </w:pPr>
      <w:r w:rsidRPr="004F5FB4">
        <w:rPr>
          <w:color w:val="000000"/>
        </w:rPr>
        <w:t>Der primäre Wirksamkeitsendpunkt</w:t>
      </w:r>
      <w:r w:rsidR="00605145" w:rsidRPr="004F5FB4">
        <w:rPr>
          <w:color w:val="000000"/>
        </w:rPr>
        <w:t xml:space="preserve"> der Studie</w:t>
      </w:r>
      <w:r w:rsidRPr="004F5FB4">
        <w:rPr>
          <w:color w:val="000000"/>
        </w:rPr>
        <w:t xml:space="preserve"> war der Anteil an Patienten ohne Schub bis Woche</w:t>
      </w:r>
      <w:r w:rsidR="00763A61" w:rsidRPr="004F5FB4">
        <w:rPr>
          <w:color w:val="000000"/>
        </w:rPr>
        <w:t> </w:t>
      </w:r>
      <w:r w:rsidRPr="004F5FB4">
        <w:rPr>
          <w:color w:val="000000"/>
        </w:rPr>
        <w:t>68. Ein Schub war definiert als ASDAS</w:t>
      </w:r>
      <w:r w:rsidR="00F219C0" w:rsidRPr="004F5FB4">
        <w:rPr>
          <w:color w:val="000000"/>
        </w:rPr>
        <w:t> </w:t>
      </w:r>
      <w:r w:rsidRPr="004F5FB4">
        <w:rPr>
          <w:color w:val="000000"/>
        </w:rPr>
        <w:t>≥</w:t>
      </w:r>
      <w:r w:rsidR="00763A61" w:rsidRPr="004F5FB4">
        <w:rPr>
          <w:color w:val="000000"/>
        </w:rPr>
        <w:t> </w:t>
      </w:r>
      <w:r w:rsidRPr="004F5FB4">
        <w:rPr>
          <w:color w:val="000000"/>
        </w:rPr>
        <w:t>2,1 bei zwei aufeinanderfolgenden Visiten im Abstand von vier Wochen. In der doppelblinden Phase hatte ein höherer Anteil der Patienten unter Adalimumab im Vergleich zu Patienten unter Placebo keinen Schub (70,4</w:t>
      </w:r>
      <w:r w:rsidR="00763A61" w:rsidRPr="004F5FB4">
        <w:rPr>
          <w:color w:val="000000"/>
        </w:rPr>
        <w:t> </w:t>
      </w:r>
      <w:r w:rsidRPr="004F5FB4">
        <w:rPr>
          <w:color w:val="000000"/>
        </w:rPr>
        <w:t>% gegenüber 47,1</w:t>
      </w:r>
      <w:r w:rsidR="00763A61" w:rsidRPr="004F5FB4">
        <w:rPr>
          <w:color w:val="000000"/>
        </w:rPr>
        <w:t> </w:t>
      </w:r>
      <w:r w:rsidRPr="004F5FB4">
        <w:rPr>
          <w:color w:val="000000"/>
        </w:rPr>
        <w:t>%, p</w:t>
      </w:r>
      <w:r w:rsidR="007B1316" w:rsidRPr="004F5FB4">
        <w:rPr>
          <w:color w:val="000000"/>
        </w:rPr>
        <w:t> </w:t>
      </w:r>
      <w:r w:rsidRPr="004F5FB4">
        <w:rPr>
          <w:color w:val="000000"/>
        </w:rPr>
        <w:t>&lt;</w:t>
      </w:r>
      <w:r w:rsidR="007B1316" w:rsidRPr="004F5FB4">
        <w:rPr>
          <w:color w:val="000000"/>
        </w:rPr>
        <w:t> </w:t>
      </w:r>
      <w:r w:rsidRPr="004F5FB4">
        <w:rPr>
          <w:color w:val="000000"/>
        </w:rPr>
        <w:t>0,001) (Abbildung</w:t>
      </w:r>
      <w:r w:rsidR="00763A61" w:rsidRPr="004F5FB4">
        <w:rPr>
          <w:color w:val="000000"/>
        </w:rPr>
        <w:t> </w:t>
      </w:r>
      <w:r w:rsidRPr="004F5FB4">
        <w:rPr>
          <w:color w:val="000000"/>
        </w:rPr>
        <w:t>1).</w:t>
      </w:r>
    </w:p>
    <w:p w14:paraId="43BB62FB" w14:textId="77777777" w:rsidR="00CF5C4A" w:rsidRPr="004F5FB4" w:rsidRDefault="00CF5C4A" w:rsidP="00982118">
      <w:pPr>
        <w:autoSpaceDE w:val="0"/>
        <w:autoSpaceDN w:val="0"/>
        <w:adjustRightInd w:val="0"/>
        <w:rPr>
          <w:color w:val="000000"/>
        </w:rPr>
      </w:pPr>
    </w:p>
    <w:p w14:paraId="06D10ABC" w14:textId="77777777" w:rsidR="00CF5C4A" w:rsidRDefault="00CF5C4A" w:rsidP="00A65FE9">
      <w:pPr>
        <w:pStyle w:val="BodyText"/>
        <w:keepNext/>
        <w:keepLines/>
        <w:widowControl/>
        <w:kinsoku w:val="0"/>
        <w:overflowPunct w:val="0"/>
        <w:ind w:left="0"/>
        <w:rPr>
          <w:b/>
          <w:color w:val="000000"/>
        </w:rPr>
      </w:pPr>
      <w:r w:rsidRPr="00CA7719">
        <w:rPr>
          <w:b/>
          <w:color w:val="000000"/>
        </w:rPr>
        <w:t>Abb. 1</w:t>
      </w:r>
      <w:r w:rsidR="000079DD" w:rsidRPr="00CA7719">
        <w:rPr>
          <w:b/>
          <w:color w:val="000000"/>
        </w:rPr>
        <w:t>.</w:t>
      </w:r>
      <w:r w:rsidRPr="00CA7719">
        <w:rPr>
          <w:b/>
          <w:color w:val="000000"/>
        </w:rPr>
        <w:t xml:space="preserve"> Kaplan-Meier-Kurven zur Darstellung der Dauer bis zum Schub in der nr-axSpA-Studie II</w:t>
      </w:r>
    </w:p>
    <w:p w14:paraId="1C956FB8" w14:textId="77777777" w:rsidR="00CA7719" w:rsidRPr="00CA7719" w:rsidRDefault="00CA7719" w:rsidP="00A65FE9">
      <w:pPr>
        <w:pStyle w:val="BodyText"/>
        <w:keepNext/>
        <w:keepLines/>
        <w:widowControl/>
        <w:kinsoku w:val="0"/>
        <w:overflowPunct w:val="0"/>
        <w:ind w:left="0"/>
        <w:rPr>
          <w:b/>
          <w:color w:val="000000"/>
        </w:rPr>
      </w:pPr>
    </w:p>
    <w:p w14:paraId="2BEB99C5" w14:textId="0F0E112D" w:rsidR="00CF5C4A" w:rsidRPr="004F5FB4" w:rsidRDefault="00032CD3" w:rsidP="00391F6A">
      <w:pPr>
        <w:pStyle w:val="BodyText"/>
        <w:widowControl/>
        <w:kinsoku w:val="0"/>
        <w:overflowPunct w:val="0"/>
        <w:spacing w:line="200" w:lineRule="atLeast"/>
        <w:ind w:left="360"/>
        <w:rPr>
          <w:color w:val="000000"/>
          <w:szCs w:val="20"/>
        </w:rPr>
      </w:pPr>
      <w:r w:rsidRPr="004F5FB4">
        <w:rPr>
          <w:noProof/>
          <w:color w:val="000000"/>
        </w:rPr>
        <mc:AlternateContent>
          <mc:Choice Requires="wps">
            <w:drawing>
              <wp:anchor distT="0" distB="0" distL="114300" distR="114300" simplePos="0" relativeHeight="251658241" behindDoc="0" locked="0" layoutInCell="0" allowOverlap="1" wp14:anchorId="368CC2F6" wp14:editId="537372F5">
                <wp:simplePos x="0" y="0"/>
                <wp:positionH relativeFrom="page">
                  <wp:posOffset>715645</wp:posOffset>
                </wp:positionH>
                <wp:positionV relativeFrom="paragraph">
                  <wp:posOffset>93980</wp:posOffset>
                </wp:positionV>
                <wp:extent cx="325755" cy="2154555"/>
                <wp:effectExtent l="0" t="0" r="0" b="0"/>
                <wp:wrapNone/>
                <wp:docPr id="28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2154555"/>
                        </a:xfrm>
                        <a:prstGeom prst="rect">
                          <a:avLst/>
                        </a:prstGeom>
                        <a:noFill/>
                        <a:ln>
                          <a:noFill/>
                        </a:ln>
                      </wps:spPr>
                      <wps:txbx>
                        <w:txbxContent>
                          <w:p w14:paraId="1C1506B9" w14:textId="77777777" w:rsidR="008F3710" w:rsidRPr="00391F6A" w:rsidRDefault="008F3710" w:rsidP="00F17530">
                            <w:pPr>
                              <w:pStyle w:val="BodyText"/>
                              <w:kinsoku w:val="0"/>
                              <w:overflowPunct w:val="0"/>
                              <w:spacing w:line="224" w:lineRule="exact"/>
                              <w:ind w:left="20"/>
                              <w:jc w:val="center"/>
                              <w:rPr>
                                <w:rFonts w:ascii="Times New Roman Bold" w:hAnsi="Times New Roman Bold"/>
                                <w:sz w:val="20"/>
                                <w:szCs w:val="20"/>
                              </w:rPr>
                            </w:pPr>
                            <w:r>
                              <w:rPr>
                                <w:rFonts w:ascii="Times New Roman Bold" w:hAnsi="Times New Roman Bold"/>
                                <w:b/>
                                <w:bCs/>
                                <w:sz w:val="20"/>
                                <w:szCs w:val="20"/>
                              </w:rPr>
                              <w:t>WAHRSCHEINLICHKEIT, KEINEN SCHUB ZU ERLEIDEN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CC2F6" id="Text Box 189" o:spid="_x0000_s1050" type="#_x0000_t202" style="position:absolute;left:0;text-align:left;margin-left:56.35pt;margin-top:7.4pt;width:25.65pt;height:169.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" o:allowincell="f" filled="f" stroked="f">
                <v:textbox style="layout-flow:vertical;mso-layout-flow-alt:bottom-to-top" inset="0,0,0,0">
                  <w:txbxContent>
                    <w:p w14:paraId="1C1506B9" w14:textId="77777777" w:rsidR="008F3710" w:rsidRPr="00391F6A" w:rsidRDefault="008F3710" w:rsidP="00F17530">
                      <w:pPr>
                        <w:pStyle w:val="BodyText"/>
                        <w:kinsoku w:val="0"/>
                        <w:overflowPunct w:val="0"/>
                        <w:spacing w:line="224" w:lineRule="exact"/>
                        <w:ind w:left="20"/>
                        <w:jc w:val="center"/>
                        <w:rPr>
                          <w:rFonts w:ascii="Times New Roman Bold" w:hAnsi="Times New Roman Bold"/>
                          <w:sz w:val="20"/>
                          <w:szCs w:val="20"/>
                        </w:rPr>
                      </w:pPr>
                      <w:r>
                        <w:rPr>
                          <w:rFonts w:ascii="Times New Roman Bold" w:hAnsi="Times New Roman Bold"/>
                          <w:b/>
                          <w:bCs/>
                          <w:sz w:val="20"/>
                          <w:szCs w:val="20"/>
                        </w:rPr>
                        <w:t>WAHRSCHEINLICHKEIT, KEINEN SCHUB ZU ERLEIDEN</w:t>
                      </w:r>
                    </w:p>
                  </w:txbxContent>
                </v:textbox>
                <w10:wrap anchorx="page"/>
              </v:shape>
            </w:pict>
          </mc:Fallback>
        </mc:AlternateContent>
      </w:r>
      <w:r w:rsidRPr="004F5FB4">
        <w:rPr>
          <w:noProof/>
          <w:color w:val="000000"/>
        </w:rPr>
        <mc:AlternateContent>
          <mc:Choice Requires="wps">
            <w:drawing>
              <wp:anchor distT="0" distB="0" distL="114300" distR="114300" simplePos="0" relativeHeight="251658261" behindDoc="0" locked="0" layoutInCell="1" allowOverlap="1" wp14:anchorId="51202D9C" wp14:editId="6FF798AF">
                <wp:simplePos x="0" y="0"/>
                <wp:positionH relativeFrom="column">
                  <wp:posOffset>81915</wp:posOffset>
                </wp:positionH>
                <wp:positionV relativeFrom="paragraph">
                  <wp:posOffset>10160</wp:posOffset>
                </wp:positionV>
                <wp:extent cx="319405" cy="2494915"/>
                <wp:effectExtent l="0" t="0" r="0" b="0"/>
                <wp:wrapNone/>
                <wp:docPr id="28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494915"/>
                        </a:xfrm>
                        <a:prstGeom prst="rect">
                          <a:avLst/>
                        </a:prstGeom>
                        <a:solidFill>
                          <a:srgbClr val="FFFFFF"/>
                        </a:solidFill>
                        <a:ln>
                          <a:noFill/>
                        </a:ln>
                      </wps:spPr>
                      <wps:txbx>
                        <w:txbxContent>
                          <w:p w14:paraId="07A53C88" w14:textId="77777777" w:rsidR="008F3710" w:rsidRPr="00172DF4" w:rsidRDefault="008F3710" w:rsidP="00172DF4">
                            <w:pPr>
                              <w:spacing w:before="14"/>
                              <w:jc w:val="right"/>
                              <w:rPr>
                                <w:b/>
                                <w:bCs/>
                                <w:sz w:val="14"/>
                                <w:szCs w:val="14"/>
                              </w:rPr>
                            </w:pPr>
                            <w:r>
                              <w:rPr>
                                <w:b/>
                                <w:bCs/>
                                <w:sz w:val="14"/>
                                <w:szCs w:val="14"/>
                              </w:rPr>
                              <w:t>1,0</w:t>
                            </w:r>
                          </w:p>
                          <w:p w14:paraId="690FD9B0" w14:textId="77777777" w:rsidR="008F3710" w:rsidRPr="00172DF4" w:rsidRDefault="008F3710" w:rsidP="00172DF4">
                            <w:pPr>
                              <w:spacing w:before="14"/>
                              <w:jc w:val="right"/>
                              <w:rPr>
                                <w:b/>
                                <w:bCs/>
                                <w:sz w:val="14"/>
                                <w:szCs w:val="14"/>
                              </w:rPr>
                            </w:pPr>
                          </w:p>
                          <w:p w14:paraId="201F1C31" w14:textId="77777777" w:rsidR="008F3710" w:rsidRPr="00172DF4" w:rsidRDefault="008F3710" w:rsidP="00172DF4">
                            <w:pPr>
                              <w:spacing w:before="14"/>
                              <w:jc w:val="right"/>
                              <w:rPr>
                                <w:b/>
                                <w:bCs/>
                                <w:sz w:val="14"/>
                                <w:szCs w:val="14"/>
                              </w:rPr>
                            </w:pPr>
                            <w:r>
                              <w:rPr>
                                <w:b/>
                                <w:bCs/>
                                <w:sz w:val="14"/>
                                <w:szCs w:val="14"/>
                              </w:rPr>
                              <w:t>0,9</w:t>
                            </w:r>
                          </w:p>
                          <w:p w14:paraId="648942D0" w14:textId="77777777" w:rsidR="008F3710" w:rsidRPr="00172DF4" w:rsidRDefault="008F3710" w:rsidP="00172DF4">
                            <w:pPr>
                              <w:spacing w:before="14"/>
                              <w:jc w:val="right"/>
                              <w:rPr>
                                <w:b/>
                                <w:bCs/>
                                <w:sz w:val="14"/>
                                <w:szCs w:val="14"/>
                              </w:rPr>
                            </w:pPr>
                          </w:p>
                          <w:p w14:paraId="00D51C8E" w14:textId="77777777" w:rsidR="008F3710" w:rsidRPr="00172DF4" w:rsidRDefault="008F3710" w:rsidP="00172DF4">
                            <w:pPr>
                              <w:spacing w:before="14"/>
                              <w:jc w:val="right"/>
                              <w:rPr>
                                <w:b/>
                                <w:bCs/>
                                <w:sz w:val="14"/>
                                <w:szCs w:val="14"/>
                              </w:rPr>
                            </w:pPr>
                            <w:r>
                              <w:rPr>
                                <w:b/>
                                <w:bCs/>
                                <w:sz w:val="14"/>
                                <w:szCs w:val="14"/>
                              </w:rPr>
                              <w:t>0,8</w:t>
                            </w:r>
                          </w:p>
                          <w:p w14:paraId="0AB511C9" w14:textId="77777777" w:rsidR="008F3710" w:rsidRPr="00172DF4" w:rsidRDefault="008F3710" w:rsidP="00172DF4">
                            <w:pPr>
                              <w:spacing w:before="14"/>
                              <w:jc w:val="right"/>
                              <w:rPr>
                                <w:b/>
                                <w:bCs/>
                                <w:sz w:val="14"/>
                                <w:szCs w:val="14"/>
                              </w:rPr>
                            </w:pPr>
                          </w:p>
                          <w:p w14:paraId="5F780736" w14:textId="77777777" w:rsidR="008F3710" w:rsidRPr="00172DF4" w:rsidRDefault="008F3710" w:rsidP="00172DF4">
                            <w:pPr>
                              <w:spacing w:before="14"/>
                              <w:jc w:val="right"/>
                              <w:rPr>
                                <w:b/>
                                <w:bCs/>
                                <w:sz w:val="14"/>
                                <w:szCs w:val="14"/>
                              </w:rPr>
                            </w:pPr>
                            <w:r>
                              <w:rPr>
                                <w:b/>
                                <w:bCs/>
                                <w:sz w:val="14"/>
                                <w:szCs w:val="14"/>
                              </w:rPr>
                              <w:t>0,7</w:t>
                            </w:r>
                          </w:p>
                          <w:p w14:paraId="1AB99AFE" w14:textId="77777777" w:rsidR="008F3710" w:rsidRPr="00172DF4" w:rsidRDefault="008F3710" w:rsidP="00172DF4">
                            <w:pPr>
                              <w:spacing w:before="14"/>
                              <w:jc w:val="right"/>
                              <w:rPr>
                                <w:b/>
                                <w:bCs/>
                                <w:sz w:val="14"/>
                                <w:szCs w:val="14"/>
                              </w:rPr>
                            </w:pPr>
                          </w:p>
                          <w:p w14:paraId="5D7BC183" w14:textId="77777777" w:rsidR="008F3710" w:rsidRPr="00172DF4" w:rsidRDefault="008F3710" w:rsidP="00172DF4">
                            <w:pPr>
                              <w:spacing w:before="14"/>
                              <w:jc w:val="right"/>
                              <w:rPr>
                                <w:b/>
                                <w:bCs/>
                                <w:sz w:val="14"/>
                                <w:szCs w:val="14"/>
                              </w:rPr>
                            </w:pPr>
                            <w:r>
                              <w:rPr>
                                <w:b/>
                                <w:bCs/>
                                <w:sz w:val="14"/>
                                <w:szCs w:val="14"/>
                              </w:rPr>
                              <w:t>0,6</w:t>
                            </w:r>
                          </w:p>
                          <w:p w14:paraId="6FBBA41D" w14:textId="77777777" w:rsidR="008F3710" w:rsidRPr="00172DF4" w:rsidRDefault="008F3710" w:rsidP="00172DF4">
                            <w:pPr>
                              <w:spacing w:before="14"/>
                              <w:jc w:val="right"/>
                              <w:rPr>
                                <w:b/>
                                <w:bCs/>
                                <w:sz w:val="14"/>
                                <w:szCs w:val="14"/>
                              </w:rPr>
                            </w:pPr>
                          </w:p>
                          <w:p w14:paraId="0C93F176" w14:textId="77777777" w:rsidR="008F3710" w:rsidRPr="00172DF4" w:rsidRDefault="008F3710" w:rsidP="00172DF4">
                            <w:pPr>
                              <w:spacing w:before="14"/>
                              <w:jc w:val="right"/>
                              <w:rPr>
                                <w:b/>
                                <w:bCs/>
                                <w:sz w:val="14"/>
                                <w:szCs w:val="14"/>
                              </w:rPr>
                            </w:pPr>
                            <w:r>
                              <w:rPr>
                                <w:b/>
                                <w:bCs/>
                                <w:sz w:val="14"/>
                                <w:szCs w:val="14"/>
                              </w:rPr>
                              <w:t>0,5</w:t>
                            </w:r>
                          </w:p>
                          <w:p w14:paraId="22A2F856" w14:textId="77777777" w:rsidR="008F3710" w:rsidRPr="00172DF4" w:rsidRDefault="008F3710" w:rsidP="00172DF4">
                            <w:pPr>
                              <w:spacing w:before="14"/>
                              <w:jc w:val="right"/>
                              <w:rPr>
                                <w:b/>
                                <w:bCs/>
                                <w:sz w:val="14"/>
                                <w:szCs w:val="14"/>
                              </w:rPr>
                            </w:pPr>
                          </w:p>
                          <w:p w14:paraId="611DC51F" w14:textId="77777777" w:rsidR="008F3710" w:rsidRPr="00172DF4" w:rsidRDefault="008F3710" w:rsidP="00172DF4">
                            <w:pPr>
                              <w:spacing w:before="14"/>
                              <w:jc w:val="right"/>
                              <w:rPr>
                                <w:b/>
                                <w:bCs/>
                                <w:sz w:val="14"/>
                                <w:szCs w:val="14"/>
                              </w:rPr>
                            </w:pPr>
                            <w:r>
                              <w:rPr>
                                <w:b/>
                                <w:bCs/>
                                <w:sz w:val="14"/>
                                <w:szCs w:val="14"/>
                              </w:rPr>
                              <w:t>0,4</w:t>
                            </w:r>
                          </w:p>
                          <w:p w14:paraId="4E2013D9" w14:textId="77777777" w:rsidR="008F3710" w:rsidRPr="00172DF4" w:rsidRDefault="008F3710" w:rsidP="00172DF4">
                            <w:pPr>
                              <w:spacing w:before="14"/>
                              <w:jc w:val="right"/>
                              <w:rPr>
                                <w:b/>
                                <w:bCs/>
                                <w:sz w:val="14"/>
                                <w:szCs w:val="14"/>
                              </w:rPr>
                            </w:pPr>
                          </w:p>
                          <w:p w14:paraId="3FA640A7" w14:textId="77777777" w:rsidR="008F3710" w:rsidRPr="00172DF4" w:rsidRDefault="008F3710" w:rsidP="00172DF4">
                            <w:pPr>
                              <w:spacing w:before="14"/>
                              <w:jc w:val="right"/>
                              <w:rPr>
                                <w:b/>
                                <w:bCs/>
                                <w:sz w:val="14"/>
                                <w:szCs w:val="14"/>
                              </w:rPr>
                            </w:pPr>
                            <w:r>
                              <w:rPr>
                                <w:b/>
                                <w:bCs/>
                                <w:sz w:val="14"/>
                                <w:szCs w:val="14"/>
                              </w:rPr>
                              <w:t>0,3</w:t>
                            </w:r>
                          </w:p>
                          <w:p w14:paraId="680B11D2" w14:textId="77777777" w:rsidR="008F3710" w:rsidRPr="00172DF4" w:rsidRDefault="008F3710" w:rsidP="00172DF4">
                            <w:pPr>
                              <w:spacing w:before="14"/>
                              <w:jc w:val="right"/>
                              <w:rPr>
                                <w:b/>
                                <w:bCs/>
                                <w:sz w:val="14"/>
                                <w:szCs w:val="14"/>
                              </w:rPr>
                            </w:pPr>
                          </w:p>
                          <w:p w14:paraId="0BB78640" w14:textId="77777777" w:rsidR="008F3710" w:rsidRPr="00172DF4" w:rsidRDefault="008F3710" w:rsidP="00172DF4">
                            <w:pPr>
                              <w:spacing w:before="14"/>
                              <w:jc w:val="right"/>
                              <w:rPr>
                                <w:b/>
                                <w:bCs/>
                                <w:sz w:val="14"/>
                                <w:szCs w:val="14"/>
                              </w:rPr>
                            </w:pPr>
                            <w:r>
                              <w:rPr>
                                <w:b/>
                                <w:bCs/>
                                <w:sz w:val="14"/>
                                <w:szCs w:val="14"/>
                              </w:rPr>
                              <w:t>0,2</w:t>
                            </w:r>
                          </w:p>
                          <w:p w14:paraId="1AA5FA60" w14:textId="77777777" w:rsidR="008F3710" w:rsidRPr="00172DF4" w:rsidRDefault="008F3710" w:rsidP="00172DF4">
                            <w:pPr>
                              <w:spacing w:before="14"/>
                              <w:jc w:val="right"/>
                              <w:rPr>
                                <w:b/>
                                <w:bCs/>
                                <w:sz w:val="14"/>
                                <w:szCs w:val="14"/>
                              </w:rPr>
                            </w:pPr>
                          </w:p>
                          <w:p w14:paraId="6C830665" w14:textId="77777777" w:rsidR="008F3710" w:rsidRPr="00172DF4" w:rsidRDefault="008F3710" w:rsidP="00172DF4">
                            <w:pPr>
                              <w:spacing w:before="14"/>
                              <w:jc w:val="right"/>
                              <w:rPr>
                                <w:b/>
                                <w:bCs/>
                                <w:sz w:val="14"/>
                                <w:szCs w:val="14"/>
                              </w:rPr>
                            </w:pPr>
                            <w:r>
                              <w:rPr>
                                <w:b/>
                                <w:bCs/>
                                <w:sz w:val="14"/>
                                <w:szCs w:val="14"/>
                              </w:rPr>
                              <w:t>0,1</w:t>
                            </w:r>
                          </w:p>
                          <w:p w14:paraId="79994281" w14:textId="77777777" w:rsidR="008F3710" w:rsidRPr="00172DF4" w:rsidRDefault="008F3710" w:rsidP="00172DF4">
                            <w:pPr>
                              <w:spacing w:before="14"/>
                              <w:jc w:val="right"/>
                              <w:rPr>
                                <w:b/>
                                <w:bCs/>
                                <w:sz w:val="15"/>
                                <w:szCs w:val="15"/>
                              </w:rPr>
                            </w:pPr>
                          </w:p>
                          <w:p w14:paraId="07994BC6" w14:textId="77777777" w:rsidR="008F3710" w:rsidRPr="00172DF4" w:rsidRDefault="008F3710" w:rsidP="00172DF4">
                            <w:pPr>
                              <w:spacing w:before="14"/>
                              <w:jc w:val="right"/>
                              <w:rPr>
                                <w:b/>
                                <w:bCs/>
                                <w:sz w:val="15"/>
                                <w:szCs w:val="15"/>
                              </w:rPr>
                            </w:pPr>
                            <w:r>
                              <w:rPr>
                                <w:b/>
                                <w:bCs/>
                                <w:sz w:val="15"/>
                                <w:szCs w:val="15"/>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02D9C" id="Text Box 220" o:spid="_x0000_s1051" type="#_x0000_t202" style="position:absolute;left:0;text-align:left;margin-left:6.45pt;margin-top:.8pt;width:25.15pt;height:196.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" stroked="f">
                <v:textbox>
                  <w:txbxContent>
                    <w:p w14:paraId="07A53C88" w14:textId="77777777" w:rsidR="008F3710" w:rsidRPr="00172DF4" w:rsidRDefault="008F3710" w:rsidP="00172DF4">
                      <w:pPr>
                        <w:spacing w:before="14"/>
                        <w:jc w:val="right"/>
                        <w:rPr>
                          <w:b/>
                          <w:bCs/>
                          <w:sz w:val="14"/>
                          <w:szCs w:val="14"/>
                        </w:rPr>
                      </w:pPr>
                      <w:r>
                        <w:rPr>
                          <w:b/>
                          <w:bCs/>
                          <w:sz w:val="14"/>
                          <w:szCs w:val="14"/>
                        </w:rPr>
                        <w:t>1,0</w:t>
                      </w:r>
                    </w:p>
                    <w:p w14:paraId="690FD9B0" w14:textId="77777777" w:rsidR="008F3710" w:rsidRPr="00172DF4" w:rsidRDefault="008F3710" w:rsidP="00172DF4">
                      <w:pPr>
                        <w:spacing w:before="14"/>
                        <w:jc w:val="right"/>
                        <w:rPr>
                          <w:b/>
                          <w:bCs/>
                          <w:sz w:val="14"/>
                          <w:szCs w:val="14"/>
                        </w:rPr>
                      </w:pPr>
                    </w:p>
                    <w:p w14:paraId="201F1C31" w14:textId="77777777" w:rsidR="008F3710" w:rsidRPr="00172DF4" w:rsidRDefault="008F3710" w:rsidP="00172DF4">
                      <w:pPr>
                        <w:spacing w:before="14"/>
                        <w:jc w:val="right"/>
                        <w:rPr>
                          <w:b/>
                          <w:bCs/>
                          <w:sz w:val="14"/>
                          <w:szCs w:val="14"/>
                        </w:rPr>
                      </w:pPr>
                      <w:r>
                        <w:rPr>
                          <w:b/>
                          <w:bCs/>
                          <w:sz w:val="14"/>
                          <w:szCs w:val="14"/>
                        </w:rPr>
                        <w:t>0,9</w:t>
                      </w:r>
                    </w:p>
                    <w:p w14:paraId="648942D0" w14:textId="77777777" w:rsidR="008F3710" w:rsidRPr="00172DF4" w:rsidRDefault="008F3710" w:rsidP="00172DF4">
                      <w:pPr>
                        <w:spacing w:before="14"/>
                        <w:jc w:val="right"/>
                        <w:rPr>
                          <w:b/>
                          <w:bCs/>
                          <w:sz w:val="14"/>
                          <w:szCs w:val="14"/>
                        </w:rPr>
                      </w:pPr>
                    </w:p>
                    <w:p w14:paraId="00D51C8E" w14:textId="77777777" w:rsidR="008F3710" w:rsidRPr="00172DF4" w:rsidRDefault="008F3710" w:rsidP="00172DF4">
                      <w:pPr>
                        <w:spacing w:before="14"/>
                        <w:jc w:val="right"/>
                        <w:rPr>
                          <w:b/>
                          <w:bCs/>
                          <w:sz w:val="14"/>
                          <w:szCs w:val="14"/>
                        </w:rPr>
                      </w:pPr>
                      <w:r>
                        <w:rPr>
                          <w:b/>
                          <w:bCs/>
                          <w:sz w:val="14"/>
                          <w:szCs w:val="14"/>
                        </w:rPr>
                        <w:t>0,8</w:t>
                      </w:r>
                    </w:p>
                    <w:p w14:paraId="0AB511C9" w14:textId="77777777" w:rsidR="008F3710" w:rsidRPr="00172DF4" w:rsidRDefault="008F3710" w:rsidP="00172DF4">
                      <w:pPr>
                        <w:spacing w:before="14"/>
                        <w:jc w:val="right"/>
                        <w:rPr>
                          <w:b/>
                          <w:bCs/>
                          <w:sz w:val="14"/>
                          <w:szCs w:val="14"/>
                        </w:rPr>
                      </w:pPr>
                    </w:p>
                    <w:p w14:paraId="5F780736" w14:textId="77777777" w:rsidR="008F3710" w:rsidRPr="00172DF4" w:rsidRDefault="008F3710" w:rsidP="00172DF4">
                      <w:pPr>
                        <w:spacing w:before="14"/>
                        <w:jc w:val="right"/>
                        <w:rPr>
                          <w:b/>
                          <w:bCs/>
                          <w:sz w:val="14"/>
                          <w:szCs w:val="14"/>
                        </w:rPr>
                      </w:pPr>
                      <w:r>
                        <w:rPr>
                          <w:b/>
                          <w:bCs/>
                          <w:sz w:val="14"/>
                          <w:szCs w:val="14"/>
                        </w:rPr>
                        <w:t>0,7</w:t>
                      </w:r>
                    </w:p>
                    <w:p w14:paraId="1AB99AFE" w14:textId="77777777" w:rsidR="008F3710" w:rsidRPr="00172DF4" w:rsidRDefault="008F3710" w:rsidP="00172DF4">
                      <w:pPr>
                        <w:spacing w:before="14"/>
                        <w:jc w:val="right"/>
                        <w:rPr>
                          <w:b/>
                          <w:bCs/>
                          <w:sz w:val="14"/>
                          <w:szCs w:val="14"/>
                        </w:rPr>
                      </w:pPr>
                    </w:p>
                    <w:p w14:paraId="5D7BC183" w14:textId="77777777" w:rsidR="008F3710" w:rsidRPr="00172DF4" w:rsidRDefault="008F3710" w:rsidP="00172DF4">
                      <w:pPr>
                        <w:spacing w:before="14"/>
                        <w:jc w:val="right"/>
                        <w:rPr>
                          <w:b/>
                          <w:bCs/>
                          <w:sz w:val="14"/>
                          <w:szCs w:val="14"/>
                        </w:rPr>
                      </w:pPr>
                      <w:r>
                        <w:rPr>
                          <w:b/>
                          <w:bCs/>
                          <w:sz w:val="14"/>
                          <w:szCs w:val="14"/>
                        </w:rPr>
                        <w:t>0,6</w:t>
                      </w:r>
                    </w:p>
                    <w:p w14:paraId="6FBBA41D" w14:textId="77777777" w:rsidR="008F3710" w:rsidRPr="00172DF4" w:rsidRDefault="008F3710" w:rsidP="00172DF4">
                      <w:pPr>
                        <w:spacing w:before="14"/>
                        <w:jc w:val="right"/>
                        <w:rPr>
                          <w:b/>
                          <w:bCs/>
                          <w:sz w:val="14"/>
                          <w:szCs w:val="14"/>
                        </w:rPr>
                      </w:pPr>
                    </w:p>
                    <w:p w14:paraId="0C93F176" w14:textId="77777777" w:rsidR="008F3710" w:rsidRPr="00172DF4" w:rsidRDefault="008F3710" w:rsidP="00172DF4">
                      <w:pPr>
                        <w:spacing w:before="14"/>
                        <w:jc w:val="right"/>
                        <w:rPr>
                          <w:b/>
                          <w:bCs/>
                          <w:sz w:val="14"/>
                          <w:szCs w:val="14"/>
                        </w:rPr>
                      </w:pPr>
                      <w:r>
                        <w:rPr>
                          <w:b/>
                          <w:bCs/>
                          <w:sz w:val="14"/>
                          <w:szCs w:val="14"/>
                        </w:rPr>
                        <w:t>0,5</w:t>
                      </w:r>
                    </w:p>
                    <w:p w14:paraId="22A2F856" w14:textId="77777777" w:rsidR="008F3710" w:rsidRPr="00172DF4" w:rsidRDefault="008F3710" w:rsidP="00172DF4">
                      <w:pPr>
                        <w:spacing w:before="14"/>
                        <w:jc w:val="right"/>
                        <w:rPr>
                          <w:b/>
                          <w:bCs/>
                          <w:sz w:val="14"/>
                          <w:szCs w:val="14"/>
                        </w:rPr>
                      </w:pPr>
                    </w:p>
                    <w:p w14:paraId="611DC51F" w14:textId="77777777" w:rsidR="008F3710" w:rsidRPr="00172DF4" w:rsidRDefault="008F3710" w:rsidP="00172DF4">
                      <w:pPr>
                        <w:spacing w:before="14"/>
                        <w:jc w:val="right"/>
                        <w:rPr>
                          <w:b/>
                          <w:bCs/>
                          <w:sz w:val="14"/>
                          <w:szCs w:val="14"/>
                        </w:rPr>
                      </w:pPr>
                      <w:r>
                        <w:rPr>
                          <w:b/>
                          <w:bCs/>
                          <w:sz w:val="14"/>
                          <w:szCs w:val="14"/>
                        </w:rPr>
                        <w:t>0,4</w:t>
                      </w:r>
                    </w:p>
                    <w:p w14:paraId="4E2013D9" w14:textId="77777777" w:rsidR="008F3710" w:rsidRPr="00172DF4" w:rsidRDefault="008F3710" w:rsidP="00172DF4">
                      <w:pPr>
                        <w:spacing w:before="14"/>
                        <w:jc w:val="right"/>
                        <w:rPr>
                          <w:b/>
                          <w:bCs/>
                          <w:sz w:val="14"/>
                          <w:szCs w:val="14"/>
                        </w:rPr>
                      </w:pPr>
                    </w:p>
                    <w:p w14:paraId="3FA640A7" w14:textId="77777777" w:rsidR="008F3710" w:rsidRPr="00172DF4" w:rsidRDefault="008F3710" w:rsidP="00172DF4">
                      <w:pPr>
                        <w:spacing w:before="14"/>
                        <w:jc w:val="right"/>
                        <w:rPr>
                          <w:b/>
                          <w:bCs/>
                          <w:sz w:val="14"/>
                          <w:szCs w:val="14"/>
                        </w:rPr>
                      </w:pPr>
                      <w:r>
                        <w:rPr>
                          <w:b/>
                          <w:bCs/>
                          <w:sz w:val="14"/>
                          <w:szCs w:val="14"/>
                        </w:rPr>
                        <w:t>0,3</w:t>
                      </w:r>
                    </w:p>
                    <w:p w14:paraId="680B11D2" w14:textId="77777777" w:rsidR="008F3710" w:rsidRPr="00172DF4" w:rsidRDefault="008F3710" w:rsidP="00172DF4">
                      <w:pPr>
                        <w:spacing w:before="14"/>
                        <w:jc w:val="right"/>
                        <w:rPr>
                          <w:b/>
                          <w:bCs/>
                          <w:sz w:val="14"/>
                          <w:szCs w:val="14"/>
                        </w:rPr>
                      </w:pPr>
                    </w:p>
                    <w:p w14:paraId="0BB78640" w14:textId="77777777" w:rsidR="008F3710" w:rsidRPr="00172DF4" w:rsidRDefault="008F3710" w:rsidP="00172DF4">
                      <w:pPr>
                        <w:spacing w:before="14"/>
                        <w:jc w:val="right"/>
                        <w:rPr>
                          <w:b/>
                          <w:bCs/>
                          <w:sz w:val="14"/>
                          <w:szCs w:val="14"/>
                        </w:rPr>
                      </w:pPr>
                      <w:r>
                        <w:rPr>
                          <w:b/>
                          <w:bCs/>
                          <w:sz w:val="14"/>
                          <w:szCs w:val="14"/>
                        </w:rPr>
                        <w:t>0,2</w:t>
                      </w:r>
                    </w:p>
                    <w:p w14:paraId="1AA5FA60" w14:textId="77777777" w:rsidR="008F3710" w:rsidRPr="00172DF4" w:rsidRDefault="008F3710" w:rsidP="00172DF4">
                      <w:pPr>
                        <w:spacing w:before="14"/>
                        <w:jc w:val="right"/>
                        <w:rPr>
                          <w:b/>
                          <w:bCs/>
                          <w:sz w:val="14"/>
                          <w:szCs w:val="14"/>
                        </w:rPr>
                      </w:pPr>
                    </w:p>
                    <w:p w14:paraId="6C830665" w14:textId="77777777" w:rsidR="008F3710" w:rsidRPr="00172DF4" w:rsidRDefault="008F3710" w:rsidP="00172DF4">
                      <w:pPr>
                        <w:spacing w:before="14"/>
                        <w:jc w:val="right"/>
                        <w:rPr>
                          <w:b/>
                          <w:bCs/>
                          <w:sz w:val="14"/>
                          <w:szCs w:val="14"/>
                        </w:rPr>
                      </w:pPr>
                      <w:r>
                        <w:rPr>
                          <w:b/>
                          <w:bCs/>
                          <w:sz w:val="14"/>
                          <w:szCs w:val="14"/>
                        </w:rPr>
                        <w:t>0,1</w:t>
                      </w:r>
                    </w:p>
                    <w:p w14:paraId="79994281" w14:textId="77777777" w:rsidR="008F3710" w:rsidRPr="00172DF4" w:rsidRDefault="008F3710" w:rsidP="00172DF4">
                      <w:pPr>
                        <w:spacing w:before="14"/>
                        <w:jc w:val="right"/>
                        <w:rPr>
                          <w:b/>
                          <w:bCs/>
                          <w:sz w:val="15"/>
                          <w:szCs w:val="15"/>
                        </w:rPr>
                      </w:pPr>
                    </w:p>
                    <w:p w14:paraId="07994BC6" w14:textId="77777777" w:rsidR="008F3710" w:rsidRPr="00172DF4" w:rsidRDefault="008F3710" w:rsidP="00172DF4">
                      <w:pPr>
                        <w:spacing w:before="14"/>
                        <w:jc w:val="right"/>
                        <w:rPr>
                          <w:b/>
                          <w:bCs/>
                          <w:sz w:val="15"/>
                          <w:szCs w:val="15"/>
                        </w:rPr>
                      </w:pPr>
                      <w:r>
                        <w:rPr>
                          <w:b/>
                          <w:bCs/>
                          <w:sz w:val="15"/>
                          <w:szCs w:val="15"/>
                        </w:rPr>
                        <w:t>0,0</w:t>
                      </w:r>
                    </w:p>
                  </w:txbxContent>
                </v:textbox>
              </v:shape>
            </w:pict>
          </mc:Fallback>
        </mc:AlternateContent>
      </w:r>
      <w:r w:rsidRPr="004F5FB4">
        <w:rPr>
          <w:noProof/>
          <w:color w:val="000000"/>
          <w:lang w:eastAsia="de-DE"/>
        </w:rPr>
        <w:drawing>
          <wp:inline distT="0" distB="0" distL="0" distR="0" wp14:anchorId="58904390" wp14:editId="3BAE3EEC">
            <wp:extent cx="5305425" cy="3019425"/>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5425" cy="3019425"/>
                    </a:xfrm>
                    <a:prstGeom prst="rect">
                      <a:avLst/>
                    </a:prstGeom>
                    <a:noFill/>
                    <a:ln>
                      <a:noFill/>
                    </a:ln>
                  </pic:spPr>
                </pic:pic>
              </a:graphicData>
            </a:graphic>
          </wp:inline>
        </w:drawing>
      </w:r>
    </w:p>
    <w:p w14:paraId="0876EFB0" w14:textId="77777777" w:rsidR="00CF5C4A" w:rsidRPr="004F5FB4" w:rsidRDefault="00CF5C4A" w:rsidP="00391F6A">
      <w:pPr>
        <w:pStyle w:val="BodyText"/>
        <w:widowControl/>
        <w:kinsoku w:val="0"/>
        <w:overflowPunct w:val="0"/>
        <w:spacing w:line="227" w:lineRule="exact"/>
        <w:ind w:left="0"/>
        <w:jc w:val="center"/>
        <w:rPr>
          <w:color w:val="000000"/>
          <w:szCs w:val="20"/>
        </w:rPr>
      </w:pPr>
      <w:r w:rsidRPr="004F5FB4">
        <w:rPr>
          <w:b/>
          <w:bCs/>
          <w:color w:val="000000"/>
          <w:szCs w:val="20"/>
        </w:rPr>
        <w:t>ZEIT (WOCHEN)</w:t>
      </w:r>
    </w:p>
    <w:p w14:paraId="55D5F39A" w14:textId="318C1463" w:rsidR="00CF5C4A" w:rsidRPr="004F5FB4" w:rsidRDefault="00032CD3" w:rsidP="00391F6A">
      <w:pPr>
        <w:pStyle w:val="BodyText"/>
        <w:widowControl/>
        <w:tabs>
          <w:tab w:val="left" w:pos="3634"/>
          <w:tab w:val="left" w:pos="4515"/>
          <w:tab w:val="left" w:pos="5147"/>
          <w:tab w:val="left" w:pos="6087"/>
        </w:tabs>
        <w:kinsoku w:val="0"/>
        <w:overflowPunct w:val="0"/>
        <w:spacing w:line="228" w:lineRule="exact"/>
        <w:ind w:left="0"/>
        <w:rPr>
          <w:color w:val="000000"/>
          <w:szCs w:val="20"/>
        </w:rPr>
      </w:pPr>
      <w:r w:rsidRPr="004F5FB4">
        <w:rPr>
          <w:noProof/>
          <w:color w:val="000000"/>
        </w:rPr>
        <mc:AlternateContent>
          <mc:Choice Requires="wps">
            <w:drawing>
              <wp:anchor distT="0" distB="0" distL="114300" distR="114300" simplePos="0" relativeHeight="251658242" behindDoc="1" locked="0" layoutInCell="0" allowOverlap="1" wp14:anchorId="5A829622" wp14:editId="25A1216D">
                <wp:simplePos x="0" y="0"/>
                <wp:positionH relativeFrom="page">
                  <wp:posOffset>2719705</wp:posOffset>
                </wp:positionH>
                <wp:positionV relativeFrom="paragraph">
                  <wp:posOffset>101600</wp:posOffset>
                </wp:positionV>
                <wp:extent cx="381000" cy="12700"/>
                <wp:effectExtent l="0" t="19050" r="0" b="0"/>
                <wp:wrapNone/>
                <wp:docPr id="279"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270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28575">
                          <a:solidFill>
                            <a:srgbClr val="595958"/>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D91640" id="Freeform 190"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4.15pt,8pt,244.15pt,8pt"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" o:allowincell="f" filled="f" strokecolor="#595958" strokeweight="2.25pt">
                <v:stroke dashstyle="dash"/>
                <v:path arrowok="t" o:connecttype="custom" o:connectlocs="0,0;381000,0" o:connectangles="0,0"/>
                <w10:wrap anchorx="page"/>
              </v:polyline>
            </w:pict>
          </mc:Fallback>
        </mc:AlternateContent>
      </w:r>
      <w:r w:rsidR="00464875" w:rsidRPr="004F5FB4">
        <w:rPr>
          <w:color w:val="000000"/>
        </w:rPr>
        <w:t>Behandlung</w:t>
      </w:r>
      <w:r w:rsidR="00464875" w:rsidRPr="004F5FB4">
        <w:rPr>
          <w:color w:val="000000"/>
        </w:rPr>
        <w:tab/>
        <w:t>Placebo</w:t>
      </w:r>
      <w:r w:rsidR="00464875" w:rsidRPr="004F5FB4">
        <w:rPr>
          <w:color w:val="000000"/>
        </w:rPr>
        <w:tab/>
      </w:r>
      <w:r w:rsidR="00464875" w:rsidRPr="004F5FB4">
        <w:rPr>
          <w:color w:val="000000"/>
          <w:szCs w:val="20"/>
          <w:u w:val="thick" w:color="3E3E3E"/>
        </w:rPr>
        <w:tab/>
      </w:r>
      <w:r w:rsidR="00464875" w:rsidRPr="004F5FB4">
        <w:rPr>
          <w:color w:val="000000"/>
          <w:szCs w:val="20"/>
        </w:rPr>
        <w:t>Adalimumab</w:t>
      </w:r>
      <w:r w:rsidR="00464875" w:rsidRPr="004F5FB4">
        <w:rPr>
          <w:color w:val="000000"/>
        </w:rPr>
        <w:tab/>
        <w:t>∆ zensiert</w:t>
      </w:r>
    </w:p>
    <w:p w14:paraId="0BEF2B6C" w14:textId="77777777" w:rsidR="00CF5C4A" w:rsidRPr="00206AEA" w:rsidRDefault="00CF5C4A" w:rsidP="001E35BC">
      <w:pPr>
        <w:pStyle w:val="BodyText"/>
        <w:widowControl/>
        <w:kinsoku w:val="0"/>
        <w:overflowPunct w:val="0"/>
        <w:ind w:left="0"/>
        <w:rPr>
          <w:color w:val="000000"/>
          <w:sz w:val="20"/>
        </w:rPr>
      </w:pPr>
      <w:r w:rsidRPr="00206AEA">
        <w:rPr>
          <w:color w:val="000000"/>
          <w:sz w:val="20"/>
        </w:rPr>
        <w:t>Hinweis: P = Placebo (Anzahl Risikopatienten (Schub)); A = Adalimumab (Anzahl Risikopatienten (Schub))</w:t>
      </w:r>
    </w:p>
    <w:p w14:paraId="716184DB" w14:textId="77777777" w:rsidR="00CF5C4A" w:rsidRPr="004F5FB4" w:rsidRDefault="00CF5C4A" w:rsidP="00982118">
      <w:pPr>
        <w:autoSpaceDE w:val="0"/>
        <w:autoSpaceDN w:val="0"/>
        <w:adjustRightInd w:val="0"/>
        <w:rPr>
          <w:color w:val="000000"/>
        </w:rPr>
      </w:pPr>
    </w:p>
    <w:p w14:paraId="4532AF5B" w14:textId="77777777" w:rsidR="00CF5C4A" w:rsidRPr="004F5FB4" w:rsidRDefault="00CF5C4A" w:rsidP="00982118">
      <w:pPr>
        <w:autoSpaceDE w:val="0"/>
        <w:autoSpaceDN w:val="0"/>
        <w:adjustRightInd w:val="0"/>
        <w:rPr>
          <w:color w:val="000000"/>
        </w:rPr>
      </w:pPr>
      <w:r w:rsidRPr="004F5FB4">
        <w:rPr>
          <w:color w:val="000000"/>
        </w:rPr>
        <w:t>Von den 68</w:t>
      </w:r>
      <w:r w:rsidR="00763A61" w:rsidRPr="004F5FB4">
        <w:rPr>
          <w:color w:val="000000"/>
        </w:rPr>
        <w:t> </w:t>
      </w:r>
      <w:r w:rsidRPr="004F5FB4">
        <w:rPr>
          <w:color w:val="000000"/>
        </w:rPr>
        <w:t>Patienten, die nach dem Absetzen einen Krankheitsschub erlitten, schlossen 65</w:t>
      </w:r>
      <w:r w:rsidR="00763A61" w:rsidRPr="004F5FB4">
        <w:rPr>
          <w:color w:val="000000"/>
        </w:rPr>
        <w:t> </w:t>
      </w:r>
      <w:r w:rsidRPr="004F5FB4">
        <w:rPr>
          <w:color w:val="000000"/>
        </w:rPr>
        <w:t>Patienten die 12</w:t>
      </w:r>
      <w:r w:rsidR="00763A61" w:rsidRPr="004F5FB4">
        <w:rPr>
          <w:color w:val="000000"/>
        </w:rPr>
        <w:t> </w:t>
      </w:r>
      <w:r w:rsidRPr="004F5FB4">
        <w:rPr>
          <w:color w:val="000000"/>
        </w:rPr>
        <w:t>Wochen der Rescue-Therapie mit Adalimumab ab. Davon waren nach 12</w:t>
      </w:r>
      <w:r w:rsidR="00763A61" w:rsidRPr="004F5FB4">
        <w:rPr>
          <w:color w:val="000000"/>
        </w:rPr>
        <w:t> </w:t>
      </w:r>
      <w:r w:rsidRPr="004F5FB4">
        <w:rPr>
          <w:color w:val="000000"/>
        </w:rPr>
        <w:t xml:space="preserve">Wochen erneuter Behandlung während der offenen </w:t>
      </w:r>
      <w:r w:rsidR="00605145" w:rsidRPr="004F5FB4">
        <w:rPr>
          <w:color w:val="000000"/>
        </w:rPr>
        <w:t>Fortsetzungsp</w:t>
      </w:r>
      <w:r w:rsidRPr="004F5FB4">
        <w:rPr>
          <w:color w:val="000000"/>
        </w:rPr>
        <w:t>hase 37</w:t>
      </w:r>
      <w:r w:rsidR="00763A61" w:rsidRPr="004F5FB4">
        <w:rPr>
          <w:color w:val="000000"/>
        </w:rPr>
        <w:t> </w:t>
      </w:r>
      <w:r w:rsidRPr="004F5FB4">
        <w:rPr>
          <w:color w:val="000000"/>
        </w:rPr>
        <w:t>Patienten (56,9</w:t>
      </w:r>
      <w:r w:rsidR="00763A61" w:rsidRPr="004F5FB4">
        <w:rPr>
          <w:color w:val="000000"/>
        </w:rPr>
        <w:t> </w:t>
      </w:r>
      <w:r w:rsidRPr="004F5FB4">
        <w:rPr>
          <w:color w:val="000000"/>
        </w:rPr>
        <w:t>%) wieder in Remission (ASDAS</w:t>
      </w:r>
      <w:r w:rsidR="00F02B8F" w:rsidRPr="004F5FB4">
        <w:rPr>
          <w:color w:val="000000"/>
        </w:rPr>
        <w:t> </w:t>
      </w:r>
      <w:r w:rsidRPr="004F5FB4">
        <w:rPr>
          <w:color w:val="000000"/>
        </w:rPr>
        <w:t>&lt;</w:t>
      </w:r>
      <w:r w:rsidR="00763A61" w:rsidRPr="004F5FB4">
        <w:rPr>
          <w:color w:val="000000"/>
        </w:rPr>
        <w:t> </w:t>
      </w:r>
      <w:r w:rsidRPr="004F5FB4">
        <w:rPr>
          <w:color w:val="000000"/>
        </w:rPr>
        <w:t>1,3).</w:t>
      </w:r>
    </w:p>
    <w:p w14:paraId="447E222E" w14:textId="77777777" w:rsidR="00CF5C4A" w:rsidRPr="004F5FB4" w:rsidRDefault="00CF5C4A" w:rsidP="00982118">
      <w:pPr>
        <w:autoSpaceDE w:val="0"/>
        <w:autoSpaceDN w:val="0"/>
        <w:adjustRightInd w:val="0"/>
        <w:rPr>
          <w:color w:val="000000"/>
        </w:rPr>
      </w:pPr>
    </w:p>
    <w:p w14:paraId="35F21CAC" w14:textId="77777777" w:rsidR="00CF5C4A" w:rsidRPr="004F5FB4" w:rsidRDefault="00CF5C4A" w:rsidP="00982118">
      <w:pPr>
        <w:autoSpaceDE w:val="0"/>
        <w:autoSpaceDN w:val="0"/>
        <w:adjustRightInd w:val="0"/>
        <w:rPr>
          <w:color w:val="000000"/>
        </w:rPr>
      </w:pPr>
      <w:r w:rsidRPr="004F5FB4">
        <w:rPr>
          <w:color w:val="000000"/>
        </w:rPr>
        <w:t>Während der doppelblinden Phase zeigten in Woche</w:t>
      </w:r>
      <w:r w:rsidR="00763A61" w:rsidRPr="004F5FB4">
        <w:rPr>
          <w:color w:val="000000"/>
        </w:rPr>
        <w:t> </w:t>
      </w:r>
      <w:r w:rsidRPr="004F5FB4">
        <w:rPr>
          <w:color w:val="000000"/>
        </w:rPr>
        <w:t>68 die Patienten unter durchgehender Adalimumab-Behandlung gegenüber Patienten, die Adalimumab abgesetzt hatten, eine statistisch signifikant größere Verbesserung der Anzeichen und Symptome der aktiven nr-axSpA (Tabelle</w:t>
      </w:r>
      <w:r w:rsidR="00763A61" w:rsidRPr="004F5FB4">
        <w:rPr>
          <w:color w:val="000000"/>
        </w:rPr>
        <w:t> </w:t>
      </w:r>
      <w:r w:rsidR="00B852E6">
        <w:rPr>
          <w:color w:val="000000"/>
        </w:rPr>
        <w:t>14</w:t>
      </w:r>
      <w:r w:rsidRPr="004F5FB4">
        <w:rPr>
          <w:color w:val="000000"/>
        </w:rPr>
        <w:t>).</w:t>
      </w:r>
    </w:p>
    <w:p w14:paraId="2442C3C9" w14:textId="77777777" w:rsidR="00CF5C4A" w:rsidRPr="004F5FB4" w:rsidRDefault="00CF5C4A" w:rsidP="00982118">
      <w:pPr>
        <w:autoSpaceDE w:val="0"/>
        <w:autoSpaceDN w:val="0"/>
        <w:adjustRightInd w:val="0"/>
        <w:rPr>
          <w:color w:val="000000"/>
        </w:rPr>
      </w:pPr>
    </w:p>
    <w:p w14:paraId="305DAC92" w14:textId="77777777" w:rsidR="00CF5C4A" w:rsidRPr="00F60620" w:rsidRDefault="00CF5C4A" w:rsidP="00F60620">
      <w:pPr>
        <w:pStyle w:val="BodyText"/>
        <w:widowControl/>
        <w:kinsoku w:val="0"/>
        <w:overflowPunct w:val="0"/>
        <w:ind w:left="0"/>
        <w:rPr>
          <w:b/>
          <w:color w:val="000000"/>
        </w:rPr>
      </w:pPr>
      <w:r w:rsidRPr="00F60620">
        <w:rPr>
          <w:b/>
          <w:color w:val="000000"/>
        </w:rPr>
        <w:t>Tabelle</w:t>
      </w:r>
      <w:r w:rsidR="00B852E6">
        <w:rPr>
          <w:b/>
          <w:color w:val="000000"/>
        </w:rPr>
        <w:t> 14</w:t>
      </w:r>
    </w:p>
    <w:p w14:paraId="14B21982" w14:textId="77777777" w:rsidR="00CF5C4A" w:rsidRPr="00F60620" w:rsidRDefault="00CF5C4A" w:rsidP="00F60620">
      <w:pPr>
        <w:pStyle w:val="BodyText"/>
        <w:widowControl/>
        <w:kinsoku w:val="0"/>
        <w:overflowPunct w:val="0"/>
        <w:ind w:left="0"/>
        <w:rPr>
          <w:b/>
          <w:color w:val="000000"/>
        </w:rPr>
      </w:pPr>
      <w:r w:rsidRPr="00F60620">
        <w:rPr>
          <w:b/>
          <w:color w:val="000000"/>
        </w:rPr>
        <w:t>Ansprechraten bezüglich Wirksamkeit bei placebokontrollierter Phase der nr-axSpA-Studie</w:t>
      </w:r>
      <w:r w:rsidR="00763A61" w:rsidRPr="00F60620">
        <w:rPr>
          <w:b/>
          <w:color w:val="000000"/>
        </w:rPr>
        <w:t> </w:t>
      </w:r>
      <w:r w:rsidRPr="00F60620">
        <w:rPr>
          <w:b/>
          <w:color w:val="000000"/>
        </w:rPr>
        <w:t>II</w:t>
      </w:r>
    </w:p>
    <w:p w14:paraId="0F895A1C" w14:textId="77777777" w:rsidR="00CF5C4A" w:rsidRPr="004F5FB4" w:rsidRDefault="00CF5C4A" w:rsidP="001C2CEC">
      <w:pPr>
        <w:pStyle w:val="BodyText"/>
        <w:keepNext/>
        <w:widowControl/>
        <w:kinsoku w:val="0"/>
        <w:overflowPunct w:val="0"/>
        <w:spacing w:before="7"/>
        <w:ind w:left="0"/>
        <w:rPr>
          <w:b/>
          <w:bCs/>
          <w:color w:val="000000"/>
        </w:rPr>
      </w:pPr>
    </w:p>
    <w:tbl>
      <w:tblPr>
        <w:tblW w:w="5000" w:type="pct"/>
        <w:tblLayout w:type="fixed"/>
        <w:tblCellMar>
          <w:left w:w="0" w:type="dxa"/>
          <w:right w:w="0" w:type="dxa"/>
        </w:tblCellMar>
        <w:tblLook w:val="0000" w:firstRow="0" w:lastRow="0" w:firstColumn="0" w:lastColumn="0" w:noHBand="0" w:noVBand="0"/>
      </w:tblPr>
      <w:tblGrid>
        <w:gridCol w:w="5177"/>
        <w:gridCol w:w="1901"/>
        <w:gridCol w:w="1987"/>
      </w:tblGrid>
      <w:tr w:rsidR="00CF5C4A" w:rsidRPr="004F5FB4" w14:paraId="150312D3" w14:textId="77777777" w:rsidTr="009756D9">
        <w:trPr>
          <w:trHeight w:hRule="exact" w:val="852"/>
        </w:trPr>
        <w:tc>
          <w:tcPr>
            <w:tcW w:w="5195" w:type="dxa"/>
            <w:tcBorders>
              <w:top w:val="single" w:sz="4" w:space="0" w:color="000000"/>
              <w:left w:val="single" w:sz="4" w:space="0" w:color="000000"/>
              <w:bottom w:val="single" w:sz="4" w:space="0" w:color="000000"/>
              <w:right w:val="single" w:sz="4" w:space="0" w:color="000000"/>
            </w:tcBorders>
          </w:tcPr>
          <w:p w14:paraId="23529B65" w14:textId="77777777" w:rsidR="00CF5C4A" w:rsidRPr="004F5FB4" w:rsidRDefault="00CF5C4A" w:rsidP="007C4B2C">
            <w:pPr>
              <w:pStyle w:val="TableParagraph"/>
              <w:keepNext/>
              <w:widowControl/>
              <w:tabs>
                <w:tab w:val="left" w:pos="2154"/>
                <w:tab w:val="left" w:pos="2604"/>
              </w:tabs>
              <w:kinsoku w:val="0"/>
              <w:overflowPunct w:val="0"/>
              <w:spacing w:before="14"/>
              <w:ind w:left="63" w:right="3240"/>
              <w:rPr>
                <w:rFonts w:ascii="Times New Roman" w:hAnsi="Times New Roman"/>
                <w:color w:val="000000"/>
              </w:rPr>
            </w:pPr>
            <w:r w:rsidRPr="004F5FB4">
              <w:rPr>
                <w:rFonts w:ascii="Times New Roman" w:hAnsi="Times New Roman"/>
                <w:b/>
                <w:bCs/>
                <w:color w:val="000000"/>
              </w:rPr>
              <w:t>Doppelblinde Phase Ansprechen in Woche 68</w:t>
            </w:r>
          </w:p>
        </w:tc>
        <w:tc>
          <w:tcPr>
            <w:tcW w:w="1908" w:type="dxa"/>
            <w:tcBorders>
              <w:top w:val="single" w:sz="4" w:space="0" w:color="000000"/>
              <w:left w:val="single" w:sz="4" w:space="0" w:color="000000"/>
              <w:bottom w:val="single" w:sz="4" w:space="0" w:color="000000"/>
              <w:right w:val="single" w:sz="4" w:space="0" w:color="000000"/>
            </w:tcBorders>
          </w:tcPr>
          <w:p w14:paraId="33204683" w14:textId="77777777" w:rsidR="00F41FC1" w:rsidRPr="004F5FB4" w:rsidRDefault="00CF5C4A" w:rsidP="007C4B2C">
            <w:pPr>
              <w:pStyle w:val="TableParagraph"/>
              <w:keepNext/>
              <w:widowControl/>
              <w:kinsoku w:val="0"/>
              <w:overflowPunct w:val="0"/>
              <w:spacing w:before="14"/>
              <w:ind w:left="601" w:right="353" w:hanging="56"/>
              <w:rPr>
                <w:rFonts w:ascii="Times New Roman" w:hAnsi="Times New Roman"/>
                <w:b/>
                <w:bCs/>
                <w:color w:val="000000"/>
              </w:rPr>
            </w:pPr>
            <w:r w:rsidRPr="004F5FB4">
              <w:rPr>
                <w:rFonts w:ascii="Times New Roman" w:hAnsi="Times New Roman"/>
                <w:b/>
                <w:bCs/>
                <w:color w:val="000000"/>
              </w:rPr>
              <w:t xml:space="preserve">Placebo </w:t>
            </w:r>
          </w:p>
          <w:p w14:paraId="783DDABD" w14:textId="77777777" w:rsidR="00CF5C4A" w:rsidRPr="004F5FB4" w:rsidRDefault="00CF5C4A" w:rsidP="007C4B2C">
            <w:pPr>
              <w:pStyle w:val="TableParagraph"/>
              <w:keepNext/>
              <w:widowControl/>
              <w:kinsoku w:val="0"/>
              <w:overflowPunct w:val="0"/>
              <w:spacing w:before="14"/>
              <w:ind w:left="601" w:right="353" w:hanging="56"/>
              <w:rPr>
                <w:rFonts w:ascii="Times New Roman" w:hAnsi="Times New Roman"/>
                <w:color w:val="000000"/>
              </w:rPr>
            </w:pPr>
            <w:r w:rsidRPr="004F5FB4">
              <w:rPr>
                <w:rFonts w:ascii="Times New Roman" w:hAnsi="Times New Roman"/>
                <w:b/>
                <w:bCs/>
                <w:color w:val="000000"/>
              </w:rPr>
              <w:t>n = 153</w:t>
            </w:r>
          </w:p>
        </w:tc>
        <w:tc>
          <w:tcPr>
            <w:tcW w:w="1994" w:type="dxa"/>
            <w:tcBorders>
              <w:top w:val="single" w:sz="4" w:space="0" w:color="000000"/>
              <w:left w:val="single" w:sz="4" w:space="0" w:color="000000"/>
              <w:bottom w:val="single" w:sz="4" w:space="0" w:color="000000"/>
              <w:right w:val="single" w:sz="4" w:space="0" w:color="000000"/>
            </w:tcBorders>
          </w:tcPr>
          <w:p w14:paraId="77FD8BFA" w14:textId="77777777" w:rsidR="00E52316" w:rsidRPr="004F5FB4" w:rsidRDefault="005B6520" w:rsidP="007C4B2C">
            <w:pPr>
              <w:pStyle w:val="TableParagraph"/>
              <w:keepNext/>
              <w:widowControl/>
              <w:kinsoku w:val="0"/>
              <w:overflowPunct w:val="0"/>
              <w:spacing w:before="14"/>
              <w:ind w:left="673" w:right="113" w:hanging="396"/>
              <w:jc w:val="center"/>
              <w:rPr>
                <w:rFonts w:ascii="Times New Roman" w:hAnsi="Times New Roman"/>
                <w:b/>
                <w:color w:val="000000"/>
              </w:rPr>
            </w:pPr>
            <w:r w:rsidRPr="004F5FB4">
              <w:rPr>
                <w:rFonts w:ascii="Times New Roman" w:hAnsi="Times New Roman"/>
                <w:b/>
                <w:color w:val="000000"/>
              </w:rPr>
              <w:t>Adalimumab</w:t>
            </w:r>
          </w:p>
          <w:p w14:paraId="54EFF7D2" w14:textId="77777777" w:rsidR="00CF5C4A" w:rsidRPr="004F5FB4" w:rsidRDefault="00CF5C4A" w:rsidP="00F41FC1">
            <w:pPr>
              <w:pStyle w:val="TableParagraph"/>
              <w:keepNext/>
              <w:widowControl/>
              <w:kinsoku w:val="0"/>
              <w:overflowPunct w:val="0"/>
              <w:spacing w:before="14"/>
              <w:ind w:left="673" w:right="113" w:hanging="396"/>
              <w:jc w:val="center"/>
              <w:rPr>
                <w:rFonts w:ascii="Times New Roman" w:hAnsi="Times New Roman"/>
                <w:color w:val="000000"/>
              </w:rPr>
            </w:pPr>
            <w:r w:rsidRPr="004F5FB4">
              <w:rPr>
                <w:rFonts w:ascii="Times New Roman" w:hAnsi="Times New Roman"/>
                <w:b/>
                <w:bCs/>
                <w:color w:val="000000"/>
              </w:rPr>
              <w:t>n</w:t>
            </w:r>
            <w:r w:rsidR="00F41FC1" w:rsidRPr="004F5FB4">
              <w:rPr>
                <w:rFonts w:ascii="Times New Roman" w:hAnsi="Times New Roman"/>
                <w:b/>
                <w:bCs/>
                <w:color w:val="000000"/>
              </w:rPr>
              <w:t> </w:t>
            </w:r>
            <w:r w:rsidRPr="004F5FB4">
              <w:rPr>
                <w:rFonts w:ascii="Times New Roman" w:hAnsi="Times New Roman"/>
                <w:b/>
                <w:bCs/>
                <w:color w:val="000000"/>
              </w:rPr>
              <w:t>=</w:t>
            </w:r>
            <w:r w:rsidR="00F41FC1" w:rsidRPr="004F5FB4">
              <w:rPr>
                <w:rFonts w:ascii="Times New Roman" w:hAnsi="Times New Roman"/>
                <w:b/>
                <w:bCs/>
                <w:color w:val="000000"/>
              </w:rPr>
              <w:t> </w:t>
            </w:r>
            <w:r w:rsidRPr="004F5FB4">
              <w:rPr>
                <w:rFonts w:ascii="Times New Roman" w:hAnsi="Times New Roman"/>
                <w:b/>
                <w:bCs/>
                <w:color w:val="000000"/>
              </w:rPr>
              <w:t>152</w:t>
            </w:r>
          </w:p>
        </w:tc>
      </w:tr>
      <w:tr w:rsidR="00CF5C4A" w:rsidRPr="004F5FB4" w14:paraId="467A3DAF"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31F5F2D5" w14:textId="77777777" w:rsidR="00CF5C4A" w:rsidRPr="004F5FB4" w:rsidRDefault="00CF5C4A" w:rsidP="007C4B2C">
            <w:pPr>
              <w:pStyle w:val="TableParagraph"/>
              <w:keepNext/>
              <w:widowControl/>
              <w:kinsoku w:val="0"/>
              <w:overflowPunct w:val="0"/>
              <w:spacing w:line="263" w:lineRule="exact"/>
              <w:ind w:left="63"/>
              <w:rPr>
                <w:rFonts w:ascii="Times New Roman" w:hAnsi="Times New Roman"/>
                <w:color w:val="000000"/>
              </w:rPr>
            </w:pPr>
            <w:r w:rsidRPr="004F5FB4">
              <w:rPr>
                <w:rFonts w:ascii="Times New Roman" w:hAnsi="Times New Roman"/>
                <w:color w:val="000000"/>
              </w:rPr>
              <w:t>ASAS</w:t>
            </w:r>
            <w:r w:rsidRPr="004F5FB4">
              <w:rPr>
                <w:rFonts w:ascii="Times New Roman" w:hAnsi="Times New Roman"/>
                <w:color w:val="000000"/>
                <w:vertAlign w:val="superscript"/>
              </w:rPr>
              <w:t>a,b</w:t>
            </w:r>
            <w:r w:rsidRPr="004F5FB4">
              <w:rPr>
                <w:rFonts w:ascii="Times New Roman" w:hAnsi="Times New Roman"/>
                <w:color w:val="000000"/>
              </w:rPr>
              <w:t>-20</w:t>
            </w:r>
          </w:p>
        </w:tc>
        <w:tc>
          <w:tcPr>
            <w:tcW w:w="1908" w:type="dxa"/>
            <w:tcBorders>
              <w:top w:val="single" w:sz="4" w:space="0" w:color="000000"/>
              <w:left w:val="single" w:sz="4" w:space="0" w:color="000000"/>
              <w:bottom w:val="single" w:sz="4" w:space="0" w:color="000000"/>
              <w:right w:val="single" w:sz="4" w:space="0" w:color="000000"/>
            </w:tcBorders>
          </w:tcPr>
          <w:p w14:paraId="4371A879" w14:textId="77777777" w:rsidR="00CF5C4A" w:rsidRPr="004F5FB4" w:rsidRDefault="00CF5C4A" w:rsidP="007C4B2C">
            <w:pPr>
              <w:pStyle w:val="TableParagraph"/>
              <w:keepNext/>
              <w:widowControl/>
              <w:kinsoku w:val="0"/>
              <w:overflowPunct w:val="0"/>
              <w:spacing w:before="10"/>
              <w:ind w:left="1"/>
              <w:jc w:val="center"/>
              <w:rPr>
                <w:rFonts w:ascii="Times New Roman" w:hAnsi="Times New Roman"/>
                <w:color w:val="000000"/>
              </w:rPr>
            </w:pPr>
            <w:r w:rsidRPr="004F5FB4">
              <w:rPr>
                <w:rFonts w:ascii="Times New Roman" w:hAnsi="Times New Roman"/>
                <w:color w:val="000000"/>
              </w:rPr>
              <w:t>47,1</w:t>
            </w:r>
            <w:r w:rsidR="00763A61" w:rsidRPr="004F5FB4">
              <w:rPr>
                <w:rFonts w:ascii="Times New Roman" w:hAnsi="Times New Roman"/>
                <w:color w:val="000000"/>
              </w:rPr>
              <w:t> </w:t>
            </w:r>
            <w:r w:rsidRPr="004F5FB4">
              <w:rPr>
                <w:rFonts w:ascii="Times New Roman" w:hAnsi="Times New Roman"/>
                <w:color w:val="000000"/>
              </w:rPr>
              <w:t>%</w:t>
            </w:r>
          </w:p>
        </w:tc>
        <w:tc>
          <w:tcPr>
            <w:tcW w:w="1994" w:type="dxa"/>
            <w:tcBorders>
              <w:top w:val="single" w:sz="4" w:space="0" w:color="000000"/>
              <w:left w:val="single" w:sz="4" w:space="0" w:color="000000"/>
              <w:bottom w:val="single" w:sz="4" w:space="0" w:color="000000"/>
              <w:right w:val="single" w:sz="4" w:space="0" w:color="000000"/>
            </w:tcBorders>
          </w:tcPr>
          <w:p w14:paraId="7A5914A7" w14:textId="77777777" w:rsidR="00CF5C4A" w:rsidRPr="004F5FB4" w:rsidRDefault="00CF5C4A" w:rsidP="007C4B2C">
            <w:pPr>
              <w:pStyle w:val="TableParagraph"/>
              <w:keepNext/>
              <w:widowControl/>
              <w:kinsoku w:val="0"/>
              <w:overflowPunct w:val="0"/>
              <w:spacing w:before="10"/>
              <w:ind w:left="505"/>
              <w:rPr>
                <w:rFonts w:ascii="Times New Roman" w:hAnsi="Times New Roman"/>
                <w:color w:val="000000"/>
              </w:rPr>
            </w:pPr>
            <w:r w:rsidRPr="004F5FB4">
              <w:rPr>
                <w:rFonts w:ascii="Times New Roman" w:hAnsi="Times New Roman"/>
                <w:color w:val="000000"/>
              </w:rPr>
              <w:t>70,4</w:t>
            </w:r>
            <w:r w:rsidR="00763A61" w:rsidRPr="004F5FB4">
              <w:rPr>
                <w:rFonts w:ascii="Times New Roman" w:hAnsi="Times New Roman"/>
                <w:color w:val="000000"/>
              </w:rPr>
              <w:t> </w:t>
            </w:r>
            <w:r w:rsidRPr="004F5FB4">
              <w:rPr>
                <w:rFonts w:ascii="Times New Roman" w:hAnsi="Times New Roman"/>
                <w:color w:val="000000"/>
              </w:rPr>
              <w:t>%***</w:t>
            </w:r>
          </w:p>
        </w:tc>
      </w:tr>
      <w:tr w:rsidR="00CF5C4A" w:rsidRPr="004F5FB4" w14:paraId="06636705"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5A9D3585" w14:textId="77777777" w:rsidR="00CF5C4A" w:rsidRPr="004F5FB4" w:rsidRDefault="00CF5C4A" w:rsidP="007C4B2C">
            <w:pPr>
              <w:pStyle w:val="TableParagraph"/>
              <w:keepNext/>
              <w:widowControl/>
              <w:kinsoku w:val="0"/>
              <w:overflowPunct w:val="0"/>
              <w:spacing w:line="260" w:lineRule="exact"/>
              <w:ind w:left="63"/>
              <w:rPr>
                <w:rFonts w:ascii="Times New Roman" w:hAnsi="Times New Roman"/>
                <w:color w:val="000000"/>
              </w:rPr>
            </w:pPr>
            <w:r w:rsidRPr="004F5FB4">
              <w:rPr>
                <w:rFonts w:ascii="Times New Roman" w:hAnsi="Times New Roman"/>
                <w:color w:val="000000"/>
              </w:rPr>
              <w:t>ASAS</w:t>
            </w:r>
            <w:r w:rsidRPr="004F5FB4">
              <w:rPr>
                <w:rFonts w:ascii="Times New Roman" w:hAnsi="Times New Roman"/>
                <w:color w:val="000000"/>
                <w:vertAlign w:val="superscript"/>
              </w:rPr>
              <w:t>a,b</w:t>
            </w:r>
            <w:r w:rsidRPr="004F5FB4">
              <w:rPr>
                <w:rFonts w:ascii="Times New Roman" w:hAnsi="Times New Roman"/>
                <w:color w:val="000000"/>
              </w:rPr>
              <w:t>-40</w:t>
            </w:r>
          </w:p>
        </w:tc>
        <w:tc>
          <w:tcPr>
            <w:tcW w:w="1908" w:type="dxa"/>
            <w:tcBorders>
              <w:top w:val="single" w:sz="4" w:space="0" w:color="000000"/>
              <w:left w:val="single" w:sz="4" w:space="0" w:color="000000"/>
              <w:bottom w:val="single" w:sz="4" w:space="0" w:color="000000"/>
              <w:right w:val="single" w:sz="4" w:space="0" w:color="000000"/>
            </w:tcBorders>
          </w:tcPr>
          <w:p w14:paraId="5C1B0C14" w14:textId="77777777" w:rsidR="00CF5C4A" w:rsidRPr="004F5FB4" w:rsidRDefault="00CF5C4A" w:rsidP="007C4B2C">
            <w:pPr>
              <w:pStyle w:val="TableParagraph"/>
              <w:keepNext/>
              <w:widowControl/>
              <w:kinsoku w:val="0"/>
              <w:overflowPunct w:val="0"/>
              <w:spacing w:before="7"/>
              <w:ind w:left="1"/>
              <w:jc w:val="center"/>
              <w:rPr>
                <w:rFonts w:ascii="Times New Roman" w:hAnsi="Times New Roman"/>
                <w:color w:val="000000"/>
              </w:rPr>
            </w:pPr>
            <w:r w:rsidRPr="004F5FB4">
              <w:rPr>
                <w:rFonts w:ascii="Times New Roman" w:hAnsi="Times New Roman"/>
                <w:color w:val="000000"/>
              </w:rPr>
              <w:t>45,8</w:t>
            </w:r>
            <w:r w:rsidR="00763A61" w:rsidRPr="004F5FB4">
              <w:rPr>
                <w:rFonts w:ascii="Times New Roman" w:hAnsi="Times New Roman"/>
                <w:color w:val="000000"/>
              </w:rPr>
              <w:t> </w:t>
            </w:r>
            <w:r w:rsidRPr="004F5FB4">
              <w:rPr>
                <w:rFonts w:ascii="Times New Roman" w:hAnsi="Times New Roman"/>
                <w:color w:val="000000"/>
              </w:rPr>
              <w:t>%</w:t>
            </w:r>
          </w:p>
        </w:tc>
        <w:tc>
          <w:tcPr>
            <w:tcW w:w="1994" w:type="dxa"/>
            <w:tcBorders>
              <w:top w:val="single" w:sz="4" w:space="0" w:color="000000"/>
              <w:left w:val="single" w:sz="4" w:space="0" w:color="000000"/>
              <w:bottom w:val="single" w:sz="4" w:space="0" w:color="000000"/>
              <w:right w:val="single" w:sz="4" w:space="0" w:color="000000"/>
            </w:tcBorders>
          </w:tcPr>
          <w:p w14:paraId="14AB302A" w14:textId="77777777" w:rsidR="00CF5C4A" w:rsidRPr="004F5FB4" w:rsidRDefault="00CF5C4A" w:rsidP="007C4B2C">
            <w:pPr>
              <w:pStyle w:val="TableParagraph"/>
              <w:keepNext/>
              <w:widowControl/>
              <w:kinsoku w:val="0"/>
              <w:overflowPunct w:val="0"/>
              <w:spacing w:before="7"/>
              <w:ind w:left="505"/>
              <w:rPr>
                <w:rFonts w:ascii="Times New Roman" w:hAnsi="Times New Roman"/>
                <w:color w:val="000000"/>
              </w:rPr>
            </w:pPr>
            <w:r w:rsidRPr="004F5FB4">
              <w:rPr>
                <w:rFonts w:ascii="Times New Roman" w:hAnsi="Times New Roman"/>
                <w:color w:val="000000"/>
              </w:rPr>
              <w:t>65,8</w:t>
            </w:r>
            <w:r w:rsidR="00763A61" w:rsidRPr="004F5FB4">
              <w:rPr>
                <w:rFonts w:ascii="Times New Roman" w:hAnsi="Times New Roman"/>
                <w:color w:val="000000"/>
              </w:rPr>
              <w:t> </w:t>
            </w:r>
            <w:r w:rsidRPr="004F5FB4">
              <w:rPr>
                <w:rFonts w:ascii="Times New Roman" w:hAnsi="Times New Roman"/>
                <w:color w:val="000000"/>
              </w:rPr>
              <w:t>%***</w:t>
            </w:r>
          </w:p>
        </w:tc>
      </w:tr>
      <w:tr w:rsidR="00CF5C4A" w:rsidRPr="004F5FB4" w14:paraId="03D8B32E"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2E73E14A" w14:textId="77777777" w:rsidR="00CF5C4A" w:rsidRPr="004F5FB4" w:rsidRDefault="00CF5C4A" w:rsidP="007C4B2C">
            <w:pPr>
              <w:pStyle w:val="TableParagraph"/>
              <w:keepNext/>
              <w:widowControl/>
              <w:kinsoku w:val="0"/>
              <w:overflowPunct w:val="0"/>
              <w:spacing w:line="260" w:lineRule="exact"/>
              <w:ind w:left="63"/>
              <w:rPr>
                <w:rFonts w:ascii="Times New Roman" w:hAnsi="Times New Roman"/>
                <w:color w:val="000000"/>
              </w:rPr>
            </w:pPr>
            <w:r w:rsidRPr="004F5FB4">
              <w:rPr>
                <w:rFonts w:ascii="Times New Roman" w:hAnsi="Times New Roman"/>
                <w:color w:val="000000"/>
              </w:rPr>
              <w:t>ASAS</w:t>
            </w:r>
            <w:r w:rsidRPr="004F5FB4">
              <w:rPr>
                <w:rFonts w:ascii="Times New Roman" w:hAnsi="Times New Roman"/>
                <w:color w:val="000000"/>
                <w:vertAlign w:val="superscript"/>
              </w:rPr>
              <w:t>a</w:t>
            </w:r>
            <w:r w:rsidRPr="004F5FB4">
              <w:rPr>
                <w:rFonts w:ascii="Times New Roman" w:hAnsi="Times New Roman"/>
                <w:color w:val="000000"/>
              </w:rPr>
              <w:t xml:space="preserve"> partielle Remission</w:t>
            </w:r>
          </w:p>
        </w:tc>
        <w:tc>
          <w:tcPr>
            <w:tcW w:w="1908" w:type="dxa"/>
            <w:tcBorders>
              <w:top w:val="single" w:sz="4" w:space="0" w:color="000000"/>
              <w:left w:val="single" w:sz="4" w:space="0" w:color="000000"/>
              <w:bottom w:val="single" w:sz="4" w:space="0" w:color="000000"/>
              <w:right w:val="single" w:sz="4" w:space="0" w:color="000000"/>
            </w:tcBorders>
          </w:tcPr>
          <w:p w14:paraId="2E96AFBF" w14:textId="77777777" w:rsidR="00CF5C4A" w:rsidRPr="004F5FB4" w:rsidRDefault="00CF5C4A" w:rsidP="007C4B2C">
            <w:pPr>
              <w:pStyle w:val="TableParagraph"/>
              <w:keepNext/>
              <w:widowControl/>
              <w:kinsoku w:val="0"/>
              <w:overflowPunct w:val="0"/>
              <w:spacing w:before="7"/>
              <w:ind w:left="1"/>
              <w:jc w:val="center"/>
              <w:rPr>
                <w:rFonts w:ascii="Times New Roman" w:hAnsi="Times New Roman"/>
                <w:color w:val="000000"/>
              </w:rPr>
            </w:pPr>
            <w:r w:rsidRPr="004F5FB4">
              <w:rPr>
                <w:rFonts w:ascii="Times New Roman" w:hAnsi="Times New Roman"/>
                <w:color w:val="000000"/>
              </w:rPr>
              <w:t>26,8</w:t>
            </w:r>
            <w:r w:rsidR="00763A61" w:rsidRPr="004F5FB4">
              <w:rPr>
                <w:rFonts w:ascii="Times New Roman" w:hAnsi="Times New Roman"/>
                <w:color w:val="000000"/>
              </w:rPr>
              <w:t> </w:t>
            </w:r>
            <w:r w:rsidRPr="004F5FB4">
              <w:rPr>
                <w:rFonts w:ascii="Times New Roman" w:hAnsi="Times New Roman"/>
                <w:color w:val="000000"/>
              </w:rPr>
              <w:t>%</w:t>
            </w:r>
          </w:p>
        </w:tc>
        <w:tc>
          <w:tcPr>
            <w:tcW w:w="1994" w:type="dxa"/>
            <w:tcBorders>
              <w:top w:val="single" w:sz="4" w:space="0" w:color="000000"/>
              <w:left w:val="single" w:sz="4" w:space="0" w:color="000000"/>
              <w:bottom w:val="single" w:sz="4" w:space="0" w:color="000000"/>
              <w:right w:val="single" w:sz="4" w:space="0" w:color="000000"/>
            </w:tcBorders>
          </w:tcPr>
          <w:p w14:paraId="65E10063" w14:textId="77777777" w:rsidR="00CF5C4A" w:rsidRPr="004F5FB4" w:rsidRDefault="00CF5C4A" w:rsidP="007C4B2C">
            <w:pPr>
              <w:pStyle w:val="TableParagraph"/>
              <w:keepNext/>
              <w:widowControl/>
              <w:kinsoku w:val="0"/>
              <w:overflowPunct w:val="0"/>
              <w:spacing w:before="7"/>
              <w:ind w:left="560"/>
              <w:rPr>
                <w:rFonts w:ascii="Times New Roman" w:hAnsi="Times New Roman"/>
                <w:color w:val="000000"/>
              </w:rPr>
            </w:pPr>
            <w:r w:rsidRPr="004F5FB4">
              <w:rPr>
                <w:rFonts w:ascii="Times New Roman" w:hAnsi="Times New Roman"/>
                <w:color w:val="000000"/>
              </w:rPr>
              <w:t>42,1</w:t>
            </w:r>
            <w:r w:rsidR="00763A61" w:rsidRPr="004F5FB4">
              <w:rPr>
                <w:rFonts w:ascii="Times New Roman" w:hAnsi="Times New Roman"/>
                <w:color w:val="000000"/>
              </w:rPr>
              <w:t> </w:t>
            </w:r>
            <w:r w:rsidRPr="004F5FB4">
              <w:rPr>
                <w:rFonts w:ascii="Times New Roman" w:hAnsi="Times New Roman"/>
                <w:color w:val="000000"/>
              </w:rPr>
              <w:t>%**</w:t>
            </w:r>
          </w:p>
        </w:tc>
      </w:tr>
      <w:tr w:rsidR="00CF5C4A" w:rsidRPr="004F5FB4" w14:paraId="4DFD937B"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2B5E9DB1" w14:textId="77777777" w:rsidR="00CF5C4A" w:rsidRPr="004F5FB4" w:rsidRDefault="00CF5C4A" w:rsidP="007C4B2C">
            <w:pPr>
              <w:pStyle w:val="TableParagraph"/>
              <w:keepNext/>
              <w:widowControl/>
              <w:kinsoku w:val="0"/>
              <w:overflowPunct w:val="0"/>
              <w:spacing w:line="260" w:lineRule="exact"/>
              <w:ind w:left="63"/>
              <w:rPr>
                <w:rFonts w:ascii="Times New Roman" w:hAnsi="Times New Roman"/>
                <w:color w:val="000000"/>
              </w:rPr>
            </w:pPr>
            <w:r w:rsidRPr="004F5FB4">
              <w:rPr>
                <w:rFonts w:ascii="Times New Roman" w:hAnsi="Times New Roman"/>
                <w:color w:val="000000"/>
              </w:rPr>
              <w:t>ASDAS</w:t>
            </w:r>
            <w:r w:rsidRPr="004F5FB4">
              <w:rPr>
                <w:rFonts w:ascii="Times New Roman" w:hAnsi="Times New Roman"/>
                <w:color w:val="000000"/>
                <w:vertAlign w:val="superscript"/>
              </w:rPr>
              <w:t>c</w:t>
            </w:r>
            <w:r w:rsidRPr="004F5FB4">
              <w:rPr>
                <w:rFonts w:ascii="Times New Roman" w:hAnsi="Times New Roman"/>
                <w:color w:val="000000"/>
              </w:rPr>
              <w:t xml:space="preserve"> Inactive Disease</w:t>
            </w:r>
          </w:p>
        </w:tc>
        <w:tc>
          <w:tcPr>
            <w:tcW w:w="1908" w:type="dxa"/>
            <w:tcBorders>
              <w:top w:val="single" w:sz="4" w:space="0" w:color="000000"/>
              <w:left w:val="single" w:sz="4" w:space="0" w:color="000000"/>
              <w:bottom w:val="single" w:sz="4" w:space="0" w:color="000000"/>
              <w:right w:val="single" w:sz="4" w:space="0" w:color="000000"/>
            </w:tcBorders>
          </w:tcPr>
          <w:p w14:paraId="67D448B2" w14:textId="77777777" w:rsidR="00CF5C4A" w:rsidRPr="004F5FB4" w:rsidRDefault="00CF5C4A" w:rsidP="007C4B2C">
            <w:pPr>
              <w:pStyle w:val="TableParagraph"/>
              <w:keepNext/>
              <w:widowControl/>
              <w:kinsoku w:val="0"/>
              <w:overflowPunct w:val="0"/>
              <w:spacing w:before="7"/>
              <w:ind w:left="1"/>
              <w:jc w:val="center"/>
              <w:rPr>
                <w:rFonts w:ascii="Times New Roman" w:hAnsi="Times New Roman"/>
                <w:color w:val="000000"/>
              </w:rPr>
            </w:pPr>
            <w:r w:rsidRPr="004F5FB4">
              <w:rPr>
                <w:rFonts w:ascii="Times New Roman" w:hAnsi="Times New Roman"/>
                <w:color w:val="000000"/>
              </w:rPr>
              <w:t>33,3 %</w:t>
            </w:r>
          </w:p>
        </w:tc>
        <w:tc>
          <w:tcPr>
            <w:tcW w:w="1994" w:type="dxa"/>
            <w:tcBorders>
              <w:top w:val="single" w:sz="4" w:space="0" w:color="000000"/>
              <w:left w:val="single" w:sz="4" w:space="0" w:color="000000"/>
              <w:bottom w:val="single" w:sz="4" w:space="0" w:color="000000"/>
              <w:right w:val="single" w:sz="4" w:space="0" w:color="000000"/>
            </w:tcBorders>
          </w:tcPr>
          <w:p w14:paraId="55F5B3BF" w14:textId="77777777" w:rsidR="00CF5C4A" w:rsidRPr="004F5FB4" w:rsidRDefault="00CF5C4A" w:rsidP="007C4B2C">
            <w:pPr>
              <w:pStyle w:val="TableParagraph"/>
              <w:keepNext/>
              <w:widowControl/>
              <w:kinsoku w:val="0"/>
              <w:overflowPunct w:val="0"/>
              <w:spacing w:before="7"/>
              <w:ind w:left="505"/>
              <w:rPr>
                <w:rFonts w:ascii="Times New Roman" w:hAnsi="Times New Roman"/>
                <w:color w:val="000000"/>
              </w:rPr>
            </w:pPr>
            <w:r w:rsidRPr="004F5FB4">
              <w:rPr>
                <w:rFonts w:ascii="Times New Roman" w:hAnsi="Times New Roman"/>
                <w:color w:val="000000"/>
              </w:rPr>
              <w:t>57,2</w:t>
            </w:r>
            <w:r w:rsidR="00763A61" w:rsidRPr="004F5FB4">
              <w:rPr>
                <w:rFonts w:ascii="Times New Roman" w:hAnsi="Times New Roman"/>
                <w:color w:val="000000"/>
              </w:rPr>
              <w:t> </w:t>
            </w:r>
            <w:r w:rsidRPr="004F5FB4">
              <w:rPr>
                <w:rFonts w:ascii="Times New Roman" w:hAnsi="Times New Roman"/>
                <w:color w:val="000000"/>
              </w:rPr>
              <w:t>%***</w:t>
            </w:r>
          </w:p>
        </w:tc>
      </w:tr>
      <w:tr w:rsidR="00CF5C4A" w:rsidRPr="004F5FB4" w14:paraId="069989E3"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140FC182" w14:textId="77777777" w:rsidR="00CF5C4A" w:rsidRPr="004F5FB4" w:rsidRDefault="00CF5C4A" w:rsidP="007C4B2C">
            <w:pPr>
              <w:pStyle w:val="TableParagraph"/>
              <w:keepNext/>
              <w:widowControl/>
              <w:kinsoku w:val="0"/>
              <w:overflowPunct w:val="0"/>
              <w:spacing w:line="260" w:lineRule="exact"/>
              <w:ind w:left="63"/>
              <w:rPr>
                <w:rFonts w:ascii="Times New Roman" w:hAnsi="Times New Roman"/>
                <w:color w:val="000000"/>
              </w:rPr>
            </w:pPr>
            <w:r w:rsidRPr="004F5FB4">
              <w:rPr>
                <w:rFonts w:ascii="Times New Roman" w:hAnsi="Times New Roman"/>
                <w:color w:val="000000"/>
              </w:rPr>
              <w:t>Partieller Schub</w:t>
            </w:r>
            <w:r w:rsidRPr="004F5FB4">
              <w:rPr>
                <w:rFonts w:ascii="Times New Roman" w:hAnsi="Times New Roman"/>
                <w:color w:val="000000"/>
                <w:vertAlign w:val="superscript"/>
              </w:rPr>
              <w:t>d</w:t>
            </w:r>
          </w:p>
        </w:tc>
        <w:tc>
          <w:tcPr>
            <w:tcW w:w="1908" w:type="dxa"/>
            <w:tcBorders>
              <w:top w:val="single" w:sz="4" w:space="0" w:color="000000"/>
              <w:left w:val="single" w:sz="4" w:space="0" w:color="000000"/>
              <w:bottom w:val="single" w:sz="4" w:space="0" w:color="000000"/>
              <w:right w:val="single" w:sz="4" w:space="0" w:color="000000"/>
            </w:tcBorders>
          </w:tcPr>
          <w:p w14:paraId="3B7F5A50" w14:textId="77777777" w:rsidR="00CF5C4A" w:rsidRPr="004F5FB4" w:rsidRDefault="00CF5C4A" w:rsidP="007C4B2C">
            <w:pPr>
              <w:pStyle w:val="TableParagraph"/>
              <w:keepNext/>
              <w:widowControl/>
              <w:kinsoku w:val="0"/>
              <w:overflowPunct w:val="0"/>
              <w:spacing w:before="7"/>
              <w:ind w:left="1"/>
              <w:jc w:val="center"/>
              <w:rPr>
                <w:rFonts w:ascii="Times New Roman" w:hAnsi="Times New Roman"/>
                <w:color w:val="000000"/>
              </w:rPr>
            </w:pPr>
            <w:r w:rsidRPr="004F5FB4">
              <w:rPr>
                <w:rFonts w:ascii="Times New Roman" w:hAnsi="Times New Roman"/>
                <w:color w:val="000000"/>
              </w:rPr>
              <w:t>64,1</w:t>
            </w:r>
            <w:r w:rsidR="00763A61" w:rsidRPr="004F5FB4">
              <w:rPr>
                <w:rFonts w:ascii="Times New Roman" w:hAnsi="Times New Roman"/>
                <w:color w:val="000000"/>
              </w:rPr>
              <w:t> </w:t>
            </w:r>
            <w:r w:rsidRPr="004F5FB4">
              <w:rPr>
                <w:rFonts w:ascii="Times New Roman" w:hAnsi="Times New Roman"/>
                <w:color w:val="000000"/>
              </w:rPr>
              <w:t>%</w:t>
            </w:r>
          </w:p>
        </w:tc>
        <w:tc>
          <w:tcPr>
            <w:tcW w:w="1994" w:type="dxa"/>
            <w:tcBorders>
              <w:top w:val="single" w:sz="4" w:space="0" w:color="000000"/>
              <w:left w:val="single" w:sz="4" w:space="0" w:color="000000"/>
              <w:bottom w:val="single" w:sz="4" w:space="0" w:color="000000"/>
              <w:right w:val="single" w:sz="4" w:space="0" w:color="000000"/>
            </w:tcBorders>
          </w:tcPr>
          <w:p w14:paraId="1FB890D9" w14:textId="77777777" w:rsidR="00CF5C4A" w:rsidRPr="004F5FB4" w:rsidRDefault="00CF5C4A" w:rsidP="007C4B2C">
            <w:pPr>
              <w:pStyle w:val="TableParagraph"/>
              <w:keepNext/>
              <w:widowControl/>
              <w:kinsoku w:val="0"/>
              <w:overflowPunct w:val="0"/>
              <w:spacing w:before="7"/>
              <w:ind w:left="505"/>
              <w:rPr>
                <w:rFonts w:ascii="Times New Roman" w:hAnsi="Times New Roman"/>
                <w:color w:val="000000"/>
              </w:rPr>
            </w:pPr>
            <w:r w:rsidRPr="004F5FB4">
              <w:rPr>
                <w:rFonts w:ascii="Times New Roman" w:hAnsi="Times New Roman"/>
                <w:color w:val="000000"/>
              </w:rPr>
              <w:t>40,8</w:t>
            </w:r>
            <w:r w:rsidR="00763A61" w:rsidRPr="004F5FB4">
              <w:rPr>
                <w:rFonts w:ascii="Times New Roman" w:hAnsi="Times New Roman"/>
                <w:color w:val="000000"/>
              </w:rPr>
              <w:t> </w:t>
            </w:r>
            <w:r w:rsidRPr="004F5FB4">
              <w:rPr>
                <w:rFonts w:ascii="Times New Roman" w:hAnsi="Times New Roman"/>
                <w:color w:val="000000"/>
              </w:rPr>
              <w:t>%***</w:t>
            </w:r>
          </w:p>
        </w:tc>
      </w:tr>
      <w:tr w:rsidR="009756D9" w:rsidRPr="004F5FB4" w14:paraId="6D504B47" w14:textId="77777777" w:rsidTr="009756D9">
        <w:tc>
          <w:tcPr>
            <w:tcW w:w="9097" w:type="dxa"/>
            <w:gridSpan w:val="3"/>
            <w:tcBorders>
              <w:top w:val="single" w:sz="4" w:space="0" w:color="000000"/>
            </w:tcBorders>
          </w:tcPr>
          <w:p w14:paraId="4B4B6DA8" w14:textId="77777777" w:rsidR="009756D9" w:rsidRPr="00206AEA" w:rsidRDefault="009756D9" w:rsidP="007C4B2C">
            <w:pPr>
              <w:pStyle w:val="BodyText"/>
              <w:keepNext/>
              <w:widowControl/>
              <w:kinsoku w:val="0"/>
              <w:overflowPunct w:val="0"/>
              <w:ind w:left="270" w:hanging="270"/>
              <w:rPr>
                <w:color w:val="000000"/>
                <w:sz w:val="20"/>
                <w:lang w:val="en-US"/>
              </w:rPr>
            </w:pPr>
            <w:proofErr w:type="spellStart"/>
            <w:proofErr w:type="gramStart"/>
            <w:r w:rsidRPr="00206AEA">
              <w:rPr>
                <w:color w:val="000000"/>
                <w:sz w:val="20"/>
                <w:vertAlign w:val="superscript"/>
                <w:lang w:val="en-US"/>
              </w:rPr>
              <w:t>a</w:t>
            </w:r>
            <w:proofErr w:type="spellEnd"/>
            <w:proofErr w:type="gramEnd"/>
            <w:r w:rsidRPr="00206AEA">
              <w:rPr>
                <w:color w:val="000000"/>
                <w:sz w:val="20"/>
                <w:lang w:val="en-US"/>
              </w:rPr>
              <w:t xml:space="preserve"> </w:t>
            </w:r>
            <w:r w:rsidRPr="00206AEA">
              <w:rPr>
                <w:color w:val="000000"/>
                <w:sz w:val="20"/>
                <w:lang w:val="en-US"/>
              </w:rPr>
              <w:tab/>
              <w:t xml:space="preserve">Assessment of </w:t>
            </w:r>
            <w:proofErr w:type="spellStart"/>
            <w:r w:rsidRPr="00206AEA">
              <w:rPr>
                <w:color w:val="000000"/>
                <w:sz w:val="20"/>
                <w:lang w:val="en-US"/>
              </w:rPr>
              <w:t>SpondyloArthritis</w:t>
            </w:r>
            <w:proofErr w:type="spellEnd"/>
            <w:r w:rsidRPr="00206AEA">
              <w:rPr>
                <w:color w:val="000000"/>
                <w:sz w:val="20"/>
                <w:lang w:val="en-US"/>
              </w:rPr>
              <w:t xml:space="preserve"> International Society</w:t>
            </w:r>
          </w:p>
          <w:p w14:paraId="27BA959B" w14:textId="77777777" w:rsidR="009756D9" w:rsidRPr="00206AEA" w:rsidRDefault="009756D9" w:rsidP="007C4B2C">
            <w:pPr>
              <w:pStyle w:val="BodyText"/>
              <w:keepNext/>
              <w:widowControl/>
              <w:kinsoku w:val="0"/>
              <w:overflowPunct w:val="0"/>
              <w:ind w:left="270" w:hanging="270"/>
              <w:rPr>
                <w:color w:val="000000"/>
                <w:sz w:val="20"/>
              </w:rPr>
            </w:pPr>
            <w:r w:rsidRPr="00206AEA">
              <w:rPr>
                <w:color w:val="000000"/>
                <w:sz w:val="20"/>
                <w:vertAlign w:val="superscript"/>
              </w:rPr>
              <w:t xml:space="preserve">b </w:t>
            </w:r>
            <w:r w:rsidRPr="00206AEA">
              <w:rPr>
                <w:color w:val="000000"/>
                <w:sz w:val="20"/>
                <w:vertAlign w:val="superscript"/>
              </w:rPr>
              <w:tab/>
            </w:r>
            <w:r w:rsidRPr="00206AEA">
              <w:rPr>
                <w:color w:val="000000"/>
                <w:sz w:val="20"/>
              </w:rPr>
              <w:t>Als Ausgangswert gilt bei Patienten mit aktiver Erkrankung der Wert bei Beginn der offenen Phase.</w:t>
            </w:r>
          </w:p>
          <w:p w14:paraId="3C0A3167" w14:textId="77777777" w:rsidR="009756D9" w:rsidRPr="00206AEA" w:rsidRDefault="009756D9" w:rsidP="007C4B2C">
            <w:pPr>
              <w:pStyle w:val="BodyText"/>
              <w:keepNext/>
              <w:widowControl/>
              <w:kinsoku w:val="0"/>
              <w:overflowPunct w:val="0"/>
              <w:ind w:left="270" w:hanging="270"/>
              <w:rPr>
                <w:color w:val="000000"/>
                <w:sz w:val="20"/>
                <w:lang w:val="en-US"/>
              </w:rPr>
            </w:pPr>
            <w:r w:rsidRPr="00206AEA">
              <w:rPr>
                <w:color w:val="000000"/>
                <w:sz w:val="20"/>
                <w:vertAlign w:val="superscript"/>
                <w:lang w:val="en-US"/>
              </w:rPr>
              <w:t>c</w:t>
            </w:r>
            <w:r w:rsidRPr="00206AEA">
              <w:rPr>
                <w:color w:val="000000"/>
                <w:sz w:val="20"/>
                <w:lang w:val="en-US"/>
              </w:rPr>
              <w:t xml:space="preserve"> </w:t>
            </w:r>
            <w:r w:rsidRPr="00206AEA">
              <w:rPr>
                <w:color w:val="000000"/>
                <w:sz w:val="20"/>
                <w:lang w:val="en-US"/>
              </w:rPr>
              <w:tab/>
              <w:t>Ankylosing Spondylitis Disease Activity Score</w:t>
            </w:r>
          </w:p>
          <w:p w14:paraId="6E160AF1" w14:textId="77777777" w:rsidR="009756D9" w:rsidRPr="00206AEA" w:rsidRDefault="009756D9" w:rsidP="007C4B2C">
            <w:pPr>
              <w:pStyle w:val="BodyText"/>
              <w:keepNext/>
              <w:widowControl/>
              <w:kinsoku w:val="0"/>
              <w:overflowPunct w:val="0"/>
              <w:ind w:left="270" w:hanging="270"/>
              <w:rPr>
                <w:color w:val="000000"/>
                <w:sz w:val="20"/>
              </w:rPr>
            </w:pPr>
            <w:r w:rsidRPr="00206AEA">
              <w:rPr>
                <w:color w:val="000000"/>
                <w:sz w:val="20"/>
                <w:vertAlign w:val="superscript"/>
              </w:rPr>
              <w:t>d</w:t>
            </w:r>
            <w:r w:rsidRPr="00206AEA">
              <w:rPr>
                <w:color w:val="000000"/>
                <w:sz w:val="20"/>
              </w:rPr>
              <w:t xml:space="preserve"> </w:t>
            </w:r>
            <w:r w:rsidRPr="00206AEA">
              <w:rPr>
                <w:color w:val="000000"/>
                <w:sz w:val="20"/>
              </w:rPr>
              <w:tab/>
              <w:t>Ein partieller Schub ist definiert als ASDAS von ≥</w:t>
            </w:r>
            <w:r w:rsidR="00D36DE9" w:rsidRPr="004F5FB4">
              <w:rPr>
                <w:color w:val="000000"/>
              </w:rPr>
              <w:t> </w:t>
            </w:r>
            <w:r w:rsidRPr="00206AEA">
              <w:rPr>
                <w:color w:val="000000"/>
                <w:sz w:val="20"/>
              </w:rPr>
              <w:t>1,3 aber &lt;</w:t>
            </w:r>
            <w:r w:rsidR="00D36DE9" w:rsidRPr="00206AEA">
              <w:rPr>
                <w:color w:val="000000"/>
                <w:sz w:val="20"/>
              </w:rPr>
              <w:t> </w:t>
            </w:r>
            <w:r w:rsidRPr="00206AEA">
              <w:rPr>
                <w:color w:val="000000"/>
                <w:sz w:val="20"/>
              </w:rPr>
              <w:t>2,1 bei zwei aufeinanderfolgenden Visiten.</w:t>
            </w:r>
          </w:p>
          <w:p w14:paraId="5EAEA72D" w14:textId="77777777" w:rsidR="009756D9" w:rsidRPr="00206AEA" w:rsidRDefault="009756D9" w:rsidP="007C4B2C">
            <w:pPr>
              <w:pStyle w:val="BodyText"/>
              <w:keepNext/>
              <w:widowControl/>
              <w:kinsoku w:val="0"/>
              <w:overflowPunct w:val="0"/>
              <w:ind w:left="0"/>
              <w:rPr>
                <w:color w:val="000000"/>
                <w:sz w:val="20"/>
              </w:rPr>
            </w:pPr>
            <w:r w:rsidRPr="00206AEA">
              <w:rPr>
                <w:color w:val="000000"/>
                <w:sz w:val="20"/>
              </w:rPr>
              <w:t>***, ** Statistisch signifikant mit p &lt; 0,001 bzw. &lt; 0,01 für alle Vergleiche von Adalimumab mit Placebo.</w:t>
            </w:r>
          </w:p>
        </w:tc>
      </w:tr>
    </w:tbl>
    <w:p w14:paraId="3C64CC25" w14:textId="77777777" w:rsidR="00CF5C4A" w:rsidRPr="004F5FB4" w:rsidRDefault="00CF5C4A" w:rsidP="00982118">
      <w:pPr>
        <w:autoSpaceDE w:val="0"/>
        <w:autoSpaceDN w:val="0"/>
        <w:adjustRightInd w:val="0"/>
        <w:rPr>
          <w:color w:val="000000"/>
        </w:rPr>
      </w:pPr>
    </w:p>
    <w:p w14:paraId="01F869E8" w14:textId="77777777" w:rsidR="00C46587" w:rsidRPr="004F5FB4" w:rsidRDefault="00C46587" w:rsidP="00687087">
      <w:pPr>
        <w:keepNext/>
        <w:rPr>
          <w:i/>
          <w:color w:val="000000"/>
        </w:rPr>
      </w:pPr>
      <w:r w:rsidRPr="004F5FB4">
        <w:rPr>
          <w:i/>
          <w:color w:val="000000"/>
        </w:rPr>
        <w:t>Psoriasis-Arthritis</w:t>
      </w:r>
    </w:p>
    <w:p w14:paraId="3203A12E" w14:textId="77777777" w:rsidR="00C46587" w:rsidRPr="004F5FB4" w:rsidRDefault="00C46587" w:rsidP="00687087">
      <w:pPr>
        <w:keepNext/>
        <w:rPr>
          <w:color w:val="000000"/>
        </w:rPr>
      </w:pPr>
    </w:p>
    <w:p w14:paraId="504B2885" w14:textId="77777777" w:rsidR="00C46587" w:rsidRPr="004F5FB4" w:rsidRDefault="005A4709" w:rsidP="00982118">
      <w:pPr>
        <w:rPr>
          <w:color w:val="000000"/>
        </w:rPr>
      </w:pPr>
      <w:r w:rsidRPr="004F5FB4">
        <w:rPr>
          <w:color w:val="000000"/>
        </w:rPr>
        <w:t>Adalimumab wurde bei Patienten mit mäßiger bis schwerer aktiver Psoriasis-Arthritis in einer Dosierung von 40 mg jede zweite Woche in zwei placebokontrollierten Studien, PsA-Studien</w:t>
      </w:r>
      <w:r w:rsidR="00D36DE9" w:rsidRPr="004F5FB4">
        <w:rPr>
          <w:color w:val="000000"/>
        </w:rPr>
        <w:t> </w:t>
      </w:r>
      <w:r w:rsidRPr="004F5FB4">
        <w:rPr>
          <w:color w:val="000000"/>
        </w:rPr>
        <w:t>I und II, untersucht. In der PsA-Studie</w:t>
      </w:r>
      <w:r w:rsidR="00D36DE9" w:rsidRPr="004F5FB4">
        <w:rPr>
          <w:color w:val="000000"/>
        </w:rPr>
        <w:t> </w:t>
      </w:r>
      <w:r w:rsidRPr="004F5FB4">
        <w:rPr>
          <w:color w:val="000000"/>
        </w:rPr>
        <w:t>I wurden 313</w:t>
      </w:r>
      <w:r w:rsidR="00852D64" w:rsidRPr="004F5FB4">
        <w:rPr>
          <w:color w:val="000000"/>
        </w:rPr>
        <w:t> </w:t>
      </w:r>
      <w:r w:rsidRPr="004F5FB4">
        <w:rPr>
          <w:color w:val="000000"/>
        </w:rPr>
        <w:t>erwachsene Patienten mit unzureichendem Ansprechen auf die Therapie mit nicht steroidalen Antirheumatika über 24</w:t>
      </w:r>
      <w:r w:rsidR="00852D64" w:rsidRPr="004F5FB4">
        <w:rPr>
          <w:color w:val="000000"/>
        </w:rPr>
        <w:t> </w:t>
      </w:r>
      <w:r w:rsidRPr="004F5FB4">
        <w:rPr>
          <w:color w:val="000000"/>
        </w:rPr>
        <w:t>Wochen behandelt. Annähernd 50 % dieser Patienten erhielten Methotrexat. In der PsA-Studie</w:t>
      </w:r>
      <w:r w:rsidR="00D36DE9" w:rsidRPr="004F5FB4">
        <w:rPr>
          <w:color w:val="000000"/>
        </w:rPr>
        <w:t> </w:t>
      </w:r>
      <w:r w:rsidRPr="004F5FB4">
        <w:rPr>
          <w:color w:val="000000"/>
        </w:rPr>
        <w:t>II wurden 100 Patienten mit unzureichendem Ansprechen auf krankheitsmodifizierende Antirheumatika (DMARDs) über 12</w:t>
      </w:r>
      <w:r w:rsidR="00497E38" w:rsidRPr="004F5FB4">
        <w:rPr>
          <w:color w:val="000000"/>
        </w:rPr>
        <w:t> </w:t>
      </w:r>
      <w:r w:rsidRPr="004F5FB4">
        <w:rPr>
          <w:color w:val="000000"/>
        </w:rPr>
        <w:t>Wochen behandelt. Nach Beendigung beider Studien traten 383</w:t>
      </w:r>
      <w:r w:rsidR="00D36DE9" w:rsidRPr="004F5FB4">
        <w:rPr>
          <w:color w:val="000000"/>
        </w:rPr>
        <w:t> </w:t>
      </w:r>
      <w:r w:rsidRPr="004F5FB4">
        <w:rPr>
          <w:color w:val="000000"/>
        </w:rPr>
        <w:t xml:space="preserve">Patienten in eine offene </w:t>
      </w:r>
      <w:r w:rsidR="00A3787B" w:rsidRPr="004F5FB4">
        <w:rPr>
          <w:color w:val="000000"/>
        </w:rPr>
        <w:t>Fortsetz</w:t>
      </w:r>
      <w:r w:rsidRPr="004F5FB4">
        <w:rPr>
          <w:color w:val="000000"/>
        </w:rPr>
        <w:t>ungsstudie ein, in der 40 mg Adalimumab jede zweite Woche verabreicht wurde.</w:t>
      </w:r>
    </w:p>
    <w:p w14:paraId="6E5E59BE" w14:textId="77777777" w:rsidR="00C46587" w:rsidRPr="004F5FB4" w:rsidRDefault="00C46587" w:rsidP="00982118">
      <w:pPr>
        <w:rPr>
          <w:color w:val="000000"/>
        </w:rPr>
      </w:pPr>
    </w:p>
    <w:p w14:paraId="34A5CFA7" w14:textId="77777777" w:rsidR="00C46587" w:rsidRPr="004F5FB4" w:rsidRDefault="00C46587" w:rsidP="00982118">
      <w:pPr>
        <w:rPr>
          <w:color w:val="000000"/>
        </w:rPr>
      </w:pPr>
      <w:r w:rsidRPr="004F5FB4">
        <w:rPr>
          <w:color w:val="000000"/>
        </w:rPr>
        <w:t>Aufgrund der geringen Anzahl untersuchter Patienten gibt es nur unzureichende Belege zur Wirksamkeit von Adalimumab bei Patienten mit einer der ankylosierenden Spondylitis ähnlichen Psoriasis-Arthropathie.</w:t>
      </w:r>
    </w:p>
    <w:p w14:paraId="581BF66F" w14:textId="77777777" w:rsidR="00C46587" w:rsidRPr="004F5FB4" w:rsidRDefault="00C46587" w:rsidP="00982118">
      <w:pPr>
        <w:rPr>
          <w:color w:val="000000"/>
        </w:rPr>
      </w:pPr>
    </w:p>
    <w:p w14:paraId="43C9E614" w14:textId="77777777" w:rsidR="00FA0342" w:rsidRPr="004F5FB4" w:rsidRDefault="00C46587" w:rsidP="00687087">
      <w:pPr>
        <w:rPr>
          <w:b/>
          <w:color w:val="000000"/>
        </w:rPr>
      </w:pPr>
      <w:r w:rsidRPr="004F5FB4">
        <w:rPr>
          <w:b/>
          <w:color w:val="000000"/>
        </w:rPr>
        <w:t>Tabelle</w:t>
      </w:r>
      <w:r w:rsidR="00B852E6">
        <w:rPr>
          <w:b/>
          <w:color w:val="000000"/>
        </w:rPr>
        <w:t> 15</w:t>
      </w:r>
    </w:p>
    <w:p w14:paraId="338C5A5E" w14:textId="77777777" w:rsidR="00C46587" w:rsidRPr="004F5FB4" w:rsidRDefault="00C46587" w:rsidP="00687087">
      <w:pPr>
        <w:rPr>
          <w:b/>
          <w:color w:val="000000"/>
        </w:rPr>
      </w:pPr>
      <w:r w:rsidRPr="004F5FB4">
        <w:rPr>
          <w:b/>
          <w:color w:val="000000"/>
        </w:rPr>
        <w:t>ACR-Ansprechraten in placebokontrollierten Psoriasis-Arthritis-Studien</w:t>
      </w:r>
    </w:p>
    <w:p w14:paraId="2A739E78" w14:textId="77777777" w:rsidR="00C46587" w:rsidRPr="004F5FB4" w:rsidRDefault="00C46587" w:rsidP="00687087">
      <w:pPr>
        <w:rPr>
          <w:color w:val="000000"/>
        </w:rPr>
      </w:pPr>
      <w:r w:rsidRPr="004F5FB4">
        <w:rPr>
          <w:b/>
          <w:color w:val="000000"/>
        </w:rPr>
        <w:t>(</w:t>
      </w:r>
      <w:r w:rsidR="00A3787B" w:rsidRPr="004F5FB4">
        <w:rPr>
          <w:b/>
          <w:color w:val="000000"/>
        </w:rPr>
        <w:t>p</w:t>
      </w:r>
      <w:r w:rsidRPr="004F5FB4">
        <w:rPr>
          <w:b/>
          <w:color w:val="000000"/>
        </w:rPr>
        <w:t>rozent</w:t>
      </w:r>
      <w:r w:rsidR="00A3787B" w:rsidRPr="004F5FB4">
        <w:rPr>
          <w:b/>
          <w:color w:val="000000"/>
        </w:rPr>
        <w:t>ualer Anteil</w:t>
      </w:r>
      <w:r w:rsidRPr="004F5FB4">
        <w:rPr>
          <w:b/>
          <w:color w:val="000000"/>
        </w:rPr>
        <w:t xml:space="preserve"> der Patienten)</w:t>
      </w:r>
    </w:p>
    <w:p w14:paraId="30931EA9" w14:textId="77777777" w:rsidR="00C46587" w:rsidRPr="004F5FB4" w:rsidRDefault="00C46587" w:rsidP="00982118">
      <w:pPr>
        <w:rPr>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784"/>
        <w:gridCol w:w="1826"/>
        <w:gridCol w:w="1784"/>
        <w:gridCol w:w="1826"/>
      </w:tblGrid>
      <w:tr w:rsidR="00C46587" w:rsidRPr="004F5FB4" w14:paraId="218E6FA0" w14:textId="77777777" w:rsidTr="00242B3F">
        <w:trPr>
          <w:tblHeader/>
        </w:trPr>
        <w:tc>
          <w:tcPr>
            <w:tcW w:w="1860" w:type="dxa"/>
            <w:tcBorders>
              <w:top w:val="single" w:sz="4" w:space="0" w:color="auto"/>
              <w:left w:val="single" w:sz="4" w:space="0" w:color="auto"/>
              <w:bottom w:val="single" w:sz="4" w:space="0" w:color="auto"/>
              <w:right w:val="single" w:sz="4" w:space="0" w:color="auto"/>
            </w:tcBorders>
          </w:tcPr>
          <w:p w14:paraId="170C14A9" w14:textId="77777777" w:rsidR="00C46587" w:rsidRPr="004F5FB4" w:rsidRDefault="00C46587" w:rsidP="00982118">
            <w:pPr>
              <w:rPr>
                <w:b/>
                <w:color w:val="000000"/>
                <w:lang w:val="en-GB"/>
              </w:rPr>
            </w:pPr>
          </w:p>
        </w:tc>
        <w:tc>
          <w:tcPr>
            <w:tcW w:w="3721" w:type="dxa"/>
            <w:gridSpan w:val="2"/>
            <w:tcBorders>
              <w:top w:val="single" w:sz="4" w:space="0" w:color="auto"/>
              <w:left w:val="single" w:sz="4" w:space="0" w:color="auto"/>
              <w:bottom w:val="single" w:sz="4" w:space="0" w:color="auto"/>
              <w:right w:val="single" w:sz="4" w:space="0" w:color="auto"/>
            </w:tcBorders>
            <w:hideMark/>
          </w:tcPr>
          <w:p w14:paraId="45815403" w14:textId="77777777" w:rsidR="00C46587" w:rsidRPr="004F5FB4" w:rsidRDefault="00C46587" w:rsidP="00982118">
            <w:pPr>
              <w:jc w:val="center"/>
              <w:rPr>
                <w:b/>
                <w:color w:val="000000"/>
              </w:rPr>
            </w:pPr>
            <w:r w:rsidRPr="004F5FB4">
              <w:rPr>
                <w:b/>
                <w:color w:val="000000"/>
              </w:rPr>
              <w:t>PsA-Studie I</w:t>
            </w:r>
          </w:p>
        </w:tc>
        <w:tc>
          <w:tcPr>
            <w:tcW w:w="3722" w:type="dxa"/>
            <w:gridSpan w:val="2"/>
            <w:tcBorders>
              <w:top w:val="single" w:sz="4" w:space="0" w:color="auto"/>
              <w:left w:val="single" w:sz="4" w:space="0" w:color="auto"/>
              <w:bottom w:val="single" w:sz="4" w:space="0" w:color="auto"/>
              <w:right w:val="single" w:sz="4" w:space="0" w:color="auto"/>
            </w:tcBorders>
            <w:hideMark/>
          </w:tcPr>
          <w:p w14:paraId="0D80CEE9" w14:textId="77777777" w:rsidR="00C46587" w:rsidRPr="004F5FB4" w:rsidRDefault="00C46587" w:rsidP="00982118">
            <w:pPr>
              <w:jc w:val="center"/>
              <w:rPr>
                <w:b/>
                <w:color w:val="000000"/>
              </w:rPr>
            </w:pPr>
            <w:r w:rsidRPr="004F5FB4">
              <w:rPr>
                <w:b/>
                <w:color w:val="000000"/>
              </w:rPr>
              <w:t>PsA-Studie II</w:t>
            </w:r>
          </w:p>
        </w:tc>
      </w:tr>
      <w:tr w:rsidR="00C46587" w:rsidRPr="004F5FB4" w14:paraId="0EB9292F" w14:textId="77777777" w:rsidTr="00242B3F">
        <w:trPr>
          <w:tblHeader/>
        </w:trPr>
        <w:tc>
          <w:tcPr>
            <w:tcW w:w="1860" w:type="dxa"/>
            <w:tcBorders>
              <w:top w:val="single" w:sz="4" w:space="0" w:color="auto"/>
              <w:left w:val="single" w:sz="4" w:space="0" w:color="auto"/>
              <w:bottom w:val="single" w:sz="4" w:space="0" w:color="auto"/>
              <w:right w:val="single" w:sz="4" w:space="0" w:color="auto"/>
            </w:tcBorders>
            <w:hideMark/>
          </w:tcPr>
          <w:p w14:paraId="705D22B1" w14:textId="77777777" w:rsidR="00C46587" w:rsidRPr="004F5FB4" w:rsidRDefault="00C46587" w:rsidP="00982118">
            <w:pPr>
              <w:rPr>
                <w:b/>
                <w:color w:val="000000"/>
              </w:rPr>
            </w:pPr>
            <w:r w:rsidRPr="004F5FB4">
              <w:rPr>
                <w:b/>
                <w:color w:val="000000"/>
              </w:rPr>
              <w:t>Ansprechen</w:t>
            </w:r>
          </w:p>
        </w:tc>
        <w:tc>
          <w:tcPr>
            <w:tcW w:w="1860" w:type="dxa"/>
            <w:tcBorders>
              <w:top w:val="single" w:sz="4" w:space="0" w:color="auto"/>
              <w:left w:val="single" w:sz="4" w:space="0" w:color="auto"/>
              <w:bottom w:val="single" w:sz="4" w:space="0" w:color="auto"/>
              <w:right w:val="single" w:sz="4" w:space="0" w:color="auto"/>
            </w:tcBorders>
            <w:hideMark/>
          </w:tcPr>
          <w:p w14:paraId="4008CAC6" w14:textId="77777777" w:rsidR="00C46587" w:rsidRPr="004F5FB4" w:rsidRDefault="00C46587" w:rsidP="00982118">
            <w:pPr>
              <w:jc w:val="center"/>
              <w:rPr>
                <w:b/>
                <w:color w:val="000000"/>
              </w:rPr>
            </w:pPr>
            <w:r w:rsidRPr="004F5FB4">
              <w:rPr>
                <w:b/>
                <w:color w:val="000000"/>
              </w:rPr>
              <w:t>Placebo</w:t>
            </w:r>
          </w:p>
          <w:p w14:paraId="2C57EC1E" w14:textId="77777777" w:rsidR="00C46587" w:rsidRPr="004F5FB4" w:rsidRDefault="00C46587"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162</w:t>
            </w:r>
          </w:p>
        </w:tc>
        <w:tc>
          <w:tcPr>
            <w:tcW w:w="1861" w:type="dxa"/>
            <w:tcBorders>
              <w:top w:val="single" w:sz="4" w:space="0" w:color="auto"/>
              <w:left w:val="single" w:sz="4" w:space="0" w:color="auto"/>
              <w:bottom w:val="single" w:sz="4" w:space="0" w:color="auto"/>
              <w:right w:val="single" w:sz="4" w:space="0" w:color="auto"/>
            </w:tcBorders>
            <w:hideMark/>
          </w:tcPr>
          <w:p w14:paraId="4409FABD" w14:textId="77777777" w:rsidR="00C46587" w:rsidRPr="004F5FB4" w:rsidRDefault="005A4709" w:rsidP="00982118">
            <w:pPr>
              <w:jc w:val="center"/>
              <w:rPr>
                <w:b/>
                <w:color w:val="000000"/>
              </w:rPr>
            </w:pPr>
            <w:r w:rsidRPr="004F5FB4">
              <w:rPr>
                <w:b/>
                <w:color w:val="000000"/>
              </w:rPr>
              <w:t>Adalimumab</w:t>
            </w:r>
          </w:p>
          <w:p w14:paraId="4DE4F535" w14:textId="77777777" w:rsidR="00C46587" w:rsidRPr="004F5FB4" w:rsidRDefault="00C46587"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151</w:t>
            </w:r>
          </w:p>
        </w:tc>
        <w:tc>
          <w:tcPr>
            <w:tcW w:w="1861" w:type="dxa"/>
            <w:tcBorders>
              <w:top w:val="single" w:sz="4" w:space="0" w:color="auto"/>
              <w:left w:val="single" w:sz="4" w:space="0" w:color="auto"/>
              <w:bottom w:val="single" w:sz="4" w:space="0" w:color="auto"/>
              <w:right w:val="single" w:sz="4" w:space="0" w:color="auto"/>
            </w:tcBorders>
            <w:hideMark/>
          </w:tcPr>
          <w:p w14:paraId="639FD635" w14:textId="77777777" w:rsidR="00C46587" w:rsidRPr="004F5FB4" w:rsidRDefault="00C46587" w:rsidP="00982118">
            <w:pPr>
              <w:jc w:val="center"/>
              <w:rPr>
                <w:b/>
                <w:color w:val="000000"/>
              </w:rPr>
            </w:pPr>
            <w:r w:rsidRPr="004F5FB4">
              <w:rPr>
                <w:b/>
                <w:color w:val="000000"/>
              </w:rPr>
              <w:t>Placebo</w:t>
            </w:r>
          </w:p>
          <w:p w14:paraId="05E994EF" w14:textId="77777777" w:rsidR="00C46587" w:rsidRPr="004F5FB4" w:rsidRDefault="00C46587"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49</w:t>
            </w:r>
          </w:p>
        </w:tc>
        <w:tc>
          <w:tcPr>
            <w:tcW w:w="1861" w:type="dxa"/>
            <w:tcBorders>
              <w:top w:val="single" w:sz="4" w:space="0" w:color="auto"/>
              <w:left w:val="single" w:sz="4" w:space="0" w:color="auto"/>
              <w:bottom w:val="single" w:sz="4" w:space="0" w:color="auto"/>
              <w:right w:val="single" w:sz="4" w:space="0" w:color="auto"/>
            </w:tcBorders>
            <w:hideMark/>
          </w:tcPr>
          <w:p w14:paraId="6D035AF4" w14:textId="77777777" w:rsidR="00C46587" w:rsidRPr="004F5FB4" w:rsidRDefault="005A4709" w:rsidP="00982118">
            <w:pPr>
              <w:jc w:val="center"/>
              <w:rPr>
                <w:b/>
                <w:color w:val="000000"/>
              </w:rPr>
            </w:pPr>
            <w:r w:rsidRPr="004F5FB4">
              <w:rPr>
                <w:b/>
                <w:color w:val="000000"/>
              </w:rPr>
              <w:t>Adalimumab</w:t>
            </w:r>
          </w:p>
          <w:p w14:paraId="34C54372" w14:textId="77777777" w:rsidR="00C46587" w:rsidRPr="004F5FB4" w:rsidRDefault="00C46587"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51</w:t>
            </w:r>
          </w:p>
        </w:tc>
      </w:tr>
      <w:tr w:rsidR="00C46587" w:rsidRPr="004F5FB4" w14:paraId="689DC8DD"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706DAF76" w14:textId="77777777" w:rsidR="00C46587" w:rsidRPr="004F5FB4" w:rsidRDefault="00C46587" w:rsidP="00982118">
            <w:pPr>
              <w:rPr>
                <w:color w:val="000000"/>
              </w:rPr>
            </w:pPr>
            <w:r w:rsidRPr="004F5FB4">
              <w:rPr>
                <w:color w:val="000000"/>
              </w:rPr>
              <w:t>ACR-20</w:t>
            </w:r>
          </w:p>
        </w:tc>
        <w:tc>
          <w:tcPr>
            <w:tcW w:w="1860" w:type="dxa"/>
            <w:tcBorders>
              <w:top w:val="single" w:sz="4" w:space="0" w:color="auto"/>
              <w:left w:val="single" w:sz="4" w:space="0" w:color="auto"/>
              <w:bottom w:val="single" w:sz="4" w:space="0" w:color="auto"/>
              <w:right w:val="single" w:sz="4" w:space="0" w:color="auto"/>
            </w:tcBorders>
          </w:tcPr>
          <w:p w14:paraId="3AF13555"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5297D445"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25B74577"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02F0BD60" w14:textId="77777777" w:rsidR="00C46587" w:rsidRPr="004F5FB4" w:rsidRDefault="00C46587" w:rsidP="00982118">
            <w:pPr>
              <w:jc w:val="center"/>
              <w:rPr>
                <w:color w:val="000000"/>
                <w:lang w:val="en-GB"/>
              </w:rPr>
            </w:pPr>
          </w:p>
        </w:tc>
      </w:tr>
      <w:tr w:rsidR="00C46587" w:rsidRPr="004F5FB4" w14:paraId="32A371EF"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82FC0F3" w14:textId="77777777" w:rsidR="00C46587" w:rsidRPr="004F5FB4" w:rsidRDefault="00C46587" w:rsidP="00982118">
            <w:pPr>
              <w:rPr>
                <w:color w:val="000000"/>
              </w:rPr>
            </w:pPr>
            <w:r w:rsidRPr="004F5FB4">
              <w:rPr>
                <w:color w:val="000000"/>
              </w:rPr>
              <w:tab/>
              <w:t>Woche</w:t>
            </w:r>
            <w:r w:rsidR="00852D64" w:rsidRPr="004F5FB4">
              <w:rPr>
                <w:color w:val="000000"/>
              </w:rPr>
              <w:t> </w:t>
            </w:r>
            <w:r w:rsidRPr="004F5FB4">
              <w:rPr>
                <w:color w:val="000000"/>
              </w:rPr>
              <w:t>12</w:t>
            </w:r>
          </w:p>
        </w:tc>
        <w:tc>
          <w:tcPr>
            <w:tcW w:w="1860" w:type="dxa"/>
            <w:tcBorders>
              <w:top w:val="single" w:sz="4" w:space="0" w:color="auto"/>
              <w:left w:val="single" w:sz="4" w:space="0" w:color="auto"/>
              <w:bottom w:val="single" w:sz="4" w:space="0" w:color="auto"/>
              <w:right w:val="single" w:sz="4" w:space="0" w:color="auto"/>
            </w:tcBorders>
            <w:hideMark/>
          </w:tcPr>
          <w:p w14:paraId="2B09DBA8" w14:textId="77777777" w:rsidR="00C46587" w:rsidRPr="004F5FB4" w:rsidRDefault="00C46587" w:rsidP="00982118">
            <w:pPr>
              <w:jc w:val="center"/>
              <w:rPr>
                <w:color w:val="000000"/>
              </w:rPr>
            </w:pPr>
            <w:r w:rsidRPr="004F5FB4">
              <w:rPr>
                <w:color w:val="000000"/>
              </w:rPr>
              <w:t>14 %</w:t>
            </w:r>
          </w:p>
        </w:tc>
        <w:tc>
          <w:tcPr>
            <w:tcW w:w="1861" w:type="dxa"/>
            <w:tcBorders>
              <w:top w:val="single" w:sz="4" w:space="0" w:color="auto"/>
              <w:left w:val="single" w:sz="4" w:space="0" w:color="auto"/>
              <w:bottom w:val="single" w:sz="4" w:space="0" w:color="auto"/>
              <w:right w:val="single" w:sz="4" w:space="0" w:color="auto"/>
            </w:tcBorders>
            <w:hideMark/>
          </w:tcPr>
          <w:p w14:paraId="343C8A68" w14:textId="77777777" w:rsidR="00C46587" w:rsidRPr="004F5FB4" w:rsidRDefault="00C46587" w:rsidP="00982118">
            <w:pPr>
              <w:jc w:val="center"/>
              <w:rPr>
                <w:color w:val="000000"/>
              </w:rPr>
            </w:pPr>
            <w:r w:rsidRPr="004F5FB4">
              <w:rPr>
                <w:color w:val="000000"/>
              </w:rPr>
              <w:t>58 %***</w:t>
            </w:r>
          </w:p>
        </w:tc>
        <w:tc>
          <w:tcPr>
            <w:tcW w:w="1861" w:type="dxa"/>
            <w:tcBorders>
              <w:top w:val="single" w:sz="4" w:space="0" w:color="auto"/>
              <w:left w:val="single" w:sz="4" w:space="0" w:color="auto"/>
              <w:bottom w:val="single" w:sz="4" w:space="0" w:color="auto"/>
              <w:right w:val="single" w:sz="4" w:space="0" w:color="auto"/>
            </w:tcBorders>
            <w:hideMark/>
          </w:tcPr>
          <w:p w14:paraId="11969179" w14:textId="77777777" w:rsidR="00C46587" w:rsidRPr="004F5FB4" w:rsidRDefault="00C46587" w:rsidP="00982118">
            <w:pPr>
              <w:jc w:val="center"/>
              <w:rPr>
                <w:color w:val="000000"/>
              </w:rPr>
            </w:pPr>
            <w:r w:rsidRPr="004F5FB4">
              <w:rPr>
                <w:color w:val="000000"/>
              </w:rPr>
              <w:t>16 %</w:t>
            </w:r>
          </w:p>
        </w:tc>
        <w:tc>
          <w:tcPr>
            <w:tcW w:w="1861" w:type="dxa"/>
            <w:tcBorders>
              <w:top w:val="single" w:sz="4" w:space="0" w:color="auto"/>
              <w:left w:val="single" w:sz="4" w:space="0" w:color="auto"/>
              <w:bottom w:val="single" w:sz="4" w:space="0" w:color="auto"/>
              <w:right w:val="single" w:sz="4" w:space="0" w:color="auto"/>
            </w:tcBorders>
            <w:hideMark/>
          </w:tcPr>
          <w:p w14:paraId="585792B1" w14:textId="77777777" w:rsidR="00C46587" w:rsidRPr="004F5FB4" w:rsidRDefault="00C46587" w:rsidP="00982118">
            <w:pPr>
              <w:jc w:val="center"/>
              <w:rPr>
                <w:color w:val="000000"/>
              </w:rPr>
            </w:pPr>
            <w:r w:rsidRPr="004F5FB4">
              <w:rPr>
                <w:color w:val="000000"/>
              </w:rPr>
              <w:t>39 %*</w:t>
            </w:r>
          </w:p>
        </w:tc>
      </w:tr>
      <w:tr w:rsidR="00C46587" w:rsidRPr="004F5FB4" w14:paraId="3927C154"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4356AB4D" w14:textId="77777777" w:rsidR="00C46587" w:rsidRPr="004F5FB4" w:rsidRDefault="00C46587" w:rsidP="00982118">
            <w:pPr>
              <w:rPr>
                <w:color w:val="000000"/>
              </w:rPr>
            </w:pPr>
            <w:r w:rsidRPr="004F5FB4">
              <w:rPr>
                <w:color w:val="000000"/>
              </w:rPr>
              <w:tab/>
              <w:t>Woche</w:t>
            </w:r>
            <w:r w:rsidR="00852D64" w:rsidRPr="004F5FB4">
              <w:rPr>
                <w:color w:val="000000"/>
              </w:rPr>
              <w:t> </w:t>
            </w:r>
            <w:r w:rsidRPr="004F5FB4">
              <w:rPr>
                <w:color w:val="000000"/>
              </w:rPr>
              <w:t>24</w:t>
            </w:r>
          </w:p>
        </w:tc>
        <w:tc>
          <w:tcPr>
            <w:tcW w:w="1860" w:type="dxa"/>
            <w:tcBorders>
              <w:top w:val="single" w:sz="4" w:space="0" w:color="auto"/>
              <w:left w:val="single" w:sz="4" w:space="0" w:color="auto"/>
              <w:bottom w:val="single" w:sz="4" w:space="0" w:color="auto"/>
              <w:right w:val="single" w:sz="4" w:space="0" w:color="auto"/>
            </w:tcBorders>
            <w:hideMark/>
          </w:tcPr>
          <w:p w14:paraId="6EF67BC4" w14:textId="77777777" w:rsidR="00C46587" w:rsidRPr="004F5FB4" w:rsidRDefault="00C46587" w:rsidP="00982118">
            <w:pPr>
              <w:jc w:val="center"/>
              <w:rPr>
                <w:color w:val="000000"/>
              </w:rPr>
            </w:pPr>
            <w:r w:rsidRPr="004F5FB4">
              <w:rPr>
                <w:color w:val="000000"/>
              </w:rPr>
              <w:t>15 %</w:t>
            </w:r>
          </w:p>
        </w:tc>
        <w:tc>
          <w:tcPr>
            <w:tcW w:w="1861" w:type="dxa"/>
            <w:tcBorders>
              <w:top w:val="single" w:sz="4" w:space="0" w:color="auto"/>
              <w:left w:val="single" w:sz="4" w:space="0" w:color="auto"/>
              <w:bottom w:val="single" w:sz="4" w:space="0" w:color="auto"/>
              <w:right w:val="single" w:sz="4" w:space="0" w:color="auto"/>
            </w:tcBorders>
            <w:hideMark/>
          </w:tcPr>
          <w:p w14:paraId="00F70365" w14:textId="77777777" w:rsidR="00C46587" w:rsidRPr="004F5FB4" w:rsidRDefault="00C46587" w:rsidP="00982118">
            <w:pPr>
              <w:jc w:val="center"/>
              <w:rPr>
                <w:color w:val="000000"/>
              </w:rPr>
            </w:pPr>
            <w:r w:rsidRPr="004F5FB4">
              <w:rPr>
                <w:color w:val="000000"/>
              </w:rPr>
              <w:t>57 %***</w:t>
            </w:r>
          </w:p>
        </w:tc>
        <w:tc>
          <w:tcPr>
            <w:tcW w:w="1861" w:type="dxa"/>
            <w:tcBorders>
              <w:top w:val="single" w:sz="4" w:space="0" w:color="auto"/>
              <w:left w:val="single" w:sz="4" w:space="0" w:color="auto"/>
              <w:bottom w:val="single" w:sz="4" w:space="0" w:color="auto"/>
              <w:right w:val="single" w:sz="4" w:space="0" w:color="auto"/>
            </w:tcBorders>
            <w:hideMark/>
          </w:tcPr>
          <w:p w14:paraId="1F49F077" w14:textId="77777777" w:rsidR="00C46587" w:rsidRPr="004F5FB4" w:rsidRDefault="00C46587" w:rsidP="00982118">
            <w:pPr>
              <w:jc w:val="center"/>
              <w:rPr>
                <w:color w:val="000000"/>
              </w:rPr>
            </w:pPr>
            <w:r w:rsidRPr="004F5FB4">
              <w:rPr>
                <w:color w:val="000000"/>
              </w:rPr>
              <w:t>entfällt</w:t>
            </w:r>
          </w:p>
        </w:tc>
        <w:tc>
          <w:tcPr>
            <w:tcW w:w="1861" w:type="dxa"/>
            <w:tcBorders>
              <w:top w:val="single" w:sz="4" w:space="0" w:color="auto"/>
              <w:left w:val="single" w:sz="4" w:space="0" w:color="auto"/>
              <w:bottom w:val="single" w:sz="4" w:space="0" w:color="auto"/>
              <w:right w:val="single" w:sz="4" w:space="0" w:color="auto"/>
            </w:tcBorders>
            <w:hideMark/>
          </w:tcPr>
          <w:p w14:paraId="729AD69A" w14:textId="77777777" w:rsidR="00C46587" w:rsidRPr="004F5FB4" w:rsidRDefault="00C46587" w:rsidP="00982118">
            <w:pPr>
              <w:jc w:val="center"/>
              <w:rPr>
                <w:color w:val="000000"/>
              </w:rPr>
            </w:pPr>
            <w:r w:rsidRPr="004F5FB4">
              <w:rPr>
                <w:color w:val="000000"/>
              </w:rPr>
              <w:t>entfällt</w:t>
            </w:r>
          </w:p>
        </w:tc>
      </w:tr>
      <w:tr w:rsidR="00C46587" w:rsidRPr="004F5FB4" w14:paraId="7C60B987"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45307A9F" w14:textId="77777777" w:rsidR="00C46587" w:rsidRPr="004F5FB4" w:rsidRDefault="00C46587" w:rsidP="00982118">
            <w:pPr>
              <w:rPr>
                <w:color w:val="000000"/>
              </w:rPr>
            </w:pPr>
            <w:r w:rsidRPr="004F5FB4">
              <w:rPr>
                <w:color w:val="000000"/>
              </w:rPr>
              <w:t>ACR-50</w:t>
            </w:r>
          </w:p>
        </w:tc>
        <w:tc>
          <w:tcPr>
            <w:tcW w:w="1860" w:type="dxa"/>
            <w:tcBorders>
              <w:top w:val="single" w:sz="4" w:space="0" w:color="auto"/>
              <w:left w:val="single" w:sz="4" w:space="0" w:color="auto"/>
              <w:bottom w:val="single" w:sz="4" w:space="0" w:color="auto"/>
              <w:right w:val="single" w:sz="4" w:space="0" w:color="auto"/>
            </w:tcBorders>
          </w:tcPr>
          <w:p w14:paraId="6FDD0E0F"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0E714FA9"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2C09C3C3"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0DA7E09E" w14:textId="77777777" w:rsidR="00C46587" w:rsidRPr="004F5FB4" w:rsidRDefault="00C46587" w:rsidP="00982118">
            <w:pPr>
              <w:jc w:val="center"/>
              <w:rPr>
                <w:color w:val="000000"/>
                <w:lang w:val="en-GB"/>
              </w:rPr>
            </w:pPr>
          </w:p>
        </w:tc>
      </w:tr>
      <w:tr w:rsidR="00C46587" w:rsidRPr="004F5FB4" w14:paraId="60F722C3"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25BA6FB9" w14:textId="77777777" w:rsidR="00C46587" w:rsidRPr="004F5FB4" w:rsidRDefault="00C46587" w:rsidP="00982118">
            <w:pPr>
              <w:rPr>
                <w:color w:val="000000"/>
              </w:rPr>
            </w:pPr>
            <w:r w:rsidRPr="004F5FB4">
              <w:rPr>
                <w:color w:val="000000"/>
              </w:rPr>
              <w:tab/>
              <w:t>Woche</w:t>
            </w:r>
            <w:r w:rsidR="00852D64" w:rsidRPr="004F5FB4">
              <w:rPr>
                <w:color w:val="000000"/>
              </w:rPr>
              <w:t> </w:t>
            </w:r>
            <w:r w:rsidRPr="004F5FB4">
              <w:rPr>
                <w:color w:val="000000"/>
              </w:rPr>
              <w:t>12</w:t>
            </w:r>
          </w:p>
        </w:tc>
        <w:tc>
          <w:tcPr>
            <w:tcW w:w="1860" w:type="dxa"/>
            <w:tcBorders>
              <w:top w:val="single" w:sz="4" w:space="0" w:color="auto"/>
              <w:left w:val="single" w:sz="4" w:space="0" w:color="auto"/>
              <w:bottom w:val="single" w:sz="4" w:space="0" w:color="auto"/>
              <w:right w:val="single" w:sz="4" w:space="0" w:color="auto"/>
            </w:tcBorders>
            <w:hideMark/>
          </w:tcPr>
          <w:p w14:paraId="7C5CD376" w14:textId="77777777" w:rsidR="00C46587" w:rsidRPr="004F5FB4" w:rsidRDefault="00C46587" w:rsidP="00982118">
            <w:pPr>
              <w:jc w:val="center"/>
              <w:rPr>
                <w:color w:val="000000"/>
              </w:rPr>
            </w:pPr>
            <w:r w:rsidRPr="004F5FB4">
              <w:rPr>
                <w:color w:val="000000"/>
              </w:rPr>
              <w:t>4 %</w:t>
            </w:r>
          </w:p>
        </w:tc>
        <w:tc>
          <w:tcPr>
            <w:tcW w:w="1861" w:type="dxa"/>
            <w:tcBorders>
              <w:top w:val="single" w:sz="4" w:space="0" w:color="auto"/>
              <w:left w:val="single" w:sz="4" w:space="0" w:color="auto"/>
              <w:bottom w:val="single" w:sz="4" w:space="0" w:color="auto"/>
              <w:right w:val="single" w:sz="4" w:space="0" w:color="auto"/>
            </w:tcBorders>
            <w:hideMark/>
          </w:tcPr>
          <w:p w14:paraId="10294C1B" w14:textId="77777777" w:rsidR="00C46587" w:rsidRPr="004F5FB4" w:rsidRDefault="00C46587" w:rsidP="00982118">
            <w:pPr>
              <w:jc w:val="center"/>
              <w:rPr>
                <w:color w:val="000000"/>
              </w:rPr>
            </w:pPr>
            <w:r w:rsidRPr="004F5FB4">
              <w:rPr>
                <w:color w:val="000000"/>
              </w:rPr>
              <w:t>36 %***</w:t>
            </w:r>
          </w:p>
        </w:tc>
        <w:tc>
          <w:tcPr>
            <w:tcW w:w="1861" w:type="dxa"/>
            <w:tcBorders>
              <w:top w:val="single" w:sz="4" w:space="0" w:color="auto"/>
              <w:left w:val="single" w:sz="4" w:space="0" w:color="auto"/>
              <w:bottom w:val="single" w:sz="4" w:space="0" w:color="auto"/>
              <w:right w:val="single" w:sz="4" w:space="0" w:color="auto"/>
            </w:tcBorders>
            <w:hideMark/>
          </w:tcPr>
          <w:p w14:paraId="1B597390" w14:textId="77777777" w:rsidR="00C46587" w:rsidRPr="004F5FB4" w:rsidRDefault="00C46587" w:rsidP="00982118">
            <w:pPr>
              <w:jc w:val="center"/>
              <w:rPr>
                <w:color w:val="000000"/>
              </w:rPr>
            </w:pPr>
            <w:r w:rsidRPr="004F5FB4">
              <w:rPr>
                <w:color w:val="000000"/>
              </w:rPr>
              <w:t>2 %</w:t>
            </w:r>
          </w:p>
        </w:tc>
        <w:tc>
          <w:tcPr>
            <w:tcW w:w="1861" w:type="dxa"/>
            <w:tcBorders>
              <w:top w:val="single" w:sz="4" w:space="0" w:color="auto"/>
              <w:left w:val="single" w:sz="4" w:space="0" w:color="auto"/>
              <w:bottom w:val="single" w:sz="4" w:space="0" w:color="auto"/>
              <w:right w:val="single" w:sz="4" w:space="0" w:color="auto"/>
            </w:tcBorders>
            <w:hideMark/>
          </w:tcPr>
          <w:p w14:paraId="51B3274A" w14:textId="77777777" w:rsidR="00C46587" w:rsidRPr="004F5FB4" w:rsidRDefault="00C46587" w:rsidP="00982118">
            <w:pPr>
              <w:jc w:val="center"/>
              <w:rPr>
                <w:color w:val="000000"/>
              </w:rPr>
            </w:pPr>
            <w:r w:rsidRPr="004F5FB4">
              <w:rPr>
                <w:color w:val="000000"/>
              </w:rPr>
              <w:t>25 %***</w:t>
            </w:r>
          </w:p>
        </w:tc>
      </w:tr>
      <w:tr w:rsidR="00C46587" w:rsidRPr="004F5FB4" w14:paraId="6F369BD4"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3FD8DBA" w14:textId="77777777" w:rsidR="00C46587" w:rsidRPr="004F5FB4" w:rsidRDefault="00C46587" w:rsidP="00982118">
            <w:pPr>
              <w:rPr>
                <w:color w:val="000000"/>
              </w:rPr>
            </w:pPr>
            <w:r w:rsidRPr="004F5FB4">
              <w:rPr>
                <w:color w:val="000000"/>
              </w:rPr>
              <w:tab/>
              <w:t>Woche</w:t>
            </w:r>
            <w:r w:rsidR="00852D64" w:rsidRPr="004F5FB4">
              <w:rPr>
                <w:color w:val="000000"/>
              </w:rPr>
              <w:t> </w:t>
            </w:r>
            <w:r w:rsidRPr="004F5FB4">
              <w:rPr>
                <w:color w:val="000000"/>
              </w:rPr>
              <w:t>24</w:t>
            </w:r>
          </w:p>
        </w:tc>
        <w:tc>
          <w:tcPr>
            <w:tcW w:w="1860" w:type="dxa"/>
            <w:tcBorders>
              <w:top w:val="single" w:sz="4" w:space="0" w:color="auto"/>
              <w:left w:val="single" w:sz="4" w:space="0" w:color="auto"/>
              <w:bottom w:val="single" w:sz="4" w:space="0" w:color="auto"/>
              <w:right w:val="single" w:sz="4" w:space="0" w:color="auto"/>
            </w:tcBorders>
            <w:hideMark/>
          </w:tcPr>
          <w:p w14:paraId="3132C7DA" w14:textId="77777777" w:rsidR="00C46587" w:rsidRPr="004F5FB4" w:rsidRDefault="00C46587" w:rsidP="00982118">
            <w:pPr>
              <w:jc w:val="center"/>
              <w:rPr>
                <w:color w:val="000000"/>
              </w:rPr>
            </w:pPr>
            <w:r w:rsidRPr="004F5FB4">
              <w:rPr>
                <w:color w:val="000000"/>
              </w:rPr>
              <w:t>6</w:t>
            </w:r>
            <w:r w:rsidR="00D36DE9" w:rsidRPr="004F5FB4">
              <w:rPr>
                <w:color w:val="000000"/>
              </w:rPr>
              <w:t> </w:t>
            </w:r>
            <w:r w:rsidRPr="004F5FB4">
              <w:rPr>
                <w:color w:val="000000"/>
              </w:rPr>
              <w:t>%</w:t>
            </w:r>
          </w:p>
        </w:tc>
        <w:tc>
          <w:tcPr>
            <w:tcW w:w="1861" w:type="dxa"/>
            <w:tcBorders>
              <w:top w:val="single" w:sz="4" w:space="0" w:color="auto"/>
              <w:left w:val="single" w:sz="4" w:space="0" w:color="auto"/>
              <w:bottom w:val="single" w:sz="4" w:space="0" w:color="auto"/>
              <w:right w:val="single" w:sz="4" w:space="0" w:color="auto"/>
            </w:tcBorders>
            <w:hideMark/>
          </w:tcPr>
          <w:p w14:paraId="0429C147" w14:textId="77777777" w:rsidR="00C46587" w:rsidRPr="004F5FB4" w:rsidRDefault="00C46587" w:rsidP="00982118">
            <w:pPr>
              <w:jc w:val="center"/>
              <w:rPr>
                <w:color w:val="000000"/>
              </w:rPr>
            </w:pPr>
            <w:r w:rsidRPr="004F5FB4">
              <w:rPr>
                <w:color w:val="000000"/>
              </w:rPr>
              <w:t>39</w:t>
            </w:r>
            <w:r w:rsidR="007B1316" w:rsidRPr="004F5FB4">
              <w:rPr>
                <w:color w:val="000000"/>
              </w:rPr>
              <w:t> </w:t>
            </w:r>
            <w:r w:rsidRPr="004F5FB4">
              <w:rPr>
                <w:color w:val="000000"/>
              </w:rPr>
              <w:t>%***</w:t>
            </w:r>
          </w:p>
        </w:tc>
        <w:tc>
          <w:tcPr>
            <w:tcW w:w="1861" w:type="dxa"/>
            <w:tcBorders>
              <w:top w:val="single" w:sz="4" w:space="0" w:color="auto"/>
              <w:left w:val="single" w:sz="4" w:space="0" w:color="auto"/>
              <w:bottom w:val="single" w:sz="4" w:space="0" w:color="auto"/>
              <w:right w:val="single" w:sz="4" w:space="0" w:color="auto"/>
            </w:tcBorders>
            <w:hideMark/>
          </w:tcPr>
          <w:p w14:paraId="50E8746B" w14:textId="77777777" w:rsidR="00C46587" w:rsidRPr="004F5FB4" w:rsidRDefault="00C46587" w:rsidP="00982118">
            <w:pPr>
              <w:jc w:val="center"/>
              <w:rPr>
                <w:color w:val="000000"/>
              </w:rPr>
            </w:pPr>
            <w:r w:rsidRPr="004F5FB4">
              <w:rPr>
                <w:color w:val="000000"/>
              </w:rPr>
              <w:t>entfällt</w:t>
            </w:r>
          </w:p>
        </w:tc>
        <w:tc>
          <w:tcPr>
            <w:tcW w:w="1861" w:type="dxa"/>
            <w:tcBorders>
              <w:top w:val="single" w:sz="4" w:space="0" w:color="auto"/>
              <w:left w:val="single" w:sz="4" w:space="0" w:color="auto"/>
              <w:bottom w:val="single" w:sz="4" w:space="0" w:color="auto"/>
              <w:right w:val="single" w:sz="4" w:space="0" w:color="auto"/>
            </w:tcBorders>
            <w:hideMark/>
          </w:tcPr>
          <w:p w14:paraId="00C70C7C" w14:textId="77777777" w:rsidR="00C46587" w:rsidRPr="004F5FB4" w:rsidRDefault="00C46587" w:rsidP="00982118">
            <w:pPr>
              <w:jc w:val="center"/>
              <w:rPr>
                <w:color w:val="000000"/>
              </w:rPr>
            </w:pPr>
            <w:r w:rsidRPr="004F5FB4">
              <w:rPr>
                <w:color w:val="000000"/>
              </w:rPr>
              <w:t>entfällt</w:t>
            </w:r>
          </w:p>
        </w:tc>
      </w:tr>
      <w:tr w:rsidR="00C46587" w:rsidRPr="004F5FB4" w14:paraId="66CE763D"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D05095B" w14:textId="77777777" w:rsidR="00C46587" w:rsidRPr="004F5FB4" w:rsidRDefault="00C46587" w:rsidP="00982118">
            <w:pPr>
              <w:rPr>
                <w:color w:val="000000"/>
              </w:rPr>
            </w:pPr>
            <w:r w:rsidRPr="004F5FB4">
              <w:rPr>
                <w:color w:val="000000"/>
              </w:rPr>
              <w:t>ACR-70</w:t>
            </w:r>
          </w:p>
        </w:tc>
        <w:tc>
          <w:tcPr>
            <w:tcW w:w="1860" w:type="dxa"/>
            <w:tcBorders>
              <w:top w:val="single" w:sz="4" w:space="0" w:color="auto"/>
              <w:left w:val="single" w:sz="4" w:space="0" w:color="auto"/>
              <w:bottom w:val="single" w:sz="4" w:space="0" w:color="auto"/>
              <w:right w:val="single" w:sz="4" w:space="0" w:color="auto"/>
            </w:tcBorders>
          </w:tcPr>
          <w:p w14:paraId="6544B84E"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185F76C8"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215CA675" w14:textId="77777777" w:rsidR="00C46587" w:rsidRPr="004F5FB4" w:rsidRDefault="00C46587" w:rsidP="00982118">
            <w:pPr>
              <w:jc w:val="center"/>
              <w:rPr>
                <w:color w:val="000000"/>
                <w:lang w:val="en-GB"/>
              </w:rPr>
            </w:pPr>
          </w:p>
        </w:tc>
        <w:tc>
          <w:tcPr>
            <w:tcW w:w="1861" w:type="dxa"/>
            <w:tcBorders>
              <w:top w:val="single" w:sz="4" w:space="0" w:color="auto"/>
              <w:left w:val="single" w:sz="4" w:space="0" w:color="auto"/>
              <w:bottom w:val="single" w:sz="4" w:space="0" w:color="auto"/>
              <w:right w:val="single" w:sz="4" w:space="0" w:color="auto"/>
            </w:tcBorders>
          </w:tcPr>
          <w:p w14:paraId="7A6A9B23" w14:textId="77777777" w:rsidR="00C46587" w:rsidRPr="004F5FB4" w:rsidRDefault="00C46587" w:rsidP="00982118">
            <w:pPr>
              <w:jc w:val="center"/>
              <w:rPr>
                <w:color w:val="000000"/>
                <w:lang w:val="en-GB"/>
              </w:rPr>
            </w:pPr>
          </w:p>
        </w:tc>
      </w:tr>
      <w:tr w:rsidR="00C46587" w:rsidRPr="004F5FB4" w14:paraId="632DE64A"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99AEAFD" w14:textId="77777777" w:rsidR="00C46587" w:rsidRPr="004F5FB4" w:rsidRDefault="00C46587" w:rsidP="00982118">
            <w:pPr>
              <w:rPr>
                <w:color w:val="000000"/>
              </w:rPr>
            </w:pPr>
            <w:r w:rsidRPr="004F5FB4">
              <w:rPr>
                <w:color w:val="000000"/>
              </w:rPr>
              <w:tab/>
              <w:t>Woche</w:t>
            </w:r>
            <w:r w:rsidR="00852D64" w:rsidRPr="004F5FB4">
              <w:rPr>
                <w:color w:val="000000"/>
              </w:rPr>
              <w:t> </w:t>
            </w:r>
            <w:r w:rsidRPr="004F5FB4">
              <w:rPr>
                <w:color w:val="000000"/>
              </w:rPr>
              <w:t>12</w:t>
            </w:r>
          </w:p>
        </w:tc>
        <w:tc>
          <w:tcPr>
            <w:tcW w:w="1860" w:type="dxa"/>
            <w:tcBorders>
              <w:top w:val="single" w:sz="4" w:space="0" w:color="auto"/>
              <w:left w:val="single" w:sz="4" w:space="0" w:color="auto"/>
              <w:bottom w:val="single" w:sz="4" w:space="0" w:color="auto"/>
              <w:right w:val="single" w:sz="4" w:space="0" w:color="auto"/>
            </w:tcBorders>
            <w:hideMark/>
          </w:tcPr>
          <w:p w14:paraId="6735A3CE" w14:textId="77777777" w:rsidR="00C46587" w:rsidRPr="004F5FB4" w:rsidRDefault="00C46587" w:rsidP="00982118">
            <w:pPr>
              <w:jc w:val="center"/>
              <w:rPr>
                <w:color w:val="000000"/>
              </w:rPr>
            </w:pPr>
            <w:r w:rsidRPr="004F5FB4">
              <w:rPr>
                <w:color w:val="000000"/>
              </w:rPr>
              <w:t>1 %</w:t>
            </w:r>
          </w:p>
        </w:tc>
        <w:tc>
          <w:tcPr>
            <w:tcW w:w="1861" w:type="dxa"/>
            <w:tcBorders>
              <w:top w:val="single" w:sz="4" w:space="0" w:color="auto"/>
              <w:left w:val="single" w:sz="4" w:space="0" w:color="auto"/>
              <w:bottom w:val="single" w:sz="4" w:space="0" w:color="auto"/>
              <w:right w:val="single" w:sz="4" w:space="0" w:color="auto"/>
            </w:tcBorders>
            <w:hideMark/>
          </w:tcPr>
          <w:p w14:paraId="0FDA0302" w14:textId="77777777" w:rsidR="00C46587" w:rsidRPr="004F5FB4" w:rsidRDefault="00C46587" w:rsidP="00982118">
            <w:pPr>
              <w:jc w:val="center"/>
              <w:rPr>
                <w:color w:val="000000"/>
              </w:rPr>
            </w:pPr>
            <w:r w:rsidRPr="004F5FB4">
              <w:rPr>
                <w:color w:val="000000"/>
              </w:rPr>
              <w:t>20 %***</w:t>
            </w:r>
          </w:p>
        </w:tc>
        <w:tc>
          <w:tcPr>
            <w:tcW w:w="1861" w:type="dxa"/>
            <w:tcBorders>
              <w:top w:val="single" w:sz="4" w:space="0" w:color="auto"/>
              <w:left w:val="single" w:sz="4" w:space="0" w:color="auto"/>
              <w:bottom w:val="single" w:sz="4" w:space="0" w:color="auto"/>
              <w:right w:val="single" w:sz="4" w:space="0" w:color="auto"/>
            </w:tcBorders>
            <w:hideMark/>
          </w:tcPr>
          <w:p w14:paraId="39B23027" w14:textId="77777777" w:rsidR="00C46587" w:rsidRPr="004F5FB4" w:rsidRDefault="00C46587" w:rsidP="00982118">
            <w:pPr>
              <w:jc w:val="center"/>
              <w:rPr>
                <w:color w:val="000000"/>
              </w:rPr>
            </w:pPr>
            <w:r w:rsidRPr="004F5FB4">
              <w:rPr>
                <w:color w:val="000000"/>
              </w:rPr>
              <w:t>0 %</w:t>
            </w:r>
          </w:p>
        </w:tc>
        <w:tc>
          <w:tcPr>
            <w:tcW w:w="1861" w:type="dxa"/>
            <w:tcBorders>
              <w:top w:val="single" w:sz="4" w:space="0" w:color="auto"/>
              <w:left w:val="single" w:sz="4" w:space="0" w:color="auto"/>
              <w:bottom w:val="single" w:sz="4" w:space="0" w:color="auto"/>
              <w:right w:val="single" w:sz="4" w:space="0" w:color="auto"/>
            </w:tcBorders>
            <w:hideMark/>
          </w:tcPr>
          <w:p w14:paraId="03EE2C80" w14:textId="77777777" w:rsidR="00C46587" w:rsidRPr="004F5FB4" w:rsidRDefault="00C46587" w:rsidP="00982118">
            <w:pPr>
              <w:jc w:val="center"/>
              <w:rPr>
                <w:color w:val="000000"/>
              </w:rPr>
            </w:pPr>
            <w:r w:rsidRPr="004F5FB4">
              <w:rPr>
                <w:color w:val="000000"/>
              </w:rPr>
              <w:t>14 %*</w:t>
            </w:r>
          </w:p>
        </w:tc>
      </w:tr>
      <w:tr w:rsidR="00C46587" w:rsidRPr="004F5FB4" w14:paraId="088A26CF" w14:textId="77777777" w:rsidTr="009756D9">
        <w:tc>
          <w:tcPr>
            <w:tcW w:w="1860" w:type="dxa"/>
            <w:tcBorders>
              <w:top w:val="single" w:sz="4" w:space="0" w:color="auto"/>
              <w:left w:val="single" w:sz="4" w:space="0" w:color="auto"/>
              <w:bottom w:val="single" w:sz="4" w:space="0" w:color="auto"/>
              <w:right w:val="single" w:sz="4" w:space="0" w:color="auto"/>
            </w:tcBorders>
            <w:hideMark/>
          </w:tcPr>
          <w:p w14:paraId="72E8A322" w14:textId="77777777" w:rsidR="00C46587" w:rsidRPr="004F5FB4" w:rsidRDefault="00C46587" w:rsidP="00982118">
            <w:pPr>
              <w:rPr>
                <w:color w:val="000000"/>
              </w:rPr>
            </w:pPr>
            <w:r w:rsidRPr="004F5FB4">
              <w:rPr>
                <w:color w:val="000000"/>
              </w:rPr>
              <w:tab/>
              <w:t>Woche</w:t>
            </w:r>
            <w:r w:rsidR="00852D64" w:rsidRPr="004F5FB4">
              <w:rPr>
                <w:color w:val="000000"/>
              </w:rPr>
              <w:t> </w:t>
            </w:r>
            <w:r w:rsidRPr="004F5FB4">
              <w:rPr>
                <w:color w:val="000000"/>
              </w:rPr>
              <w:t>24</w:t>
            </w:r>
          </w:p>
        </w:tc>
        <w:tc>
          <w:tcPr>
            <w:tcW w:w="1860" w:type="dxa"/>
            <w:tcBorders>
              <w:top w:val="single" w:sz="4" w:space="0" w:color="auto"/>
              <w:left w:val="single" w:sz="4" w:space="0" w:color="auto"/>
              <w:bottom w:val="single" w:sz="4" w:space="0" w:color="auto"/>
              <w:right w:val="single" w:sz="4" w:space="0" w:color="auto"/>
            </w:tcBorders>
            <w:hideMark/>
          </w:tcPr>
          <w:p w14:paraId="61C75206" w14:textId="77777777" w:rsidR="00C46587" w:rsidRPr="004F5FB4" w:rsidRDefault="00C46587" w:rsidP="00982118">
            <w:pPr>
              <w:jc w:val="center"/>
              <w:rPr>
                <w:color w:val="000000"/>
              </w:rPr>
            </w:pPr>
            <w:r w:rsidRPr="004F5FB4">
              <w:rPr>
                <w:color w:val="000000"/>
              </w:rPr>
              <w:t>1 %</w:t>
            </w:r>
          </w:p>
        </w:tc>
        <w:tc>
          <w:tcPr>
            <w:tcW w:w="1861" w:type="dxa"/>
            <w:tcBorders>
              <w:top w:val="single" w:sz="4" w:space="0" w:color="auto"/>
              <w:left w:val="single" w:sz="4" w:space="0" w:color="auto"/>
              <w:bottom w:val="single" w:sz="4" w:space="0" w:color="auto"/>
              <w:right w:val="single" w:sz="4" w:space="0" w:color="auto"/>
            </w:tcBorders>
            <w:hideMark/>
          </w:tcPr>
          <w:p w14:paraId="36A2A7FE" w14:textId="77777777" w:rsidR="00C46587" w:rsidRPr="004F5FB4" w:rsidRDefault="00C46587" w:rsidP="00982118">
            <w:pPr>
              <w:jc w:val="center"/>
              <w:rPr>
                <w:color w:val="000000"/>
              </w:rPr>
            </w:pPr>
            <w:r w:rsidRPr="004F5FB4">
              <w:rPr>
                <w:color w:val="000000"/>
              </w:rPr>
              <w:t>23 %***</w:t>
            </w:r>
          </w:p>
        </w:tc>
        <w:tc>
          <w:tcPr>
            <w:tcW w:w="1861" w:type="dxa"/>
            <w:tcBorders>
              <w:top w:val="single" w:sz="4" w:space="0" w:color="auto"/>
              <w:left w:val="single" w:sz="4" w:space="0" w:color="auto"/>
              <w:bottom w:val="single" w:sz="4" w:space="0" w:color="auto"/>
              <w:right w:val="single" w:sz="4" w:space="0" w:color="auto"/>
            </w:tcBorders>
            <w:hideMark/>
          </w:tcPr>
          <w:p w14:paraId="19137FC3" w14:textId="77777777" w:rsidR="00C46587" w:rsidRPr="004F5FB4" w:rsidRDefault="00C46587" w:rsidP="00982118">
            <w:pPr>
              <w:jc w:val="center"/>
              <w:rPr>
                <w:color w:val="000000"/>
              </w:rPr>
            </w:pPr>
            <w:r w:rsidRPr="004F5FB4">
              <w:rPr>
                <w:color w:val="000000"/>
              </w:rPr>
              <w:t>entfällt</w:t>
            </w:r>
          </w:p>
        </w:tc>
        <w:tc>
          <w:tcPr>
            <w:tcW w:w="1861" w:type="dxa"/>
            <w:tcBorders>
              <w:top w:val="single" w:sz="4" w:space="0" w:color="auto"/>
              <w:left w:val="single" w:sz="4" w:space="0" w:color="auto"/>
              <w:bottom w:val="single" w:sz="4" w:space="0" w:color="auto"/>
              <w:right w:val="single" w:sz="4" w:space="0" w:color="auto"/>
            </w:tcBorders>
            <w:hideMark/>
          </w:tcPr>
          <w:p w14:paraId="1C191011" w14:textId="77777777" w:rsidR="00C46587" w:rsidRPr="004F5FB4" w:rsidRDefault="00C46587" w:rsidP="00982118">
            <w:pPr>
              <w:jc w:val="center"/>
              <w:rPr>
                <w:color w:val="000000"/>
              </w:rPr>
            </w:pPr>
            <w:r w:rsidRPr="004F5FB4">
              <w:rPr>
                <w:color w:val="000000"/>
              </w:rPr>
              <w:t>entfällt</w:t>
            </w:r>
          </w:p>
        </w:tc>
      </w:tr>
      <w:tr w:rsidR="009756D9" w:rsidRPr="004F5FB4" w14:paraId="15DB3C0F" w14:textId="77777777" w:rsidTr="009756D9">
        <w:tc>
          <w:tcPr>
            <w:tcW w:w="9303" w:type="dxa"/>
            <w:gridSpan w:val="5"/>
            <w:tcBorders>
              <w:top w:val="single" w:sz="4" w:space="0" w:color="auto"/>
              <w:left w:val="nil"/>
              <w:bottom w:val="nil"/>
              <w:right w:val="nil"/>
            </w:tcBorders>
          </w:tcPr>
          <w:p w14:paraId="36FF8361" w14:textId="77777777" w:rsidR="009756D9" w:rsidRPr="00206AEA" w:rsidRDefault="009756D9" w:rsidP="003D3F89">
            <w:pPr>
              <w:ind w:left="270" w:hanging="270"/>
              <w:rPr>
                <w:color w:val="000000"/>
                <w:sz w:val="20"/>
              </w:rPr>
            </w:pPr>
            <w:r w:rsidRPr="00206AEA">
              <w:rPr>
                <w:color w:val="000000"/>
                <w:sz w:val="20"/>
              </w:rPr>
              <w:t>***</w:t>
            </w:r>
            <w:r w:rsidRPr="00206AEA">
              <w:rPr>
                <w:color w:val="000000"/>
                <w:sz w:val="20"/>
              </w:rPr>
              <w:tab/>
              <w:t>p &lt; 0,001 für alle Vergleiche von Adalimumab mit Placebo</w:t>
            </w:r>
          </w:p>
          <w:p w14:paraId="035FF237" w14:textId="77777777" w:rsidR="009756D9" w:rsidRPr="00206AEA" w:rsidRDefault="009756D9" w:rsidP="003D3F89">
            <w:pPr>
              <w:ind w:left="270" w:hanging="270"/>
              <w:rPr>
                <w:color w:val="000000"/>
                <w:sz w:val="20"/>
              </w:rPr>
            </w:pPr>
            <w:r w:rsidRPr="00206AEA">
              <w:rPr>
                <w:color w:val="000000"/>
                <w:sz w:val="20"/>
              </w:rPr>
              <w:t>*</w:t>
            </w:r>
            <w:r w:rsidRPr="00206AEA">
              <w:rPr>
                <w:color w:val="000000"/>
                <w:sz w:val="20"/>
              </w:rPr>
              <w:tab/>
              <w:t>p &lt; 0,05 für alle Vergleiche von Adalimumab mit Placebo</w:t>
            </w:r>
          </w:p>
          <w:p w14:paraId="12DBD085" w14:textId="77777777" w:rsidR="009756D9" w:rsidRPr="00206AEA" w:rsidRDefault="009756D9" w:rsidP="003D3F89">
            <w:pPr>
              <w:tabs>
                <w:tab w:val="left" w:pos="576"/>
              </w:tabs>
              <w:rPr>
                <w:color w:val="000000"/>
                <w:sz w:val="20"/>
              </w:rPr>
            </w:pPr>
          </w:p>
        </w:tc>
      </w:tr>
    </w:tbl>
    <w:p w14:paraId="169BD8B4" w14:textId="77777777" w:rsidR="00C46587" w:rsidRPr="004F5FB4" w:rsidRDefault="00C46587" w:rsidP="00982118">
      <w:pPr>
        <w:rPr>
          <w:color w:val="000000"/>
        </w:rPr>
      </w:pPr>
    </w:p>
    <w:p w14:paraId="73D52F47" w14:textId="77777777" w:rsidR="00C46587" w:rsidRPr="004F5FB4" w:rsidRDefault="00C46587" w:rsidP="00982118">
      <w:pPr>
        <w:rPr>
          <w:color w:val="000000"/>
        </w:rPr>
      </w:pPr>
      <w:r w:rsidRPr="004F5FB4">
        <w:rPr>
          <w:color w:val="000000"/>
        </w:rPr>
        <w:t xml:space="preserve">In der PsA-Studie I waren die ACR-Ansprechraten in Kombination mit Methotrexat bzw. ohne Methotrexat-Begleittherapie ähnlich. Die ACR-Ansprechraten wurden in der offenen </w:t>
      </w:r>
      <w:r w:rsidR="00A3787B" w:rsidRPr="004F5FB4">
        <w:rPr>
          <w:color w:val="000000"/>
        </w:rPr>
        <w:t>Fortsetz</w:t>
      </w:r>
      <w:r w:rsidRPr="004F5FB4">
        <w:rPr>
          <w:color w:val="000000"/>
        </w:rPr>
        <w:t>ungsstudie bis zu 136</w:t>
      </w:r>
      <w:r w:rsidR="00D36DE9" w:rsidRPr="004F5FB4">
        <w:rPr>
          <w:color w:val="000000"/>
        </w:rPr>
        <w:t> </w:t>
      </w:r>
      <w:r w:rsidRPr="004F5FB4">
        <w:rPr>
          <w:color w:val="000000"/>
        </w:rPr>
        <w:t xml:space="preserve">Wochen aufrechterhalten. </w:t>
      </w:r>
    </w:p>
    <w:p w14:paraId="5483B858" w14:textId="77777777" w:rsidR="00C46587" w:rsidRPr="004F5FB4" w:rsidRDefault="00C46587" w:rsidP="00982118">
      <w:pPr>
        <w:rPr>
          <w:color w:val="000000"/>
        </w:rPr>
      </w:pPr>
    </w:p>
    <w:p w14:paraId="5C43E40E" w14:textId="77777777" w:rsidR="00C46587" w:rsidRPr="004F5FB4" w:rsidRDefault="00C46587" w:rsidP="00982118">
      <w:pPr>
        <w:rPr>
          <w:color w:val="000000"/>
        </w:rPr>
      </w:pPr>
      <w:r w:rsidRPr="004F5FB4">
        <w:rPr>
          <w:color w:val="000000"/>
        </w:rPr>
        <w:t>In den Studien zur Psoriasis-Arthritis wurden die radiologischen Veränderungen bewertet. Zu Studienbeginn und zu Woche</w:t>
      </w:r>
      <w:r w:rsidR="00D36DE9" w:rsidRPr="004F5FB4">
        <w:rPr>
          <w:color w:val="000000"/>
        </w:rPr>
        <w:t> </w:t>
      </w:r>
      <w:r w:rsidRPr="004F5FB4">
        <w:rPr>
          <w:color w:val="000000"/>
        </w:rPr>
        <w:t>24 während der doppelblinden Studienperiode, als die Patienten entweder Adalimumab oder Placebo erhielten, sowie zu Woche</w:t>
      </w:r>
      <w:r w:rsidR="00D36DE9" w:rsidRPr="004F5FB4">
        <w:rPr>
          <w:color w:val="000000"/>
        </w:rPr>
        <w:t> </w:t>
      </w:r>
      <w:r w:rsidRPr="004F5FB4">
        <w:rPr>
          <w:color w:val="000000"/>
        </w:rPr>
        <w:t xml:space="preserve">48, als alle Patienten offen </w:t>
      </w:r>
      <w:r w:rsidRPr="004F5FB4">
        <w:rPr>
          <w:color w:val="000000"/>
        </w:rPr>
        <w:lastRenderedPageBreak/>
        <w:t>Adalimumab erhielten, wurden Röntgenaufnahmen der Hände, Handgelenke und Füße angefertigt. Für die Auswertung wurde ein modifizierter Gesamt-Sharp-Score (mTSS) verwendet, der die distalen Interphalangealgelenke mit einschloss (d.</w:t>
      </w:r>
      <w:r w:rsidR="00D36DE9" w:rsidRPr="004F5FB4">
        <w:rPr>
          <w:color w:val="000000"/>
        </w:rPr>
        <w:t> </w:t>
      </w:r>
      <w:r w:rsidRPr="004F5FB4">
        <w:rPr>
          <w:color w:val="000000"/>
        </w:rPr>
        <w:t>h. nicht identisch mit dem TSS, der bei der rheumatoiden Arthritis verwendet wurde).</w:t>
      </w:r>
    </w:p>
    <w:p w14:paraId="3390CFFE" w14:textId="77777777" w:rsidR="00C46587" w:rsidRPr="004F5FB4" w:rsidRDefault="00C46587" w:rsidP="00982118">
      <w:pPr>
        <w:rPr>
          <w:color w:val="000000"/>
        </w:rPr>
      </w:pPr>
    </w:p>
    <w:p w14:paraId="5588141F" w14:textId="77777777" w:rsidR="00C46587" w:rsidRPr="004F5FB4" w:rsidRDefault="005A4709" w:rsidP="00982118">
      <w:pPr>
        <w:rPr>
          <w:color w:val="000000"/>
        </w:rPr>
      </w:pPr>
      <w:r w:rsidRPr="004F5FB4">
        <w:rPr>
          <w:color w:val="000000"/>
        </w:rPr>
        <w:t>Die Behandlung mit Adalimumab reduzierte das Fortschreiten der peripheren Gelenk</w:t>
      </w:r>
      <w:r w:rsidR="00A020D6" w:rsidRPr="004F5FB4">
        <w:rPr>
          <w:color w:val="000000"/>
        </w:rPr>
        <w:t>zerstörung</w:t>
      </w:r>
      <w:r w:rsidRPr="004F5FB4">
        <w:rPr>
          <w:color w:val="000000"/>
        </w:rPr>
        <w:t xml:space="preserve"> im Vergleich zu Placebo, gemessen anhand der Veränderung des mTSS </w:t>
      </w:r>
      <w:r w:rsidR="00A3787B" w:rsidRPr="004F5FB4">
        <w:rPr>
          <w:color w:val="000000"/>
        </w:rPr>
        <w:t>zum</w:t>
      </w:r>
      <w:r w:rsidRPr="004F5FB4">
        <w:rPr>
          <w:color w:val="000000"/>
        </w:rPr>
        <w:t xml:space="preserve"> Ausgangswert (Mittelwert ± Standardabweichung). Diese betrug 0,8</w:t>
      </w:r>
      <w:r w:rsidR="00852D64" w:rsidRPr="004F5FB4">
        <w:rPr>
          <w:color w:val="000000"/>
        </w:rPr>
        <w:t> </w:t>
      </w:r>
      <w:r w:rsidRPr="004F5FB4">
        <w:rPr>
          <w:color w:val="000000"/>
        </w:rPr>
        <w:t>±</w:t>
      </w:r>
      <w:r w:rsidR="00852D64" w:rsidRPr="004F5FB4">
        <w:rPr>
          <w:color w:val="000000"/>
        </w:rPr>
        <w:t> </w:t>
      </w:r>
      <w:r w:rsidRPr="004F5FB4">
        <w:rPr>
          <w:color w:val="000000"/>
        </w:rPr>
        <w:t>2,5 bei der Placebogruppe (zu Woche</w:t>
      </w:r>
      <w:r w:rsidR="00D36DE9" w:rsidRPr="004F5FB4">
        <w:rPr>
          <w:color w:val="000000"/>
        </w:rPr>
        <w:t> </w:t>
      </w:r>
      <w:r w:rsidRPr="004F5FB4">
        <w:rPr>
          <w:color w:val="000000"/>
        </w:rPr>
        <w:t>24) im Vergleich zu 0,0</w:t>
      </w:r>
      <w:r w:rsidR="00852D64" w:rsidRPr="004F5FB4">
        <w:rPr>
          <w:color w:val="000000"/>
        </w:rPr>
        <w:t> </w:t>
      </w:r>
      <w:r w:rsidRPr="004F5FB4">
        <w:rPr>
          <w:color w:val="000000"/>
        </w:rPr>
        <w:t>±</w:t>
      </w:r>
      <w:r w:rsidR="00852D64" w:rsidRPr="004F5FB4">
        <w:rPr>
          <w:color w:val="000000"/>
        </w:rPr>
        <w:t> </w:t>
      </w:r>
      <w:r w:rsidRPr="004F5FB4">
        <w:rPr>
          <w:color w:val="000000"/>
        </w:rPr>
        <w:t>1,9 (p</w:t>
      </w:r>
      <w:r w:rsidR="00852D64" w:rsidRPr="004F5FB4">
        <w:rPr>
          <w:color w:val="000000"/>
        </w:rPr>
        <w:t> </w:t>
      </w:r>
      <w:r w:rsidRPr="004F5FB4">
        <w:rPr>
          <w:color w:val="000000"/>
        </w:rPr>
        <w:t>&lt;</w:t>
      </w:r>
      <w:r w:rsidR="00852D64" w:rsidRPr="004F5FB4">
        <w:rPr>
          <w:color w:val="000000"/>
        </w:rPr>
        <w:t> </w:t>
      </w:r>
      <w:r w:rsidRPr="004F5FB4">
        <w:rPr>
          <w:color w:val="000000"/>
        </w:rPr>
        <w:t>0,001) bei der Adalimumab-Gruppe (zu Woche</w:t>
      </w:r>
      <w:r w:rsidR="00D36DE9" w:rsidRPr="004F5FB4">
        <w:rPr>
          <w:color w:val="000000"/>
        </w:rPr>
        <w:t> </w:t>
      </w:r>
      <w:r w:rsidRPr="004F5FB4">
        <w:rPr>
          <w:color w:val="000000"/>
        </w:rPr>
        <w:t>48).</w:t>
      </w:r>
    </w:p>
    <w:p w14:paraId="6078C2B9" w14:textId="77777777" w:rsidR="00C46587" w:rsidRPr="004F5FB4" w:rsidRDefault="00C46587" w:rsidP="00982118">
      <w:pPr>
        <w:rPr>
          <w:color w:val="000000"/>
        </w:rPr>
      </w:pPr>
    </w:p>
    <w:p w14:paraId="13D32EC4" w14:textId="77777777" w:rsidR="00C46587" w:rsidRPr="004F5FB4" w:rsidRDefault="00C46587" w:rsidP="00982118">
      <w:pPr>
        <w:rPr>
          <w:color w:val="000000"/>
        </w:rPr>
      </w:pPr>
      <w:r w:rsidRPr="004F5FB4">
        <w:rPr>
          <w:color w:val="000000"/>
        </w:rPr>
        <w:t>Von den mit Adalimumab behandelten Patienten ohne radiologische Progression von Studienbeginn an bis zu Woche</w:t>
      </w:r>
      <w:r w:rsidR="00D36DE9" w:rsidRPr="004F5FB4">
        <w:rPr>
          <w:color w:val="000000"/>
        </w:rPr>
        <w:t> </w:t>
      </w:r>
      <w:r w:rsidRPr="004F5FB4">
        <w:rPr>
          <w:color w:val="000000"/>
        </w:rPr>
        <w:t>48 (n</w:t>
      </w:r>
      <w:r w:rsidR="00F41FC1" w:rsidRPr="004F5FB4">
        <w:rPr>
          <w:color w:val="000000"/>
        </w:rPr>
        <w:t> </w:t>
      </w:r>
      <w:r w:rsidRPr="004F5FB4">
        <w:rPr>
          <w:color w:val="000000"/>
        </w:rPr>
        <w:t>=</w:t>
      </w:r>
      <w:r w:rsidR="00F41FC1" w:rsidRPr="004F5FB4">
        <w:rPr>
          <w:color w:val="000000"/>
        </w:rPr>
        <w:t> </w:t>
      </w:r>
      <w:r w:rsidRPr="004F5FB4">
        <w:rPr>
          <w:color w:val="000000"/>
        </w:rPr>
        <w:t>102) zeigten 84</w:t>
      </w:r>
      <w:r w:rsidR="00D36DE9" w:rsidRPr="004F5FB4">
        <w:rPr>
          <w:color w:val="000000"/>
        </w:rPr>
        <w:t> </w:t>
      </w:r>
      <w:r w:rsidRPr="004F5FB4">
        <w:rPr>
          <w:color w:val="000000"/>
        </w:rPr>
        <w:t>% nach 144</w:t>
      </w:r>
      <w:r w:rsidR="00D36DE9" w:rsidRPr="004F5FB4">
        <w:rPr>
          <w:color w:val="000000"/>
        </w:rPr>
        <w:t> </w:t>
      </w:r>
      <w:r w:rsidRPr="004F5FB4">
        <w:rPr>
          <w:color w:val="000000"/>
        </w:rPr>
        <w:t>Behandlungswochen immer noch keine radiologische Progression. Die mit Adalimumab behandelten Patienten zeigten im Vergleich zur Placebogruppe eine statistisch signifikante Verbesserung der körperlichen Funktionsfähigkeit zu Woche</w:t>
      </w:r>
      <w:r w:rsidR="00D36DE9" w:rsidRPr="004F5FB4">
        <w:rPr>
          <w:color w:val="000000"/>
        </w:rPr>
        <w:t> </w:t>
      </w:r>
      <w:r w:rsidRPr="004F5FB4">
        <w:rPr>
          <w:color w:val="000000"/>
        </w:rPr>
        <w:t>24, die mittels HAQ und Short Form Health Survey (SF</w:t>
      </w:r>
      <w:r w:rsidR="00D36DE9" w:rsidRPr="004F5FB4">
        <w:rPr>
          <w:color w:val="000000"/>
        </w:rPr>
        <w:t> </w:t>
      </w:r>
      <w:r w:rsidRPr="004F5FB4">
        <w:rPr>
          <w:color w:val="000000"/>
        </w:rPr>
        <w:t xml:space="preserve">36) beurteilt wurde. Die verbesserte körperliche Funktionsfähigkeit hielt während der offenen </w:t>
      </w:r>
      <w:r w:rsidR="00A3787B" w:rsidRPr="004F5FB4">
        <w:rPr>
          <w:color w:val="000000"/>
        </w:rPr>
        <w:t>Fortsetz</w:t>
      </w:r>
      <w:r w:rsidRPr="004F5FB4">
        <w:rPr>
          <w:color w:val="000000"/>
        </w:rPr>
        <w:t>ungsstudie über 136</w:t>
      </w:r>
      <w:r w:rsidR="00D36DE9" w:rsidRPr="004F5FB4">
        <w:rPr>
          <w:color w:val="000000"/>
        </w:rPr>
        <w:t> </w:t>
      </w:r>
      <w:r w:rsidRPr="004F5FB4">
        <w:rPr>
          <w:color w:val="000000"/>
        </w:rPr>
        <w:t>Wochen an.</w:t>
      </w:r>
    </w:p>
    <w:p w14:paraId="27B5DCD6" w14:textId="77777777" w:rsidR="00C46587" w:rsidRPr="004F5FB4" w:rsidRDefault="00C46587" w:rsidP="00982118">
      <w:pPr>
        <w:rPr>
          <w:color w:val="000000"/>
        </w:rPr>
      </w:pPr>
    </w:p>
    <w:p w14:paraId="06E5CA19" w14:textId="77777777" w:rsidR="00C46587" w:rsidRPr="004F5FB4" w:rsidRDefault="00C46587" w:rsidP="00DC3A99">
      <w:pPr>
        <w:keepNext/>
        <w:rPr>
          <w:i/>
          <w:color w:val="000000"/>
        </w:rPr>
      </w:pPr>
      <w:r w:rsidRPr="004F5FB4">
        <w:rPr>
          <w:i/>
          <w:color w:val="000000"/>
        </w:rPr>
        <w:t>Psoriasis</w:t>
      </w:r>
    </w:p>
    <w:p w14:paraId="3886D815" w14:textId="77777777" w:rsidR="00C46587" w:rsidRPr="004F5FB4" w:rsidRDefault="00C46587" w:rsidP="00DC3A99">
      <w:pPr>
        <w:keepNext/>
        <w:rPr>
          <w:color w:val="000000"/>
        </w:rPr>
      </w:pPr>
    </w:p>
    <w:p w14:paraId="281C5D8B" w14:textId="77777777" w:rsidR="00C46587" w:rsidRPr="004F5FB4" w:rsidRDefault="00C46587" w:rsidP="00982118">
      <w:pPr>
        <w:rPr>
          <w:color w:val="000000"/>
        </w:rPr>
      </w:pPr>
      <w:r w:rsidRPr="004F5FB4">
        <w:rPr>
          <w:color w:val="000000"/>
        </w:rPr>
        <w:t>Die Sicherheit und Wirksamkeit von Adalimumab wurden bei erwachsenen Patienten mit chronischer Plaque-Psoriasis (≥</w:t>
      </w:r>
      <w:r w:rsidR="00D36DE9" w:rsidRPr="004F5FB4">
        <w:rPr>
          <w:color w:val="000000"/>
        </w:rPr>
        <w:t> </w:t>
      </w:r>
      <w:r w:rsidRPr="004F5FB4">
        <w:rPr>
          <w:color w:val="000000"/>
        </w:rPr>
        <w:t>10</w:t>
      </w:r>
      <w:r w:rsidR="00D36DE9" w:rsidRPr="004F5FB4">
        <w:rPr>
          <w:color w:val="000000"/>
        </w:rPr>
        <w:t> </w:t>
      </w:r>
      <w:r w:rsidRPr="004F5FB4">
        <w:rPr>
          <w:color w:val="000000"/>
        </w:rPr>
        <w:t>% KOF-Beteiligung und Psoriasis Area and Severity Index [PASI] ≥</w:t>
      </w:r>
      <w:r w:rsidR="00D36DE9" w:rsidRPr="004F5FB4">
        <w:rPr>
          <w:color w:val="000000"/>
        </w:rPr>
        <w:t> </w:t>
      </w:r>
      <w:r w:rsidRPr="004F5FB4">
        <w:rPr>
          <w:color w:val="000000"/>
        </w:rPr>
        <w:t>12 oder ≥</w:t>
      </w:r>
      <w:r w:rsidR="00497E38" w:rsidRPr="004F5FB4">
        <w:rPr>
          <w:color w:val="000000"/>
        </w:rPr>
        <w:t> </w:t>
      </w:r>
      <w:r w:rsidRPr="004F5FB4">
        <w:rPr>
          <w:color w:val="000000"/>
        </w:rPr>
        <w:t>10) untersucht, die Kandidaten für eine systemische Therapie oder Phototherapie in randomisierten Doppelblindstudien waren. Von den in die Psoriasis</w:t>
      </w:r>
      <w:r w:rsidR="00D36DE9" w:rsidRPr="004F5FB4">
        <w:rPr>
          <w:color w:val="000000"/>
        </w:rPr>
        <w:t>-S</w:t>
      </w:r>
      <w:r w:rsidRPr="004F5FB4">
        <w:rPr>
          <w:color w:val="000000"/>
        </w:rPr>
        <w:t>tudien</w:t>
      </w:r>
      <w:r w:rsidR="00D36DE9" w:rsidRPr="004F5FB4">
        <w:rPr>
          <w:color w:val="000000"/>
        </w:rPr>
        <w:t> </w:t>
      </w:r>
      <w:r w:rsidRPr="004F5FB4">
        <w:rPr>
          <w:color w:val="000000"/>
        </w:rPr>
        <w:t>I und II aufgenommenen Patienten hatten 73 % zuvor schon eine systemische Therapie oder Phototherapie erhalten. Die Sicherheit und Wirksamkeit von Adalimumab wurden in einer randomisierten Doppelblindstudie (Psoriasis</w:t>
      </w:r>
      <w:r w:rsidR="00D36DE9" w:rsidRPr="004F5FB4">
        <w:rPr>
          <w:color w:val="000000"/>
        </w:rPr>
        <w:t>-S</w:t>
      </w:r>
      <w:r w:rsidRPr="004F5FB4">
        <w:rPr>
          <w:color w:val="000000"/>
        </w:rPr>
        <w:t>tudie</w:t>
      </w:r>
      <w:r w:rsidR="00D36DE9" w:rsidRPr="004F5FB4">
        <w:rPr>
          <w:color w:val="000000"/>
        </w:rPr>
        <w:t> </w:t>
      </w:r>
      <w:r w:rsidRPr="004F5FB4">
        <w:rPr>
          <w:color w:val="000000"/>
        </w:rPr>
        <w:t xml:space="preserve">III) auch an erwachsenen Patienten mit mittelschwerer bis schwerer chronischer Plaque-Psoriasis mit gleichzeitiger Hand- </w:t>
      </w:r>
      <w:r w:rsidR="00F35054" w:rsidRPr="004F5FB4">
        <w:rPr>
          <w:color w:val="000000"/>
        </w:rPr>
        <w:t>und/</w:t>
      </w:r>
      <w:r w:rsidR="00FA0342" w:rsidRPr="004F5FB4">
        <w:rPr>
          <w:color w:val="000000"/>
        </w:rPr>
        <w:t> </w:t>
      </w:r>
      <w:r w:rsidR="00F35054" w:rsidRPr="004F5FB4">
        <w:rPr>
          <w:color w:val="000000"/>
        </w:rPr>
        <w:t>oder</w:t>
      </w:r>
      <w:r w:rsidRPr="004F5FB4">
        <w:rPr>
          <w:color w:val="000000"/>
        </w:rPr>
        <w:t xml:space="preserve"> Fußpsoriasis untersucht, die Kandidaten für eine systemische Therapie waren.</w:t>
      </w:r>
    </w:p>
    <w:p w14:paraId="633D7503" w14:textId="77777777" w:rsidR="00C46587" w:rsidRPr="004F5FB4" w:rsidRDefault="00C46587" w:rsidP="00982118">
      <w:pPr>
        <w:rPr>
          <w:color w:val="000000"/>
        </w:rPr>
      </w:pPr>
    </w:p>
    <w:p w14:paraId="47BED3EC" w14:textId="77777777" w:rsidR="00C46587" w:rsidRPr="004F5FB4" w:rsidRDefault="00C46587" w:rsidP="00982118">
      <w:pPr>
        <w:rPr>
          <w:color w:val="000000"/>
        </w:rPr>
      </w:pPr>
      <w:r w:rsidRPr="004F5FB4">
        <w:rPr>
          <w:color w:val="000000"/>
        </w:rPr>
        <w:t>In der Psoriasis</w:t>
      </w:r>
      <w:r w:rsidR="00D36DE9" w:rsidRPr="004F5FB4">
        <w:rPr>
          <w:color w:val="000000"/>
        </w:rPr>
        <w:t>-S</w:t>
      </w:r>
      <w:r w:rsidRPr="004F5FB4">
        <w:rPr>
          <w:color w:val="000000"/>
        </w:rPr>
        <w:t>tudie</w:t>
      </w:r>
      <w:r w:rsidR="00D36DE9" w:rsidRPr="004F5FB4">
        <w:rPr>
          <w:color w:val="000000"/>
        </w:rPr>
        <w:t> </w:t>
      </w:r>
      <w:r w:rsidRPr="004F5FB4">
        <w:rPr>
          <w:color w:val="000000"/>
        </w:rPr>
        <w:t>I (REVEAL) wurden 1.212</w:t>
      </w:r>
      <w:r w:rsidR="00D36DE9" w:rsidRPr="004F5FB4">
        <w:rPr>
          <w:color w:val="000000"/>
        </w:rPr>
        <w:t> </w:t>
      </w:r>
      <w:r w:rsidRPr="004F5FB4">
        <w:rPr>
          <w:color w:val="000000"/>
        </w:rPr>
        <w:t>Patienten innerhalb von drei Behandlungsperioden untersucht. In Periode A erhielten die Patienten Placebo oder eine Induktionsdosis von 80 mg Adalimumab, danach 40 mg jede zweite Woche, beginnend eine Woche nach der Induktionsdosis. Nach 16 Behandlungswochen traten Patienten mit mindestens PASI-75-Ansprechen (Verbesserung des PASI-Wertes um mindestens 75 % im Vergleich zum Ausgangswert) in Periode</w:t>
      </w:r>
      <w:r w:rsidR="00D36DE9" w:rsidRPr="004F5FB4">
        <w:rPr>
          <w:color w:val="000000"/>
        </w:rPr>
        <w:t> </w:t>
      </w:r>
      <w:r w:rsidRPr="004F5FB4">
        <w:rPr>
          <w:color w:val="000000"/>
        </w:rPr>
        <w:t>B ein und erhielten 40 mg Adalimumab unverblindet jede zweite Woche. Patienten, die bis Woche</w:t>
      </w:r>
      <w:r w:rsidR="00D36DE9" w:rsidRPr="004F5FB4">
        <w:rPr>
          <w:color w:val="000000"/>
        </w:rPr>
        <w:t> </w:t>
      </w:r>
      <w:r w:rsidRPr="004F5FB4">
        <w:rPr>
          <w:color w:val="000000"/>
        </w:rPr>
        <w:t>33 mindestens ein PASI-75-Ansprechen aufrechterhielten und ursprünglich in Periode</w:t>
      </w:r>
      <w:r w:rsidR="00D36DE9" w:rsidRPr="004F5FB4">
        <w:rPr>
          <w:color w:val="000000"/>
        </w:rPr>
        <w:t> </w:t>
      </w:r>
      <w:r w:rsidRPr="004F5FB4">
        <w:rPr>
          <w:color w:val="000000"/>
        </w:rPr>
        <w:t>A randomisiert der aktiven Therapie zugeteilt worden waren, wurden in Periode C erneut randomisiert und erhielten 40 mg Adalimumab jede zweite Woche oder Placebo für weitere 19</w:t>
      </w:r>
      <w:r w:rsidR="00D36DE9" w:rsidRPr="004F5FB4">
        <w:rPr>
          <w:color w:val="000000"/>
        </w:rPr>
        <w:t> </w:t>
      </w:r>
      <w:r w:rsidRPr="004F5FB4">
        <w:rPr>
          <w:color w:val="000000"/>
        </w:rPr>
        <w:t>Wochen. Für alle Behandlungsgruppen zusammen betrug der durchschnittliche Ausgangswert des PASI</w:t>
      </w:r>
      <w:r w:rsidR="00A3787B" w:rsidRPr="004F5FB4">
        <w:rPr>
          <w:color w:val="000000"/>
        </w:rPr>
        <w:t xml:space="preserve"> </w:t>
      </w:r>
      <w:r w:rsidRPr="004F5FB4">
        <w:rPr>
          <w:color w:val="000000"/>
        </w:rPr>
        <w:t>18,9, und der Ausgangswert im Physician’s Global Assessment (PGA) lag im Bereich zwischen „mittelschwer” (53</w:t>
      </w:r>
      <w:r w:rsidR="00D36DE9" w:rsidRPr="004F5FB4">
        <w:rPr>
          <w:color w:val="000000"/>
        </w:rPr>
        <w:t> </w:t>
      </w:r>
      <w:r w:rsidRPr="004F5FB4">
        <w:rPr>
          <w:color w:val="000000"/>
        </w:rPr>
        <w:t>% der Studienteilnehmer), „schwer” (41</w:t>
      </w:r>
      <w:r w:rsidR="00D36DE9" w:rsidRPr="004F5FB4">
        <w:rPr>
          <w:color w:val="000000"/>
        </w:rPr>
        <w:t> </w:t>
      </w:r>
      <w:r w:rsidRPr="004F5FB4">
        <w:rPr>
          <w:color w:val="000000"/>
        </w:rPr>
        <w:t>%) und „sehr schwer” (6</w:t>
      </w:r>
      <w:r w:rsidR="00D36DE9" w:rsidRPr="004F5FB4">
        <w:rPr>
          <w:color w:val="000000"/>
        </w:rPr>
        <w:t> </w:t>
      </w:r>
      <w:r w:rsidRPr="004F5FB4">
        <w:rPr>
          <w:color w:val="000000"/>
        </w:rPr>
        <w:t>%).</w:t>
      </w:r>
    </w:p>
    <w:p w14:paraId="7ED4EAC8" w14:textId="77777777" w:rsidR="00C46587" w:rsidRPr="004F5FB4" w:rsidRDefault="00C46587" w:rsidP="00982118">
      <w:pPr>
        <w:rPr>
          <w:color w:val="000000"/>
        </w:rPr>
      </w:pPr>
    </w:p>
    <w:p w14:paraId="494009FE" w14:textId="77777777" w:rsidR="00C46587" w:rsidRPr="004F5FB4" w:rsidRDefault="00C46587" w:rsidP="00982118">
      <w:pPr>
        <w:rPr>
          <w:color w:val="000000"/>
        </w:rPr>
      </w:pPr>
      <w:r w:rsidRPr="004F5FB4">
        <w:rPr>
          <w:color w:val="000000"/>
        </w:rPr>
        <w:t>In der Psoriasis</w:t>
      </w:r>
      <w:r w:rsidR="00D36DE9" w:rsidRPr="004F5FB4">
        <w:rPr>
          <w:color w:val="000000"/>
        </w:rPr>
        <w:t>-S</w:t>
      </w:r>
      <w:r w:rsidRPr="004F5FB4">
        <w:rPr>
          <w:color w:val="000000"/>
        </w:rPr>
        <w:t>tudie</w:t>
      </w:r>
      <w:r w:rsidR="00D36DE9" w:rsidRPr="004F5FB4">
        <w:rPr>
          <w:color w:val="000000"/>
        </w:rPr>
        <w:t> </w:t>
      </w:r>
      <w:r w:rsidRPr="004F5FB4">
        <w:rPr>
          <w:color w:val="000000"/>
        </w:rPr>
        <w:t>II (CHAMPION) wurden die Wirksamkeit und Sicherheit von Adalimumab im Vergleich zu Methotrexat und Placebo bei 271</w:t>
      </w:r>
      <w:r w:rsidR="00D36DE9" w:rsidRPr="004F5FB4">
        <w:rPr>
          <w:color w:val="000000"/>
        </w:rPr>
        <w:t> </w:t>
      </w:r>
      <w:r w:rsidRPr="004F5FB4">
        <w:rPr>
          <w:color w:val="000000"/>
        </w:rPr>
        <w:t>Patienten untersucht. Die Patienten erhielten über einen Zeitraum von 16</w:t>
      </w:r>
      <w:r w:rsidR="00D36DE9" w:rsidRPr="004F5FB4">
        <w:rPr>
          <w:color w:val="000000"/>
        </w:rPr>
        <w:t> </w:t>
      </w:r>
      <w:r w:rsidRPr="004F5FB4">
        <w:rPr>
          <w:color w:val="000000"/>
        </w:rPr>
        <w:t xml:space="preserve">Wochen entweder Placebo oder Methotrexat in einer </w:t>
      </w:r>
      <w:r w:rsidR="00A3787B" w:rsidRPr="004F5FB4">
        <w:rPr>
          <w:color w:val="000000"/>
        </w:rPr>
        <w:t>Anfang</w:t>
      </w:r>
      <w:r w:rsidRPr="004F5FB4">
        <w:rPr>
          <w:color w:val="000000"/>
        </w:rPr>
        <w:t xml:space="preserve">sdosis von 7,5 mg </w:t>
      </w:r>
      <w:r w:rsidR="00A3787B" w:rsidRPr="004F5FB4">
        <w:rPr>
          <w:color w:val="000000"/>
        </w:rPr>
        <w:t>und</w:t>
      </w:r>
      <w:r w:rsidRPr="004F5FB4">
        <w:rPr>
          <w:color w:val="000000"/>
        </w:rPr>
        <w:t xml:space="preserve"> nachfolgender Dosiseskalation auf eine Maximaldosis von bis zu 25 mg bis Woche</w:t>
      </w:r>
      <w:r w:rsidR="00D36DE9" w:rsidRPr="004F5FB4">
        <w:rPr>
          <w:color w:val="000000"/>
        </w:rPr>
        <w:t> </w:t>
      </w:r>
      <w:r w:rsidRPr="004F5FB4">
        <w:rPr>
          <w:color w:val="000000"/>
        </w:rPr>
        <w:t xml:space="preserve">12, oder eine Adalimumab-Induktionsdosis von 80 mg, </w:t>
      </w:r>
      <w:r w:rsidR="00A3787B" w:rsidRPr="004F5FB4">
        <w:rPr>
          <w:color w:val="000000"/>
        </w:rPr>
        <w:t>danach</w:t>
      </w:r>
      <w:r w:rsidRPr="004F5FB4">
        <w:rPr>
          <w:color w:val="000000"/>
        </w:rPr>
        <w:t xml:space="preserve"> 40 mg jede zweite Woche (beginnend eine Woche nach der Induktionsdosis). Es liegen keine Daten eines Vergleichs von Adalimumab und Methotrexat über einen Behandlungszeitraum von mehr als 16</w:t>
      </w:r>
      <w:r w:rsidR="00D36DE9" w:rsidRPr="004F5FB4">
        <w:rPr>
          <w:color w:val="000000"/>
        </w:rPr>
        <w:t> </w:t>
      </w:r>
      <w:r w:rsidRPr="004F5FB4">
        <w:rPr>
          <w:color w:val="000000"/>
        </w:rPr>
        <w:t>Wochen vor. Patienten, die Methotrexat erhielten und nach 8 und/</w:t>
      </w:r>
      <w:r w:rsidR="00D36DE9" w:rsidRPr="004F5FB4">
        <w:rPr>
          <w:color w:val="000000"/>
        </w:rPr>
        <w:t xml:space="preserve"> </w:t>
      </w:r>
      <w:r w:rsidRPr="004F5FB4">
        <w:rPr>
          <w:color w:val="000000"/>
        </w:rPr>
        <w:t>oder 12</w:t>
      </w:r>
      <w:r w:rsidR="00D36DE9" w:rsidRPr="004F5FB4">
        <w:rPr>
          <w:color w:val="000000"/>
        </w:rPr>
        <w:t> </w:t>
      </w:r>
      <w:r w:rsidRPr="004F5FB4">
        <w:rPr>
          <w:color w:val="000000"/>
        </w:rPr>
        <w:t>Wochen mindestens ein PASI-50-Ansprechen erreicht hatten, erhielten keine weitere Dosiseskalation. Für alle Behandlungsgruppen zusammen betrug der durchschnittliche Ausgangswert des PASI 19,7 und der Ausgangswert des PGA lag im Bereich zwischen „leicht” (&lt;</w:t>
      </w:r>
      <w:r w:rsidR="00D36DE9" w:rsidRPr="004F5FB4">
        <w:rPr>
          <w:color w:val="000000"/>
        </w:rPr>
        <w:t> </w:t>
      </w:r>
      <w:r w:rsidRPr="004F5FB4">
        <w:rPr>
          <w:color w:val="000000"/>
        </w:rPr>
        <w:t>1</w:t>
      </w:r>
      <w:r w:rsidR="00D36DE9" w:rsidRPr="004F5FB4">
        <w:rPr>
          <w:color w:val="000000"/>
        </w:rPr>
        <w:t> </w:t>
      </w:r>
      <w:r w:rsidRPr="004F5FB4">
        <w:rPr>
          <w:color w:val="000000"/>
        </w:rPr>
        <w:t>%), „mittelschwer” (48</w:t>
      </w:r>
      <w:r w:rsidR="00D36DE9" w:rsidRPr="004F5FB4">
        <w:rPr>
          <w:color w:val="000000"/>
        </w:rPr>
        <w:t> </w:t>
      </w:r>
      <w:r w:rsidRPr="004F5FB4">
        <w:rPr>
          <w:color w:val="000000"/>
        </w:rPr>
        <w:t>%), „schwer” (46</w:t>
      </w:r>
      <w:r w:rsidR="00D36DE9" w:rsidRPr="004F5FB4">
        <w:rPr>
          <w:color w:val="000000"/>
        </w:rPr>
        <w:t> </w:t>
      </w:r>
      <w:r w:rsidRPr="004F5FB4">
        <w:rPr>
          <w:color w:val="000000"/>
        </w:rPr>
        <w:t>%) und „sehr schwer” (6</w:t>
      </w:r>
      <w:r w:rsidR="00D36DE9" w:rsidRPr="004F5FB4">
        <w:rPr>
          <w:color w:val="000000"/>
        </w:rPr>
        <w:t> </w:t>
      </w:r>
      <w:r w:rsidRPr="004F5FB4">
        <w:rPr>
          <w:color w:val="000000"/>
        </w:rPr>
        <w:t xml:space="preserve">%). </w:t>
      </w:r>
    </w:p>
    <w:p w14:paraId="38CC418C" w14:textId="77777777" w:rsidR="00C46587" w:rsidRPr="004F5FB4" w:rsidRDefault="00C46587" w:rsidP="00982118">
      <w:pPr>
        <w:rPr>
          <w:color w:val="000000"/>
        </w:rPr>
      </w:pPr>
    </w:p>
    <w:p w14:paraId="0EFB5D65" w14:textId="77777777" w:rsidR="00C46587" w:rsidRPr="004F5FB4" w:rsidRDefault="00C46587" w:rsidP="00982118">
      <w:pPr>
        <w:rPr>
          <w:color w:val="000000"/>
        </w:rPr>
      </w:pPr>
      <w:r w:rsidRPr="004F5FB4">
        <w:rPr>
          <w:color w:val="000000"/>
        </w:rPr>
        <w:t>Patienten, die an allen Phase-II- und Phase-III-Psoriasis</w:t>
      </w:r>
      <w:r w:rsidR="00D36DE9" w:rsidRPr="004F5FB4">
        <w:rPr>
          <w:color w:val="000000"/>
        </w:rPr>
        <w:t>-S</w:t>
      </w:r>
      <w:r w:rsidRPr="004F5FB4">
        <w:rPr>
          <w:color w:val="000000"/>
        </w:rPr>
        <w:t xml:space="preserve">tudien teilnahmen, konnten in eine offene </w:t>
      </w:r>
      <w:r w:rsidR="00A3787B" w:rsidRPr="004F5FB4">
        <w:rPr>
          <w:color w:val="000000"/>
        </w:rPr>
        <w:t>Fortsetz</w:t>
      </w:r>
      <w:r w:rsidRPr="004F5FB4">
        <w:rPr>
          <w:color w:val="000000"/>
        </w:rPr>
        <w:t>ungsstudie aufgenommen werden, in der Adalimumab mindestens weitere 108</w:t>
      </w:r>
      <w:r w:rsidR="00D36DE9" w:rsidRPr="004F5FB4">
        <w:rPr>
          <w:color w:val="000000"/>
        </w:rPr>
        <w:t> </w:t>
      </w:r>
      <w:r w:rsidRPr="004F5FB4">
        <w:rPr>
          <w:color w:val="000000"/>
        </w:rPr>
        <w:t xml:space="preserve">Wochen verabreicht wurde. </w:t>
      </w:r>
    </w:p>
    <w:p w14:paraId="5C3AB4BF" w14:textId="77777777" w:rsidR="00C46587" w:rsidRPr="004F5FB4" w:rsidRDefault="00C46587" w:rsidP="00982118">
      <w:pPr>
        <w:rPr>
          <w:color w:val="000000"/>
        </w:rPr>
      </w:pPr>
    </w:p>
    <w:p w14:paraId="5334E10C" w14:textId="77777777" w:rsidR="00C46587" w:rsidRPr="004F5FB4" w:rsidRDefault="00C46587" w:rsidP="00982118">
      <w:pPr>
        <w:rPr>
          <w:color w:val="000000"/>
        </w:rPr>
      </w:pPr>
      <w:r w:rsidRPr="004F5FB4">
        <w:rPr>
          <w:color w:val="000000"/>
        </w:rPr>
        <w:t>Ein primärer Endpunkt der Psoriasis</w:t>
      </w:r>
      <w:r w:rsidR="00D36DE9" w:rsidRPr="004F5FB4">
        <w:rPr>
          <w:color w:val="000000"/>
        </w:rPr>
        <w:t>-S</w:t>
      </w:r>
      <w:r w:rsidRPr="004F5FB4">
        <w:rPr>
          <w:color w:val="000000"/>
        </w:rPr>
        <w:t>tudien</w:t>
      </w:r>
      <w:r w:rsidR="00D36DE9" w:rsidRPr="004F5FB4">
        <w:rPr>
          <w:color w:val="000000"/>
        </w:rPr>
        <w:t> </w:t>
      </w:r>
      <w:r w:rsidRPr="004F5FB4">
        <w:rPr>
          <w:color w:val="000000"/>
        </w:rPr>
        <w:t>I und II war der Anteil der Patienten, die nach 16</w:t>
      </w:r>
      <w:r w:rsidR="00D36DE9" w:rsidRPr="004F5FB4">
        <w:rPr>
          <w:color w:val="000000"/>
        </w:rPr>
        <w:t> </w:t>
      </w:r>
      <w:r w:rsidRPr="004F5FB4">
        <w:rPr>
          <w:color w:val="000000"/>
        </w:rPr>
        <w:t>Wochen im Vergleich zum Ausgangswert ein PASI-75-Ansprechen erzielten (siehe Tabellen</w:t>
      </w:r>
      <w:r w:rsidR="00D36DE9" w:rsidRPr="004F5FB4">
        <w:rPr>
          <w:color w:val="000000"/>
        </w:rPr>
        <w:t> </w:t>
      </w:r>
      <w:r w:rsidR="00B852E6">
        <w:rPr>
          <w:color w:val="000000"/>
        </w:rPr>
        <w:t>16</w:t>
      </w:r>
      <w:r w:rsidRPr="004F5FB4">
        <w:rPr>
          <w:color w:val="000000"/>
        </w:rPr>
        <w:t xml:space="preserve"> und </w:t>
      </w:r>
      <w:r w:rsidR="00B852E6">
        <w:rPr>
          <w:color w:val="000000"/>
        </w:rPr>
        <w:t>17</w:t>
      </w:r>
      <w:r w:rsidRPr="004F5FB4">
        <w:rPr>
          <w:color w:val="000000"/>
        </w:rPr>
        <w:t xml:space="preserve">). </w:t>
      </w:r>
    </w:p>
    <w:p w14:paraId="2EAA6526" w14:textId="77777777" w:rsidR="00C46587" w:rsidRPr="004F5FB4" w:rsidRDefault="00C46587" w:rsidP="00982118">
      <w:pPr>
        <w:rPr>
          <w:color w:val="000000"/>
        </w:rPr>
      </w:pPr>
    </w:p>
    <w:p w14:paraId="59F729D6" w14:textId="77777777" w:rsidR="00FA0342" w:rsidRPr="004F5FB4" w:rsidRDefault="00C46587" w:rsidP="00687087">
      <w:pPr>
        <w:keepNext/>
        <w:rPr>
          <w:b/>
          <w:color w:val="000000"/>
        </w:rPr>
      </w:pPr>
      <w:r w:rsidRPr="004F5FB4">
        <w:rPr>
          <w:b/>
          <w:color w:val="000000"/>
        </w:rPr>
        <w:t>Tabelle</w:t>
      </w:r>
      <w:r w:rsidR="00B852E6">
        <w:rPr>
          <w:b/>
          <w:color w:val="000000"/>
        </w:rPr>
        <w:t> 16</w:t>
      </w:r>
    </w:p>
    <w:p w14:paraId="7A0CD812" w14:textId="77777777" w:rsidR="00C46587" w:rsidRPr="004F5FB4" w:rsidRDefault="00C46587" w:rsidP="00687087">
      <w:pPr>
        <w:keepNext/>
        <w:rPr>
          <w:b/>
          <w:color w:val="000000"/>
        </w:rPr>
      </w:pPr>
      <w:r w:rsidRPr="004F5FB4">
        <w:rPr>
          <w:b/>
          <w:color w:val="000000"/>
        </w:rPr>
        <w:t>Psoriasis</w:t>
      </w:r>
      <w:r w:rsidR="00D36DE9" w:rsidRPr="004F5FB4">
        <w:rPr>
          <w:b/>
          <w:color w:val="000000"/>
        </w:rPr>
        <w:t>-S</w:t>
      </w:r>
      <w:r w:rsidRPr="004F5FB4">
        <w:rPr>
          <w:b/>
          <w:color w:val="000000"/>
        </w:rPr>
        <w:t>tudie I (REVEAL) Wirksamkeitsergebnisse nach 16</w:t>
      </w:r>
      <w:r w:rsidR="00F07ADF" w:rsidRPr="004F5FB4">
        <w:rPr>
          <w:b/>
          <w:color w:val="000000"/>
        </w:rPr>
        <w:t> </w:t>
      </w:r>
      <w:r w:rsidRPr="004F5FB4">
        <w:rPr>
          <w:b/>
          <w:color w:val="000000"/>
        </w:rPr>
        <w:t>Wochen</w:t>
      </w:r>
    </w:p>
    <w:p w14:paraId="59CA28DE" w14:textId="77777777" w:rsidR="00DD002D" w:rsidRPr="004F5FB4" w:rsidRDefault="00DD002D" w:rsidP="003146E9">
      <w:pPr>
        <w:pStyle w:val="BodyText"/>
        <w:keepNext/>
        <w:widowControl/>
        <w:kinsoku w:val="0"/>
        <w:overflowPunct w:val="0"/>
        <w:ind w:left="0"/>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4F5FB4" w14:paraId="13FBB630" w14:textId="77777777" w:rsidTr="009756D9">
        <w:trPr>
          <w:tblHeader/>
        </w:trPr>
        <w:tc>
          <w:tcPr>
            <w:tcW w:w="3193" w:type="dxa"/>
            <w:shd w:val="clear" w:color="auto" w:fill="auto"/>
          </w:tcPr>
          <w:p w14:paraId="3B8EB014" w14:textId="77777777" w:rsidR="00DD002D" w:rsidRPr="004F5FB4" w:rsidRDefault="00DD002D" w:rsidP="003146E9">
            <w:pPr>
              <w:keepNext/>
              <w:rPr>
                <w:rFonts w:eastAsia="Calibri"/>
                <w:color w:val="000000"/>
              </w:rPr>
            </w:pPr>
          </w:p>
        </w:tc>
        <w:tc>
          <w:tcPr>
            <w:tcW w:w="3055" w:type="dxa"/>
            <w:shd w:val="clear" w:color="auto" w:fill="auto"/>
          </w:tcPr>
          <w:p w14:paraId="6C05CA87" w14:textId="77777777" w:rsidR="00DD002D" w:rsidRPr="004F5FB4" w:rsidRDefault="00DD002D" w:rsidP="003146E9">
            <w:pPr>
              <w:pStyle w:val="TableParagraph"/>
              <w:keepNext/>
              <w:widowControl/>
              <w:kinsoku w:val="0"/>
              <w:overflowPunct w:val="0"/>
              <w:ind w:hanging="60"/>
              <w:jc w:val="center"/>
              <w:rPr>
                <w:rFonts w:ascii="Times New Roman" w:hAnsi="Times New Roman"/>
                <w:b/>
                <w:bCs/>
                <w:color w:val="000000"/>
              </w:rPr>
            </w:pPr>
            <w:r w:rsidRPr="004F5FB4">
              <w:rPr>
                <w:rFonts w:ascii="Times New Roman" w:hAnsi="Times New Roman"/>
                <w:b/>
                <w:bCs/>
                <w:color w:val="000000"/>
              </w:rPr>
              <w:t>Placebo</w:t>
            </w:r>
          </w:p>
          <w:p w14:paraId="35378006" w14:textId="77777777" w:rsidR="00DD002D" w:rsidRPr="004F5FB4" w:rsidRDefault="00DD002D" w:rsidP="003146E9">
            <w:pPr>
              <w:pStyle w:val="TableParagraph"/>
              <w:keepNext/>
              <w:widowControl/>
              <w:kinsoku w:val="0"/>
              <w:overflowPunct w:val="0"/>
              <w:ind w:hanging="60"/>
              <w:jc w:val="center"/>
              <w:rPr>
                <w:rFonts w:ascii="Times New Roman" w:hAnsi="Times New Roman"/>
                <w:b/>
                <w:bCs/>
                <w:color w:val="000000"/>
              </w:rPr>
            </w:pPr>
            <w:r w:rsidRPr="004F5FB4">
              <w:rPr>
                <w:rFonts w:ascii="Times New Roman" w:hAnsi="Times New Roman"/>
                <w:b/>
                <w:bCs/>
                <w:color w:val="000000"/>
              </w:rPr>
              <w:t>n</w:t>
            </w:r>
            <w:r w:rsidR="00852D64" w:rsidRPr="004F5FB4">
              <w:rPr>
                <w:rFonts w:ascii="Times New Roman" w:hAnsi="Times New Roman"/>
                <w:b/>
                <w:bCs/>
                <w:color w:val="000000"/>
              </w:rPr>
              <w:t> </w:t>
            </w:r>
            <w:r w:rsidRPr="004F5FB4">
              <w:rPr>
                <w:rFonts w:ascii="Times New Roman" w:hAnsi="Times New Roman"/>
                <w:b/>
                <w:bCs/>
                <w:color w:val="000000"/>
              </w:rPr>
              <w:t>=</w:t>
            </w:r>
            <w:r w:rsidR="00852D64" w:rsidRPr="004F5FB4">
              <w:rPr>
                <w:rFonts w:ascii="Times New Roman" w:hAnsi="Times New Roman"/>
                <w:b/>
                <w:bCs/>
                <w:color w:val="000000"/>
              </w:rPr>
              <w:t> </w:t>
            </w:r>
            <w:r w:rsidRPr="004F5FB4">
              <w:rPr>
                <w:rFonts w:ascii="Times New Roman" w:hAnsi="Times New Roman"/>
                <w:b/>
                <w:bCs/>
                <w:color w:val="000000"/>
              </w:rPr>
              <w:t>398</w:t>
            </w:r>
          </w:p>
          <w:p w14:paraId="2D373E12" w14:textId="77777777" w:rsidR="00DD002D" w:rsidRPr="004F5FB4" w:rsidRDefault="00DD002D" w:rsidP="003146E9">
            <w:pPr>
              <w:pStyle w:val="TableParagraph"/>
              <w:keepNext/>
              <w:widowControl/>
              <w:kinsoku w:val="0"/>
              <w:overflowPunct w:val="0"/>
              <w:ind w:hanging="60"/>
              <w:jc w:val="center"/>
              <w:rPr>
                <w:rFonts w:ascii="Times New Roman" w:hAnsi="Times New Roman"/>
                <w:color w:val="000000"/>
              </w:rPr>
            </w:pPr>
            <w:r w:rsidRPr="004F5FB4">
              <w:rPr>
                <w:rFonts w:ascii="Times New Roman" w:hAnsi="Times New Roman"/>
                <w:b/>
                <w:bCs/>
                <w:color w:val="000000"/>
              </w:rPr>
              <w:t>n (%)</w:t>
            </w:r>
          </w:p>
        </w:tc>
        <w:tc>
          <w:tcPr>
            <w:tcW w:w="3055" w:type="dxa"/>
            <w:shd w:val="clear" w:color="auto" w:fill="auto"/>
          </w:tcPr>
          <w:p w14:paraId="3B5514DA" w14:textId="77777777" w:rsidR="00DD002D" w:rsidRPr="004F5FB4" w:rsidRDefault="00DD002D" w:rsidP="003146E9">
            <w:pPr>
              <w:pStyle w:val="TableParagraph"/>
              <w:keepNext/>
              <w:widowControl/>
              <w:kinsoku w:val="0"/>
              <w:overflowPunct w:val="0"/>
              <w:jc w:val="center"/>
              <w:rPr>
                <w:rFonts w:ascii="Times New Roman" w:hAnsi="Times New Roman"/>
                <w:b/>
                <w:bCs/>
                <w:color w:val="000000"/>
              </w:rPr>
            </w:pPr>
            <w:r w:rsidRPr="004F5FB4">
              <w:rPr>
                <w:rFonts w:ascii="Times New Roman" w:hAnsi="Times New Roman"/>
                <w:b/>
                <w:color w:val="000000"/>
              </w:rPr>
              <w:t>Adalimumab</w:t>
            </w:r>
            <w:r w:rsidRPr="004F5FB4">
              <w:rPr>
                <w:rFonts w:ascii="Times New Roman" w:hAnsi="Times New Roman"/>
                <w:b/>
                <w:bCs/>
                <w:color w:val="000000"/>
              </w:rPr>
              <w:t xml:space="preserve"> 40</w:t>
            </w:r>
            <w:r w:rsidRPr="004F5FB4">
              <w:rPr>
                <w:rFonts w:ascii="Times New Roman" w:hAnsi="Times New Roman"/>
                <w:b/>
                <w:color w:val="000000"/>
              </w:rPr>
              <w:t> </w:t>
            </w:r>
            <w:r w:rsidRPr="004F5FB4">
              <w:rPr>
                <w:rFonts w:ascii="Times New Roman" w:hAnsi="Times New Roman"/>
                <w:b/>
                <w:bCs/>
                <w:color w:val="000000"/>
              </w:rPr>
              <w:t>mg jede zweite Woche</w:t>
            </w:r>
          </w:p>
          <w:p w14:paraId="4A0DC0A4" w14:textId="77777777" w:rsidR="00DD002D" w:rsidRPr="004F5FB4" w:rsidRDefault="00DD002D" w:rsidP="003146E9">
            <w:pPr>
              <w:pStyle w:val="TableParagraph"/>
              <w:keepNext/>
              <w:widowControl/>
              <w:kinsoku w:val="0"/>
              <w:overflowPunct w:val="0"/>
              <w:jc w:val="center"/>
              <w:rPr>
                <w:rFonts w:ascii="Times New Roman" w:hAnsi="Times New Roman"/>
                <w:color w:val="000000"/>
              </w:rPr>
            </w:pPr>
            <w:r w:rsidRPr="004F5FB4">
              <w:rPr>
                <w:rFonts w:ascii="Times New Roman" w:hAnsi="Times New Roman"/>
                <w:b/>
                <w:bCs/>
                <w:color w:val="000000"/>
              </w:rPr>
              <w:t>n</w:t>
            </w:r>
            <w:r w:rsidR="00852D64" w:rsidRPr="004F5FB4">
              <w:rPr>
                <w:rFonts w:ascii="Times New Roman" w:hAnsi="Times New Roman"/>
                <w:b/>
                <w:bCs/>
                <w:color w:val="000000"/>
              </w:rPr>
              <w:t> </w:t>
            </w:r>
            <w:r w:rsidRPr="004F5FB4">
              <w:rPr>
                <w:rFonts w:ascii="Times New Roman" w:hAnsi="Times New Roman"/>
                <w:b/>
                <w:bCs/>
                <w:color w:val="000000"/>
              </w:rPr>
              <w:t>=</w:t>
            </w:r>
            <w:r w:rsidR="00852D64" w:rsidRPr="004F5FB4">
              <w:rPr>
                <w:rFonts w:ascii="Times New Roman" w:hAnsi="Times New Roman"/>
                <w:b/>
                <w:bCs/>
                <w:color w:val="000000"/>
              </w:rPr>
              <w:t> </w:t>
            </w:r>
            <w:r w:rsidRPr="004F5FB4">
              <w:rPr>
                <w:rFonts w:ascii="Times New Roman" w:hAnsi="Times New Roman"/>
                <w:b/>
                <w:bCs/>
                <w:color w:val="000000"/>
              </w:rPr>
              <w:t>814</w:t>
            </w:r>
          </w:p>
          <w:p w14:paraId="0CA43E6E" w14:textId="77777777" w:rsidR="00DD002D" w:rsidRPr="004F5FB4" w:rsidRDefault="00DD002D" w:rsidP="003146E9">
            <w:pPr>
              <w:pStyle w:val="TableParagraph"/>
              <w:keepNext/>
              <w:widowControl/>
              <w:kinsoku w:val="0"/>
              <w:overflowPunct w:val="0"/>
              <w:jc w:val="center"/>
              <w:rPr>
                <w:rFonts w:ascii="Times New Roman" w:hAnsi="Times New Roman"/>
                <w:color w:val="000000"/>
              </w:rPr>
            </w:pPr>
            <w:r w:rsidRPr="004F5FB4">
              <w:rPr>
                <w:rFonts w:ascii="Times New Roman" w:hAnsi="Times New Roman"/>
                <w:b/>
                <w:bCs/>
                <w:color w:val="000000"/>
              </w:rPr>
              <w:t>n (%)</w:t>
            </w:r>
          </w:p>
        </w:tc>
      </w:tr>
      <w:tr w:rsidR="00DD002D" w:rsidRPr="004F5FB4" w14:paraId="5F1BE8D3" w14:textId="77777777" w:rsidTr="009756D9">
        <w:tc>
          <w:tcPr>
            <w:tcW w:w="3193" w:type="dxa"/>
            <w:shd w:val="clear" w:color="auto" w:fill="auto"/>
          </w:tcPr>
          <w:p w14:paraId="3A891A11" w14:textId="77777777" w:rsidR="00DD002D" w:rsidRPr="004F5FB4" w:rsidRDefault="00DD002D" w:rsidP="003146E9">
            <w:pPr>
              <w:pStyle w:val="TableParagraph"/>
              <w:keepNext/>
              <w:widowControl/>
              <w:kinsoku w:val="0"/>
              <w:overflowPunct w:val="0"/>
              <w:rPr>
                <w:rFonts w:ascii="Times New Roman" w:hAnsi="Times New Roman"/>
                <w:color w:val="000000"/>
              </w:rPr>
            </w:pPr>
            <w:r w:rsidRPr="004F5FB4">
              <w:rPr>
                <w:rFonts w:ascii="Times New Roman" w:hAnsi="Times New Roman"/>
                <w:bCs/>
                <w:color w:val="000000"/>
              </w:rPr>
              <w:t>≥</w:t>
            </w:r>
            <w:r w:rsidR="00852D64" w:rsidRPr="004F5FB4">
              <w:rPr>
                <w:rFonts w:ascii="Times New Roman" w:hAnsi="Times New Roman"/>
                <w:bCs/>
                <w:color w:val="000000"/>
              </w:rPr>
              <w:t> </w:t>
            </w:r>
            <w:r w:rsidRPr="004F5FB4">
              <w:rPr>
                <w:rFonts w:ascii="Times New Roman" w:hAnsi="Times New Roman"/>
                <w:bCs/>
                <w:color w:val="000000"/>
              </w:rPr>
              <w:t>PASI</w:t>
            </w:r>
            <w:r w:rsidR="00A3787B" w:rsidRPr="004F5FB4">
              <w:rPr>
                <w:rFonts w:ascii="Times New Roman" w:hAnsi="Times New Roman"/>
                <w:bCs/>
                <w:color w:val="000000"/>
              </w:rPr>
              <w:t>-</w:t>
            </w:r>
            <w:r w:rsidRPr="004F5FB4">
              <w:rPr>
                <w:rFonts w:ascii="Times New Roman" w:hAnsi="Times New Roman"/>
                <w:bCs/>
                <w:color w:val="000000"/>
              </w:rPr>
              <w:t>75</w:t>
            </w:r>
            <w:r w:rsidRPr="004F5FB4">
              <w:rPr>
                <w:rFonts w:ascii="Times New Roman" w:hAnsi="Times New Roman"/>
                <w:bCs/>
                <w:color w:val="000000"/>
                <w:vertAlign w:val="superscript"/>
              </w:rPr>
              <w:t>a</w:t>
            </w:r>
          </w:p>
        </w:tc>
        <w:tc>
          <w:tcPr>
            <w:tcW w:w="3055" w:type="dxa"/>
            <w:shd w:val="clear" w:color="auto" w:fill="auto"/>
          </w:tcPr>
          <w:p w14:paraId="38B9D4B8" w14:textId="77777777" w:rsidR="00DD002D" w:rsidRPr="004F5FB4" w:rsidRDefault="00DD002D" w:rsidP="003146E9">
            <w:pPr>
              <w:pStyle w:val="TableParagraph"/>
              <w:keepNext/>
              <w:widowControl/>
              <w:kinsoku w:val="0"/>
              <w:overflowPunct w:val="0"/>
              <w:jc w:val="center"/>
              <w:rPr>
                <w:rFonts w:ascii="Times New Roman" w:hAnsi="Times New Roman"/>
                <w:color w:val="000000"/>
              </w:rPr>
            </w:pPr>
            <w:r w:rsidRPr="004F5FB4">
              <w:rPr>
                <w:rFonts w:ascii="Times New Roman" w:hAnsi="Times New Roman"/>
                <w:color w:val="000000"/>
              </w:rPr>
              <w:t>26 (6,5)</w:t>
            </w:r>
          </w:p>
        </w:tc>
        <w:tc>
          <w:tcPr>
            <w:tcW w:w="3055" w:type="dxa"/>
            <w:shd w:val="clear" w:color="auto" w:fill="auto"/>
          </w:tcPr>
          <w:p w14:paraId="4C2268D1" w14:textId="77777777" w:rsidR="00DD002D" w:rsidRPr="004F5FB4" w:rsidRDefault="00DD002D" w:rsidP="003146E9">
            <w:pPr>
              <w:pStyle w:val="TableParagraph"/>
              <w:keepNext/>
              <w:widowControl/>
              <w:kinsoku w:val="0"/>
              <w:overflowPunct w:val="0"/>
              <w:jc w:val="center"/>
              <w:rPr>
                <w:rFonts w:ascii="Times New Roman" w:hAnsi="Times New Roman"/>
                <w:color w:val="000000"/>
              </w:rPr>
            </w:pPr>
            <w:r w:rsidRPr="004F5FB4">
              <w:rPr>
                <w:rFonts w:ascii="Times New Roman" w:hAnsi="Times New Roman"/>
                <w:color w:val="000000"/>
              </w:rPr>
              <w:t>578 (70,9)</w:t>
            </w:r>
            <w:r w:rsidRPr="004F5FB4">
              <w:rPr>
                <w:rFonts w:ascii="Times New Roman" w:hAnsi="Times New Roman"/>
                <w:color w:val="000000"/>
                <w:vertAlign w:val="superscript"/>
              </w:rPr>
              <w:t>b</w:t>
            </w:r>
          </w:p>
        </w:tc>
      </w:tr>
      <w:tr w:rsidR="00DD002D" w:rsidRPr="004F5FB4" w14:paraId="77FF59FD" w14:textId="77777777" w:rsidTr="009756D9">
        <w:tc>
          <w:tcPr>
            <w:tcW w:w="3193" w:type="dxa"/>
            <w:shd w:val="clear" w:color="auto" w:fill="auto"/>
          </w:tcPr>
          <w:p w14:paraId="4CBFCAC2" w14:textId="77777777" w:rsidR="00DD002D" w:rsidRPr="004F5FB4" w:rsidRDefault="00DD002D"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PASI-100</w:t>
            </w:r>
          </w:p>
        </w:tc>
        <w:tc>
          <w:tcPr>
            <w:tcW w:w="3055" w:type="dxa"/>
            <w:shd w:val="clear" w:color="auto" w:fill="auto"/>
          </w:tcPr>
          <w:p w14:paraId="74D241BA"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3 (0,8)</w:t>
            </w:r>
          </w:p>
        </w:tc>
        <w:tc>
          <w:tcPr>
            <w:tcW w:w="3055" w:type="dxa"/>
            <w:shd w:val="clear" w:color="auto" w:fill="auto"/>
          </w:tcPr>
          <w:p w14:paraId="413060D3"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163 (20,0)</w:t>
            </w:r>
            <w:r w:rsidRPr="004F5FB4">
              <w:rPr>
                <w:rFonts w:ascii="Times New Roman" w:hAnsi="Times New Roman"/>
                <w:color w:val="000000"/>
                <w:vertAlign w:val="superscript"/>
              </w:rPr>
              <w:t>b</w:t>
            </w:r>
          </w:p>
        </w:tc>
      </w:tr>
      <w:tr w:rsidR="00DD002D" w:rsidRPr="004F5FB4" w14:paraId="5443E6BA" w14:textId="77777777" w:rsidTr="009756D9">
        <w:tc>
          <w:tcPr>
            <w:tcW w:w="3193" w:type="dxa"/>
            <w:tcBorders>
              <w:bottom w:val="single" w:sz="4" w:space="0" w:color="auto"/>
            </w:tcBorders>
            <w:shd w:val="clear" w:color="auto" w:fill="auto"/>
          </w:tcPr>
          <w:p w14:paraId="1A2C28DD" w14:textId="77777777" w:rsidR="00DD002D" w:rsidRPr="004F5FB4" w:rsidRDefault="00DD002D" w:rsidP="00AA5839">
            <w:pPr>
              <w:pStyle w:val="TableParagraph"/>
              <w:widowControl/>
              <w:kinsoku w:val="0"/>
              <w:overflowPunct w:val="0"/>
              <w:rPr>
                <w:rFonts w:ascii="Times New Roman" w:hAnsi="Times New Roman"/>
                <w:color w:val="000000"/>
              </w:rPr>
            </w:pPr>
            <w:r w:rsidRPr="004F5FB4">
              <w:rPr>
                <w:rFonts w:ascii="Times New Roman" w:hAnsi="Times New Roman"/>
                <w:bCs/>
                <w:color w:val="000000"/>
              </w:rPr>
              <w:t>PGA: erscheinungsfrei/</w:t>
            </w:r>
            <w:r w:rsidR="00D36DE9" w:rsidRPr="004F5FB4">
              <w:rPr>
                <w:rFonts w:ascii="Times New Roman" w:hAnsi="Times New Roman"/>
                <w:bCs/>
                <w:color w:val="000000"/>
              </w:rPr>
              <w:t xml:space="preserve"> </w:t>
            </w:r>
            <w:r w:rsidRPr="004F5FB4">
              <w:rPr>
                <w:rFonts w:ascii="Times New Roman" w:hAnsi="Times New Roman"/>
                <w:bCs/>
                <w:color w:val="000000"/>
              </w:rPr>
              <w:t>minimal</w:t>
            </w:r>
          </w:p>
        </w:tc>
        <w:tc>
          <w:tcPr>
            <w:tcW w:w="3055" w:type="dxa"/>
            <w:tcBorders>
              <w:bottom w:val="single" w:sz="4" w:space="0" w:color="auto"/>
            </w:tcBorders>
            <w:shd w:val="clear" w:color="auto" w:fill="auto"/>
          </w:tcPr>
          <w:p w14:paraId="2B2853C5"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17 (4,3)</w:t>
            </w:r>
          </w:p>
        </w:tc>
        <w:tc>
          <w:tcPr>
            <w:tcW w:w="3055" w:type="dxa"/>
            <w:tcBorders>
              <w:bottom w:val="single" w:sz="4" w:space="0" w:color="auto"/>
            </w:tcBorders>
            <w:shd w:val="clear" w:color="auto" w:fill="auto"/>
          </w:tcPr>
          <w:p w14:paraId="452269DC" w14:textId="77777777" w:rsidR="00DD002D" w:rsidRPr="004F5FB4" w:rsidRDefault="00DD002D" w:rsidP="00AA5839">
            <w:pPr>
              <w:pStyle w:val="TableParagraph"/>
              <w:widowControl/>
              <w:kinsoku w:val="0"/>
              <w:overflowPunct w:val="0"/>
              <w:jc w:val="center"/>
              <w:rPr>
                <w:rFonts w:ascii="Times New Roman" w:hAnsi="Times New Roman"/>
                <w:color w:val="000000"/>
              </w:rPr>
            </w:pPr>
            <w:r w:rsidRPr="004F5FB4">
              <w:rPr>
                <w:rFonts w:ascii="Times New Roman" w:hAnsi="Times New Roman"/>
                <w:color w:val="000000"/>
              </w:rPr>
              <w:t>506 (62,2)</w:t>
            </w:r>
            <w:r w:rsidRPr="004F5FB4">
              <w:rPr>
                <w:rFonts w:ascii="Times New Roman" w:hAnsi="Times New Roman"/>
                <w:color w:val="000000"/>
                <w:vertAlign w:val="superscript"/>
              </w:rPr>
              <w:t>b</w:t>
            </w:r>
          </w:p>
        </w:tc>
      </w:tr>
      <w:tr w:rsidR="009756D9" w:rsidRPr="00C75D0C" w14:paraId="59375A04" w14:textId="77777777" w:rsidTr="009756D9">
        <w:tc>
          <w:tcPr>
            <w:tcW w:w="9303" w:type="dxa"/>
            <w:gridSpan w:val="3"/>
            <w:tcBorders>
              <w:left w:val="nil"/>
              <w:bottom w:val="nil"/>
              <w:right w:val="nil"/>
            </w:tcBorders>
            <w:shd w:val="clear" w:color="auto" w:fill="auto"/>
          </w:tcPr>
          <w:p w14:paraId="4BF74430" w14:textId="77777777" w:rsidR="009756D9" w:rsidRPr="00206AEA" w:rsidRDefault="009756D9" w:rsidP="009756D9">
            <w:pPr>
              <w:pStyle w:val="TableParagraph"/>
              <w:widowControl/>
              <w:kinsoku w:val="0"/>
              <w:overflowPunct w:val="0"/>
              <w:ind w:left="270" w:hanging="270"/>
              <w:rPr>
                <w:rFonts w:ascii="Times New Roman" w:hAnsi="Times New Roman"/>
                <w:color w:val="000000"/>
                <w:sz w:val="20"/>
              </w:rPr>
            </w:pPr>
            <w:r w:rsidRPr="00206AEA">
              <w:rPr>
                <w:rFonts w:ascii="Times New Roman" w:hAnsi="Times New Roman"/>
                <w:color w:val="000000"/>
                <w:sz w:val="20"/>
                <w:vertAlign w:val="superscript"/>
              </w:rPr>
              <w:t>a</w:t>
            </w:r>
            <w:r w:rsidRPr="00206AEA">
              <w:rPr>
                <w:rFonts w:ascii="Times New Roman" w:hAnsi="Times New Roman"/>
                <w:color w:val="000000"/>
                <w:sz w:val="20"/>
              </w:rPr>
              <w:t xml:space="preserve"> </w:t>
            </w:r>
            <w:r w:rsidRPr="00206AEA">
              <w:rPr>
                <w:rFonts w:ascii="Times New Roman" w:hAnsi="Times New Roman"/>
                <w:color w:val="000000"/>
                <w:sz w:val="20"/>
              </w:rPr>
              <w:tab/>
              <w:t>Prozentsatz Patienten mit PASI-75-Ansprechen wurde als prüfzentrumadjustierte Rate berechnet</w:t>
            </w:r>
          </w:p>
          <w:p w14:paraId="67FFBE60" w14:textId="77777777" w:rsidR="009756D9" w:rsidRPr="00EC03BF" w:rsidRDefault="009756D9" w:rsidP="009756D9">
            <w:pPr>
              <w:pStyle w:val="TableParagraph"/>
              <w:widowControl/>
              <w:kinsoku w:val="0"/>
              <w:overflowPunct w:val="0"/>
              <w:ind w:left="270" w:hanging="270"/>
              <w:rPr>
                <w:rFonts w:ascii="Times New Roman" w:hAnsi="Times New Roman"/>
                <w:color w:val="000000"/>
                <w:sz w:val="20"/>
              </w:rPr>
            </w:pPr>
            <w:r w:rsidRPr="00EC03BF">
              <w:rPr>
                <w:rFonts w:ascii="Times New Roman" w:hAnsi="Times New Roman"/>
                <w:color w:val="000000"/>
                <w:sz w:val="20"/>
                <w:vertAlign w:val="superscript"/>
              </w:rPr>
              <w:t xml:space="preserve">b </w:t>
            </w:r>
            <w:r w:rsidRPr="00EC03BF">
              <w:rPr>
                <w:rFonts w:ascii="Times New Roman" w:hAnsi="Times New Roman"/>
                <w:color w:val="000000"/>
                <w:sz w:val="20"/>
                <w:vertAlign w:val="superscript"/>
              </w:rPr>
              <w:tab/>
            </w:r>
            <w:r w:rsidRPr="00EC03BF">
              <w:rPr>
                <w:rFonts w:ascii="Times New Roman" w:hAnsi="Times New Roman"/>
                <w:color w:val="000000"/>
                <w:sz w:val="20"/>
              </w:rPr>
              <w:t xml:space="preserve">p &lt; 0,001; Adalimumab </w:t>
            </w:r>
            <w:r w:rsidRPr="00EC03BF">
              <w:rPr>
                <w:rFonts w:ascii="Times New Roman" w:hAnsi="Times New Roman"/>
                <w:i/>
                <w:color w:val="000000"/>
                <w:sz w:val="20"/>
              </w:rPr>
              <w:t>vs.</w:t>
            </w:r>
            <w:r w:rsidRPr="00EC03BF">
              <w:rPr>
                <w:rFonts w:ascii="Times New Roman" w:hAnsi="Times New Roman"/>
                <w:color w:val="000000"/>
                <w:sz w:val="20"/>
              </w:rPr>
              <w:t xml:space="preserve"> Placebo</w:t>
            </w:r>
          </w:p>
        </w:tc>
      </w:tr>
    </w:tbl>
    <w:p w14:paraId="3B852FEF" w14:textId="77777777" w:rsidR="00DD002D" w:rsidRPr="00EC03BF" w:rsidRDefault="00DD002D" w:rsidP="00DD002D">
      <w:pPr>
        <w:pStyle w:val="BodyText"/>
        <w:widowControl/>
        <w:kinsoku w:val="0"/>
        <w:overflowPunct w:val="0"/>
        <w:ind w:left="0"/>
        <w:rPr>
          <w:b/>
          <w:color w:val="000000"/>
        </w:rPr>
      </w:pPr>
    </w:p>
    <w:p w14:paraId="7F8CAD8D" w14:textId="77777777" w:rsidR="00FA0342" w:rsidRPr="004F5FB4" w:rsidRDefault="00C46587" w:rsidP="00687087">
      <w:pPr>
        <w:keepNext/>
        <w:rPr>
          <w:b/>
          <w:color w:val="000000"/>
        </w:rPr>
      </w:pPr>
      <w:r w:rsidRPr="004F5FB4">
        <w:rPr>
          <w:b/>
          <w:color w:val="000000"/>
        </w:rPr>
        <w:t>Tabelle</w:t>
      </w:r>
      <w:r w:rsidR="00B852E6">
        <w:rPr>
          <w:b/>
          <w:color w:val="000000"/>
        </w:rPr>
        <w:t> 17</w:t>
      </w:r>
    </w:p>
    <w:p w14:paraId="52EAF03C" w14:textId="77777777" w:rsidR="00C46587" w:rsidRPr="004F5FB4" w:rsidRDefault="00C46587" w:rsidP="00687087">
      <w:pPr>
        <w:keepNext/>
        <w:rPr>
          <w:b/>
          <w:color w:val="000000"/>
        </w:rPr>
      </w:pPr>
      <w:r w:rsidRPr="004F5FB4">
        <w:rPr>
          <w:b/>
          <w:color w:val="000000"/>
        </w:rPr>
        <w:t>Psoriasis</w:t>
      </w:r>
      <w:r w:rsidR="00D36DE9" w:rsidRPr="004F5FB4">
        <w:rPr>
          <w:b/>
          <w:color w:val="000000"/>
        </w:rPr>
        <w:t>-S</w:t>
      </w:r>
      <w:r w:rsidRPr="004F5FB4">
        <w:rPr>
          <w:b/>
          <w:color w:val="000000"/>
        </w:rPr>
        <w:t>tudie II (CHAMPION) Wirksamkeitsergebnisse nach 16</w:t>
      </w:r>
      <w:r w:rsidR="00D36DE9" w:rsidRPr="004F5FB4">
        <w:rPr>
          <w:b/>
          <w:color w:val="000000"/>
        </w:rPr>
        <w:t> </w:t>
      </w:r>
      <w:r w:rsidRPr="004F5FB4">
        <w:rPr>
          <w:b/>
          <w:color w:val="000000"/>
        </w:rPr>
        <w:t>Wochen</w:t>
      </w:r>
    </w:p>
    <w:p w14:paraId="1A0F0AEF" w14:textId="77777777" w:rsidR="00DD002D" w:rsidRPr="004F5FB4" w:rsidRDefault="00DD002D" w:rsidP="00DD002D">
      <w:pPr>
        <w:pStyle w:val="BodyText"/>
        <w:keepNext/>
        <w:widowControl/>
        <w:kinsoku w:val="0"/>
        <w:overflowPunct w:val="0"/>
        <w:ind w:left="0"/>
        <w:rPr>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DD002D" w:rsidRPr="004F5FB4" w14:paraId="166F3AC3" w14:textId="77777777" w:rsidTr="009756D9">
        <w:trPr>
          <w:tblHeader/>
        </w:trPr>
        <w:tc>
          <w:tcPr>
            <w:tcW w:w="2128" w:type="dxa"/>
            <w:shd w:val="clear" w:color="auto" w:fill="auto"/>
          </w:tcPr>
          <w:p w14:paraId="4E234432" w14:textId="77777777" w:rsidR="00DD002D" w:rsidRPr="004F5FB4" w:rsidRDefault="00DD002D" w:rsidP="00AA5839">
            <w:pPr>
              <w:keepNext/>
              <w:keepLines/>
              <w:rPr>
                <w:rFonts w:eastAsia="Calibri"/>
                <w:color w:val="000000"/>
              </w:rPr>
            </w:pPr>
          </w:p>
        </w:tc>
        <w:tc>
          <w:tcPr>
            <w:tcW w:w="2391" w:type="dxa"/>
            <w:shd w:val="clear" w:color="auto" w:fill="auto"/>
          </w:tcPr>
          <w:p w14:paraId="39FC160B" w14:textId="77777777" w:rsidR="00DD002D" w:rsidRPr="004F5FB4" w:rsidRDefault="00DD002D" w:rsidP="00AA5839">
            <w:pPr>
              <w:pStyle w:val="TableParagraph"/>
              <w:keepNext/>
              <w:keepLines/>
              <w:widowControl/>
              <w:kinsoku w:val="0"/>
              <w:overflowPunct w:val="0"/>
              <w:ind w:hanging="95"/>
              <w:jc w:val="center"/>
              <w:rPr>
                <w:rFonts w:ascii="Times New Roman" w:hAnsi="Times New Roman"/>
                <w:b/>
                <w:bCs/>
                <w:color w:val="000000"/>
              </w:rPr>
            </w:pPr>
            <w:r w:rsidRPr="004F5FB4">
              <w:rPr>
                <w:rFonts w:ascii="Times New Roman" w:hAnsi="Times New Roman"/>
                <w:b/>
                <w:bCs/>
                <w:color w:val="000000"/>
              </w:rPr>
              <w:t xml:space="preserve">Placebo </w:t>
            </w:r>
          </w:p>
          <w:p w14:paraId="16E682B5" w14:textId="77777777" w:rsidR="00DD002D" w:rsidRPr="004F5FB4" w:rsidRDefault="00DD002D" w:rsidP="00AA5839">
            <w:pPr>
              <w:pStyle w:val="TableParagraph"/>
              <w:keepNext/>
              <w:keepLines/>
              <w:widowControl/>
              <w:kinsoku w:val="0"/>
              <w:overflowPunct w:val="0"/>
              <w:ind w:hanging="95"/>
              <w:jc w:val="center"/>
              <w:rPr>
                <w:rFonts w:ascii="Times New Roman" w:hAnsi="Times New Roman"/>
                <w:b/>
                <w:bCs/>
                <w:color w:val="000000"/>
              </w:rPr>
            </w:pPr>
            <w:r w:rsidRPr="004F5FB4">
              <w:rPr>
                <w:rFonts w:ascii="Times New Roman" w:hAnsi="Times New Roman"/>
                <w:b/>
                <w:bCs/>
                <w:color w:val="000000"/>
              </w:rPr>
              <w:t>n</w:t>
            </w:r>
            <w:r w:rsidR="00F41FC1" w:rsidRPr="004F5FB4">
              <w:rPr>
                <w:rFonts w:ascii="Times New Roman" w:hAnsi="Times New Roman"/>
                <w:b/>
                <w:bCs/>
                <w:color w:val="000000"/>
              </w:rPr>
              <w:t> </w:t>
            </w:r>
            <w:r w:rsidRPr="004F5FB4">
              <w:rPr>
                <w:rFonts w:ascii="Times New Roman" w:hAnsi="Times New Roman"/>
                <w:b/>
                <w:bCs/>
                <w:color w:val="000000"/>
              </w:rPr>
              <w:t>=</w:t>
            </w:r>
            <w:r w:rsidR="00F41FC1" w:rsidRPr="004F5FB4">
              <w:rPr>
                <w:rFonts w:ascii="Times New Roman" w:hAnsi="Times New Roman"/>
                <w:b/>
                <w:bCs/>
                <w:color w:val="000000"/>
              </w:rPr>
              <w:t> </w:t>
            </w:r>
            <w:r w:rsidRPr="004F5FB4">
              <w:rPr>
                <w:rFonts w:ascii="Times New Roman" w:hAnsi="Times New Roman"/>
                <w:b/>
                <w:bCs/>
                <w:color w:val="000000"/>
              </w:rPr>
              <w:t xml:space="preserve">53 </w:t>
            </w:r>
          </w:p>
          <w:p w14:paraId="24312403" w14:textId="77777777" w:rsidR="00DD002D" w:rsidRPr="004F5FB4" w:rsidRDefault="00DD002D" w:rsidP="00AA5839">
            <w:pPr>
              <w:pStyle w:val="TableParagraph"/>
              <w:keepNext/>
              <w:keepLines/>
              <w:widowControl/>
              <w:kinsoku w:val="0"/>
              <w:overflowPunct w:val="0"/>
              <w:ind w:hanging="95"/>
              <w:jc w:val="center"/>
              <w:rPr>
                <w:rFonts w:ascii="Times New Roman" w:hAnsi="Times New Roman"/>
                <w:color w:val="000000"/>
              </w:rPr>
            </w:pPr>
            <w:r w:rsidRPr="004F5FB4">
              <w:rPr>
                <w:rFonts w:ascii="Times New Roman" w:hAnsi="Times New Roman"/>
                <w:b/>
                <w:bCs/>
                <w:color w:val="000000"/>
              </w:rPr>
              <w:t>n (%)</w:t>
            </w:r>
          </w:p>
        </w:tc>
        <w:tc>
          <w:tcPr>
            <w:tcW w:w="2392" w:type="dxa"/>
            <w:shd w:val="clear" w:color="auto" w:fill="auto"/>
          </w:tcPr>
          <w:p w14:paraId="0C3F3ACB" w14:textId="77777777" w:rsidR="00DD002D" w:rsidRPr="004F5FB4" w:rsidRDefault="00DD002D" w:rsidP="00AA5839">
            <w:pPr>
              <w:pStyle w:val="TableParagraph"/>
              <w:keepNext/>
              <w:keepLines/>
              <w:widowControl/>
              <w:kinsoku w:val="0"/>
              <w:overflowPunct w:val="0"/>
              <w:ind w:firstLine="50"/>
              <w:jc w:val="center"/>
              <w:rPr>
                <w:rFonts w:ascii="Times New Roman" w:hAnsi="Times New Roman"/>
                <w:b/>
                <w:bCs/>
                <w:color w:val="000000"/>
              </w:rPr>
            </w:pPr>
            <w:r w:rsidRPr="004F5FB4">
              <w:rPr>
                <w:rFonts w:ascii="Times New Roman" w:hAnsi="Times New Roman"/>
                <w:b/>
                <w:bCs/>
                <w:color w:val="000000"/>
              </w:rPr>
              <w:t xml:space="preserve">Methotrexat (MTX) </w:t>
            </w:r>
          </w:p>
          <w:p w14:paraId="70BF3DF5" w14:textId="77777777" w:rsidR="00DD002D" w:rsidRPr="004F5FB4" w:rsidRDefault="00DD002D" w:rsidP="00AA5839">
            <w:pPr>
              <w:pStyle w:val="TableParagraph"/>
              <w:keepNext/>
              <w:keepLines/>
              <w:widowControl/>
              <w:kinsoku w:val="0"/>
              <w:overflowPunct w:val="0"/>
              <w:ind w:firstLine="50"/>
              <w:jc w:val="center"/>
              <w:rPr>
                <w:rFonts w:ascii="Times New Roman" w:hAnsi="Times New Roman"/>
                <w:b/>
                <w:bCs/>
                <w:color w:val="000000"/>
              </w:rPr>
            </w:pPr>
            <w:r w:rsidRPr="004F5FB4">
              <w:rPr>
                <w:rFonts w:ascii="Times New Roman" w:hAnsi="Times New Roman"/>
                <w:b/>
                <w:bCs/>
                <w:color w:val="000000"/>
              </w:rPr>
              <w:t>n</w:t>
            </w:r>
            <w:r w:rsidR="00F41FC1" w:rsidRPr="004F5FB4">
              <w:rPr>
                <w:rFonts w:ascii="Times New Roman" w:hAnsi="Times New Roman"/>
                <w:b/>
                <w:bCs/>
                <w:color w:val="000000"/>
              </w:rPr>
              <w:t> </w:t>
            </w:r>
            <w:r w:rsidRPr="004F5FB4">
              <w:rPr>
                <w:rFonts w:ascii="Times New Roman" w:hAnsi="Times New Roman"/>
                <w:b/>
                <w:bCs/>
                <w:color w:val="000000"/>
              </w:rPr>
              <w:t>=</w:t>
            </w:r>
            <w:r w:rsidR="00F41FC1" w:rsidRPr="004F5FB4">
              <w:rPr>
                <w:rFonts w:ascii="Times New Roman" w:hAnsi="Times New Roman"/>
                <w:b/>
                <w:bCs/>
                <w:color w:val="000000"/>
              </w:rPr>
              <w:t> </w:t>
            </w:r>
            <w:r w:rsidRPr="004F5FB4">
              <w:rPr>
                <w:rFonts w:ascii="Times New Roman" w:hAnsi="Times New Roman"/>
                <w:b/>
                <w:bCs/>
                <w:color w:val="000000"/>
              </w:rPr>
              <w:t xml:space="preserve">110 </w:t>
            </w:r>
          </w:p>
          <w:p w14:paraId="73B8D364" w14:textId="77777777" w:rsidR="00DD002D" w:rsidRPr="004F5FB4" w:rsidRDefault="00DD002D" w:rsidP="00AA5839">
            <w:pPr>
              <w:pStyle w:val="TableParagraph"/>
              <w:keepNext/>
              <w:keepLines/>
              <w:widowControl/>
              <w:kinsoku w:val="0"/>
              <w:overflowPunct w:val="0"/>
              <w:ind w:firstLine="50"/>
              <w:jc w:val="center"/>
              <w:rPr>
                <w:rFonts w:ascii="Times New Roman" w:hAnsi="Times New Roman"/>
                <w:color w:val="000000"/>
              </w:rPr>
            </w:pPr>
            <w:r w:rsidRPr="004F5FB4">
              <w:rPr>
                <w:rFonts w:ascii="Times New Roman" w:hAnsi="Times New Roman"/>
                <w:b/>
                <w:bCs/>
                <w:color w:val="000000"/>
              </w:rPr>
              <w:t>n (%)</w:t>
            </w:r>
          </w:p>
        </w:tc>
        <w:tc>
          <w:tcPr>
            <w:tcW w:w="2392" w:type="dxa"/>
            <w:shd w:val="clear" w:color="auto" w:fill="auto"/>
          </w:tcPr>
          <w:p w14:paraId="1492990B" w14:textId="77777777" w:rsidR="00DD002D" w:rsidRPr="004F5FB4" w:rsidRDefault="00DD002D" w:rsidP="00AA5839">
            <w:pPr>
              <w:pStyle w:val="TableParagraph"/>
              <w:keepNext/>
              <w:keepLines/>
              <w:widowControl/>
              <w:kinsoku w:val="0"/>
              <w:overflowPunct w:val="0"/>
              <w:jc w:val="center"/>
              <w:rPr>
                <w:rFonts w:ascii="Times New Roman" w:hAnsi="Times New Roman"/>
                <w:b/>
                <w:bCs/>
                <w:color w:val="000000"/>
              </w:rPr>
            </w:pPr>
            <w:r w:rsidRPr="004F5FB4">
              <w:rPr>
                <w:rFonts w:ascii="Times New Roman" w:hAnsi="Times New Roman"/>
                <w:b/>
                <w:color w:val="000000"/>
              </w:rPr>
              <w:t>Adalimumab</w:t>
            </w:r>
            <w:r w:rsidRPr="004F5FB4">
              <w:rPr>
                <w:rFonts w:ascii="Times New Roman" w:hAnsi="Times New Roman"/>
                <w:b/>
                <w:bCs/>
                <w:color w:val="000000"/>
              </w:rPr>
              <w:t xml:space="preserve"> 40</w:t>
            </w:r>
            <w:r w:rsidRPr="004F5FB4">
              <w:rPr>
                <w:rFonts w:ascii="Times New Roman" w:hAnsi="Times New Roman"/>
                <w:b/>
                <w:color w:val="000000"/>
              </w:rPr>
              <w:t> </w:t>
            </w:r>
            <w:r w:rsidRPr="004F5FB4">
              <w:rPr>
                <w:rFonts w:ascii="Times New Roman" w:hAnsi="Times New Roman"/>
                <w:b/>
                <w:bCs/>
                <w:color w:val="000000"/>
              </w:rPr>
              <w:t>mg jede zweite Woche</w:t>
            </w:r>
          </w:p>
          <w:p w14:paraId="5705FC42" w14:textId="77777777" w:rsidR="00DD002D" w:rsidRPr="004F5FB4" w:rsidRDefault="00DD002D" w:rsidP="00AA5839">
            <w:pPr>
              <w:pStyle w:val="TableParagraph"/>
              <w:keepNext/>
              <w:keepLines/>
              <w:widowControl/>
              <w:kinsoku w:val="0"/>
              <w:overflowPunct w:val="0"/>
              <w:jc w:val="center"/>
              <w:rPr>
                <w:rFonts w:ascii="Times New Roman" w:hAnsi="Times New Roman"/>
                <w:color w:val="000000"/>
              </w:rPr>
            </w:pPr>
            <w:r w:rsidRPr="004F5FB4">
              <w:rPr>
                <w:rFonts w:ascii="Times New Roman" w:hAnsi="Times New Roman"/>
                <w:b/>
                <w:bCs/>
                <w:color w:val="000000"/>
              </w:rPr>
              <w:t>n</w:t>
            </w:r>
            <w:r w:rsidR="00F41FC1" w:rsidRPr="004F5FB4">
              <w:rPr>
                <w:rFonts w:ascii="Times New Roman" w:hAnsi="Times New Roman"/>
                <w:b/>
                <w:bCs/>
                <w:color w:val="000000"/>
              </w:rPr>
              <w:t> </w:t>
            </w:r>
            <w:r w:rsidRPr="004F5FB4">
              <w:rPr>
                <w:rFonts w:ascii="Times New Roman" w:hAnsi="Times New Roman"/>
                <w:b/>
                <w:bCs/>
                <w:color w:val="000000"/>
              </w:rPr>
              <w:t>=</w:t>
            </w:r>
            <w:r w:rsidR="00F41FC1" w:rsidRPr="004F5FB4">
              <w:rPr>
                <w:rFonts w:ascii="Times New Roman" w:hAnsi="Times New Roman"/>
                <w:b/>
                <w:bCs/>
                <w:color w:val="000000"/>
              </w:rPr>
              <w:t> </w:t>
            </w:r>
            <w:r w:rsidRPr="004F5FB4">
              <w:rPr>
                <w:rFonts w:ascii="Times New Roman" w:hAnsi="Times New Roman"/>
                <w:b/>
                <w:bCs/>
                <w:color w:val="000000"/>
              </w:rPr>
              <w:t>108</w:t>
            </w:r>
          </w:p>
          <w:p w14:paraId="1BAB51D6" w14:textId="77777777" w:rsidR="00DD002D" w:rsidRPr="004F5FB4" w:rsidRDefault="00DD002D" w:rsidP="00AA5839">
            <w:pPr>
              <w:pStyle w:val="TableParagraph"/>
              <w:keepNext/>
              <w:keepLines/>
              <w:widowControl/>
              <w:kinsoku w:val="0"/>
              <w:overflowPunct w:val="0"/>
              <w:spacing w:line="252" w:lineRule="exact"/>
              <w:jc w:val="center"/>
              <w:rPr>
                <w:rFonts w:ascii="Times New Roman" w:hAnsi="Times New Roman"/>
                <w:color w:val="000000"/>
              </w:rPr>
            </w:pPr>
            <w:r w:rsidRPr="004F5FB4">
              <w:rPr>
                <w:rFonts w:ascii="Times New Roman" w:hAnsi="Times New Roman"/>
                <w:b/>
                <w:bCs/>
                <w:color w:val="000000"/>
              </w:rPr>
              <w:t>n (%)</w:t>
            </w:r>
          </w:p>
        </w:tc>
      </w:tr>
      <w:tr w:rsidR="00DD002D" w:rsidRPr="004F5FB4" w14:paraId="62C85E2E" w14:textId="77777777" w:rsidTr="009756D9">
        <w:tc>
          <w:tcPr>
            <w:tcW w:w="2128" w:type="dxa"/>
            <w:shd w:val="clear" w:color="auto" w:fill="auto"/>
          </w:tcPr>
          <w:p w14:paraId="442E1146" w14:textId="77777777" w:rsidR="00DD002D" w:rsidRPr="004F5FB4" w:rsidRDefault="00DD002D" w:rsidP="00AA5839">
            <w:pPr>
              <w:pStyle w:val="TableParagraph"/>
              <w:keepNext/>
              <w:keepLines/>
              <w:widowControl/>
              <w:kinsoku w:val="0"/>
              <w:overflowPunct w:val="0"/>
              <w:spacing w:line="268" w:lineRule="exact"/>
              <w:rPr>
                <w:rFonts w:ascii="Times New Roman" w:hAnsi="Times New Roman"/>
                <w:color w:val="000000"/>
              </w:rPr>
            </w:pPr>
            <w:r w:rsidRPr="004F5FB4">
              <w:rPr>
                <w:rFonts w:ascii="Times New Roman" w:hAnsi="Times New Roman"/>
                <w:bCs/>
                <w:color w:val="000000"/>
              </w:rPr>
              <w:t>≥</w:t>
            </w:r>
            <w:r w:rsidR="00852D64" w:rsidRPr="004F5FB4">
              <w:rPr>
                <w:rFonts w:ascii="Times New Roman" w:hAnsi="Times New Roman"/>
                <w:bCs/>
                <w:color w:val="000000"/>
              </w:rPr>
              <w:t> </w:t>
            </w:r>
            <w:r w:rsidRPr="004F5FB4">
              <w:rPr>
                <w:rFonts w:ascii="Times New Roman" w:hAnsi="Times New Roman"/>
                <w:bCs/>
                <w:color w:val="000000"/>
              </w:rPr>
              <w:t>PASI-75</w:t>
            </w:r>
          </w:p>
        </w:tc>
        <w:tc>
          <w:tcPr>
            <w:tcW w:w="2391" w:type="dxa"/>
            <w:shd w:val="clear" w:color="auto" w:fill="auto"/>
          </w:tcPr>
          <w:p w14:paraId="36597A61"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10 (18,9)</w:t>
            </w:r>
          </w:p>
        </w:tc>
        <w:tc>
          <w:tcPr>
            <w:tcW w:w="2392" w:type="dxa"/>
            <w:shd w:val="clear" w:color="auto" w:fill="auto"/>
          </w:tcPr>
          <w:p w14:paraId="21B8ADD0"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39 (35,5)</w:t>
            </w:r>
          </w:p>
        </w:tc>
        <w:tc>
          <w:tcPr>
            <w:tcW w:w="2392" w:type="dxa"/>
            <w:shd w:val="clear" w:color="auto" w:fill="auto"/>
          </w:tcPr>
          <w:p w14:paraId="44F0BE7B"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86 (79,6)</w:t>
            </w:r>
            <w:r w:rsidRPr="004F5FB4">
              <w:rPr>
                <w:rFonts w:ascii="Times New Roman" w:hAnsi="Times New Roman"/>
                <w:color w:val="000000"/>
                <w:vertAlign w:val="superscript"/>
              </w:rPr>
              <w:t>a,b</w:t>
            </w:r>
          </w:p>
        </w:tc>
      </w:tr>
      <w:tr w:rsidR="00DD002D" w:rsidRPr="004F5FB4" w14:paraId="6B07C595" w14:textId="77777777" w:rsidTr="009756D9">
        <w:tc>
          <w:tcPr>
            <w:tcW w:w="2128" w:type="dxa"/>
            <w:shd w:val="clear" w:color="auto" w:fill="auto"/>
          </w:tcPr>
          <w:p w14:paraId="3BD20153" w14:textId="77777777" w:rsidR="00DD002D" w:rsidRPr="004F5FB4" w:rsidRDefault="00DD002D" w:rsidP="00AA5839">
            <w:pPr>
              <w:pStyle w:val="TableParagraph"/>
              <w:keepNext/>
              <w:keepLines/>
              <w:widowControl/>
              <w:kinsoku w:val="0"/>
              <w:overflowPunct w:val="0"/>
              <w:spacing w:line="252" w:lineRule="exact"/>
              <w:rPr>
                <w:rFonts w:ascii="Times New Roman" w:hAnsi="Times New Roman"/>
                <w:color w:val="000000"/>
              </w:rPr>
            </w:pPr>
            <w:r w:rsidRPr="004F5FB4">
              <w:rPr>
                <w:rFonts w:ascii="Times New Roman" w:hAnsi="Times New Roman"/>
                <w:bCs/>
                <w:color w:val="000000"/>
              </w:rPr>
              <w:t>PASI-100</w:t>
            </w:r>
          </w:p>
        </w:tc>
        <w:tc>
          <w:tcPr>
            <w:tcW w:w="2391" w:type="dxa"/>
            <w:shd w:val="clear" w:color="auto" w:fill="auto"/>
          </w:tcPr>
          <w:p w14:paraId="0289953D"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1 (1,9)</w:t>
            </w:r>
          </w:p>
        </w:tc>
        <w:tc>
          <w:tcPr>
            <w:tcW w:w="2392" w:type="dxa"/>
            <w:shd w:val="clear" w:color="auto" w:fill="auto"/>
          </w:tcPr>
          <w:p w14:paraId="732EEE98" w14:textId="77777777" w:rsidR="00DD002D" w:rsidRPr="004F5FB4"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F5FB4">
              <w:rPr>
                <w:rFonts w:ascii="Times New Roman" w:hAnsi="Times New Roman"/>
                <w:color w:val="000000"/>
              </w:rPr>
              <w:t>8 (7,3)</w:t>
            </w:r>
          </w:p>
        </w:tc>
        <w:tc>
          <w:tcPr>
            <w:tcW w:w="2392" w:type="dxa"/>
            <w:shd w:val="clear" w:color="auto" w:fill="auto"/>
          </w:tcPr>
          <w:p w14:paraId="6A842837"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18 (16,7)</w:t>
            </w:r>
            <w:r w:rsidRPr="004F5FB4">
              <w:rPr>
                <w:rFonts w:ascii="Times New Roman" w:hAnsi="Times New Roman"/>
                <w:color w:val="000000"/>
                <w:vertAlign w:val="superscript"/>
              </w:rPr>
              <w:t>c,d</w:t>
            </w:r>
          </w:p>
        </w:tc>
      </w:tr>
      <w:tr w:rsidR="00DD002D" w:rsidRPr="004F5FB4" w14:paraId="0F773B7D" w14:textId="77777777" w:rsidTr="009756D9">
        <w:tc>
          <w:tcPr>
            <w:tcW w:w="2128" w:type="dxa"/>
            <w:tcBorders>
              <w:bottom w:val="single" w:sz="4" w:space="0" w:color="auto"/>
            </w:tcBorders>
            <w:shd w:val="clear" w:color="auto" w:fill="auto"/>
          </w:tcPr>
          <w:p w14:paraId="2433CBC8" w14:textId="77777777" w:rsidR="00DD002D" w:rsidRPr="004F5FB4" w:rsidRDefault="00DD002D" w:rsidP="00AA5839">
            <w:pPr>
              <w:pStyle w:val="TableParagraph"/>
              <w:keepNext/>
              <w:keepLines/>
              <w:widowControl/>
              <w:kinsoku w:val="0"/>
              <w:overflowPunct w:val="0"/>
              <w:rPr>
                <w:rFonts w:ascii="Times New Roman" w:hAnsi="Times New Roman"/>
                <w:color w:val="000000"/>
              </w:rPr>
            </w:pPr>
            <w:r w:rsidRPr="004F5FB4">
              <w:rPr>
                <w:rFonts w:ascii="Times New Roman" w:hAnsi="Times New Roman"/>
                <w:bCs/>
                <w:color w:val="000000"/>
              </w:rPr>
              <w:t>PGA:</w:t>
            </w:r>
            <w:r w:rsidR="00F41FC1" w:rsidRPr="004F5FB4">
              <w:rPr>
                <w:rFonts w:ascii="Times New Roman" w:hAnsi="Times New Roman"/>
                <w:bCs/>
                <w:color w:val="000000"/>
              </w:rPr>
              <w:t xml:space="preserve"> </w:t>
            </w:r>
            <w:r w:rsidRPr="004F5FB4">
              <w:rPr>
                <w:rFonts w:ascii="Times New Roman" w:hAnsi="Times New Roman"/>
                <w:bCs/>
                <w:color w:val="000000"/>
              </w:rPr>
              <w:t>erscheinungsfrei/</w:t>
            </w:r>
            <w:r w:rsidR="00D36DE9" w:rsidRPr="004F5FB4">
              <w:rPr>
                <w:rFonts w:ascii="Times New Roman" w:hAnsi="Times New Roman"/>
                <w:bCs/>
                <w:color w:val="000000"/>
              </w:rPr>
              <w:t xml:space="preserve"> </w:t>
            </w:r>
            <w:r w:rsidRPr="004F5FB4">
              <w:rPr>
                <w:rFonts w:ascii="Times New Roman" w:hAnsi="Times New Roman"/>
                <w:bCs/>
                <w:color w:val="000000"/>
              </w:rPr>
              <w:t>minimal</w:t>
            </w:r>
          </w:p>
        </w:tc>
        <w:tc>
          <w:tcPr>
            <w:tcW w:w="2391" w:type="dxa"/>
            <w:tcBorders>
              <w:bottom w:val="single" w:sz="4" w:space="0" w:color="auto"/>
            </w:tcBorders>
            <w:shd w:val="clear" w:color="auto" w:fill="auto"/>
          </w:tcPr>
          <w:p w14:paraId="721D8BCC"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6 (11,3)</w:t>
            </w:r>
          </w:p>
        </w:tc>
        <w:tc>
          <w:tcPr>
            <w:tcW w:w="2392" w:type="dxa"/>
            <w:tcBorders>
              <w:bottom w:val="single" w:sz="4" w:space="0" w:color="auto"/>
            </w:tcBorders>
            <w:shd w:val="clear" w:color="auto" w:fill="auto"/>
          </w:tcPr>
          <w:p w14:paraId="728910A2"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33 (30,0)</w:t>
            </w:r>
          </w:p>
        </w:tc>
        <w:tc>
          <w:tcPr>
            <w:tcW w:w="2392" w:type="dxa"/>
            <w:tcBorders>
              <w:bottom w:val="single" w:sz="4" w:space="0" w:color="auto"/>
            </w:tcBorders>
            <w:shd w:val="clear" w:color="auto" w:fill="auto"/>
          </w:tcPr>
          <w:p w14:paraId="0F501D0D" w14:textId="77777777" w:rsidR="00DD002D" w:rsidRPr="004F5FB4"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F5FB4">
              <w:rPr>
                <w:rFonts w:ascii="Times New Roman" w:hAnsi="Times New Roman"/>
                <w:color w:val="000000"/>
              </w:rPr>
              <w:t>79 (73,1)</w:t>
            </w:r>
            <w:r w:rsidRPr="004F5FB4">
              <w:rPr>
                <w:rFonts w:ascii="Times New Roman" w:hAnsi="Times New Roman"/>
                <w:color w:val="000000"/>
                <w:vertAlign w:val="superscript"/>
              </w:rPr>
              <w:t>a,b</w:t>
            </w:r>
          </w:p>
        </w:tc>
      </w:tr>
      <w:tr w:rsidR="009756D9" w:rsidRPr="005B2296" w14:paraId="0CCF61C5" w14:textId="77777777" w:rsidTr="009756D9">
        <w:tc>
          <w:tcPr>
            <w:tcW w:w="9303" w:type="dxa"/>
            <w:gridSpan w:val="4"/>
            <w:tcBorders>
              <w:left w:val="nil"/>
              <w:bottom w:val="nil"/>
              <w:right w:val="nil"/>
            </w:tcBorders>
            <w:shd w:val="clear" w:color="auto" w:fill="auto"/>
          </w:tcPr>
          <w:p w14:paraId="6C31F3FD" w14:textId="77777777" w:rsidR="009756D9" w:rsidRPr="00CB30D8" w:rsidRDefault="009756D9" w:rsidP="009756D9">
            <w:pPr>
              <w:pStyle w:val="BodyText"/>
              <w:keepNext/>
              <w:keepLines/>
              <w:widowControl/>
              <w:kinsoku w:val="0"/>
              <w:overflowPunct w:val="0"/>
              <w:ind w:left="270" w:hanging="270"/>
              <w:rPr>
                <w:color w:val="000000"/>
                <w:sz w:val="20"/>
              </w:rPr>
            </w:pPr>
            <w:r w:rsidRPr="00CB30D8">
              <w:rPr>
                <w:color w:val="000000"/>
                <w:sz w:val="20"/>
                <w:vertAlign w:val="superscript"/>
              </w:rPr>
              <w:t>a</w:t>
            </w:r>
            <w:r w:rsidRPr="00CB30D8">
              <w:rPr>
                <w:color w:val="000000"/>
                <w:sz w:val="20"/>
              </w:rPr>
              <w:t xml:space="preserve"> </w:t>
            </w:r>
            <w:r w:rsidRPr="00CB30D8">
              <w:rPr>
                <w:color w:val="000000"/>
                <w:sz w:val="20"/>
              </w:rPr>
              <w:tab/>
              <w:t xml:space="preserve">p &lt; 0,001 Adalimumab </w:t>
            </w:r>
            <w:r w:rsidRPr="00CB30D8">
              <w:rPr>
                <w:i/>
                <w:color w:val="000000"/>
                <w:sz w:val="20"/>
              </w:rPr>
              <w:t>vs.</w:t>
            </w:r>
            <w:r w:rsidRPr="00CB30D8">
              <w:rPr>
                <w:color w:val="000000"/>
                <w:sz w:val="20"/>
              </w:rPr>
              <w:t xml:space="preserve"> Placebo</w:t>
            </w:r>
          </w:p>
          <w:p w14:paraId="536A18FC" w14:textId="77777777" w:rsidR="009756D9" w:rsidRPr="00CB30D8" w:rsidRDefault="009756D9" w:rsidP="009756D9">
            <w:pPr>
              <w:pStyle w:val="BodyText"/>
              <w:keepNext/>
              <w:keepLines/>
              <w:widowControl/>
              <w:kinsoku w:val="0"/>
              <w:overflowPunct w:val="0"/>
              <w:ind w:left="270" w:hanging="270"/>
              <w:rPr>
                <w:color w:val="000000"/>
                <w:sz w:val="20"/>
              </w:rPr>
            </w:pPr>
            <w:r w:rsidRPr="00CB30D8">
              <w:rPr>
                <w:color w:val="000000"/>
                <w:sz w:val="20"/>
                <w:vertAlign w:val="superscript"/>
              </w:rPr>
              <w:t>b</w:t>
            </w:r>
            <w:r w:rsidRPr="00CB30D8">
              <w:rPr>
                <w:color w:val="000000"/>
                <w:sz w:val="20"/>
              </w:rPr>
              <w:t xml:space="preserve"> </w:t>
            </w:r>
            <w:r w:rsidRPr="00CB30D8">
              <w:rPr>
                <w:color w:val="000000"/>
                <w:sz w:val="20"/>
              </w:rPr>
              <w:tab/>
              <w:t xml:space="preserve">p &lt; 0,001 Adalimumab </w:t>
            </w:r>
            <w:r w:rsidRPr="00CB30D8">
              <w:rPr>
                <w:i/>
                <w:color w:val="000000"/>
                <w:sz w:val="20"/>
              </w:rPr>
              <w:t>vs.</w:t>
            </w:r>
            <w:r w:rsidRPr="00CB30D8">
              <w:rPr>
                <w:color w:val="000000"/>
                <w:sz w:val="20"/>
              </w:rPr>
              <w:t xml:space="preserve"> Methotrexat</w:t>
            </w:r>
          </w:p>
          <w:p w14:paraId="284D60ED" w14:textId="77777777" w:rsidR="009756D9" w:rsidRPr="00EC03BF" w:rsidRDefault="009756D9" w:rsidP="009756D9">
            <w:pPr>
              <w:pStyle w:val="BodyText"/>
              <w:keepNext/>
              <w:keepLines/>
              <w:widowControl/>
              <w:kinsoku w:val="0"/>
              <w:overflowPunct w:val="0"/>
              <w:ind w:left="270" w:hanging="270"/>
              <w:rPr>
                <w:color w:val="000000"/>
                <w:sz w:val="20"/>
              </w:rPr>
            </w:pPr>
            <w:r w:rsidRPr="00EC03BF">
              <w:rPr>
                <w:color w:val="000000"/>
                <w:sz w:val="20"/>
                <w:vertAlign w:val="superscript"/>
              </w:rPr>
              <w:t>c</w:t>
            </w:r>
            <w:r w:rsidRPr="00EC03BF">
              <w:rPr>
                <w:color w:val="000000"/>
                <w:sz w:val="20"/>
              </w:rPr>
              <w:t xml:space="preserve"> </w:t>
            </w:r>
            <w:r w:rsidRPr="00EC03BF">
              <w:rPr>
                <w:color w:val="000000"/>
                <w:sz w:val="20"/>
              </w:rPr>
              <w:tab/>
              <w:t xml:space="preserve">p &lt; 0,01 Adalimumab </w:t>
            </w:r>
            <w:r w:rsidRPr="00EC03BF">
              <w:rPr>
                <w:i/>
                <w:color w:val="000000"/>
                <w:sz w:val="20"/>
              </w:rPr>
              <w:t>vs.</w:t>
            </w:r>
            <w:r w:rsidRPr="00EC03BF">
              <w:rPr>
                <w:color w:val="000000"/>
                <w:sz w:val="20"/>
              </w:rPr>
              <w:t xml:space="preserve"> Placebo</w:t>
            </w:r>
          </w:p>
          <w:p w14:paraId="3B8C34B9" w14:textId="77777777" w:rsidR="009756D9" w:rsidRPr="00EC03BF" w:rsidRDefault="009756D9" w:rsidP="009756D9">
            <w:pPr>
              <w:pStyle w:val="BodyText"/>
              <w:widowControl/>
              <w:kinsoku w:val="0"/>
              <w:overflowPunct w:val="0"/>
              <w:ind w:left="270" w:hanging="270"/>
              <w:rPr>
                <w:color w:val="000000"/>
                <w:sz w:val="20"/>
              </w:rPr>
            </w:pPr>
            <w:r w:rsidRPr="00EC03BF">
              <w:rPr>
                <w:color w:val="000000"/>
                <w:sz w:val="20"/>
                <w:vertAlign w:val="superscript"/>
              </w:rPr>
              <w:t>d</w:t>
            </w:r>
            <w:r w:rsidRPr="00EC03BF">
              <w:rPr>
                <w:color w:val="000000"/>
                <w:sz w:val="20"/>
              </w:rPr>
              <w:t xml:space="preserve"> </w:t>
            </w:r>
            <w:r w:rsidRPr="00EC03BF">
              <w:rPr>
                <w:color w:val="000000"/>
                <w:sz w:val="20"/>
              </w:rPr>
              <w:tab/>
              <w:t xml:space="preserve">p &lt; 0,05 Adalimumab </w:t>
            </w:r>
            <w:r w:rsidRPr="00EC03BF">
              <w:rPr>
                <w:i/>
                <w:color w:val="000000"/>
                <w:sz w:val="20"/>
              </w:rPr>
              <w:t>vs.</w:t>
            </w:r>
            <w:r w:rsidRPr="00EC03BF">
              <w:rPr>
                <w:color w:val="000000"/>
                <w:sz w:val="20"/>
              </w:rPr>
              <w:t xml:space="preserve"> Methotrexat</w:t>
            </w:r>
          </w:p>
        </w:tc>
      </w:tr>
    </w:tbl>
    <w:p w14:paraId="0AE67DC3" w14:textId="77777777" w:rsidR="00005E6C" w:rsidRPr="00EC03BF" w:rsidRDefault="00005E6C" w:rsidP="00982118">
      <w:pPr>
        <w:rPr>
          <w:color w:val="000000"/>
        </w:rPr>
      </w:pPr>
    </w:p>
    <w:p w14:paraId="47736859" w14:textId="77777777" w:rsidR="00C46587" w:rsidRPr="004F5FB4" w:rsidRDefault="00C46587" w:rsidP="00982118">
      <w:pPr>
        <w:rPr>
          <w:color w:val="000000"/>
        </w:rPr>
      </w:pPr>
      <w:r w:rsidRPr="004F5FB4">
        <w:rPr>
          <w:color w:val="000000"/>
        </w:rPr>
        <w:t>In der Psoriasis</w:t>
      </w:r>
      <w:r w:rsidR="00D36DE9" w:rsidRPr="004F5FB4">
        <w:rPr>
          <w:color w:val="000000"/>
        </w:rPr>
        <w:t>-S</w:t>
      </w:r>
      <w:r w:rsidRPr="004F5FB4">
        <w:rPr>
          <w:color w:val="000000"/>
        </w:rPr>
        <w:t>tudie</w:t>
      </w:r>
      <w:r w:rsidR="00D36DE9" w:rsidRPr="004F5FB4">
        <w:rPr>
          <w:color w:val="000000"/>
        </w:rPr>
        <w:t> </w:t>
      </w:r>
      <w:r w:rsidRPr="004F5FB4">
        <w:rPr>
          <w:color w:val="000000"/>
        </w:rPr>
        <w:t>I erfuhren 28 % der Patienten, die ein PASI-75-Ansprechen gezeigt hatten und in Woche</w:t>
      </w:r>
      <w:r w:rsidR="00D36DE9" w:rsidRPr="004F5FB4">
        <w:rPr>
          <w:color w:val="000000"/>
        </w:rPr>
        <w:t> </w:t>
      </w:r>
      <w:r w:rsidRPr="004F5FB4">
        <w:rPr>
          <w:color w:val="000000"/>
        </w:rPr>
        <w:t>33 bei der erneuten Randomisierung der Placebogruppe zugeteilt worden waren, einen „Verlust des adäquaten Ansprechens</w:t>
      </w:r>
      <w:r w:rsidR="003612F5" w:rsidRPr="004F5FB4">
        <w:rPr>
          <w:color w:val="000000"/>
        </w:rPr>
        <w:t>“</w:t>
      </w:r>
      <w:r w:rsidRPr="004F5FB4">
        <w:rPr>
          <w:color w:val="000000"/>
        </w:rPr>
        <w:t xml:space="preserve"> (PASI-Wert nach Woche</w:t>
      </w:r>
      <w:r w:rsidR="00D36DE9" w:rsidRPr="004F5FB4">
        <w:rPr>
          <w:color w:val="000000"/>
        </w:rPr>
        <w:t> </w:t>
      </w:r>
      <w:r w:rsidRPr="004F5FB4">
        <w:rPr>
          <w:color w:val="000000"/>
        </w:rPr>
        <w:t>33 bzw. in oder vor Woche</w:t>
      </w:r>
      <w:r w:rsidR="00D36DE9" w:rsidRPr="004F5FB4">
        <w:rPr>
          <w:color w:val="000000"/>
        </w:rPr>
        <w:t> </w:t>
      </w:r>
      <w:r w:rsidRPr="004F5FB4">
        <w:rPr>
          <w:color w:val="000000"/>
        </w:rPr>
        <w:t>52, der im Vergleich zum Studienbeginn zu einem geringeren Ansprechen als PASI-50 führte bei einer gleichzeitigen Zunahme des PASI-Wertes um mindestens 6</w:t>
      </w:r>
      <w:r w:rsidR="00D36DE9" w:rsidRPr="004F5FB4">
        <w:rPr>
          <w:color w:val="000000"/>
        </w:rPr>
        <w:t> </w:t>
      </w:r>
      <w:r w:rsidRPr="004F5FB4">
        <w:rPr>
          <w:color w:val="000000"/>
        </w:rPr>
        <w:t>Punkte im Vergleich zu Woche</w:t>
      </w:r>
      <w:r w:rsidR="00D36DE9" w:rsidRPr="004F5FB4">
        <w:rPr>
          <w:color w:val="000000"/>
        </w:rPr>
        <w:t> </w:t>
      </w:r>
      <w:r w:rsidRPr="004F5FB4">
        <w:rPr>
          <w:color w:val="000000"/>
        </w:rPr>
        <w:t>33). Im Vergleich dazu erfuhren 5</w:t>
      </w:r>
      <w:r w:rsidR="00D36DE9" w:rsidRPr="004F5FB4">
        <w:rPr>
          <w:color w:val="000000"/>
        </w:rPr>
        <w:t> </w:t>
      </w:r>
      <w:r w:rsidRPr="004F5FB4">
        <w:rPr>
          <w:color w:val="000000"/>
        </w:rPr>
        <w:t>% der Patienten, die weiterhin Adalimumab erhielten (p</w:t>
      </w:r>
      <w:r w:rsidR="00852D64" w:rsidRPr="004F5FB4">
        <w:rPr>
          <w:color w:val="000000"/>
        </w:rPr>
        <w:t> </w:t>
      </w:r>
      <w:r w:rsidRPr="004F5FB4">
        <w:rPr>
          <w:color w:val="000000"/>
        </w:rPr>
        <w:t>&lt;</w:t>
      </w:r>
      <w:r w:rsidR="00852D64" w:rsidRPr="004F5FB4">
        <w:rPr>
          <w:color w:val="000000"/>
        </w:rPr>
        <w:t> </w:t>
      </w:r>
      <w:r w:rsidRPr="004F5FB4">
        <w:rPr>
          <w:color w:val="000000"/>
        </w:rPr>
        <w:t>0,001), einen „Verlust des adäquaten Ansprechens</w:t>
      </w:r>
      <w:r w:rsidR="003612F5" w:rsidRPr="004F5FB4">
        <w:rPr>
          <w:color w:val="000000"/>
        </w:rPr>
        <w:t>“</w:t>
      </w:r>
      <w:r w:rsidRPr="004F5FB4">
        <w:rPr>
          <w:color w:val="000000"/>
        </w:rPr>
        <w:t xml:space="preserve">. Von den Patienten, welche nach der erneuten Randomisierung auf Placebo einen Verlust des adäquaten Ansprechens zeigten und anschließend in die offene </w:t>
      </w:r>
      <w:r w:rsidR="00A3787B" w:rsidRPr="004F5FB4">
        <w:rPr>
          <w:color w:val="000000"/>
        </w:rPr>
        <w:t>Fortsetz</w:t>
      </w:r>
      <w:r w:rsidRPr="004F5FB4">
        <w:rPr>
          <w:color w:val="000000"/>
        </w:rPr>
        <w:t>ungsstudie eingeschlossen wurden, erzielten 38</w:t>
      </w:r>
      <w:r w:rsidR="00D36DE9" w:rsidRPr="004F5FB4">
        <w:rPr>
          <w:color w:val="000000"/>
        </w:rPr>
        <w:t> </w:t>
      </w:r>
      <w:r w:rsidRPr="004F5FB4">
        <w:rPr>
          <w:color w:val="000000"/>
        </w:rPr>
        <w:t>% (25/66) bzw. 55</w:t>
      </w:r>
      <w:r w:rsidR="00D36DE9" w:rsidRPr="004F5FB4">
        <w:rPr>
          <w:color w:val="000000"/>
        </w:rPr>
        <w:t> </w:t>
      </w:r>
      <w:r w:rsidRPr="004F5FB4">
        <w:rPr>
          <w:color w:val="000000"/>
        </w:rPr>
        <w:t>% (36/66) nach 12 bzw. 24</w:t>
      </w:r>
      <w:r w:rsidR="00497E38" w:rsidRPr="004F5FB4">
        <w:rPr>
          <w:color w:val="000000"/>
        </w:rPr>
        <w:t> </w:t>
      </w:r>
      <w:r w:rsidRPr="004F5FB4">
        <w:rPr>
          <w:color w:val="000000"/>
        </w:rPr>
        <w:t>Wochen aktiver Therapie wieder ein PASI-75-Ansprechen.</w:t>
      </w:r>
    </w:p>
    <w:p w14:paraId="3176F540" w14:textId="77777777" w:rsidR="00C46587" w:rsidRPr="004F5FB4" w:rsidRDefault="00C46587" w:rsidP="00982118">
      <w:pPr>
        <w:rPr>
          <w:color w:val="000000"/>
        </w:rPr>
      </w:pPr>
    </w:p>
    <w:p w14:paraId="3BAB66B3" w14:textId="77777777" w:rsidR="00C46587" w:rsidRPr="004F5FB4" w:rsidRDefault="00C46587" w:rsidP="00982118">
      <w:pPr>
        <w:rPr>
          <w:color w:val="000000"/>
        </w:rPr>
      </w:pPr>
      <w:r w:rsidRPr="004F5FB4">
        <w:rPr>
          <w:color w:val="000000"/>
        </w:rPr>
        <w:t>Insgesamt 233 Patienten, die ein PASI-75-Ansprechen in Woche</w:t>
      </w:r>
      <w:r w:rsidR="00D36DE9" w:rsidRPr="004F5FB4">
        <w:rPr>
          <w:color w:val="000000"/>
        </w:rPr>
        <w:t> </w:t>
      </w:r>
      <w:r w:rsidRPr="004F5FB4">
        <w:rPr>
          <w:color w:val="000000"/>
        </w:rPr>
        <w:t>16 und Woche</w:t>
      </w:r>
      <w:r w:rsidR="00D36DE9" w:rsidRPr="004F5FB4">
        <w:rPr>
          <w:color w:val="000000"/>
        </w:rPr>
        <w:t> </w:t>
      </w:r>
      <w:r w:rsidRPr="004F5FB4">
        <w:rPr>
          <w:color w:val="000000"/>
        </w:rPr>
        <w:t>33 gezeigt hatten, erhielten in der Psoriasis</w:t>
      </w:r>
      <w:r w:rsidR="00D36DE9" w:rsidRPr="004F5FB4">
        <w:rPr>
          <w:color w:val="000000"/>
        </w:rPr>
        <w:t>-S</w:t>
      </w:r>
      <w:r w:rsidRPr="004F5FB4">
        <w:rPr>
          <w:color w:val="000000"/>
        </w:rPr>
        <w:t>tudie</w:t>
      </w:r>
      <w:r w:rsidR="00D36DE9" w:rsidRPr="004F5FB4">
        <w:rPr>
          <w:color w:val="000000"/>
        </w:rPr>
        <w:t> </w:t>
      </w:r>
      <w:r w:rsidRPr="004F5FB4">
        <w:rPr>
          <w:color w:val="000000"/>
        </w:rPr>
        <w:t>I für 52</w:t>
      </w:r>
      <w:r w:rsidR="00D36DE9" w:rsidRPr="004F5FB4">
        <w:rPr>
          <w:color w:val="000000"/>
        </w:rPr>
        <w:t> </w:t>
      </w:r>
      <w:r w:rsidRPr="004F5FB4">
        <w:rPr>
          <w:color w:val="000000"/>
        </w:rPr>
        <w:t xml:space="preserve">Wochen eine Adalimumab-Dauertherapie und wurden mit Adalimumab in der offenen </w:t>
      </w:r>
      <w:r w:rsidR="00A3787B" w:rsidRPr="004F5FB4">
        <w:rPr>
          <w:color w:val="000000"/>
        </w:rPr>
        <w:t>Fortsetz</w:t>
      </w:r>
      <w:r w:rsidRPr="004F5FB4">
        <w:rPr>
          <w:color w:val="000000"/>
        </w:rPr>
        <w:t>ungsstudie weiterbehandelt. Das PASI-75-Ansprechen bzw. das PGA-Ansprechen, definiert als PGA „erscheinungsfrei“ oder „minimal“, war bei diesen Patienten nach weiteren 108 offenen Behandlungswochen (insgesamt 160</w:t>
      </w:r>
      <w:r w:rsidR="00D36DE9" w:rsidRPr="004F5FB4">
        <w:rPr>
          <w:color w:val="000000"/>
        </w:rPr>
        <w:t> </w:t>
      </w:r>
      <w:r w:rsidRPr="004F5FB4">
        <w:rPr>
          <w:color w:val="000000"/>
        </w:rPr>
        <w:t>Wochen) 74,7</w:t>
      </w:r>
      <w:r w:rsidR="00D36DE9" w:rsidRPr="004F5FB4">
        <w:rPr>
          <w:color w:val="000000"/>
        </w:rPr>
        <w:t> </w:t>
      </w:r>
      <w:r w:rsidRPr="004F5FB4">
        <w:rPr>
          <w:color w:val="000000"/>
        </w:rPr>
        <w:t>% bzw. 59,0</w:t>
      </w:r>
      <w:r w:rsidR="00D36DE9" w:rsidRPr="004F5FB4">
        <w:rPr>
          <w:color w:val="000000"/>
        </w:rPr>
        <w:t> </w:t>
      </w:r>
      <w:r w:rsidRPr="004F5FB4">
        <w:rPr>
          <w:color w:val="000000"/>
        </w:rPr>
        <w:t>%. In einer Non-Responder-Imputation(NRI)-Analyse, in der alle Patienten als Non-Responder 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w:t>
      </w:r>
      <w:r w:rsidR="00D36DE9" w:rsidRPr="004F5FB4">
        <w:rPr>
          <w:color w:val="000000"/>
        </w:rPr>
        <w:t> </w:t>
      </w:r>
      <w:r w:rsidRPr="004F5FB4">
        <w:rPr>
          <w:color w:val="000000"/>
        </w:rPr>
        <w:t xml:space="preserve">Wochen der offenen </w:t>
      </w:r>
      <w:r w:rsidR="00AB27C7" w:rsidRPr="004F5FB4">
        <w:rPr>
          <w:color w:val="000000"/>
        </w:rPr>
        <w:t>Fortsetzungsb</w:t>
      </w:r>
      <w:r w:rsidRPr="004F5FB4">
        <w:rPr>
          <w:color w:val="000000"/>
        </w:rPr>
        <w:t>ehandlung (insgesamt 160</w:t>
      </w:r>
      <w:r w:rsidR="00D36DE9" w:rsidRPr="004F5FB4">
        <w:rPr>
          <w:color w:val="000000"/>
        </w:rPr>
        <w:t> </w:t>
      </w:r>
      <w:r w:rsidRPr="004F5FB4">
        <w:rPr>
          <w:color w:val="000000"/>
        </w:rPr>
        <w:t>Wochen) 69,6</w:t>
      </w:r>
      <w:r w:rsidR="00D36DE9" w:rsidRPr="004F5FB4">
        <w:rPr>
          <w:color w:val="000000"/>
        </w:rPr>
        <w:t> </w:t>
      </w:r>
      <w:r w:rsidRPr="004F5FB4">
        <w:rPr>
          <w:color w:val="000000"/>
        </w:rPr>
        <w:t>% bzw. 55,7</w:t>
      </w:r>
      <w:r w:rsidR="00D36DE9" w:rsidRPr="004F5FB4">
        <w:rPr>
          <w:color w:val="000000"/>
        </w:rPr>
        <w:t> </w:t>
      </w:r>
      <w:r w:rsidRPr="004F5FB4">
        <w:rPr>
          <w:color w:val="000000"/>
        </w:rPr>
        <w:t xml:space="preserve">%. </w:t>
      </w:r>
    </w:p>
    <w:p w14:paraId="398FC1B0" w14:textId="77777777" w:rsidR="00C46587" w:rsidRPr="004F5FB4" w:rsidRDefault="00C46587" w:rsidP="00982118">
      <w:pPr>
        <w:rPr>
          <w:color w:val="000000"/>
        </w:rPr>
      </w:pPr>
    </w:p>
    <w:p w14:paraId="5B063C8D" w14:textId="77777777" w:rsidR="00C46587" w:rsidRPr="004F5FB4" w:rsidRDefault="00C46587" w:rsidP="00982118">
      <w:pPr>
        <w:rPr>
          <w:color w:val="000000"/>
        </w:rPr>
      </w:pPr>
      <w:r w:rsidRPr="004F5FB4">
        <w:rPr>
          <w:color w:val="000000"/>
        </w:rPr>
        <w:lastRenderedPageBreak/>
        <w:t>Insgesamt 347</w:t>
      </w:r>
      <w:r w:rsidR="00D36DE9" w:rsidRPr="004F5FB4">
        <w:rPr>
          <w:color w:val="000000"/>
        </w:rPr>
        <w:t> </w:t>
      </w:r>
      <w:r w:rsidRPr="004F5FB4">
        <w:rPr>
          <w:color w:val="000000"/>
        </w:rPr>
        <w:t xml:space="preserve">Patienten, die dauerhaft ansprachen, nahmen an einer Analyse einer Behandlungsunterbrechung und -wiederaufnahme in einer offenen </w:t>
      </w:r>
      <w:r w:rsidR="00AB27C7" w:rsidRPr="004F5FB4">
        <w:rPr>
          <w:color w:val="000000"/>
        </w:rPr>
        <w:t>Fortsetz</w:t>
      </w:r>
      <w:r w:rsidRPr="004F5FB4">
        <w:rPr>
          <w:color w:val="000000"/>
        </w:rPr>
        <w:t>ungsstudie teil. Während der Phase der Behandlungsunterbrechung kehrten die Psoriasissymptome im Verlauf der Zeit mit einer durchschnittlichen Rückfall</w:t>
      </w:r>
      <w:r w:rsidR="00AB27C7" w:rsidRPr="004F5FB4">
        <w:rPr>
          <w:color w:val="000000"/>
        </w:rPr>
        <w:t>zeit</w:t>
      </w:r>
      <w:r w:rsidRPr="004F5FB4">
        <w:rPr>
          <w:color w:val="000000"/>
        </w:rPr>
        <w:t xml:space="preserve"> von etwa 5</w:t>
      </w:r>
      <w:r w:rsidR="00D36DE9" w:rsidRPr="004F5FB4">
        <w:rPr>
          <w:color w:val="000000"/>
        </w:rPr>
        <w:t> </w:t>
      </w:r>
      <w:r w:rsidRPr="004F5FB4">
        <w:rPr>
          <w:color w:val="000000"/>
        </w:rPr>
        <w:t>Monaten zurück (Verminderung des PGA auf „mittelschwer“ oder schlechter). Keiner dieser Patienten erfuhr einen Rebound-Effekt während der Unterbrechungsphase. Insgesamt 76,5</w:t>
      </w:r>
      <w:r w:rsidR="00D36DE9" w:rsidRPr="004F5FB4">
        <w:rPr>
          <w:color w:val="000000"/>
        </w:rPr>
        <w:t> </w:t>
      </w:r>
      <w:r w:rsidRPr="004F5FB4">
        <w:rPr>
          <w:color w:val="000000"/>
        </w:rPr>
        <w:t>% (218/285) der Patienten, die in die Phase eintraten, in der die Behandlung wiederaufgenommen wurde, hatten 16</w:t>
      </w:r>
      <w:r w:rsidR="006B4ADC" w:rsidRPr="004F5FB4">
        <w:rPr>
          <w:color w:val="000000"/>
        </w:rPr>
        <w:t> </w:t>
      </w:r>
      <w:r w:rsidRPr="004F5FB4">
        <w:rPr>
          <w:color w:val="000000"/>
        </w:rPr>
        <w:t>Wochen nach Wiederaufnahme der Behandlung ein PGA-Ansprechen, definiert als PGA „erscheinungsfrei“ oder „minimal“, unabhängig davon, ob sie während des Absetzens einen Rückfall hatten (69,1</w:t>
      </w:r>
      <w:r w:rsidR="006B4ADC" w:rsidRPr="004F5FB4">
        <w:rPr>
          <w:color w:val="000000"/>
        </w:rPr>
        <w:t> </w:t>
      </w:r>
      <w:r w:rsidRPr="004F5FB4">
        <w:rPr>
          <w:color w:val="000000"/>
        </w:rPr>
        <w:t>% [123/178] bzw. 88,8</w:t>
      </w:r>
      <w:r w:rsidR="006B4ADC" w:rsidRPr="004F5FB4">
        <w:rPr>
          <w:color w:val="000000"/>
        </w:rPr>
        <w:t> </w:t>
      </w:r>
      <w:r w:rsidRPr="004F5FB4">
        <w:rPr>
          <w:color w:val="000000"/>
        </w:rPr>
        <w:t xml:space="preserve">% [95/107] für Patienten, die während der Phase der Behandlungsunterbrechung einen Rückfall erlitten bzw. keinen Rückfall hatten). Es wurde ein ähnliches Sicherheitsprofil in der Phase, in der die Behandlung wiederaufgenommen wurde, beobachtet wie vor der Behandlungsunterbrechung. </w:t>
      </w:r>
    </w:p>
    <w:p w14:paraId="194DCF3B" w14:textId="77777777" w:rsidR="00C46587" w:rsidRPr="004F5FB4" w:rsidRDefault="00C46587" w:rsidP="00982118">
      <w:pPr>
        <w:rPr>
          <w:color w:val="000000"/>
        </w:rPr>
      </w:pPr>
    </w:p>
    <w:p w14:paraId="5913D463" w14:textId="77777777" w:rsidR="00C46587" w:rsidRPr="004F5FB4" w:rsidRDefault="00C46587" w:rsidP="00982118">
      <w:pPr>
        <w:rPr>
          <w:color w:val="000000"/>
        </w:rPr>
      </w:pPr>
      <w:r w:rsidRPr="004F5FB4">
        <w:rPr>
          <w:color w:val="000000"/>
        </w:rPr>
        <w:t>Signifikante Verbesserungen des DLQI (Dermatology Life Quality Index) gegenüber dem Ausgangswert im Vergleich zu Placebo (Studien</w:t>
      </w:r>
      <w:r w:rsidR="006B4ADC" w:rsidRPr="004F5FB4">
        <w:rPr>
          <w:color w:val="000000"/>
        </w:rPr>
        <w:t> </w:t>
      </w:r>
      <w:r w:rsidRPr="004F5FB4">
        <w:rPr>
          <w:color w:val="000000"/>
        </w:rPr>
        <w:t>I und II) und Methotrexat (Studie</w:t>
      </w:r>
      <w:r w:rsidR="006B4ADC" w:rsidRPr="004F5FB4">
        <w:rPr>
          <w:color w:val="000000"/>
        </w:rPr>
        <w:t> </w:t>
      </w:r>
      <w:r w:rsidRPr="004F5FB4">
        <w:rPr>
          <w:color w:val="000000"/>
        </w:rPr>
        <w:t>II) wurden zu Woche</w:t>
      </w:r>
      <w:r w:rsidR="006B4ADC" w:rsidRPr="004F5FB4">
        <w:rPr>
          <w:color w:val="000000"/>
        </w:rPr>
        <w:t> </w:t>
      </w:r>
      <w:r w:rsidRPr="004F5FB4">
        <w:rPr>
          <w:color w:val="000000"/>
        </w:rPr>
        <w:t>16 festgestellt. In Studie I verbesserten sich die Summenwerte der körperlichen und mentalen SF</w:t>
      </w:r>
      <w:r w:rsidRPr="004F5FB4">
        <w:rPr>
          <w:color w:val="000000"/>
        </w:rPr>
        <w:noBreakHyphen/>
        <w:t xml:space="preserve">36-Komponenten im Vergleich zu Placebo ebenfalls signifikant. </w:t>
      </w:r>
    </w:p>
    <w:p w14:paraId="68C7BE84" w14:textId="77777777" w:rsidR="00C46587" w:rsidRPr="004F5FB4" w:rsidRDefault="00C46587" w:rsidP="00982118">
      <w:pPr>
        <w:rPr>
          <w:color w:val="000000"/>
        </w:rPr>
      </w:pPr>
    </w:p>
    <w:p w14:paraId="51E4C503" w14:textId="77777777" w:rsidR="00C46587" w:rsidRPr="004F5FB4" w:rsidRDefault="00C46587" w:rsidP="00982118">
      <w:pPr>
        <w:rPr>
          <w:color w:val="000000"/>
        </w:rPr>
      </w:pPr>
      <w:r w:rsidRPr="004F5FB4">
        <w:rPr>
          <w:color w:val="000000"/>
        </w:rPr>
        <w:t xml:space="preserve">In einer offenen </w:t>
      </w:r>
      <w:r w:rsidR="00AB27C7" w:rsidRPr="004F5FB4">
        <w:rPr>
          <w:color w:val="000000"/>
        </w:rPr>
        <w:t>Fortsetz</w:t>
      </w:r>
      <w:r w:rsidRPr="004F5FB4">
        <w:rPr>
          <w:color w:val="000000"/>
        </w:rPr>
        <w:t>ungsstudie mit Patienten, bei denen wegen eines PASI-Ansprechens von unter 50</w:t>
      </w:r>
      <w:r w:rsidR="006B4ADC" w:rsidRPr="004F5FB4">
        <w:rPr>
          <w:color w:val="000000"/>
        </w:rPr>
        <w:t> </w:t>
      </w:r>
      <w:r w:rsidRPr="004F5FB4">
        <w:rPr>
          <w:color w:val="000000"/>
        </w:rPr>
        <w:t>% die Dosis von 40 mg jede zweite Woche auf 40 mg wöchentlich gesteigert wurde, erzielten 26,4</w:t>
      </w:r>
      <w:r w:rsidR="006B4ADC" w:rsidRPr="004F5FB4">
        <w:rPr>
          <w:color w:val="000000"/>
        </w:rPr>
        <w:t> </w:t>
      </w:r>
      <w:r w:rsidRPr="004F5FB4">
        <w:rPr>
          <w:color w:val="000000"/>
        </w:rPr>
        <w:t>% (92/349) bzw. 37,8</w:t>
      </w:r>
      <w:r w:rsidR="006B4ADC" w:rsidRPr="004F5FB4">
        <w:rPr>
          <w:color w:val="000000"/>
        </w:rPr>
        <w:t> </w:t>
      </w:r>
      <w:r w:rsidRPr="004F5FB4">
        <w:rPr>
          <w:color w:val="000000"/>
        </w:rPr>
        <w:t>% (132/349) der Patienten ein PASI-75-Ansprechen in Woche</w:t>
      </w:r>
      <w:r w:rsidR="006B4ADC" w:rsidRPr="004F5FB4">
        <w:rPr>
          <w:color w:val="000000"/>
        </w:rPr>
        <w:t> </w:t>
      </w:r>
      <w:r w:rsidRPr="004F5FB4">
        <w:rPr>
          <w:color w:val="000000"/>
        </w:rPr>
        <w:t xml:space="preserve">12 bzw. 24. </w:t>
      </w:r>
    </w:p>
    <w:p w14:paraId="5066F5FB" w14:textId="77777777" w:rsidR="00C46587" w:rsidRPr="004F5FB4" w:rsidRDefault="00C46587" w:rsidP="00982118">
      <w:pPr>
        <w:rPr>
          <w:color w:val="000000"/>
        </w:rPr>
      </w:pPr>
    </w:p>
    <w:p w14:paraId="18F77B9F" w14:textId="77777777" w:rsidR="00C46587" w:rsidRPr="004F5FB4" w:rsidRDefault="00C46587" w:rsidP="00982118">
      <w:pPr>
        <w:rPr>
          <w:color w:val="000000"/>
        </w:rPr>
      </w:pPr>
      <w:r w:rsidRPr="004F5FB4">
        <w:rPr>
          <w:color w:val="000000"/>
        </w:rPr>
        <w:t>Die Psoriasis</w:t>
      </w:r>
      <w:r w:rsidR="006B4ADC" w:rsidRPr="004F5FB4">
        <w:rPr>
          <w:color w:val="000000"/>
        </w:rPr>
        <w:t>-S</w:t>
      </w:r>
      <w:r w:rsidRPr="004F5FB4">
        <w:rPr>
          <w:color w:val="000000"/>
        </w:rPr>
        <w:t>tudie</w:t>
      </w:r>
      <w:r w:rsidR="006B4ADC" w:rsidRPr="004F5FB4">
        <w:rPr>
          <w:color w:val="000000"/>
        </w:rPr>
        <w:t> </w:t>
      </w:r>
      <w:r w:rsidRPr="004F5FB4">
        <w:rPr>
          <w:color w:val="000000"/>
        </w:rPr>
        <w:t xml:space="preserve">III (REACH) verglich die Wirksamkeit und Sicherheit von Adalimumab </w:t>
      </w:r>
      <w:r w:rsidRPr="004F5FB4">
        <w:rPr>
          <w:i/>
          <w:iCs/>
          <w:color w:val="000000"/>
        </w:rPr>
        <w:t>versus</w:t>
      </w:r>
      <w:r w:rsidRPr="004F5FB4">
        <w:rPr>
          <w:color w:val="000000"/>
        </w:rPr>
        <w:t xml:space="preserve"> Placebo an 72 Patienten mit mittelschwerer bis schwerer chronischer Plaque-Psoriasis und Hand- und/</w:t>
      </w:r>
      <w:r w:rsidR="006B4ADC" w:rsidRPr="004F5FB4">
        <w:rPr>
          <w:color w:val="000000"/>
        </w:rPr>
        <w:t xml:space="preserve"> </w:t>
      </w:r>
      <w:r w:rsidRPr="004F5FB4">
        <w:rPr>
          <w:color w:val="000000"/>
        </w:rPr>
        <w:t>oder Fußpsoriasis. Die Patienten erhielten 16</w:t>
      </w:r>
      <w:r w:rsidR="006B4ADC" w:rsidRPr="004F5FB4">
        <w:rPr>
          <w:color w:val="000000"/>
        </w:rPr>
        <w:t> </w:t>
      </w:r>
      <w:r w:rsidRPr="004F5FB4">
        <w:rPr>
          <w:color w:val="000000"/>
        </w:rPr>
        <w:t>Wochen lang nach einer Anfangsdosis von 80 mg Adalimumab jede zweite Woche 40 mg Adalimumab (beginnend eine Woche nach der Anfangsdosis) oder Placebo. Zu Woche</w:t>
      </w:r>
      <w:r w:rsidR="006B4ADC" w:rsidRPr="004F5FB4">
        <w:rPr>
          <w:color w:val="000000"/>
        </w:rPr>
        <w:t> </w:t>
      </w:r>
      <w:r w:rsidRPr="004F5FB4">
        <w:rPr>
          <w:color w:val="000000"/>
        </w:rPr>
        <w:t>16 erreichte ein statistisch signifikant größerer Anteil an Patienten, die Adalimumab erhielten, den PGA „erscheinungsfrei“ oder „fast erscheinungsfrei“ für die Hände und/</w:t>
      </w:r>
      <w:r w:rsidR="006B4ADC" w:rsidRPr="004F5FB4">
        <w:rPr>
          <w:color w:val="000000"/>
        </w:rPr>
        <w:t xml:space="preserve"> </w:t>
      </w:r>
      <w:r w:rsidRPr="004F5FB4">
        <w:rPr>
          <w:color w:val="000000"/>
        </w:rPr>
        <w:t>oder Füße im Vergleich zu Patienten, die Placebo erhielten (30,6</w:t>
      </w:r>
      <w:r w:rsidR="006B4ADC" w:rsidRPr="004F5FB4">
        <w:rPr>
          <w:color w:val="000000"/>
        </w:rPr>
        <w:t> </w:t>
      </w:r>
      <w:r w:rsidRPr="004F5FB4">
        <w:rPr>
          <w:color w:val="000000"/>
        </w:rPr>
        <w:t xml:space="preserve">% </w:t>
      </w:r>
      <w:r w:rsidRPr="004F5FB4">
        <w:rPr>
          <w:i/>
          <w:iCs/>
          <w:color w:val="000000"/>
        </w:rPr>
        <w:t>versus</w:t>
      </w:r>
      <w:r w:rsidRPr="004F5FB4">
        <w:rPr>
          <w:color w:val="000000"/>
        </w:rPr>
        <w:t xml:space="preserve"> 4,3</w:t>
      </w:r>
      <w:r w:rsidR="006B4ADC" w:rsidRPr="004F5FB4">
        <w:rPr>
          <w:color w:val="000000"/>
        </w:rPr>
        <w:t> </w:t>
      </w:r>
      <w:r w:rsidRPr="004F5FB4">
        <w:rPr>
          <w:color w:val="000000"/>
        </w:rPr>
        <w:t>% [</w:t>
      </w:r>
      <w:r w:rsidR="006B4ADC" w:rsidRPr="004F5FB4">
        <w:rPr>
          <w:color w:val="000000"/>
        </w:rPr>
        <w:t>p</w:t>
      </w:r>
      <w:r w:rsidR="00F41FC1" w:rsidRPr="004F5FB4">
        <w:rPr>
          <w:color w:val="000000"/>
        </w:rPr>
        <w:t> </w:t>
      </w:r>
      <w:r w:rsidRPr="004F5FB4">
        <w:rPr>
          <w:color w:val="000000"/>
        </w:rPr>
        <w:t>=</w:t>
      </w:r>
      <w:r w:rsidR="00F41FC1" w:rsidRPr="004F5FB4">
        <w:rPr>
          <w:color w:val="000000"/>
        </w:rPr>
        <w:t> </w:t>
      </w:r>
      <w:r w:rsidRPr="004F5FB4">
        <w:rPr>
          <w:color w:val="000000"/>
        </w:rPr>
        <w:t xml:space="preserve">0,014]). </w:t>
      </w:r>
    </w:p>
    <w:p w14:paraId="694E49A4" w14:textId="77777777" w:rsidR="00C46587" w:rsidRPr="004F5FB4" w:rsidRDefault="00C46587" w:rsidP="00982118">
      <w:pPr>
        <w:rPr>
          <w:color w:val="000000"/>
        </w:rPr>
      </w:pPr>
    </w:p>
    <w:p w14:paraId="7B6C1255" w14:textId="77777777" w:rsidR="00C46587" w:rsidRPr="004F5FB4" w:rsidRDefault="00C46587" w:rsidP="00982118">
      <w:pPr>
        <w:rPr>
          <w:color w:val="000000"/>
        </w:rPr>
      </w:pPr>
      <w:r w:rsidRPr="004F5FB4">
        <w:rPr>
          <w:color w:val="000000"/>
        </w:rPr>
        <w:t>Die Psoriasis</w:t>
      </w:r>
      <w:r w:rsidR="00A12FCC" w:rsidRPr="004F5FB4">
        <w:rPr>
          <w:color w:val="000000"/>
        </w:rPr>
        <w:t>-S</w:t>
      </w:r>
      <w:r w:rsidRPr="004F5FB4">
        <w:rPr>
          <w:color w:val="000000"/>
        </w:rPr>
        <w:t>tudie</w:t>
      </w:r>
      <w:r w:rsidR="00A12FCC" w:rsidRPr="004F5FB4">
        <w:rPr>
          <w:color w:val="000000"/>
        </w:rPr>
        <w:t> </w:t>
      </w:r>
      <w:r w:rsidRPr="004F5FB4">
        <w:rPr>
          <w:color w:val="000000"/>
        </w:rPr>
        <w:t xml:space="preserve">IV verglich die Wirksamkeit und Sicherheit von Adalimumab </w:t>
      </w:r>
      <w:r w:rsidRPr="004F5FB4">
        <w:rPr>
          <w:i/>
          <w:iCs/>
          <w:color w:val="000000"/>
        </w:rPr>
        <w:t>versus</w:t>
      </w:r>
      <w:r w:rsidRPr="004F5FB4">
        <w:rPr>
          <w:color w:val="000000"/>
        </w:rPr>
        <w:t xml:space="preserve"> Placebo an 217</w:t>
      </w:r>
      <w:r w:rsidR="00A12FCC" w:rsidRPr="004F5FB4">
        <w:rPr>
          <w:color w:val="000000"/>
        </w:rPr>
        <w:t> </w:t>
      </w:r>
      <w:r w:rsidRPr="004F5FB4">
        <w:rPr>
          <w:color w:val="000000"/>
        </w:rPr>
        <w:t>Erwachsenen mit mittelschwerer bis schwerer Nagelpsoriasis. Nach einer Anfangsdosis von 80 mg Adalimumab erhielten die Patienten 26</w:t>
      </w:r>
      <w:r w:rsidR="00A12FCC" w:rsidRPr="004F5FB4">
        <w:rPr>
          <w:color w:val="000000"/>
        </w:rPr>
        <w:t> </w:t>
      </w:r>
      <w:r w:rsidRPr="004F5FB4">
        <w:rPr>
          <w:color w:val="000000"/>
        </w:rPr>
        <w:t>Wochen lang jede zweite Woche 40 mg Adalimumab (beginnend eine Woche nach der Anfangsdosis) oder Placebo. Im Anschluss erhielten sie über 26</w:t>
      </w:r>
      <w:r w:rsidR="00497E38" w:rsidRPr="004F5FB4">
        <w:rPr>
          <w:color w:val="000000"/>
        </w:rPr>
        <w:t> </w:t>
      </w:r>
      <w:r w:rsidRPr="004F5FB4">
        <w:rPr>
          <w:color w:val="000000"/>
        </w:rPr>
        <w:t>weitere Wochen eine offene Adalimumab-Behandlung. Die Nagelpsoriasis wurde anhand des Modified Nail Psoriasis Severity Index (mNAPSI), des Physician’s Global Assessment of Fingernail Psoriasis (PGA-F) und des Nail Psoriasis Severity Index (NAPSI) beurteilt (siehe Tabelle</w:t>
      </w:r>
      <w:r w:rsidR="00A12FCC" w:rsidRPr="004F5FB4">
        <w:rPr>
          <w:color w:val="000000"/>
        </w:rPr>
        <w:t> </w:t>
      </w:r>
      <w:r w:rsidR="00B852E6">
        <w:rPr>
          <w:color w:val="000000"/>
        </w:rPr>
        <w:t>18</w:t>
      </w:r>
      <w:r w:rsidRPr="004F5FB4">
        <w:rPr>
          <w:color w:val="000000"/>
        </w:rPr>
        <w:t>). Adalimumab zeigte einen therapeutischen Nutzen bei Nagelpsoriasis-Patienten mit unterschiedlichem Ausmaß der Hautbeteiligung (KOF ≥</w:t>
      </w:r>
      <w:r w:rsidR="00A12FCC" w:rsidRPr="004F5FB4">
        <w:rPr>
          <w:color w:val="000000"/>
        </w:rPr>
        <w:t> </w:t>
      </w:r>
      <w:r w:rsidRPr="004F5FB4">
        <w:rPr>
          <w:color w:val="000000"/>
        </w:rPr>
        <w:t>10</w:t>
      </w:r>
      <w:r w:rsidR="00A12FCC" w:rsidRPr="004F5FB4">
        <w:rPr>
          <w:color w:val="000000"/>
        </w:rPr>
        <w:t> </w:t>
      </w:r>
      <w:r w:rsidRPr="004F5FB4">
        <w:rPr>
          <w:color w:val="000000"/>
        </w:rPr>
        <w:t xml:space="preserve">% </w:t>
      </w:r>
      <w:r w:rsidR="00A12FCC" w:rsidRPr="004F5FB4">
        <w:rPr>
          <w:color w:val="000000"/>
        </w:rPr>
        <w:t>[</w:t>
      </w:r>
      <w:r w:rsidRPr="004F5FB4">
        <w:rPr>
          <w:color w:val="000000"/>
        </w:rPr>
        <w:t>60</w:t>
      </w:r>
      <w:r w:rsidR="00A12FCC" w:rsidRPr="004F5FB4">
        <w:rPr>
          <w:color w:val="000000"/>
        </w:rPr>
        <w:t> </w:t>
      </w:r>
      <w:r w:rsidRPr="004F5FB4">
        <w:rPr>
          <w:color w:val="000000"/>
        </w:rPr>
        <w:t>% der Patienten</w:t>
      </w:r>
      <w:r w:rsidR="00A12FCC" w:rsidRPr="004F5FB4">
        <w:rPr>
          <w:color w:val="000000"/>
        </w:rPr>
        <w:t>]</w:t>
      </w:r>
      <w:r w:rsidRPr="004F5FB4">
        <w:rPr>
          <w:color w:val="000000"/>
        </w:rPr>
        <w:t xml:space="preserve"> sowie KOF &lt;</w:t>
      </w:r>
      <w:r w:rsidR="00A12FCC" w:rsidRPr="004F5FB4">
        <w:rPr>
          <w:color w:val="000000"/>
        </w:rPr>
        <w:t> </w:t>
      </w:r>
      <w:r w:rsidRPr="004F5FB4">
        <w:rPr>
          <w:color w:val="000000"/>
        </w:rPr>
        <w:t>10</w:t>
      </w:r>
      <w:r w:rsidR="00A12FCC" w:rsidRPr="004F5FB4">
        <w:rPr>
          <w:color w:val="000000"/>
        </w:rPr>
        <w:t> </w:t>
      </w:r>
      <w:r w:rsidRPr="004F5FB4">
        <w:rPr>
          <w:color w:val="000000"/>
        </w:rPr>
        <w:t>% und ≥</w:t>
      </w:r>
      <w:r w:rsidR="00A12FCC" w:rsidRPr="004F5FB4">
        <w:rPr>
          <w:color w:val="000000"/>
        </w:rPr>
        <w:t> </w:t>
      </w:r>
      <w:r w:rsidRPr="004F5FB4">
        <w:rPr>
          <w:color w:val="000000"/>
        </w:rPr>
        <w:t>5</w:t>
      </w:r>
      <w:r w:rsidR="00A12FCC" w:rsidRPr="004F5FB4">
        <w:rPr>
          <w:color w:val="000000"/>
        </w:rPr>
        <w:t> </w:t>
      </w:r>
      <w:r w:rsidRPr="004F5FB4">
        <w:rPr>
          <w:color w:val="000000"/>
        </w:rPr>
        <w:t xml:space="preserve">% </w:t>
      </w:r>
      <w:r w:rsidR="00A12FCC" w:rsidRPr="004F5FB4">
        <w:rPr>
          <w:color w:val="000000"/>
        </w:rPr>
        <w:t>[</w:t>
      </w:r>
      <w:r w:rsidRPr="004F5FB4">
        <w:rPr>
          <w:color w:val="000000"/>
        </w:rPr>
        <w:t>40</w:t>
      </w:r>
      <w:r w:rsidR="00A12FCC" w:rsidRPr="004F5FB4">
        <w:rPr>
          <w:color w:val="000000"/>
        </w:rPr>
        <w:t> </w:t>
      </w:r>
      <w:r w:rsidRPr="004F5FB4">
        <w:rPr>
          <w:color w:val="000000"/>
        </w:rPr>
        <w:t>% der Patienten</w:t>
      </w:r>
      <w:r w:rsidR="00A12FCC" w:rsidRPr="004F5FB4">
        <w:rPr>
          <w:color w:val="000000"/>
        </w:rPr>
        <w:t>]</w:t>
      </w:r>
      <w:r w:rsidRPr="004F5FB4">
        <w:rPr>
          <w:color w:val="000000"/>
        </w:rPr>
        <w:t xml:space="preserve">). </w:t>
      </w:r>
    </w:p>
    <w:p w14:paraId="7C084D72" w14:textId="77777777" w:rsidR="00C46587" w:rsidRPr="004F5FB4" w:rsidRDefault="00C46587" w:rsidP="00982118">
      <w:pPr>
        <w:rPr>
          <w:color w:val="000000"/>
        </w:rPr>
      </w:pPr>
    </w:p>
    <w:p w14:paraId="6590174E" w14:textId="77777777" w:rsidR="00FA0342" w:rsidRPr="004F5FB4" w:rsidRDefault="00C46587" w:rsidP="00687087">
      <w:pPr>
        <w:keepNext/>
        <w:rPr>
          <w:b/>
          <w:color w:val="000000"/>
        </w:rPr>
      </w:pPr>
      <w:r w:rsidRPr="004F5FB4">
        <w:rPr>
          <w:b/>
          <w:color w:val="000000"/>
        </w:rPr>
        <w:lastRenderedPageBreak/>
        <w:t>Tabelle</w:t>
      </w:r>
      <w:r w:rsidR="00B852E6">
        <w:rPr>
          <w:b/>
          <w:color w:val="000000"/>
        </w:rPr>
        <w:t> 18</w:t>
      </w:r>
    </w:p>
    <w:p w14:paraId="63DB0624" w14:textId="77777777" w:rsidR="00C46587" w:rsidRPr="004F5FB4" w:rsidRDefault="00C46587" w:rsidP="00687087">
      <w:pPr>
        <w:keepNext/>
        <w:rPr>
          <w:b/>
          <w:color w:val="000000"/>
        </w:rPr>
      </w:pPr>
      <w:r w:rsidRPr="004F5FB4">
        <w:rPr>
          <w:b/>
          <w:color w:val="000000"/>
        </w:rPr>
        <w:t>Ergebnisse zur Wirksamkeit in der Psoriasis</w:t>
      </w:r>
      <w:r w:rsidR="00A12FCC" w:rsidRPr="004F5FB4">
        <w:rPr>
          <w:b/>
          <w:color w:val="000000"/>
        </w:rPr>
        <w:t>-S</w:t>
      </w:r>
      <w:r w:rsidRPr="004F5FB4">
        <w:rPr>
          <w:b/>
          <w:color w:val="000000"/>
        </w:rPr>
        <w:t>tudie</w:t>
      </w:r>
      <w:r w:rsidR="00A12FCC" w:rsidRPr="004F5FB4">
        <w:rPr>
          <w:b/>
          <w:color w:val="000000"/>
        </w:rPr>
        <w:t> </w:t>
      </w:r>
      <w:r w:rsidRPr="004F5FB4">
        <w:rPr>
          <w:b/>
          <w:color w:val="000000"/>
        </w:rPr>
        <w:t>IV nach 16, 26 und 52</w:t>
      </w:r>
      <w:r w:rsidR="00A12FCC" w:rsidRPr="004F5FB4">
        <w:rPr>
          <w:b/>
          <w:color w:val="000000"/>
        </w:rPr>
        <w:t> </w:t>
      </w:r>
      <w:r w:rsidRPr="004F5FB4">
        <w:rPr>
          <w:b/>
          <w:color w:val="000000"/>
        </w:rPr>
        <w:t>Wochen</w:t>
      </w:r>
    </w:p>
    <w:p w14:paraId="6487881D" w14:textId="77777777" w:rsidR="00C46587" w:rsidRPr="004F5FB4" w:rsidRDefault="00C46587" w:rsidP="00982118">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C46587" w:rsidRPr="004F5FB4" w14:paraId="502A3C33" w14:textId="77777777" w:rsidTr="00C8699C">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3E7DB619" w14:textId="77777777" w:rsidR="00C46587" w:rsidRPr="004F5FB4" w:rsidRDefault="00C46587" w:rsidP="00982118">
            <w:pPr>
              <w:keepNext/>
              <w:rPr>
                <w:b/>
                <w:color w:val="000000"/>
              </w:rPr>
            </w:pPr>
            <w:r w:rsidRPr="004F5FB4">
              <w:rPr>
                <w:b/>
                <w:color w:val="000000"/>
              </w:rPr>
              <w:t>Endpunkt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77BFB6B1" w14:textId="77777777" w:rsidR="00C46587" w:rsidRPr="004F5FB4" w:rsidRDefault="00C46587" w:rsidP="00982118">
            <w:pPr>
              <w:keepNext/>
              <w:jc w:val="center"/>
              <w:rPr>
                <w:b/>
                <w:color w:val="000000"/>
              </w:rPr>
            </w:pPr>
            <w:r w:rsidRPr="004F5FB4">
              <w:rPr>
                <w:b/>
                <w:color w:val="000000"/>
              </w:rPr>
              <w:t>Woche</w:t>
            </w:r>
            <w:r w:rsidR="00D75093" w:rsidRPr="004F5FB4">
              <w:rPr>
                <w:b/>
                <w:color w:val="000000"/>
              </w:rPr>
              <w:t> </w:t>
            </w:r>
            <w:r w:rsidRPr="004F5FB4">
              <w:rPr>
                <w:b/>
                <w:color w:val="000000"/>
              </w:rPr>
              <w:t>16</w:t>
            </w:r>
          </w:p>
          <w:p w14:paraId="10D0ADCC" w14:textId="77777777" w:rsidR="00C46587" w:rsidRPr="004F5FB4" w:rsidRDefault="00C46587" w:rsidP="00982118">
            <w:pPr>
              <w:keepNext/>
              <w:jc w:val="center"/>
              <w:rPr>
                <w:b/>
                <w:color w:val="000000"/>
              </w:rPr>
            </w:pPr>
            <w:r w:rsidRPr="004F5FB4">
              <w:rPr>
                <w:b/>
                <w:color w:val="000000"/>
              </w:rPr>
              <w:t>placebokontrolliert</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30A82A93" w14:textId="77777777" w:rsidR="00C46587" w:rsidRPr="004F5FB4" w:rsidRDefault="00C46587" w:rsidP="00982118">
            <w:pPr>
              <w:keepNext/>
              <w:jc w:val="center"/>
              <w:rPr>
                <w:b/>
                <w:color w:val="000000"/>
              </w:rPr>
            </w:pPr>
            <w:r w:rsidRPr="004F5FB4">
              <w:rPr>
                <w:b/>
                <w:color w:val="000000"/>
              </w:rPr>
              <w:t>Woche</w:t>
            </w:r>
            <w:r w:rsidR="008E6CF5" w:rsidRPr="004F5FB4">
              <w:rPr>
                <w:b/>
                <w:color w:val="000000"/>
              </w:rPr>
              <w:t> </w:t>
            </w:r>
            <w:r w:rsidRPr="004F5FB4">
              <w:rPr>
                <w:b/>
                <w:color w:val="000000"/>
              </w:rPr>
              <w:t>26</w:t>
            </w:r>
          </w:p>
          <w:p w14:paraId="3E761D79" w14:textId="77777777" w:rsidR="00C46587" w:rsidRPr="004F5FB4" w:rsidRDefault="00C46587" w:rsidP="00982118">
            <w:pPr>
              <w:keepNext/>
              <w:jc w:val="center"/>
              <w:rPr>
                <w:b/>
                <w:color w:val="000000"/>
              </w:rPr>
            </w:pPr>
            <w:r w:rsidRPr="004F5FB4">
              <w:rPr>
                <w:b/>
                <w:color w:val="000000"/>
              </w:rPr>
              <w:t>placebokontrolliert</w:t>
            </w:r>
          </w:p>
        </w:tc>
        <w:tc>
          <w:tcPr>
            <w:tcW w:w="1815" w:type="dxa"/>
            <w:tcBorders>
              <w:top w:val="single" w:sz="4" w:space="0" w:color="auto"/>
              <w:left w:val="single" w:sz="4" w:space="0" w:color="auto"/>
              <w:bottom w:val="single" w:sz="4" w:space="0" w:color="auto"/>
              <w:right w:val="single" w:sz="4" w:space="0" w:color="auto"/>
            </w:tcBorders>
            <w:vAlign w:val="center"/>
            <w:hideMark/>
          </w:tcPr>
          <w:p w14:paraId="54557D27" w14:textId="77777777" w:rsidR="00C46587" w:rsidRPr="004F5FB4" w:rsidRDefault="00C46587" w:rsidP="00982118">
            <w:pPr>
              <w:keepNext/>
              <w:jc w:val="center"/>
              <w:rPr>
                <w:b/>
                <w:color w:val="000000"/>
              </w:rPr>
            </w:pPr>
            <w:r w:rsidRPr="004F5FB4">
              <w:rPr>
                <w:b/>
                <w:color w:val="000000"/>
              </w:rPr>
              <w:t>Woche</w:t>
            </w:r>
            <w:r w:rsidR="008E6CF5" w:rsidRPr="004F5FB4">
              <w:rPr>
                <w:b/>
                <w:color w:val="000000"/>
              </w:rPr>
              <w:t> </w:t>
            </w:r>
            <w:r w:rsidRPr="004F5FB4">
              <w:rPr>
                <w:b/>
                <w:color w:val="000000"/>
              </w:rPr>
              <w:t>52</w:t>
            </w:r>
          </w:p>
          <w:p w14:paraId="6EAF24F8" w14:textId="77777777" w:rsidR="00C46587" w:rsidRPr="004F5FB4" w:rsidRDefault="00C46587" w:rsidP="00982118">
            <w:pPr>
              <w:keepNext/>
              <w:jc w:val="center"/>
              <w:rPr>
                <w:b/>
                <w:color w:val="000000"/>
              </w:rPr>
            </w:pPr>
            <w:r w:rsidRPr="004F5FB4">
              <w:rPr>
                <w:b/>
                <w:color w:val="000000"/>
              </w:rPr>
              <w:t>offen</w:t>
            </w:r>
          </w:p>
        </w:tc>
      </w:tr>
      <w:tr w:rsidR="00C46587" w:rsidRPr="004F5FB4" w14:paraId="4E3878A1" w14:textId="77777777" w:rsidTr="00C8699C">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7F543EF9" w14:textId="77777777" w:rsidR="00C46587" w:rsidRPr="004F5FB4" w:rsidRDefault="00C46587" w:rsidP="00982118">
            <w:pPr>
              <w:keepNext/>
              <w:jc w:val="center"/>
              <w:rPr>
                <w:b/>
                <w:color w:val="000000"/>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5E00DD7A" w14:textId="77777777" w:rsidR="00C46587" w:rsidRPr="004F5FB4" w:rsidRDefault="00C46587" w:rsidP="00982118">
            <w:pPr>
              <w:keepNext/>
              <w:jc w:val="center"/>
              <w:rPr>
                <w:b/>
                <w:color w:val="000000"/>
              </w:rPr>
            </w:pPr>
            <w:r w:rsidRPr="004F5FB4">
              <w:rPr>
                <w:b/>
                <w:color w:val="000000"/>
              </w:rPr>
              <w:t>Placebo</w:t>
            </w:r>
          </w:p>
          <w:p w14:paraId="623D7772"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108</w:t>
            </w:r>
          </w:p>
        </w:tc>
        <w:tc>
          <w:tcPr>
            <w:tcW w:w="1465" w:type="dxa"/>
            <w:tcBorders>
              <w:top w:val="single" w:sz="4" w:space="0" w:color="auto"/>
              <w:left w:val="single" w:sz="4" w:space="0" w:color="auto"/>
              <w:bottom w:val="single" w:sz="4" w:space="0" w:color="auto"/>
              <w:right w:val="single" w:sz="4" w:space="0" w:color="auto"/>
            </w:tcBorders>
            <w:hideMark/>
          </w:tcPr>
          <w:p w14:paraId="6B1C405B" w14:textId="77777777" w:rsidR="00C46587" w:rsidRPr="004F5FB4" w:rsidRDefault="005A4709" w:rsidP="00982118">
            <w:pPr>
              <w:keepNext/>
              <w:jc w:val="center"/>
              <w:rPr>
                <w:b/>
                <w:color w:val="000000"/>
              </w:rPr>
            </w:pPr>
            <w:r w:rsidRPr="004F5FB4">
              <w:rPr>
                <w:b/>
                <w:color w:val="000000"/>
              </w:rPr>
              <w:t>Adalimumab</w:t>
            </w:r>
          </w:p>
          <w:p w14:paraId="35DDCB23" w14:textId="77777777" w:rsidR="00C46587" w:rsidRPr="004F5FB4" w:rsidRDefault="00C46587" w:rsidP="00982118">
            <w:pPr>
              <w:keepNext/>
              <w:jc w:val="center"/>
              <w:rPr>
                <w:b/>
                <w:color w:val="000000"/>
              </w:rPr>
            </w:pPr>
            <w:r w:rsidRPr="004F5FB4">
              <w:rPr>
                <w:b/>
                <w:color w:val="000000"/>
              </w:rPr>
              <w:t>40 mg alle 2 Wo.</w:t>
            </w:r>
          </w:p>
          <w:p w14:paraId="18C6BCBB"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109</w:t>
            </w:r>
          </w:p>
        </w:tc>
        <w:tc>
          <w:tcPr>
            <w:tcW w:w="1297" w:type="dxa"/>
            <w:tcBorders>
              <w:top w:val="single" w:sz="4" w:space="0" w:color="auto"/>
              <w:left w:val="single" w:sz="4" w:space="0" w:color="auto"/>
              <w:bottom w:val="single" w:sz="4" w:space="0" w:color="auto"/>
              <w:right w:val="single" w:sz="4" w:space="0" w:color="auto"/>
            </w:tcBorders>
            <w:hideMark/>
          </w:tcPr>
          <w:p w14:paraId="1B43228F" w14:textId="77777777" w:rsidR="00C46587" w:rsidRPr="004F5FB4" w:rsidRDefault="00C46587" w:rsidP="00982118">
            <w:pPr>
              <w:keepNext/>
              <w:jc w:val="center"/>
              <w:rPr>
                <w:b/>
                <w:color w:val="000000"/>
              </w:rPr>
            </w:pPr>
            <w:r w:rsidRPr="004F5FB4">
              <w:rPr>
                <w:b/>
                <w:color w:val="000000"/>
              </w:rPr>
              <w:t>Placebo</w:t>
            </w:r>
          </w:p>
          <w:p w14:paraId="79918C81"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108</w:t>
            </w:r>
          </w:p>
        </w:tc>
        <w:tc>
          <w:tcPr>
            <w:tcW w:w="1493" w:type="dxa"/>
            <w:tcBorders>
              <w:top w:val="single" w:sz="4" w:space="0" w:color="auto"/>
              <w:left w:val="single" w:sz="4" w:space="0" w:color="auto"/>
              <w:bottom w:val="single" w:sz="4" w:space="0" w:color="auto"/>
              <w:right w:val="single" w:sz="4" w:space="0" w:color="auto"/>
            </w:tcBorders>
            <w:hideMark/>
          </w:tcPr>
          <w:p w14:paraId="5FC838C8" w14:textId="77777777" w:rsidR="00C46587" w:rsidRPr="004F5FB4" w:rsidRDefault="005A4709" w:rsidP="00982118">
            <w:pPr>
              <w:keepNext/>
              <w:jc w:val="center"/>
              <w:rPr>
                <w:b/>
                <w:color w:val="000000"/>
              </w:rPr>
            </w:pPr>
            <w:r w:rsidRPr="004F5FB4">
              <w:rPr>
                <w:b/>
                <w:color w:val="000000"/>
              </w:rPr>
              <w:t>Adalimumab</w:t>
            </w:r>
          </w:p>
          <w:p w14:paraId="1F373DAE" w14:textId="77777777" w:rsidR="00C46587" w:rsidRPr="004F5FB4" w:rsidRDefault="00C46587" w:rsidP="00982118">
            <w:pPr>
              <w:keepNext/>
              <w:jc w:val="center"/>
              <w:rPr>
                <w:b/>
                <w:color w:val="000000"/>
              </w:rPr>
            </w:pPr>
            <w:r w:rsidRPr="004F5FB4">
              <w:rPr>
                <w:b/>
                <w:color w:val="000000"/>
              </w:rPr>
              <w:t>40 mg alle 2 Wo.</w:t>
            </w:r>
          </w:p>
          <w:p w14:paraId="2545FAB4"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109</w:t>
            </w:r>
          </w:p>
        </w:tc>
        <w:tc>
          <w:tcPr>
            <w:tcW w:w="1815" w:type="dxa"/>
            <w:tcBorders>
              <w:top w:val="single" w:sz="4" w:space="0" w:color="auto"/>
              <w:left w:val="single" w:sz="4" w:space="0" w:color="auto"/>
              <w:bottom w:val="single" w:sz="4" w:space="0" w:color="auto"/>
              <w:right w:val="single" w:sz="4" w:space="0" w:color="auto"/>
            </w:tcBorders>
            <w:hideMark/>
          </w:tcPr>
          <w:p w14:paraId="08AF919A" w14:textId="77777777" w:rsidR="00C46587" w:rsidRPr="004F5FB4" w:rsidRDefault="005A4709" w:rsidP="00982118">
            <w:pPr>
              <w:keepNext/>
              <w:jc w:val="center"/>
              <w:rPr>
                <w:b/>
                <w:color w:val="000000"/>
              </w:rPr>
            </w:pPr>
            <w:r w:rsidRPr="004F5FB4">
              <w:rPr>
                <w:b/>
                <w:color w:val="000000"/>
              </w:rPr>
              <w:t>Adalimumab</w:t>
            </w:r>
          </w:p>
          <w:p w14:paraId="52717BFD" w14:textId="77777777" w:rsidR="00C46587" w:rsidRPr="004F5FB4" w:rsidRDefault="00C46587" w:rsidP="00982118">
            <w:pPr>
              <w:keepNext/>
              <w:jc w:val="center"/>
              <w:rPr>
                <w:b/>
                <w:color w:val="000000"/>
              </w:rPr>
            </w:pPr>
            <w:r w:rsidRPr="004F5FB4">
              <w:rPr>
                <w:b/>
                <w:color w:val="000000"/>
              </w:rPr>
              <w:t>40 mg alle 2 Wo.</w:t>
            </w:r>
          </w:p>
          <w:p w14:paraId="66AE77D8"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80</w:t>
            </w:r>
          </w:p>
        </w:tc>
      </w:tr>
      <w:tr w:rsidR="00C46587" w:rsidRPr="004F5FB4" w14:paraId="5000106E"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67788630" w14:textId="77777777" w:rsidR="00C46587" w:rsidRPr="004F5FB4" w:rsidRDefault="00C46587" w:rsidP="00005E6C">
            <w:pPr>
              <w:keepNext/>
              <w:rPr>
                <w:color w:val="000000"/>
              </w:rPr>
            </w:pPr>
            <w:r w:rsidRPr="004F5FB4">
              <w:rPr>
                <w:color w:val="000000"/>
              </w:rPr>
              <w:sym w:font="Symbol" w:char="F0B3"/>
            </w:r>
            <w:r w:rsidRPr="004F5FB4">
              <w:rPr>
                <w:color w:val="000000"/>
              </w:rPr>
              <w:t> mNAPSI 75 (%)</w:t>
            </w:r>
          </w:p>
        </w:tc>
        <w:tc>
          <w:tcPr>
            <w:tcW w:w="1325" w:type="dxa"/>
            <w:tcBorders>
              <w:top w:val="single" w:sz="4" w:space="0" w:color="auto"/>
              <w:left w:val="single" w:sz="4" w:space="0" w:color="auto"/>
              <w:bottom w:val="single" w:sz="4" w:space="0" w:color="auto"/>
              <w:right w:val="single" w:sz="4" w:space="0" w:color="auto"/>
            </w:tcBorders>
            <w:hideMark/>
          </w:tcPr>
          <w:p w14:paraId="15C0C724" w14:textId="77777777" w:rsidR="00C46587" w:rsidRPr="004F5FB4" w:rsidRDefault="00C46587" w:rsidP="00982118">
            <w:pPr>
              <w:keepNext/>
              <w:jc w:val="center"/>
              <w:rPr>
                <w:color w:val="000000"/>
              </w:rPr>
            </w:pPr>
            <w:r w:rsidRPr="004F5FB4">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1FA4728B" w14:textId="77777777" w:rsidR="00C46587" w:rsidRPr="004F5FB4" w:rsidRDefault="00C46587" w:rsidP="00982118">
            <w:pPr>
              <w:keepNext/>
              <w:jc w:val="center"/>
              <w:rPr>
                <w:color w:val="000000"/>
              </w:rPr>
            </w:pPr>
            <w:r w:rsidRPr="004F5FB4">
              <w:rPr>
                <w:color w:val="000000"/>
              </w:rPr>
              <w:t>26,0</w:t>
            </w:r>
            <w:r w:rsidRPr="004F5FB4">
              <w:rPr>
                <w:color w:val="000000"/>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02CAF666" w14:textId="77777777" w:rsidR="00C46587" w:rsidRPr="004F5FB4" w:rsidRDefault="00C46587" w:rsidP="00982118">
            <w:pPr>
              <w:keepNext/>
              <w:jc w:val="center"/>
              <w:rPr>
                <w:color w:val="000000"/>
              </w:rPr>
            </w:pPr>
            <w:r w:rsidRPr="004F5FB4">
              <w:rPr>
                <w:color w:val="000000"/>
              </w:rPr>
              <w:t>3,4</w:t>
            </w:r>
          </w:p>
        </w:tc>
        <w:tc>
          <w:tcPr>
            <w:tcW w:w="1493" w:type="dxa"/>
            <w:tcBorders>
              <w:top w:val="single" w:sz="4" w:space="0" w:color="auto"/>
              <w:left w:val="single" w:sz="4" w:space="0" w:color="auto"/>
              <w:bottom w:val="single" w:sz="4" w:space="0" w:color="auto"/>
              <w:right w:val="single" w:sz="4" w:space="0" w:color="auto"/>
            </w:tcBorders>
            <w:hideMark/>
          </w:tcPr>
          <w:p w14:paraId="3F5B4780" w14:textId="77777777" w:rsidR="00C46587" w:rsidRPr="004F5FB4" w:rsidRDefault="00C46587" w:rsidP="00982118">
            <w:pPr>
              <w:keepNext/>
              <w:jc w:val="center"/>
              <w:rPr>
                <w:color w:val="000000"/>
              </w:rPr>
            </w:pPr>
            <w:r w:rsidRPr="004F5FB4">
              <w:rPr>
                <w:color w:val="000000"/>
              </w:rPr>
              <w:t>46,6</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2BD2C5EE" w14:textId="77777777" w:rsidR="00C46587" w:rsidRPr="004F5FB4" w:rsidRDefault="00C46587" w:rsidP="00982118">
            <w:pPr>
              <w:keepNext/>
              <w:jc w:val="center"/>
              <w:rPr>
                <w:color w:val="000000"/>
              </w:rPr>
            </w:pPr>
            <w:r w:rsidRPr="004F5FB4">
              <w:rPr>
                <w:color w:val="000000"/>
              </w:rPr>
              <w:t>65,0</w:t>
            </w:r>
          </w:p>
        </w:tc>
      </w:tr>
      <w:tr w:rsidR="00C46587" w:rsidRPr="004F5FB4" w14:paraId="5D09C7B8"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2D83250D" w14:textId="77777777" w:rsidR="00C46587" w:rsidRPr="004F5FB4" w:rsidRDefault="00C46587" w:rsidP="00982118">
            <w:pPr>
              <w:keepNext/>
              <w:rPr>
                <w:color w:val="000000"/>
              </w:rPr>
            </w:pPr>
            <w:r w:rsidRPr="004F5FB4">
              <w:rPr>
                <w:color w:val="000000"/>
              </w:rPr>
              <w:t>PGA</w:t>
            </w:r>
            <w:r w:rsidRPr="004F5FB4">
              <w:rPr>
                <w:color w:val="000000"/>
              </w:rPr>
              <w:noBreakHyphen/>
              <w:t xml:space="preserve">F erscheinungsfrei/minimal und Verbesserung um </w:t>
            </w:r>
            <w:r w:rsidRPr="004F5FB4">
              <w:rPr>
                <w:color w:val="000000"/>
              </w:rPr>
              <w:sym w:font="Symbol" w:char="F0B3"/>
            </w:r>
            <w:r w:rsidR="00A12FCC" w:rsidRPr="004F5FB4">
              <w:rPr>
                <w:color w:val="000000"/>
              </w:rPr>
              <w:t> </w:t>
            </w:r>
            <w:r w:rsidRPr="004F5FB4">
              <w:rPr>
                <w:color w:val="000000"/>
              </w:rPr>
              <w:t>2</w:t>
            </w:r>
            <w:r w:rsidR="00A12FCC" w:rsidRPr="004F5FB4">
              <w:rPr>
                <w:color w:val="000000"/>
              </w:rPr>
              <w:t> </w:t>
            </w:r>
            <w:r w:rsidRPr="004F5FB4">
              <w:rPr>
                <w:color w:val="000000"/>
              </w:rPr>
              <w:t>Stufen (%)</w:t>
            </w:r>
          </w:p>
        </w:tc>
        <w:tc>
          <w:tcPr>
            <w:tcW w:w="1325" w:type="dxa"/>
            <w:tcBorders>
              <w:top w:val="single" w:sz="4" w:space="0" w:color="auto"/>
              <w:left w:val="single" w:sz="4" w:space="0" w:color="auto"/>
              <w:bottom w:val="single" w:sz="4" w:space="0" w:color="auto"/>
              <w:right w:val="single" w:sz="4" w:space="0" w:color="auto"/>
            </w:tcBorders>
            <w:hideMark/>
          </w:tcPr>
          <w:p w14:paraId="1B313C71" w14:textId="77777777" w:rsidR="00C46587" w:rsidRPr="004F5FB4" w:rsidRDefault="00C46587" w:rsidP="00982118">
            <w:pPr>
              <w:keepNext/>
              <w:jc w:val="center"/>
              <w:rPr>
                <w:color w:val="000000"/>
              </w:rPr>
            </w:pPr>
            <w:r w:rsidRPr="004F5FB4">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4AE870ED" w14:textId="77777777" w:rsidR="00C46587" w:rsidRPr="004F5FB4" w:rsidRDefault="00C46587" w:rsidP="00982118">
            <w:pPr>
              <w:keepNext/>
              <w:jc w:val="center"/>
              <w:rPr>
                <w:color w:val="000000"/>
              </w:rPr>
            </w:pPr>
            <w:r w:rsidRPr="004F5FB4">
              <w:rPr>
                <w:color w:val="000000"/>
              </w:rPr>
              <w:t>29,7</w:t>
            </w:r>
            <w:r w:rsidRPr="004F5FB4">
              <w:rPr>
                <w:color w:val="000000"/>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5240FE93" w14:textId="77777777" w:rsidR="00C46587" w:rsidRPr="004F5FB4" w:rsidRDefault="00C46587" w:rsidP="00982118">
            <w:pPr>
              <w:keepNext/>
              <w:jc w:val="center"/>
              <w:rPr>
                <w:color w:val="000000"/>
              </w:rPr>
            </w:pPr>
            <w:r w:rsidRPr="004F5FB4">
              <w:rPr>
                <w:color w:val="000000"/>
              </w:rPr>
              <w:t>6,9</w:t>
            </w:r>
          </w:p>
        </w:tc>
        <w:tc>
          <w:tcPr>
            <w:tcW w:w="1493" w:type="dxa"/>
            <w:tcBorders>
              <w:top w:val="single" w:sz="4" w:space="0" w:color="auto"/>
              <w:left w:val="single" w:sz="4" w:space="0" w:color="auto"/>
              <w:bottom w:val="single" w:sz="4" w:space="0" w:color="auto"/>
              <w:right w:val="single" w:sz="4" w:space="0" w:color="auto"/>
            </w:tcBorders>
            <w:hideMark/>
          </w:tcPr>
          <w:p w14:paraId="22733C60" w14:textId="77777777" w:rsidR="00C46587" w:rsidRPr="004F5FB4" w:rsidRDefault="00C46587" w:rsidP="00982118">
            <w:pPr>
              <w:keepNext/>
              <w:jc w:val="center"/>
              <w:rPr>
                <w:color w:val="000000"/>
              </w:rPr>
            </w:pPr>
            <w:r w:rsidRPr="004F5FB4">
              <w:rPr>
                <w:color w:val="000000"/>
              </w:rPr>
              <w:t>48,9</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39DFE2BA" w14:textId="77777777" w:rsidR="00C46587" w:rsidRPr="004F5FB4" w:rsidRDefault="00C46587" w:rsidP="00982118">
            <w:pPr>
              <w:keepNext/>
              <w:jc w:val="center"/>
              <w:rPr>
                <w:color w:val="000000"/>
              </w:rPr>
            </w:pPr>
            <w:r w:rsidRPr="004F5FB4">
              <w:rPr>
                <w:color w:val="000000"/>
              </w:rPr>
              <w:t>61,3</w:t>
            </w:r>
          </w:p>
        </w:tc>
      </w:tr>
      <w:tr w:rsidR="00C46587" w:rsidRPr="004F5FB4" w14:paraId="3A37D5DA" w14:textId="77777777" w:rsidTr="008127A0">
        <w:trPr>
          <w:cantSplit/>
        </w:trPr>
        <w:tc>
          <w:tcPr>
            <w:tcW w:w="1908" w:type="dxa"/>
            <w:tcBorders>
              <w:top w:val="single" w:sz="4" w:space="0" w:color="auto"/>
              <w:left w:val="single" w:sz="4" w:space="0" w:color="auto"/>
              <w:bottom w:val="single" w:sz="4" w:space="0" w:color="auto"/>
              <w:right w:val="single" w:sz="4" w:space="0" w:color="auto"/>
            </w:tcBorders>
            <w:hideMark/>
          </w:tcPr>
          <w:p w14:paraId="5B3FC8FD" w14:textId="77777777" w:rsidR="00C46587" w:rsidRPr="004F5FB4" w:rsidRDefault="00C46587" w:rsidP="00982118">
            <w:pPr>
              <w:keepNext/>
              <w:rPr>
                <w:color w:val="000000"/>
              </w:rPr>
            </w:pPr>
            <w:r w:rsidRPr="004F5FB4">
              <w:rPr>
                <w:color w:val="000000"/>
              </w:rPr>
              <w:t>Prozentuale Veränderung des NAPSI bei allen Fingernägeln (%)</w:t>
            </w:r>
          </w:p>
        </w:tc>
        <w:tc>
          <w:tcPr>
            <w:tcW w:w="1325" w:type="dxa"/>
            <w:tcBorders>
              <w:top w:val="single" w:sz="4" w:space="0" w:color="auto"/>
              <w:left w:val="single" w:sz="4" w:space="0" w:color="auto"/>
              <w:bottom w:val="single" w:sz="4" w:space="0" w:color="auto"/>
              <w:right w:val="single" w:sz="4" w:space="0" w:color="auto"/>
            </w:tcBorders>
            <w:hideMark/>
          </w:tcPr>
          <w:p w14:paraId="390E885F" w14:textId="77777777" w:rsidR="00C46587" w:rsidRPr="004F5FB4" w:rsidRDefault="00C46587" w:rsidP="00982118">
            <w:pPr>
              <w:keepNext/>
              <w:jc w:val="center"/>
              <w:rPr>
                <w:color w:val="000000"/>
              </w:rPr>
            </w:pPr>
            <w:r w:rsidRPr="004F5FB4">
              <w:rPr>
                <w:color w:val="000000"/>
              </w:rPr>
              <w:t>-7,8</w:t>
            </w:r>
          </w:p>
        </w:tc>
        <w:tc>
          <w:tcPr>
            <w:tcW w:w="1465" w:type="dxa"/>
            <w:tcBorders>
              <w:top w:val="single" w:sz="4" w:space="0" w:color="auto"/>
              <w:left w:val="single" w:sz="4" w:space="0" w:color="auto"/>
              <w:bottom w:val="single" w:sz="4" w:space="0" w:color="auto"/>
              <w:right w:val="single" w:sz="4" w:space="0" w:color="auto"/>
            </w:tcBorders>
            <w:hideMark/>
          </w:tcPr>
          <w:p w14:paraId="7D928504" w14:textId="77777777" w:rsidR="00C46587" w:rsidRPr="004F5FB4" w:rsidRDefault="00C46587" w:rsidP="00982118">
            <w:pPr>
              <w:keepNext/>
              <w:jc w:val="center"/>
              <w:rPr>
                <w:color w:val="000000"/>
              </w:rPr>
            </w:pPr>
            <w:r w:rsidRPr="004F5FB4">
              <w:rPr>
                <w:color w:val="000000"/>
              </w:rPr>
              <w:t>-44,2</w:t>
            </w:r>
            <w:r w:rsidRPr="004F5FB4">
              <w:rPr>
                <w:color w:val="000000"/>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7905E8DB" w14:textId="77777777" w:rsidR="00C46587" w:rsidRPr="004F5FB4" w:rsidRDefault="00C46587" w:rsidP="00982118">
            <w:pPr>
              <w:keepNext/>
              <w:jc w:val="center"/>
              <w:rPr>
                <w:color w:val="000000"/>
              </w:rPr>
            </w:pPr>
            <w:r w:rsidRPr="004F5FB4">
              <w:rPr>
                <w:color w:val="000000"/>
              </w:rPr>
              <w:t>-11,5</w:t>
            </w:r>
          </w:p>
        </w:tc>
        <w:tc>
          <w:tcPr>
            <w:tcW w:w="1493" w:type="dxa"/>
            <w:tcBorders>
              <w:top w:val="single" w:sz="4" w:space="0" w:color="auto"/>
              <w:left w:val="single" w:sz="4" w:space="0" w:color="auto"/>
              <w:bottom w:val="single" w:sz="4" w:space="0" w:color="auto"/>
              <w:right w:val="single" w:sz="4" w:space="0" w:color="auto"/>
            </w:tcBorders>
            <w:hideMark/>
          </w:tcPr>
          <w:p w14:paraId="72C303E1" w14:textId="77777777" w:rsidR="00C46587" w:rsidRPr="004F5FB4" w:rsidRDefault="00C46587" w:rsidP="00982118">
            <w:pPr>
              <w:keepNext/>
              <w:jc w:val="center"/>
              <w:rPr>
                <w:color w:val="000000"/>
              </w:rPr>
            </w:pPr>
            <w:r w:rsidRPr="004F5FB4">
              <w:rPr>
                <w:color w:val="000000"/>
              </w:rPr>
              <w:t>-56,2</w:t>
            </w:r>
            <w:r w:rsidRPr="004F5FB4">
              <w:rPr>
                <w:color w:val="000000"/>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3E78C55A" w14:textId="77777777" w:rsidR="00C46587" w:rsidRPr="004F5FB4" w:rsidRDefault="00C46587" w:rsidP="00982118">
            <w:pPr>
              <w:keepNext/>
              <w:jc w:val="center"/>
              <w:rPr>
                <w:color w:val="000000"/>
              </w:rPr>
            </w:pPr>
            <w:r w:rsidRPr="004F5FB4">
              <w:rPr>
                <w:color w:val="000000"/>
              </w:rPr>
              <w:t>-72,2</w:t>
            </w:r>
          </w:p>
        </w:tc>
      </w:tr>
      <w:tr w:rsidR="008127A0" w:rsidRPr="004F5FB4" w14:paraId="14F6DE3F" w14:textId="77777777" w:rsidTr="008127A0">
        <w:trPr>
          <w:cantSplit/>
        </w:trPr>
        <w:tc>
          <w:tcPr>
            <w:tcW w:w="9303" w:type="dxa"/>
            <w:gridSpan w:val="6"/>
            <w:tcBorders>
              <w:top w:val="single" w:sz="4" w:space="0" w:color="auto"/>
              <w:left w:val="nil"/>
              <w:bottom w:val="nil"/>
              <w:right w:val="nil"/>
            </w:tcBorders>
          </w:tcPr>
          <w:p w14:paraId="0B13E2F7" w14:textId="77777777" w:rsidR="008127A0" w:rsidRPr="00206AEA" w:rsidRDefault="008127A0" w:rsidP="008127A0">
            <w:pPr>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 xml:space="preserve">p &lt; 0,001 Adalimumab </w:t>
            </w:r>
            <w:r w:rsidR="00AB27C7" w:rsidRPr="00206AEA">
              <w:rPr>
                <w:color w:val="000000"/>
                <w:sz w:val="20"/>
              </w:rPr>
              <w:t>gegenüber</w:t>
            </w:r>
            <w:r w:rsidRPr="00206AEA">
              <w:rPr>
                <w:color w:val="000000"/>
                <w:sz w:val="20"/>
              </w:rPr>
              <w:t xml:space="preserve"> Placebo</w:t>
            </w:r>
          </w:p>
        </w:tc>
      </w:tr>
    </w:tbl>
    <w:p w14:paraId="5DB8D96C" w14:textId="77777777" w:rsidR="00C46587" w:rsidRPr="004F5FB4" w:rsidRDefault="00C46587" w:rsidP="00982118">
      <w:pPr>
        <w:rPr>
          <w:color w:val="000000"/>
        </w:rPr>
      </w:pPr>
    </w:p>
    <w:p w14:paraId="1779E977" w14:textId="77777777" w:rsidR="00C46587" w:rsidRPr="004F5FB4" w:rsidRDefault="005A4709" w:rsidP="00982118">
      <w:pPr>
        <w:rPr>
          <w:color w:val="000000"/>
        </w:rPr>
      </w:pPr>
      <w:r w:rsidRPr="004F5FB4">
        <w:rPr>
          <w:color w:val="000000"/>
        </w:rPr>
        <w:t>Die mit Adalimumab behandelten Patienten erreichten in Woche</w:t>
      </w:r>
      <w:r w:rsidR="00A12FCC" w:rsidRPr="004F5FB4">
        <w:rPr>
          <w:color w:val="000000"/>
        </w:rPr>
        <w:t> </w:t>
      </w:r>
      <w:r w:rsidRPr="004F5FB4">
        <w:rPr>
          <w:color w:val="000000"/>
        </w:rPr>
        <w:t>26 statistisch signifikante Verbesserungen im DLQI verglichen mit Placebo.</w:t>
      </w:r>
    </w:p>
    <w:p w14:paraId="3AFE3CEB" w14:textId="77777777" w:rsidR="00C46587" w:rsidRPr="004F5FB4" w:rsidRDefault="00C46587" w:rsidP="00982118">
      <w:pPr>
        <w:rPr>
          <w:color w:val="000000"/>
        </w:rPr>
      </w:pPr>
    </w:p>
    <w:p w14:paraId="4673D02C" w14:textId="77777777" w:rsidR="00C46587" w:rsidRPr="004F5FB4" w:rsidRDefault="00C46587" w:rsidP="00982118">
      <w:pPr>
        <w:keepNext/>
        <w:rPr>
          <w:i/>
          <w:color w:val="000000"/>
        </w:rPr>
      </w:pPr>
      <w:r w:rsidRPr="004F5FB4">
        <w:rPr>
          <w:i/>
          <w:color w:val="000000"/>
        </w:rPr>
        <w:t>Hidradenitis suppurativa (Acne inversa)</w:t>
      </w:r>
    </w:p>
    <w:p w14:paraId="640608CA" w14:textId="77777777" w:rsidR="00C46587" w:rsidRPr="004F5FB4" w:rsidRDefault="00C46587" w:rsidP="00DC3A99">
      <w:pPr>
        <w:keepNext/>
        <w:rPr>
          <w:color w:val="000000"/>
        </w:rPr>
      </w:pPr>
    </w:p>
    <w:p w14:paraId="568C214C" w14:textId="77777777" w:rsidR="00C46587" w:rsidRPr="004F5FB4" w:rsidRDefault="00C46587" w:rsidP="00982118">
      <w:pPr>
        <w:rPr>
          <w:color w:val="000000"/>
        </w:rPr>
      </w:pPr>
      <w:r w:rsidRPr="004F5FB4">
        <w:rPr>
          <w:color w:val="000000"/>
        </w:rPr>
        <w:t xml:space="preserve">Die Sicherheit und Wirksamkeit von Adalimumab wurden in randomisierten, doppelblinden, placebokontrollierten Studien und in einer offenen </w:t>
      </w:r>
      <w:r w:rsidR="00AB27C7" w:rsidRPr="004F5FB4">
        <w:rPr>
          <w:color w:val="000000"/>
        </w:rPr>
        <w:t>Fortsetz</w:t>
      </w:r>
      <w:r w:rsidRPr="004F5FB4">
        <w:rPr>
          <w:color w:val="000000"/>
        </w:rPr>
        <w:t>ungsstudie an erwachsenen Patienten mit mittelschwerer bis schwerer Hidradenitis suppurativa (HS) untersucht. Diese Patienten wiesen eine Unverträglichkeit, eine Kontraindikation oder ein unzureichendes Ansprechen gegenüber einer systemischen antibiotischen Therapie nach einem mindestens 3</w:t>
      </w:r>
      <w:r w:rsidRPr="004F5FB4">
        <w:rPr>
          <w:color w:val="000000"/>
        </w:rPr>
        <w:noBreakHyphen/>
        <w:t>monatigen Behandlungsversuch auf. Die Patienten in den Studien HS</w:t>
      </w:r>
      <w:r w:rsidRPr="004F5FB4">
        <w:rPr>
          <w:color w:val="000000"/>
        </w:rPr>
        <w:noBreakHyphen/>
        <w:t>I und HS</w:t>
      </w:r>
      <w:r w:rsidRPr="004F5FB4">
        <w:rPr>
          <w:color w:val="000000"/>
        </w:rPr>
        <w:noBreakHyphen/>
        <w:t>II waren in Hurley-Stadium</w:t>
      </w:r>
      <w:r w:rsidR="00A12FCC" w:rsidRPr="004F5FB4">
        <w:rPr>
          <w:color w:val="000000"/>
        </w:rPr>
        <w:t> </w:t>
      </w:r>
      <w:r w:rsidRPr="004F5FB4">
        <w:rPr>
          <w:color w:val="000000"/>
        </w:rPr>
        <w:t>II oder III der Krankheit mit mindestens 3</w:t>
      </w:r>
      <w:r w:rsidR="00A12FCC" w:rsidRPr="004F5FB4">
        <w:rPr>
          <w:color w:val="000000"/>
        </w:rPr>
        <w:t> </w:t>
      </w:r>
      <w:r w:rsidRPr="004F5FB4">
        <w:rPr>
          <w:color w:val="000000"/>
        </w:rPr>
        <w:t>Abszessen oder entzündlichen Knoten.</w:t>
      </w:r>
    </w:p>
    <w:p w14:paraId="58E63A5F" w14:textId="77777777" w:rsidR="00C46587" w:rsidRPr="004F5FB4" w:rsidRDefault="00C46587" w:rsidP="00982118">
      <w:pPr>
        <w:rPr>
          <w:color w:val="000000"/>
        </w:rPr>
      </w:pPr>
    </w:p>
    <w:p w14:paraId="135A3F95" w14:textId="77777777" w:rsidR="00C46587" w:rsidRPr="004F5FB4" w:rsidRDefault="00C46587" w:rsidP="00982118">
      <w:pPr>
        <w:rPr>
          <w:color w:val="000000"/>
        </w:rPr>
      </w:pPr>
      <w:r w:rsidRPr="004F5FB4">
        <w:rPr>
          <w:color w:val="000000"/>
        </w:rPr>
        <w:t>In der Studie HS</w:t>
      </w:r>
      <w:r w:rsidRPr="004F5FB4">
        <w:rPr>
          <w:color w:val="000000"/>
        </w:rPr>
        <w:noBreakHyphen/>
        <w:t>I (PIONEER</w:t>
      </w:r>
      <w:r w:rsidR="00A12FCC" w:rsidRPr="004F5FB4">
        <w:rPr>
          <w:color w:val="000000"/>
        </w:rPr>
        <w:t> </w:t>
      </w:r>
      <w:r w:rsidRPr="004F5FB4">
        <w:rPr>
          <w:color w:val="000000"/>
        </w:rPr>
        <w:t>I) wurden 307 Patienten in 2 Behandlungsperioden untersucht. In Periode A erhielten die Patienten Placebo oder eine Induktionsdosis von 160 mg Adalimumab in Woche</w:t>
      </w:r>
      <w:r w:rsidR="00A12FCC" w:rsidRPr="004F5FB4">
        <w:rPr>
          <w:color w:val="000000"/>
        </w:rPr>
        <w:t> </w:t>
      </w:r>
      <w:r w:rsidRPr="004F5FB4">
        <w:rPr>
          <w:color w:val="000000"/>
        </w:rPr>
        <w:t>0, danach 80 mg in Woche</w:t>
      </w:r>
      <w:r w:rsidR="00A12FCC" w:rsidRPr="004F5FB4">
        <w:rPr>
          <w:color w:val="000000"/>
        </w:rPr>
        <w:t> </w:t>
      </w:r>
      <w:r w:rsidRPr="004F5FB4">
        <w:rPr>
          <w:color w:val="000000"/>
        </w:rPr>
        <w:t>2 und ab Woche</w:t>
      </w:r>
      <w:r w:rsidR="00A12FCC" w:rsidRPr="004F5FB4">
        <w:rPr>
          <w:color w:val="000000"/>
        </w:rPr>
        <w:t> </w:t>
      </w:r>
      <w:r w:rsidRPr="004F5FB4">
        <w:rPr>
          <w:color w:val="000000"/>
        </w:rPr>
        <w:t>4 bis Woche</w:t>
      </w:r>
      <w:r w:rsidR="00A12FCC" w:rsidRPr="004F5FB4">
        <w:rPr>
          <w:color w:val="000000"/>
        </w:rPr>
        <w:t> </w:t>
      </w:r>
      <w:r w:rsidRPr="004F5FB4">
        <w:rPr>
          <w:color w:val="000000"/>
        </w:rPr>
        <w:t>11 40 mg wöchentlich. Eine gleichzeitige Behandlung mit Antibiotika war während der Studie nicht erlaubt. Nach einer 12</w:t>
      </w:r>
      <w:r w:rsidRPr="004F5FB4">
        <w:rPr>
          <w:color w:val="000000"/>
        </w:rPr>
        <w:noBreakHyphen/>
        <w:t>wöchigen Behandlung wurden die Patienten, die in Periode</w:t>
      </w:r>
      <w:r w:rsidR="00A12FCC" w:rsidRPr="004F5FB4">
        <w:rPr>
          <w:color w:val="000000"/>
        </w:rPr>
        <w:t> </w:t>
      </w:r>
      <w:r w:rsidRPr="004F5FB4">
        <w:rPr>
          <w:color w:val="000000"/>
        </w:rPr>
        <w:t>A Adalimumab erhalten hatten, in Periode</w:t>
      </w:r>
      <w:r w:rsidR="00A12FCC" w:rsidRPr="004F5FB4">
        <w:rPr>
          <w:color w:val="000000"/>
        </w:rPr>
        <w:t> </w:t>
      </w:r>
      <w:r w:rsidRPr="004F5FB4">
        <w:rPr>
          <w:color w:val="000000"/>
        </w:rPr>
        <w:t>B erneut in eine von drei Behandlungsgruppen randomisiert (40 mg Adalimumab wöchentlich, 40 mg Adalimumab jede zweite Woche oder Placebo von Woche</w:t>
      </w:r>
      <w:r w:rsidR="00390783" w:rsidRPr="004F5FB4">
        <w:rPr>
          <w:color w:val="000000"/>
        </w:rPr>
        <w:t> </w:t>
      </w:r>
      <w:r w:rsidRPr="004F5FB4">
        <w:rPr>
          <w:color w:val="000000"/>
        </w:rPr>
        <w:t>12 bis Woche</w:t>
      </w:r>
      <w:r w:rsidR="00390783" w:rsidRPr="004F5FB4">
        <w:rPr>
          <w:color w:val="000000"/>
        </w:rPr>
        <w:t> </w:t>
      </w:r>
      <w:r w:rsidRPr="004F5FB4">
        <w:rPr>
          <w:color w:val="000000"/>
        </w:rPr>
        <w:t>35). Patienten, die in Periode</w:t>
      </w:r>
      <w:r w:rsidR="00390783" w:rsidRPr="004F5FB4">
        <w:rPr>
          <w:color w:val="000000"/>
        </w:rPr>
        <w:t> </w:t>
      </w:r>
      <w:r w:rsidRPr="004F5FB4">
        <w:rPr>
          <w:color w:val="000000"/>
        </w:rPr>
        <w:t>A Placebo erhalten hatten, wurden einer Behandlung mit 40 mg Adalimumab wöchentlich in Periode</w:t>
      </w:r>
      <w:r w:rsidR="00390783" w:rsidRPr="004F5FB4">
        <w:rPr>
          <w:color w:val="000000"/>
        </w:rPr>
        <w:t> </w:t>
      </w:r>
      <w:r w:rsidRPr="004F5FB4">
        <w:rPr>
          <w:color w:val="000000"/>
        </w:rPr>
        <w:t>B zugeteilt.</w:t>
      </w:r>
    </w:p>
    <w:p w14:paraId="0845EE48" w14:textId="77777777" w:rsidR="00C46587" w:rsidRPr="004F5FB4" w:rsidRDefault="00C46587" w:rsidP="00982118">
      <w:pPr>
        <w:rPr>
          <w:color w:val="000000"/>
        </w:rPr>
      </w:pPr>
    </w:p>
    <w:p w14:paraId="7DD2E7A4" w14:textId="77777777" w:rsidR="00C46587" w:rsidRPr="004F5FB4" w:rsidRDefault="00C46587" w:rsidP="00982118">
      <w:pPr>
        <w:rPr>
          <w:color w:val="000000"/>
        </w:rPr>
      </w:pPr>
      <w:r w:rsidRPr="004F5FB4">
        <w:rPr>
          <w:color w:val="000000"/>
        </w:rPr>
        <w:t>In der Studie HS</w:t>
      </w:r>
      <w:r w:rsidRPr="004F5FB4">
        <w:rPr>
          <w:color w:val="000000"/>
        </w:rPr>
        <w:noBreakHyphen/>
        <w:t>II (PIONEER</w:t>
      </w:r>
      <w:r w:rsidR="00390783" w:rsidRPr="004F5FB4">
        <w:rPr>
          <w:color w:val="000000"/>
        </w:rPr>
        <w:t> </w:t>
      </w:r>
      <w:r w:rsidRPr="004F5FB4">
        <w:rPr>
          <w:color w:val="000000"/>
        </w:rPr>
        <w:t>II) wurden 326</w:t>
      </w:r>
      <w:r w:rsidR="00390783" w:rsidRPr="004F5FB4">
        <w:rPr>
          <w:color w:val="000000"/>
        </w:rPr>
        <w:t> </w:t>
      </w:r>
      <w:r w:rsidRPr="004F5FB4">
        <w:rPr>
          <w:color w:val="000000"/>
        </w:rPr>
        <w:t>Patienten in 2</w:t>
      </w:r>
      <w:r w:rsidR="00390783" w:rsidRPr="004F5FB4">
        <w:rPr>
          <w:color w:val="000000"/>
        </w:rPr>
        <w:t> </w:t>
      </w:r>
      <w:r w:rsidRPr="004F5FB4">
        <w:rPr>
          <w:color w:val="000000"/>
        </w:rPr>
        <w:t>Behandlungsperioden untersucht. In Periode</w:t>
      </w:r>
      <w:r w:rsidR="00390783" w:rsidRPr="004F5FB4">
        <w:rPr>
          <w:color w:val="000000"/>
        </w:rPr>
        <w:t> </w:t>
      </w:r>
      <w:r w:rsidRPr="004F5FB4">
        <w:rPr>
          <w:color w:val="000000"/>
        </w:rPr>
        <w:t>A erhielten die Patienten Placebo oder eine Induktionsdosis von 160 mg Adalimumab in Woche</w:t>
      </w:r>
      <w:r w:rsidR="00390783" w:rsidRPr="004F5FB4">
        <w:rPr>
          <w:color w:val="000000"/>
        </w:rPr>
        <w:t> </w:t>
      </w:r>
      <w:r w:rsidRPr="004F5FB4">
        <w:rPr>
          <w:color w:val="000000"/>
        </w:rPr>
        <w:t>0, danach 80 mg in Woche</w:t>
      </w:r>
      <w:r w:rsidR="00390783" w:rsidRPr="004F5FB4">
        <w:rPr>
          <w:color w:val="000000"/>
        </w:rPr>
        <w:t> </w:t>
      </w:r>
      <w:r w:rsidRPr="004F5FB4">
        <w:rPr>
          <w:color w:val="000000"/>
        </w:rPr>
        <w:t>2 und ab Woche</w:t>
      </w:r>
      <w:r w:rsidR="00390783" w:rsidRPr="004F5FB4">
        <w:rPr>
          <w:color w:val="000000"/>
        </w:rPr>
        <w:t> </w:t>
      </w:r>
      <w:r w:rsidRPr="004F5FB4">
        <w:rPr>
          <w:color w:val="000000"/>
        </w:rPr>
        <w:t>4 bis Woche</w:t>
      </w:r>
      <w:r w:rsidR="00390783" w:rsidRPr="004F5FB4">
        <w:rPr>
          <w:color w:val="000000"/>
        </w:rPr>
        <w:t> </w:t>
      </w:r>
      <w:r w:rsidRPr="004F5FB4">
        <w:rPr>
          <w:color w:val="000000"/>
        </w:rPr>
        <w:t>11 40 mg wöchentlich. 19,3</w:t>
      </w:r>
      <w:r w:rsidR="00390783" w:rsidRPr="004F5FB4">
        <w:rPr>
          <w:color w:val="000000"/>
        </w:rPr>
        <w:t> </w:t>
      </w:r>
      <w:r w:rsidRPr="004F5FB4">
        <w:rPr>
          <w:color w:val="000000"/>
        </w:rPr>
        <w:t>% der Patienten erhielten während der Studie eine fortgesetzte Basistherapie mit oralen Antibiotika. Nach einer 12</w:t>
      </w:r>
      <w:r w:rsidRPr="004F5FB4">
        <w:rPr>
          <w:color w:val="000000"/>
        </w:rPr>
        <w:noBreakHyphen/>
        <w:t>wöchigen Behandlung wurden die Patienten, die in Periode</w:t>
      </w:r>
      <w:r w:rsidR="00390783" w:rsidRPr="004F5FB4">
        <w:rPr>
          <w:color w:val="000000"/>
        </w:rPr>
        <w:t> </w:t>
      </w:r>
      <w:r w:rsidRPr="004F5FB4">
        <w:rPr>
          <w:color w:val="000000"/>
        </w:rPr>
        <w:t>A Adalimumab erhalten hatten, in Periode</w:t>
      </w:r>
      <w:r w:rsidR="00390783" w:rsidRPr="004F5FB4">
        <w:rPr>
          <w:color w:val="000000"/>
        </w:rPr>
        <w:t> </w:t>
      </w:r>
      <w:r w:rsidRPr="004F5FB4">
        <w:rPr>
          <w:color w:val="000000"/>
        </w:rPr>
        <w:t>B erneut in eine von drei Behandlungsgruppen randomisiert (40 mg Adalimumab wöchentlich, 40 mg Adalimumab jede zweite Woche oder Placebo von Woche</w:t>
      </w:r>
      <w:r w:rsidR="00390783" w:rsidRPr="004F5FB4">
        <w:rPr>
          <w:color w:val="000000"/>
        </w:rPr>
        <w:t> </w:t>
      </w:r>
      <w:r w:rsidRPr="004F5FB4">
        <w:rPr>
          <w:color w:val="000000"/>
        </w:rPr>
        <w:t>12 bis Woche</w:t>
      </w:r>
      <w:r w:rsidR="00390783" w:rsidRPr="004F5FB4">
        <w:rPr>
          <w:color w:val="000000"/>
        </w:rPr>
        <w:t> </w:t>
      </w:r>
      <w:r w:rsidRPr="004F5FB4">
        <w:rPr>
          <w:color w:val="000000"/>
        </w:rPr>
        <w:t>35). Patienten, die in Periode</w:t>
      </w:r>
      <w:r w:rsidR="00390783" w:rsidRPr="004F5FB4">
        <w:rPr>
          <w:color w:val="000000"/>
        </w:rPr>
        <w:t> </w:t>
      </w:r>
      <w:r w:rsidRPr="004F5FB4">
        <w:rPr>
          <w:color w:val="000000"/>
        </w:rPr>
        <w:t>A Placebo erhalten hatten, wurden in Periode</w:t>
      </w:r>
      <w:r w:rsidR="00390783" w:rsidRPr="004F5FB4">
        <w:rPr>
          <w:color w:val="000000"/>
        </w:rPr>
        <w:t> </w:t>
      </w:r>
      <w:r w:rsidRPr="004F5FB4">
        <w:rPr>
          <w:color w:val="000000"/>
        </w:rPr>
        <w:t>B der Placebogruppe zugeteilt.</w:t>
      </w:r>
    </w:p>
    <w:p w14:paraId="1F0D7438" w14:textId="77777777" w:rsidR="00C46587" w:rsidRPr="004F5FB4" w:rsidRDefault="00C46587" w:rsidP="00982118">
      <w:pPr>
        <w:rPr>
          <w:color w:val="000000"/>
        </w:rPr>
      </w:pPr>
    </w:p>
    <w:p w14:paraId="623042B6" w14:textId="77777777" w:rsidR="00C46587" w:rsidRPr="004F5FB4" w:rsidRDefault="00C46587" w:rsidP="00982118">
      <w:pPr>
        <w:rPr>
          <w:color w:val="000000"/>
        </w:rPr>
      </w:pPr>
      <w:r w:rsidRPr="004F5FB4">
        <w:rPr>
          <w:color w:val="000000"/>
        </w:rPr>
        <w:t>Patienten, die an Studie HS</w:t>
      </w:r>
      <w:r w:rsidRPr="004F5FB4">
        <w:rPr>
          <w:color w:val="000000"/>
        </w:rPr>
        <w:noBreakHyphen/>
        <w:t>I oder HS</w:t>
      </w:r>
      <w:r w:rsidRPr="004F5FB4">
        <w:rPr>
          <w:color w:val="000000"/>
        </w:rPr>
        <w:noBreakHyphen/>
        <w:t xml:space="preserve">II teilgenommen hatten, waren für die Aufnahme in eine offene </w:t>
      </w:r>
      <w:r w:rsidR="00AB27C7" w:rsidRPr="004F5FB4">
        <w:rPr>
          <w:color w:val="000000"/>
        </w:rPr>
        <w:t>Fortsetz</w:t>
      </w:r>
      <w:r w:rsidRPr="004F5FB4">
        <w:rPr>
          <w:color w:val="000000"/>
        </w:rPr>
        <w:t xml:space="preserve">ungsstudie geeignet, in der 40 mg Adalimumab wöchentlich verabreicht wurden. Die </w:t>
      </w:r>
      <w:r w:rsidRPr="004F5FB4">
        <w:rPr>
          <w:color w:val="000000"/>
        </w:rPr>
        <w:lastRenderedPageBreak/>
        <w:t>durchschnittliche Exposition lag in allen Adalimumab-Populationen bei 762</w:t>
      </w:r>
      <w:r w:rsidR="00390783" w:rsidRPr="004F5FB4">
        <w:rPr>
          <w:color w:val="000000"/>
        </w:rPr>
        <w:t> </w:t>
      </w:r>
      <w:r w:rsidRPr="004F5FB4">
        <w:rPr>
          <w:color w:val="000000"/>
        </w:rPr>
        <w:t>Tagen. Während aller drei Studien wendeten die Patienten täglich eine topische antiseptische Waschlösung an.</w:t>
      </w:r>
    </w:p>
    <w:p w14:paraId="707C2D0F" w14:textId="77777777" w:rsidR="00C46587" w:rsidRPr="004F5FB4" w:rsidRDefault="00C46587" w:rsidP="00982118">
      <w:pPr>
        <w:rPr>
          <w:color w:val="000000"/>
        </w:rPr>
      </w:pPr>
    </w:p>
    <w:p w14:paraId="66D99CB2" w14:textId="77777777" w:rsidR="00C46587" w:rsidRPr="004F5FB4" w:rsidRDefault="001E35BC" w:rsidP="001E35BC">
      <w:pPr>
        <w:keepNext/>
        <w:rPr>
          <w:i/>
          <w:color w:val="000000"/>
          <w:u w:val="single"/>
        </w:rPr>
      </w:pPr>
      <w:r w:rsidRPr="004F5FB4">
        <w:rPr>
          <w:i/>
          <w:color w:val="000000"/>
          <w:u w:val="single"/>
        </w:rPr>
        <w:t>Klinisches Ansprechen</w:t>
      </w:r>
    </w:p>
    <w:p w14:paraId="455D496E" w14:textId="77777777" w:rsidR="00C46587" w:rsidRPr="004F5FB4" w:rsidRDefault="00C46587" w:rsidP="001E35BC">
      <w:pPr>
        <w:keepNext/>
        <w:rPr>
          <w:color w:val="000000"/>
        </w:rPr>
      </w:pPr>
    </w:p>
    <w:p w14:paraId="26D6E8F7" w14:textId="77777777" w:rsidR="00C46587" w:rsidRPr="004F5FB4" w:rsidRDefault="00C46587" w:rsidP="00982118">
      <w:pPr>
        <w:rPr>
          <w:color w:val="000000"/>
        </w:rPr>
      </w:pPr>
      <w:r w:rsidRPr="004F5FB4">
        <w:rPr>
          <w:color w:val="000000"/>
        </w:rPr>
        <w:t>Die Verringerung der entzündlichen Läsionen und die Prävention einer Verschlimmerung der Abszesse und drainierenden Fisteln wurden anhand des Hidradenitis Suppurativa Clinical Response beurteilt (HiSCR; eine mindestens 50%ige Abnahme der Gesamtzahl an Abszessen und entzündlichen Knoten und keine Zunahme der Anzahl an Abszessen sowie der Anzahl an dränierenden Fisteln gegenüber Baseline). Die Verringerung der HS</w:t>
      </w:r>
      <w:r w:rsidRPr="004F5FB4">
        <w:rPr>
          <w:color w:val="000000"/>
        </w:rPr>
        <w:noBreakHyphen/>
        <w:t>bezogenen Hautschmerzen wurde mithilfe einer numerischen Bewertungsskala bei Patienten beurteilt, die auf einer Skala mit 11</w:t>
      </w:r>
      <w:r w:rsidR="00390783" w:rsidRPr="004F5FB4">
        <w:rPr>
          <w:color w:val="000000"/>
        </w:rPr>
        <w:t> </w:t>
      </w:r>
      <w:r w:rsidRPr="004F5FB4">
        <w:rPr>
          <w:color w:val="000000"/>
        </w:rPr>
        <w:t xml:space="preserve">Punkten zu Beginn der Studie einen Score von 3 oder höher aufwiesen. </w:t>
      </w:r>
    </w:p>
    <w:p w14:paraId="1DB403B4" w14:textId="77777777" w:rsidR="00C46587" w:rsidRPr="004F5FB4" w:rsidRDefault="00C46587" w:rsidP="00982118">
      <w:pPr>
        <w:rPr>
          <w:color w:val="000000"/>
        </w:rPr>
      </w:pPr>
    </w:p>
    <w:p w14:paraId="1DFEDE2B" w14:textId="77777777" w:rsidR="00C46587" w:rsidRPr="004F5FB4" w:rsidRDefault="00C46587" w:rsidP="00982118">
      <w:pPr>
        <w:rPr>
          <w:color w:val="000000"/>
        </w:rPr>
      </w:pPr>
      <w:r w:rsidRPr="004F5FB4">
        <w:rPr>
          <w:color w:val="000000"/>
        </w:rPr>
        <w:t>Im Vergleich zu Placebo erreichte ein signifikant höherer Anteil der mit Adalimumab behandelten Patienten ein HiSCR-Ansprechen zu Woche</w:t>
      </w:r>
      <w:r w:rsidR="00390783" w:rsidRPr="004F5FB4">
        <w:rPr>
          <w:color w:val="000000"/>
        </w:rPr>
        <w:t> </w:t>
      </w:r>
      <w:r w:rsidRPr="004F5FB4">
        <w:rPr>
          <w:color w:val="000000"/>
        </w:rPr>
        <w:t>12. In Woche</w:t>
      </w:r>
      <w:r w:rsidR="00390783" w:rsidRPr="004F5FB4">
        <w:rPr>
          <w:color w:val="000000"/>
        </w:rPr>
        <w:t> </w:t>
      </w:r>
      <w:r w:rsidRPr="004F5FB4">
        <w:rPr>
          <w:color w:val="000000"/>
        </w:rPr>
        <w:t>12 wies ein signifikant höherer Anteil an Patienten in Studie HS</w:t>
      </w:r>
      <w:r w:rsidRPr="004F5FB4">
        <w:rPr>
          <w:color w:val="000000"/>
        </w:rPr>
        <w:noBreakHyphen/>
        <w:t>II eine klinisch relevante Verringerung der HS</w:t>
      </w:r>
      <w:r w:rsidRPr="004F5FB4">
        <w:rPr>
          <w:color w:val="000000"/>
        </w:rPr>
        <w:noBreakHyphen/>
        <w:t>bezogenen Hautschmerzen auf (siehe Tabelle</w:t>
      </w:r>
      <w:r w:rsidR="00390783" w:rsidRPr="004F5FB4">
        <w:rPr>
          <w:color w:val="000000"/>
        </w:rPr>
        <w:t> </w:t>
      </w:r>
      <w:r w:rsidR="00B852E6">
        <w:rPr>
          <w:color w:val="000000"/>
        </w:rPr>
        <w:t>19</w:t>
      </w:r>
      <w:r w:rsidRPr="004F5FB4">
        <w:rPr>
          <w:color w:val="000000"/>
        </w:rPr>
        <w:t>). Bei den mit Adalimumab behandelten Patienten war das Risiko eines Krankheitsschubes während der ersten 12</w:t>
      </w:r>
      <w:r w:rsidR="00390783" w:rsidRPr="004F5FB4">
        <w:rPr>
          <w:color w:val="000000"/>
        </w:rPr>
        <w:t> </w:t>
      </w:r>
      <w:r w:rsidRPr="004F5FB4">
        <w:rPr>
          <w:color w:val="000000"/>
        </w:rPr>
        <w:t>Behandlungswochen signifikant reduziert.</w:t>
      </w:r>
    </w:p>
    <w:p w14:paraId="559DDFED" w14:textId="77777777" w:rsidR="00C46587" w:rsidRPr="004F5FB4" w:rsidRDefault="00C46587" w:rsidP="00982118">
      <w:pPr>
        <w:rPr>
          <w:color w:val="000000"/>
        </w:rPr>
      </w:pPr>
    </w:p>
    <w:p w14:paraId="24A46BCE" w14:textId="77777777" w:rsidR="00FA0342" w:rsidRPr="004F5FB4" w:rsidRDefault="00C46587" w:rsidP="00687087">
      <w:pPr>
        <w:keepNext/>
        <w:rPr>
          <w:b/>
          <w:bCs/>
          <w:color w:val="000000"/>
        </w:rPr>
      </w:pPr>
      <w:r w:rsidRPr="004F5FB4">
        <w:rPr>
          <w:b/>
          <w:bCs/>
          <w:color w:val="000000"/>
        </w:rPr>
        <w:t>Tabelle</w:t>
      </w:r>
      <w:r w:rsidR="00B852E6">
        <w:rPr>
          <w:b/>
          <w:bCs/>
          <w:color w:val="000000"/>
        </w:rPr>
        <w:t> 19</w:t>
      </w:r>
      <w:r w:rsidRPr="004F5FB4">
        <w:rPr>
          <w:b/>
          <w:bCs/>
          <w:color w:val="000000"/>
        </w:rPr>
        <w:t xml:space="preserve"> </w:t>
      </w:r>
    </w:p>
    <w:p w14:paraId="52C8761B" w14:textId="77777777" w:rsidR="00C46587" w:rsidRPr="004F5FB4" w:rsidRDefault="00C46587" w:rsidP="00687087">
      <w:pPr>
        <w:keepNext/>
        <w:rPr>
          <w:b/>
          <w:bCs/>
          <w:color w:val="000000"/>
        </w:rPr>
      </w:pPr>
      <w:r w:rsidRPr="004F5FB4">
        <w:rPr>
          <w:b/>
          <w:bCs/>
          <w:color w:val="000000"/>
        </w:rPr>
        <w:t>Ergebnisse bezüglich Wirksamkeit nach 12</w:t>
      </w:r>
      <w:r w:rsidR="00390783" w:rsidRPr="004F5FB4">
        <w:rPr>
          <w:b/>
          <w:bCs/>
          <w:color w:val="000000"/>
        </w:rPr>
        <w:t> </w:t>
      </w:r>
      <w:r w:rsidRPr="004F5FB4">
        <w:rPr>
          <w:b/>
          <w:bCs/>
          <w:color w:val="000000"/>
        </w:rPr>
        <w:t>Wochen, Studie HS-I und HS-II</w:t>
      </w:r>
    </w:p>
    <w:p w14:paraId="6F67D374" w14:textId="77777777" w:rsidR="00C46587" w:rsidRPr="004F5FB4" w:rsidRDefault="00C46587" w:rsidP="00982118">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60"/>
        <w:gridCol w:w="2257"/>
        <w:gridCol w:w="1163"/>
        <w:gridCol w:w="2355"/>
      </w:tblGrid>
      <w:tr w:rsidR="00A351FC" w:rsidRPr="004F5FB4" w14:paraId="105D9FD8" w14:textId="77777777" w:rsidTr="002273C4">
        <w:tc>
          <w:tcPr>
            <w:tcW w:w="2268" w:type="dxa"/>
            <w:vMerge w:val="restart"/>
            <w:tcBorders>
              <w:top w:val="single" w:sz="4" w:space="0" w:color="auto"/>
              <w:left w:val="single" w:sz="4" w:space="0" w:color="auto"/>
              <w:right w:val="single" w:sz="4" w:space="0" w:color="auto"/>
            </w:tcBorders>
          </w:tcPr>
          <w:p w14:paraId="7D280DAF" w14:textId="77777777" w:rsidR="00A351FC" w:rsidRPr="004F5FB4" w:rsidRDefault="00A351FC" w:rsidP="00982118">
            <w:pPr>
              <w:keepNext/>
              <w:rPr>
                <w:color w:val="000000"/>
              </w:rPr>
            </w:pPr>
          </w:p>
        </w:tc>
        <w:tc>
          <w:tcPr>
            <w:tcW w:w="3517" w:type="dxa"/>
            <w:gridSpan w:val="2"/>
            <w:tcBorders>
              <w:top w:val="single" w:sz="4" w:space="0" w:color="auto"/>
              <w:left w:val="single" w:sz="4" w:space="0" w:color="auto"/>
              <w:bottom w:val="single" w:sz="4" w:space="0" w:color="auto"/>
              <w:right w:val="single" w:sz="4" w:space="0" w:color="auto"/>
            </w:tcBorders>
            <w:vAlign w:val="bottom"/>
            <w:hideMark/>
          </w:tcPr>
          <w:p w14:paraId="04A1FF38" w14:textId="77777777" w:rsidR="00A351FC" w:rsidRPr="004F5FB4" w:rsidRDefault="00A351FC" w:rsidP="00982118">
            <w:pPr>
              <w:keepNext/>
              <w:jc w:val="center"/>
              <w:rPr>
                <w:b/>
                <w:color w:val="000000"/>
              </w:rPr>
            </w:pPr>
            <w:r w:rsidRPr="004F5FB4">
              <w:rPr>
                <w:b/>
                <w:color w:val="000000"/>
              </w:rPr>
              <w:t>Studie HS-I</w:t>
            </w:r>
          </w:p>
        </w:tc>
        <w:tc>
          <w:tcPr>
            <w:tcW w:w="3518" w:type="dxa"/>
            <w:gridSpan w:val="2"/>
            <w:tcBorders>
              <w:top w:val="single" w:sz="4" w:space="0" w:color="auto"/>
              <w:left w:val="single" w:sz="4" w:space="0" w:color="auto"/>
              <w:bottom w:val="single" w:sz="4" w:space="0" w:color="auto"/>
              <w:right w:val="single" w:sz="4" w:space="0" w:color="auto"/>
            </w:tcBorders>
            <w:vAlign w:val="bottom"/>
            <w:hideMark/>
          </w:tcPr>
          <w:p w14:paraId="55C8B892" w14:textId="77777777" w:rsidR="00A351FC" w:rsidRPr="004F5FB4" w:rsidRDefault="00A351FC" w:rsidP="00982118">
            <w:pPr>
              <w:keepNext/>
              <w:jc w:val="center"/>
              <w:rPr>
                <w:color w:val="000000"/>
              </w:rPr>
            </w:pPr>
            <w:r w:rsidRPr="004F5FB4">
              <w:rPr>
                <w:b/>
                <w:color w:val="000000"/>
              </w:rPr>
              <w:t>Studie HS-II</w:t>
            </w:r>
          </w:p>
        </w:tc>
      </w:tr>
      <w:tr w:rsidR="00A351FC" w:rsidRPr="004F5FB4" w14:paraId="1AD0AB5A" w14:textId="77777777" w:rsidTr="002273C4">
        <w:tc>
          <w:tcPr>
            <w:tcW w:w="2268" w:type="dxa"/>
            <w:vMerge/>
            <w:tcBorders>
              <w:left w:val="single" w:sz="4" w:space="0" w:color="auto"/>
              <w:bottom w:val="single" w:sz="4" w:space="0" w:color="auto"/>
              <w:right w:val="single" w:sz="4" w:space="0" w:color="auto"/>
            </w:tcBorders>
            <w:vAlign w:val="center"/>
            <w:hideMark/>
          </w:tcPr>
          <w:p w14:paraId="72C9DD09" w14:textId="77777777" w:rsidR="00A351FC" w:rsidRPr="004F5FB4" w:rsidRDefault="00A351FC" w:rsidP="00982118">
            <w:pPr>
              <w:keepNext/>
              <w:rPr>
                <w:color w:val="000000"/>
                <w:lang w:val="en-GB"/>
              </w:rPr>
            </w:pPr>
          </w:p>
        </w:tc>
        <w:tc>
          <w:tcPr>
            <w:tcW w:w="1260" w:type="dxa"/>
            <w:tcBorders>
              <w:top w:val="single" w:sz="4" w:space="0" w:color="auto"/>
              <w:left w:val="single" w:sz="4" w:space="0" w:color="auto"/>
              <w:bottom w:val="single" w:sz="4" w:space="0" w:color="auto"/>
              <w:right w:val="single" w:sz="4" w:space="0" w:color="auto"/>
            </w:tcBorders>
            <w:vAlign w:val="bottom"/>
            <w:hideMark/>
          </w:tcPr>
          <w:p w14:paraId="45318B9E" w14:textId="77777777" w:rsidR="00A351FC" w:rsidRPr="004F5FB4" w:rsidRDefault="00A351FC" w:rsidP="00982118">
            <w:pPr>
              <w:keepNext/>
              <w:jc w:val="center"/>
              <w:rPr>
                <w:b/>
                <w:color w:val="000000"/>
              </w:rPr>
            </w:pPr>
            <w:r w:rsidRPr="004F5FB4">
              <w:rPr>
                <w:b/>
                <w:color w:val="000000"/>
              </w:rPr>
              <w:t>Placebo</w:t>
            </w:r>
          </w:p>
        </w:tc>
        <w:tc>
          <w:tcPr>
            <w:tcW w:w="2257" w:type="dxa"/>
            <w:tcBorders>
              <w:top w:val="single" w:sz="4" w:space="0" w:color="auto"/>
              <w:left w:val="single" w:sz="4" w:space="0" w:color="auto"/>
              <w:bottom w:val="single" w:sz="4" w:space="0" w:color="auto"/>
              <w:right w:val="single" w:sz="4" w:space="0" w:color="auto"/>
            </w:tcBorders>
            <w:vAlign w:val="bottom"/>
            <w:hideMark/>
          </w:tcPr>
          <w:p w14:paraId="18C6153A" w14:textId="77777777" w:rsidR="00A351FC" w:rsidRPr="004F5FB4" w:rsidRDefault="00A351FC" w:rsidP="00982118">
            <w:pPr>
              <w:keepNext/>
              <w:jc w:val="center"/>
              <w:rPr>
                <w:b/>
                <w:color w:val="000000"/>
              </w:rPr>
            </w:pPr>
            <w:r w:rsidRPr="004F5FB4">
              <w:rPr>
                <w:b/>
                <w:color w:val="000000"/>
              </w:rPr>
              <w:t>40 mg Adalimumab wöchentlich</w:t>
            </w:r>
          </w:p>
        </w:tc>
        <w:tc>
          <w:tcPr>
            <w:tcW w:w="1163" w:type="dxa"/>
            <w:tcBorders>
              <w:top w:val="single" w:sz="4" w:space="0" w:color="auto"/>
              <w:left w:val="single" w:sz="4" w:space="0" w:color="auto"/>
              <w:bottom w:val="single" w:sz="4" w:space="0" w:color="auto"/>
              <w:right w:val="single" w:sz="4" w:space="0" w:color="auto"/>
            </w:tcBorders>
            <w:vAlign w:val="bottom"/>
            <w:hideMark/>
          </w:tcPr>
          <w:p w14:paraId="022909F9" w14:textId="77777777" w:rsidR="00A351FC" w:rsidRPr="004F5FB4" w:rsidRDefault="00A351FC" w:rsidP="00982118">
            <w:pPr>
              <w:keepNext/>
              <w:jc w:val="center"/>
              <w:rPr>
                <w:b/>
                <w:color w:val="000000"/>
              </w:rPr>
            </w:pPr>
            <w:r w:rsidRPr="004F5FB4">
              <w:rPr>
                <w:b/>
                <w:color w:val="000000"/>
              </w:rPr>
              <w:t>Placebo</w:t>
            </w:r>
          </w:p>
        </w:tc>
        <w:tc>
          <w:tcPr>
            <w:tcW w:w="2355" w:type="dxa"/>
            <w:tcBorders>
              <w:top w:val="single" w:sz="4" w:space="0" w:color="auto"/>
              <w:left w:val="single" w:sz="4" w:space="0" w:color="auto"/>
              <w:bottom w:val="single" w:sz="4" w:space="0" w:color="auto"/>
              <w:right w:val="single" w:sz="4" w:space="0" w:color="auto"/>
            </w:tcBorders>
            <w:vAlign w:val="bottom"/>
            <w:hideMark/>
          </w:tcPr>
          <w:p w14:paraId="7B7035E6" w14:textId="77777777" w:rsidR="00A351FC" w:rsidRPr="004F5FB4" w:rsidRDefault="00A351FC" w:rsidP="00982118">
            <w:pPr>
              <w:keepNext/>
              <w:jc w:val="center"/>
              <w:rPr>
                <w:b/>
                <w:color w:val="000000"/>
              </w:rPr>
            </w:pPr>
            <w:r w:rsidRPr="004F5FB4">
              <w:rPr>
                <w:b/>
                <w:color w:val="000000"/>
              </w:rPr>
              <w:t>40 mg Adalimumab wöchentlich</w:t>
            </w:r>
          </w:p>
        </w:tc>
      </w:tr>
      <w:tr w:rsidR="00C46587" w:rsidRPr="004F5FB4" w14:paraId="20B3FB4A" w14:textId="77777777" w:rsidTr="007C0343">
        <w:tc>
          <w:tcPr>
            <w:tcW w:w="2268" w:type="dxa"/>
            <w:tcBorders>
              <w:top w:val="single" w:sz="4" w:space="0" w:color="auto"/>
              <w:left w:val="single" w:sz="4" w:space="0" w:color="auto"/>
              <w:bottom w:val="single" w:sz="4" w:space="0" w:color="auto"/>
              <w:right w:val="single" w:sz="4" w:space="0" w:color="auto"/>
            </w:tcBorders>
            <w:hideMark/>
          </w:tcPr>
          <w:p w14:paraId="524A4A60" w14:textId="77777777" w:rsidR="00C46587" w:rsidRPr="004F5FB4" w:rsidRDefault="00C46587" w:rsidP="00982118">
            <w:pPr>
              <w:keepNext/>
              <w:rPr>
                <w:color w:val="000000"/>
                <w:lang w:val="en-US"/>
              </w:rPr>
            </w:pPr>
            <w:r w:rsidRPr="004F5FB4">
              <w:rPr>
                <w:color w:val="000000"/>
                <w:lang w:val="en-US"/>
              </w:rPr>
              <w:t>Hidradenitis Suppurativa Clinical Response (</w:t>
            </w:r>
            <w:proofErr w:type="spellStart"/>
            <w:r w:rsidRPr="004F5FB4">
              <w:rPr>
                <w:color w:val="000000"/>
                <w:lang w:val="en-US"/>
              </w:rPr>
              <w:t>HiSCR</w:t>
            </w:r>
            <w:proofErr w:type="spellEnd"/>
            <w:r w:rsidRPr="004F5FB4">
              <w:rPr>
                <w:color w:val="000000"/>
                <w:lang w:val="en-US"/>
              </w:rPr>
              <w:t>)a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1424F0"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154</w:t>
            </w:r>
          </w:p>
          <w:p w14:paraId="2AD9B96B" w14:textId="77777777" w:rsidR="00C46587" w:rsidRPr="004F5FB4" w:rsidRDefault="00C46587" w:rsidP="00982118">
            <w:pPr>
              <w:keepNext/>
              <w:jc w:val="center"/>
              <w:rPr>
                <w:color w:val="000000"/>
              </w:rPr>
            </w:pPr>
            <w:r w:rsidRPr="004F5FB4">
              <w:rPr>
                <w:color w:val="000000"/>
              </w:rPr>
              <w:t>40 (26,0 %)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DAB1A7B"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153</w:t>
            </w:r>
          </w:p>
          <w:p w14:paraId="2823CE01" w14:textId="77777777" w:rsidR="00C46587" w:rsidRPr="004F5FB4" w:rsidRDefault="00C46587" w:rsidP="00982118">
            <w:pPr>
              <w:keepNext/>
              <w:jc w:val="center"/>
              <w:rPr>
                <w:color w:val="000000"/>
              </w:rPr>
            </w:pPr>
            <w:r w:rsidRPr="004F5FB4">
              <w:rPr>
                <w:color w:val="000000"/>
              </w:rPr>
              <w:t>64 (41,8</w:t>
            </w:r>
            <w:r w:rsidR="00390783" w:rsidRPr="004F5FB4">
              <w:rPr>
                <w:color w:val="000000"/>
              </w:rPr>
              <w:t> </w:t>
            </w:r>
            <w:r w:rsidRPr="004F5FB4">
              <w:rPr>
                <w:color w:val="000000"/>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0A2D6CE"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163</w:t>
            </w:r>
          </w:p>
          <w:p w14:paraId="02175988" w14:textId="77777777" w:rsidR="00C46587" w:rsidRPr="004F5FB4" w:rsidRDefault="00C46587" w:rsidP="00982118">
            <w:pPr>
              <w:keepNext/>
              <w:jc w:val="center"/>
              <w:rPr>
                <w:color w:val="000000"/>
              </w:rPr>
            </w:pPr>
            <w:r w:rsidRPr="004F5FB4">
              <w:rPr>
                <w:color w:val="000000"/>
              </w:rPr>
              <w:t>45 (27,6 %)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54D26ED4"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163</w:t>
            </w:r>
          </w:p>
          <w:p w14:paraId="27F297BD" w14:textId="77777777" w:rsidR="00C46587" w:rsidRPr="004F5FB4" w:rsidRDefault="00C46587" w:rsidP="00982118">
            <w:pPr>
              <w:keepNext/>
              <w:jc w:val="center"/>
              <w:rPr>
                <w:color w:val="000000"/>
              </w:rPr>
            </w:pPr>
            <w:r w:rsidRPr="004F5FB4">
              <w:rPr>
                <w:color w:val="000000"/>
              </w:rPr>
              <w:t>96 (58,9</w:t>
            </w:r>
            <w:r w:rsidR="00390783" w:rsidRPr="004F5FB4">
              <w:rPr>
                <w:color w:val="000000"/>
              </w:rPr>
              <w:t> </w:t>
            </w:r>
            <w:r w:rsidRPr="004F5FB4">
              <w:rPr>
                <w:color w:val="000000"/>
              </w:rPr>
              <w:t>%)***</w:t>
            </w:r>
          </w:p>
        </w:tc>
      </w:tr>
      <w:tr w:rsidR="00C46587" w:rsidRPr="004F5FB4" w14:paraId="27E7326A" w14:textId="77777777" w:rsidTr="00141962">
        <w:tc>
          <w:tcPr>
            <w:tcW w:w="2268" w:type="dxa"/>
            <w:tcBorders>
              <w:top w:val="single" w:sz="4" w:space="0" w:color="auto"/>
              <w:left w:val="single" w:sz="4" w:space="0" w:color="auto"/>
              <w:bottom w:val="single" w:sz="4" w:space="0" w:color="auto"/>
              <w:right w:val="single" w:sz="4" w:space="0" w:color="auto"/>
            </w:tcBorders>
            <w:hideMark/>
          </w:tcPr>
          <w:p w14:paraId="33BC0041" w14:textId="77777777" w:rsidR="00C46587" w:rsidRPr="004F5FB4" w:rsidRDefault="00C46587" w:rsidP="00982118">
            <w:pPr>
              <w:keepNext/>
              <w:rPr>
                <w:color w:val="000000"/>
              </w:rPr>
            </w:pPr>
            <w:r w:rsidRPr="004F5FB4">
              <w:rPr>
                <w:color w:val="000000"/>
              </w:rPr>
              <w:t>≥ 30%ige Verringerung der Hautschmerzen</w:t>
            </w:r>
            <w:r w:rsidRPr="004F5FB4">
              <w:rPr>
                <w:color w:val="000000"/>
                <w:vertAlign w:val="superscript"/>
              </w:rPr>
              <w:t>b</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E628432"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109</w:t>
            </w:r>
          </w:p>
          <w:p w14:paraId="3476500D" w14:textId="77777777" w:rsidR="00C46587" w:rsidRPr="004F5FB4" w:rsidRDefault="00C46587" w:rsidP="00982118">
            <w:pPr>
              <w:keepNext/>
              <w:jc w:val="center"/>
              <w:rPr>
                <w:color w:val="000000"/>
              </w:rPr>
            </w:pPr>
            <w:r w:rsidRPr="004F5FB4">
              <w:rPr>
                <w:color w:val="000000"/>
              </w:rPr>
              <w:t>27 (24,8 %)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39E9CD0D"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122</w:t>
            </w:r>
          </w:p>
          <w:p w14:paraId="596C4CC1" w14:textId="77777777" w:rsidR="00C46587" w:rsidRPr="004F5FB4" w:rsidRDefault="00C46587" w:rsidP="00982118">
            <w:pPr>
              <w:keepNext/>
              <w:jc w:val="center"/>
              <w:rPr>
                <w:color w:val="000000"/>
              </w:rPr>
            </w:pPr>
            <w:r w:rsidRPr="004F5FB4">
              <w:rPr>
                <w:color w:val="000000"/>
              </w:rPr>
              <w:t>34 (27,9 %)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AC96A92"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111</w:t>
            </w:r>
          </w:p>
          <w:p w14:paraId="0C0A3072" w14:textId="77777777" w:rsidR="00C46587" w:rsidRPr="004F5FB4" w:rsidRDefault="00C46587" w:rsidP="00982118">
            <w:pPr>
              <w:keepNext/>
              <w:jc w:val="center"/>
              <w:rPr>
                <w:color w:val="000000"/>
              </w:rPr>
            </w:pPr>
            <w:r w:rsidRPr="004F5FB4">
              <w:rPr>
                <w:color w:val="000000"/>
              </w:rPr>
              <w:t>23 (20,7 %)</w:t>
            </w:r>
          </w:p>
        </w:tc>
        <w:tc>
          <w:tcPr>
            <w:tcW w:w="2355" w:type="dxa"/>
            <w:tcBorders>
              <w:top w:val="single" w:sz="4" w:space="0" w:color="auto"/>
              <w:left w:val="single" w:sz="4" w:space="0" w:color="auto"/>
              <w:bottom w:val="single" w:sz="4" w:space="0" w:color="auto"/>
              <w:right w:val="single" w:sz="4" w:space="0" w:color="auto"/>
            </w:tcBorders>
            <w:vAlign w:val="center"/>
            <w:hideMark/>
          </w:tcPr>
          <w:p w14:paraId="7DF12AE0" w14:textId="77777777" w:rsidR="00C46587" w:rsidRPr="004F5FB4" w:rsidRDefault="00C46587" w:rsidP="00982118">
            <w:pPr>
              <w:keepNext/>
              <w:jc w:val="center"/>
              <w:rPr>
                <w:color w:val="000000"/>
              </w:rPr>
            </w:pPr>
            <w:r w:rsidRPr="004F5FB4">
              <w:rPr>
                <w:color w:val="000000"/>
              </w:rPr>
              <w:t>n</w:t>
            </w:r>
            <w:r w:rsidR="00CB38A7" w:rsidRPr="004F5FB4">
              <w:rPr>
                <w:color w:val="000000"/>
              </w:rPr>
              <w:t> </w:t>
            </w:r>
            <w:r w:rsidRPr="004F5FB4">
              <w:rPr>
                <w:color w:val="000000"/>
              </w:rPr>
              <w:t>=</w:t>
            </w:r>
            <w:r w:rsidR="00CB38A7" w:rsidRPr="004F5FB4">
              <w:rPr>
                <w:color w:val="000000"/>
              </w:rPr>
              <w:t> </w:t>
            </w:r>
            <w:r w:rsidRPr="004F5FB4">
              <w:rPr>
                <w:color w:val="000000"/>
              </w:rPr>
              <w:t>105</w:t>
            </w:r>
          </w:p>
          <w:p w14:paraId="2806CCB0" w14:textId="77777777" w:rsidR="00C46587" w:rsidRPr="004F5FB4" w:rsidRDefault="00C46587" w:rsidP="00982118">
            <w:pPr>
              <w:keepNext/>
              <w:jc w:val="center"/>
              <w:rPr>
                <w:color w:val="000000"/>
              </w:rPr>
            </w:pPr>
            <w:r w:rsidRPr="004F5FB4">
              <w:rPr>
                <w:color w:val="000000"/>
              </w:rPr>
              <w:t>48 (45,7</w:t>
            </w:r>
            <w:r w:rsidR="00390783" w:rsidRPr="004F5FB4">
              <w:rPr>
                <w:color w:val="000000"/>
              </w:rPr>
              <w:t> </w:t>
            </w:r>
            <w:r w:rsidRPr="004F5FB4">
              <w:rPr>
                <w:color w:val="000000"/>
              </w:rPr>
              <w:t>%)***</w:t>
            </w:r>
          </w:p>
        </w:tc>
      </w:tr>
      <w:tr w:rsidR="00696F48" w:rsidRPr="004F5FB4" w14:paraId="77819048" w14:textId="77777777" w:rsidTr="00141962">
        <w:tc>
          <w:tcPr>
            <w:tcW w:w="9303" w:type="dxa"/>
            <w:gridSpan w:val="5"/>
            <w:tcBorders>
              <w:top w:val="single" w:sz="4" w:space="0" w:color="auto"/>
              <w:left w:val="nil"/>
              <w:bottom w:val="nil"/>
              <w:right w:val="nil"/>
            </w:tcBorders>
          </w:tcPr>
          <w:p w14:paraId="6B85C201" w14:textId="77777777" w:rsidR="00141962" w:rsidRPr="00206AEA" w:rsidRDefault="00141962" w:rsidP="00141962">
            <w:pPr>
              <w:keepNext/>
              <w:rPr>
                <w:color w:val="000000"/>
                <w:sz w:val="20"/>
              </w:rPr>
            </w:pPr>
            <w:r w:rsidRPr="00206AEA">
              <w:rPr>
                <w:color w:val="000000"/>
                <w:sz w:val="20"/>
              </w:rPr>
              <w:t>* p &lt; 0,05, *** p &lt; 0,001, Adalimumab gegenüber Placebo</w:t>
            </w:r>
          </w:p>
          <w:p w14:paraId="057094BB" w14:textId="77777777" w:rsidR="00141962" w:rsidRPr="00206AEA" w:rsidRDefault="00141962" w:rsidP="00141962">
            <w:pPr>
              <w:keepNext/>
              <w:ind w:left="270" w:hanging="270"/>
              <w:rPr>
                <w:color w:val="000000"/>
                <w:sz w:val="20"/>
              </w:rPr>
            </w:pPr>
            <w:r w:rsidRPr="00206AEA">
              <w:rPr>
                <w:color w:val="000000"/>
                <w:sz w:val="20"/>
                <w:vertAlign w:val="superscript"/>
              </w:rPr>
              <w:t>a</w:t>
            </w:r>
            <w:r w:rsidRPr="00206AEA">
              <w:rPr>
                <w:color w:val="000000"/>
                <w:sz w:val="20"/>
              </w:rPr>
              <w:tab/>
              <w:t>Unter allen randomisierten Patienten</w:t>
            </w:r>
          </w:p>
          <w:p w14:paraId="4B0680DB" w14:textId="77777777" w:rsidR="00141962" w:rsidRPr="00206AEA" w:rsidRDefault="00141962" w:rsidP="00141962">
            <w:pPr>
              <w:keepNext/>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Unter den Patienten mit einer anfänglichen Einstufung der HS-bezogenen Hautschmerzen ≥ 3 auf Basis einer numerischen Bewertungsskala</w:t>
            </w:r>
          </w:p>
          <w:p w14:paraId="538A30DE" w14:textId="77777777" w:rsidR="00696F48" w:rsidRPr="00206AEA" w:rsidRDefault="00141962" w:rsidP="00141962">
            <w:pPr>
              <w:keepNext/>
              <w:ind w:left="270" w:hanging="270"/>
              <w:rPr>
                <w:color w:val="000000"/>
                <w:sz w:val="20"/>
              </w:rPr>
            </w:pPr>
            <w:r w:rsidRPr="00206AEA">
              <w:rPr>
                <w:color w:val="000000"/>
                <w:sz w:val="20"/>
              </w:rPr>
              <w:tab/>
              <w:t>von 0 bis 10; 0 = keine Hautschmerzen, 10 = die schlimmsten vorstellbaren Hautschmerzen</w:t>
            </w:r>
          </w:p>
        </w:tc>
      </w:tr>
    </w:tbl>
    <w:p w14:paraId="40891FFA" w14:textId="77777777" w:rsidR="00C46587" w:rsidRPr="004F5FB4" w:rsidRDefault="00C46587" w:rsidP="00982118">
      <w:pPr>
        <w:rPr>
          <w:color w:val="000000"/>
        </w:rPr>
      </w:pPr>
    </w:p>
    <w:p w14:paraId="679CA38B" w14:textId="77777777" w:rsidR="00C46587" w:rsidRPr="004F5FB4" w:rsidRDefault="00C46587" w:rsidP="00982118">
      <w:pPr>
        <w:rPr>
          <w:color w:val="000000"/>
        </w:rPr>
      </w:pPr>
      <w:r w:rsidRPr="004F5FB4">
        <w:rPr>
          <w:color w:val="000000"/>
        </w:rPr>
        <w:t>Die Behandlung mit 40 mg Adalimumab wöchentlich führte zu einer signifikanten Verringerung des Risikos einer Verschlimmerung von Abszessen und drainierenden Fisteln. Etwa doppelt so viele Patienten in der Placebogruppe wiesen im Vergleich zur Adalimumab-Gruppe in den ersten 12</w:t>
      </w:r>
      <w:r w:rsidR="00390783" w:rsidRPr="004F5FB4">
        <w:rPr>
          <w:color w:val="000000"/>
        </w:rPr>
        <w:t> </w:t>
      </w:r>
      <w:r w:rsidRPr="004F5FB4">
        <w:rPr>
          <w:color w:val="000000"/>
        </w:rPr>
        <w:t>Wochen der Studien HS</w:t>
      </w:r>
      <w:r w:rsidRPr="004F5FB4">
        <w:rPr>
          <w:color w:val="000000"/>
        </w:rPr>
        <w:noBreakHyphen/>
        <w:t>I und HS</w:t>
      </w:r>
      <w:r w:rsidRPr="004F5FB4">
        <w:rPr>
          <w:color w:val="000000"/>
        </w:rPr>
        <w:noBreakHyphen/>
        <w:t xml:space="preserve">II eine Verschlimmerung der Abszesse (23,0 % gegenüber 11,4 %) und drainierenden Fisteln (30,0 % gegenüber 13,9 %) auf. </w:t>
      </w:r>
    </w:p>
    <w:p w14:paraId="7F3AF0A5" w14:textId="77777777" w:rsidR="00C46587" w:rsidRPr="004F5FB4" w:rsidRDefault="00C46587" w:rsidP="00982118">
      <w:pPr>
        <w:rPr>
          <w:color w:val="000000"/>
        </w:rPr>
      </w:pPr>
    </w:p>
    <w:p w14:paraId="132EF264" w14:textId="77777777" w:rsidR="00C46587" w:rsidRPr="004F5FB4" w:rsidRDefault="00C46587" w:rsidP="00982118">
      <w:pPr>
        <w:rPr>
          <w:color w:val="000000"/>
        </w:rPr>
      </w:pPr>
      <w:r w:rsidRPr="004F5FB4">
        <w:rPr>
          <w:color w:val="000000"/>
        </w:rPr>
        <w:t>In Woche 12 wurden gegenüber den Ausgangswerten im Vergleich zu Placebo größere Verbesserungen hinsichtlich der anhand des Dermatology Life Quality Index (DLQI; Studie HS</w:t>
      </w:r>
      <w:r w:rsidRPr="004F5FB4">
        <w:rPr>
          <w:color w:val="000000"/>
        </w:rPr>
        <w:noBreakHyphen/>
        <w:t>I und HS</w:t>
      </w:r>
      <w:r w:rsidRPr="004F5FB4">
        <w:rPr>
          <w:color w:val="000000"/>
        </w:rPr>
        <w:noBreakHyphen/>
        <w:t>II) gemessenen hautspezifischen gesundheitsbezogenen Lebensqualität, der anhand des Treatment Satisfaction Questionnaire – Medication (TSQM; Studie HS</w:t>
      </w:r>
      <w:r w:rsidRPr="004F5FB4">
        <w:rPr>
          <w:color w:val="000000"/>
        </w:rPr>
        <w:noBreakHyphen/>
        <w:t>I und HS</w:t>
      </w:r>
      <w:r w:rsidRPr="004F5FB4">
        <w:rPr>
          <w:color w:val="000000"/>
        </w:rPr>
        <w:noBreakHyphen/>
        <w:t>II) gemessenen allgemeinen Zufriedenheit der Patienten mit der medikamentösen Behandlung und der anhand des Physical Component Summary Score des SF</w:t>
      </w:r>
      <w:r w:rsidRPr="004F5FB4">
        <w:rPr>
          <w:color w:val="000000"/>
        </w:rPr>
        <w:noBreakHyphen/>
        <w:t>36-Fragebogens (Studie HS</w:t>
      </w:r>
      <w:r w:rsidRPr="004F5FB4">
        <w:rPr>
          <w:color w:val="000000"/>
        </w:rPr>
        <w:noBreakHyphen/>
        <w:t xml:space="preserve">I) gemessenen körperlichen Gesundheit festgestellt. </w:t>
      </w:r>
    </w:p>
    <w:p w14:paraId="0B1590F7" w14:textId="77777777" w:rsidR="00C46587" w:rsidRPr="004F5FB4" w:rsidRDefault="00C46587" w:rsidP="00982118">
      <w:pPr>
        <w:rPr>
          <w:color w:val="000000"/>
        </w:rPr>
      </w:pPr>
    </w:p>
    <w:p w14:paraId="556714C4" w14:textId="77777777" w:rsidR="00C46587" w:rsidRPr="004F5FB4" w:rsidRDefault="00C46587" w:rsidP="00982118">
      <w:pPr>
        <w:rPr>
          <w:color w:val="000000"/>
        </w:rPr>
      </w:pPr>
      <w:r w:rsidRPr="004F5FB4">
        <w:rPr>
          <w:color w:val="000000"/>
        </w:rPr>
        <w:t>Unter den Patienten, die in Woche</w:t>
      </w:r>
      <w:r w:rsidR="00390783" w:rsidRPr="004F5FB4">
        <w:rPr>
          <w:color w:val="000000"/>
        </w:rPr>
        <w:t> </w:t>
      </w:r>
      <w:r w:rsidRPr="004F5FB4">
        <w:rPr>
          <w:color w:val="000000"/>
        </w:rPr>
        <w:t>12 mindestens teilweise auf die Behandlung mit 40 mg Adalimumab wöchentlich angesprochen haben, war die HiSCR-Rate in Woche</w:t>
      </w:r>
      <w:r w:rsidR="00390783" w:rsidRPr="004F5FB4">
        <w:rPr>
          <w:color w:val="000000"/>
        </w:rPr>
        <w:t> </w:t>
      </w:r>
      <w:r w:rsidRPr="004F5FB4">
        <w:rPr>
          <w:color w:val="000000"/>
        </w:rPr>
        <w:t>36 höher bei Patienten, die weiterhin wöchentlich mit Adalimumab behandelt wurden, als bei Patienten, deren Dosisintervall auf jede zweite Woche verlängert wurde oder bei denen die Behandlung abgesetzt wurde (siehe Tabelle</w:t>
      </w:r>
      <w:r w:rsidR="00390783" w:rsidRPr="004F5FB4">
        <w:rPr>
          <w:color w:val="000000"/>
        </w:rPr>
        <w:t> </w:t>
      </w:r>
      <w:r w:rsidR="00B852E6">
        <w:rPr>
          <w:color w:val="000000"/>
        </w:rPr>
        <w:t>20</w:t>
      </w:r>
      <w:r w:rsidRPr="004F5FB4">
        <w:rPr>
          <w:color w:val="000000"/>
        </w:rPr>
        <w:t xml:space="preserve">). </w:t>
      </w:r>
    </w:p>
    <w:p w14:paraId="6E949684" w14:textId="77777777" w:rsidR="00B60BF3" w:rsidRPr="004F5FB4" w:rsidRDefault="00B60BF3" w:rsidP="00982118">
      <w:pPr>
        <w:rPr>
          <w:color w:val="000000"/>
        </w:rPr>
      </w:pPr>
    </w:p>
    <w:p w14:paraId="555F34B2" w14:textId="77777777" w:rsidR="00FA0342" w:rsidRPr="004F5FB4" w:rsidRDefault="0098487F" w:rsidP="00687087">
      <w:pPr>
        <w:keepNext/>
        <w:rPr>
          <w:b/>
          <w:color w:val="000000"/>
        </w:rPr>
      </w:pPr>
      <w:r w:rsidRPr="004F5FB4">
        <w:rPr>
          <w:b/>
          <w:color w:val="000000"/>
        </w:rPr>
        <w:lastRenderedPageBreak/>
        <w:t>Tabelle</w:t>
      </w:r>
      <w:r w:rsidR="00B852E6">
        <w:rPr>
          <w:b/>
          <w:color w:val="000000"/>
        </w:rPr>
        <w:t> 20</w:t>
      </w:r>
    </w:p>
    <w:p w14:paraId="40757C7C" w14:textId="77777777" w:rsidR="0098487F" w:rsidRPr="004F5FB4" w:rsidRDefault="0098487F" w:rsidP="00687087">
      <w:pPr>
        <w:keepNext/>
        <w:rPr>
          <w:b/>
          <w:color w:val="000000"/>
        </w:rPr>
      </w:pPr>
      <w:r w:rsidRPr="004F5FB4">
        <w:rPr>
          <w:b/>
          <w:color w:val="000000"/>
        </w:rPr>
        <w:t>Anteil der Patienten</w:t>
      </w:r>
      <w:r w:rsidRPr="004F5FB4">
        <w:rPr>
          <w:b/>
          <w:color w:val="000000"/>
          <w:vertAlign w:val="superscript"/>
        </w:rPr>
        <w:t>a</w:t>
      </w:r>
      <w:r w:rsidRPr="004F5FB4">
        <w:rPr>
          <w:b/>
          <w:color w:val="000000"/>
        </w:rPr>
        <w:t xml:space="preserve"> unter wöchentlicher Behandlung mit Adalimumab in Woche 12, die nach Neuzuweisung der Behandlung HiSCR</w:t>
      </w:r>
      <w:r w:rsidRPr="004F5FB4">
        <w:rPr>
          <w:b/>
          <w:color w:val="000000"/>
          <w:vertAlign w:val="superscript"/>
        </w:rPr>
        <w:t>b</w:t>
      </w:r>
      <w:r w:rsidRPr="004F5FB4">
        <w:rPr>
          <w:b/>
          <w:color w:val="000000"/>
        </w:rPr>
        <w:t xml:space="preserve"> in Woche 24 und 36 erreichten</w:t>
      </w:r>
    </w:p>
    <w:p w14:paraId="7635897E" w14:textId="77777777" w:rsidR="0098487F" w:rsidRPr="004F5FB4" w:rsidRDefault="0098487F" w:rsidP="001E35BC">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2381"/>
        <w:gridCol w:w="2239"/>
        <w:gridCol w:w="2239"/>
      </w:tblGrid>
      <w:tr w:rsidR="0098487F" w:rsidRPr="004F5FB4" w14:paraId="127D822C" w14:textId="77777777" w:rsidTr="001E35BC">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7EE8AEEA" w14:textId="77777777" w:rsidR="0098487F" w:rsidRPr="004F5FB4" w:rsidRDefault="0098487F" w:rsidP="001E35BC">
            <w:pPr>
              <w:keepNext/>
              <w:jc w:val="center"/>
              <w:rPr>
                <w:b/>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3F8B48DC" w14:textId="77777777" w:rsidR="0098487F" w:rsidRPr="004F5FB4" w:rsidRDefault="0098487F" w:rsidP="001E35BC">
            <w:pPr>
              <w:keepNext/>
              <w:jc w:val="center"/>
              <w:rPr>
                <w:b/>
                <w:color w:val="000000"/>
              </w:rPr>
            </w:pPr>
            <w:r w:rsidRPr="004F5FB4">
              <w:rPr>
                <w:b/>
                <w:color w:val="000000"/>
              </w:rPr>
              <w:t>Placebo</w:t>
            </w:r>
          </w:p>
          <w:p w14:paraId="5D76F184" w14:textId="77777777" w:rsidR="0098487F" w:rsidRPr="004F5FB4" w:rsidRDefault="0098487F" w:rsidP="001E35BC">
            <w:pPr>
              <w:keepNext/>
              <w:jc w:val="center"/>
              <w:rPr>
                <w:b/>
                <w:color w:val="000000"/>
              </w:rPr>
            </w:pPr>
            <w:r w:rsidRPr="004F5FB4">
              <w:rPr>
                <w:b/>
                <w:color w:val="000000"/>
              </w:rPr>
              <w:t>(Behandlungsabbruch)</w:t>
            </w:r>
          </w:p>
          <w:p w14:paraId="371C4DBD" w14:textId="77777777" w:rsidR="0098487F" w:rsidRPr="004F5FB4" w:rsidRDefault="00CB38A7" w:rsidP="00F41FC1">
            <w:pPr>
              <w:keepNext/>
              <w:jc w:val="center"/>
              <w:rPr>
                <w:b/>
                <w:color w:val="000000"/>
              </w:rPr>
            </w:pPr>
            <w:r w:rsidRPr="004F5FB4">
              <w:rPr>
                <w:b/>
                <w:color w:val="000000"/>
              </w:rPr>
              <w:t>n</w:t>
            </w:r>
            <w:r w:rsidR="00F41FC1" w:rsidRPr="004F5FB4">
              <w:rPr>
                <w:b/>
                <w:color w:val="000000"/>
              </w:rPr>
              <w:t> </w:t>
            </w:r>
            <w:r w:rsidR="0098487F" w:rsidRPr="004F5FB4">
              <w:rPr>
                <w:b/>
                <w:color w:val="000000"/>
              </w:rPr>
              <w:t>=</w:t>
            </w:r>
            <w:r w:rsidR="00F41FC1" w:rsidRPr="004F5FB4">
              <w:rPr>
                <w:b/>
                <w:color w:val="000000"/>
              </w:rPr>
              <w:t> </w:t>
            </w:r>
            <w:r w:rsidR="0098487F" w:rsidRPr="004F5FB4">
              <w:rPr>
                <w:b/>
                <w:color w:val="000000"/>
              </w:rPr>
              <w:t>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3DF1E01" w14:textId="77777777" w:rsidR="0098487F" w:rsidRPr="004F5FB4" w:rsidRDefault="0098487F" w:rsidP="001E35BC">
            <w:pPr>
              <w:keepNext/>
              <w:jc w:val="center"/>
              <w:rPr>
                <w:b/>
                <w:color w:val="000000"/>
              </w:rPr>
            </w:pPr>
            <w:r w:rsidRPr="004F5FB4">
              <w:rPr>
                <w:b/>
                <w:color w:val="000000"/>
              </w:rPr>
              <w:t>40 mg Adalimumab</w:t>
            </w:r>
          </w:p>
          <w:p w14:paraId="318EFE1B" w14:textId="77777777" w:rsidR="0098487F" w:rsidRPr="004F5FB4" w:rsidRDefault="0098487F" w:rsidP="001E35BC">
            <w:pPr>
              <w:keepNext/>
              <w:jc w:val="center"/>
              <w:rPr>
                <w:b/>
                <w:color w:val="000000"/>
              </w:rPr>
            </w:pPr>
            <w:r w:rsidRPr="004F5FB4">
              <w:rPr>
                <w:b/>
                <w:color w:val="000000"/>
              </w:rPr>
              <w:t>jede zweite Woche</w:t>
            </w:r>
          </w:p>
          <w:p w14:paraId="55B7214E" w14:textId="77777777" w:rsidR="0098487F" w:rsidRPr="004F5FB4" w:rsidRDefault="0098487F"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D85A2D2" w14:textId="77777777" w:rsidR="0098487F" w:rsidRPr="004F5FB4" w:rsidRDefault="0098487F" w:rsidP="001E35BC">
            <w:pPr>
              <w:keepNext/>
              <w:jc w:val="center"/>
              <w:rPr>
                <w:b/>
                <w:color w:val="000000"/>
              </w:rPr>
            </w:pPr>
            <w:r w:rsidRPr="004F5FB4">
              <w:rPr>
                <w:b/>
                <w:color w:val="000000"/>
              </w:rPr>
              <w:t>40 mg Adalimumab</w:t>
            </w:r>
          </w:p>
          <w:p w14:paraId="3AC44B4D" w14:textId="77777777" w:rsidR="0098487F" w:rsidRPr="004F5FB4" w:rsidRDefault="0098487F" w:rsidP="001E35BC">
            <w:pPr>
              <w:keepNext/>
              <w:jc w:val="center"/>
              <w:rPr>
                <w:b/>
                <w:color w:val="000000"/>
              </w:rPr>
            </w:pPr>
            <w:r w:rsidRPr="004F5FB4">
              <w:rPr>
                <w:b/>
                <w:color w:val="000000"/>
              </w:rPr>
              <w:t>wöchentlich</w:t>
            </w:r>
          </w:p>
          <w:p w14:paraId="178989F0" w14:textId="77777777" w:rsidR="0098487F" w:rsidRPr="004F5FB4" w:rsidRDefault="0098487F"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70</w:t>
            </w:r>
          </w:p>
        </w:tc>
      </w:tr>
      <w:tr w:rsidR="0098487F" w:rsidRPr="004F5FB4" w14:paraId="03B69B27" w14:textId="77777777" w:rsidTr="001E35BC">
        <w:tc>
          <w:tcPr>
            <w:tcW w:w="2325" w:type="dxa"/>
            <w:tcBorders>
              <w:top w:val="single" w:sz="4" w:space="0" w:color="auto"/>
              <w:left w:val="single" w:sz="4" w:space="0" w:color="auto"/>
              <w:bottom w:val="single" w:sz="4" w:space="0" w:color="auto"/>
              <w:right w:val="single" w:sz="4" w:space="0" w:color="auto"/>
            </w:tcBorders>
            <w:hideMark/>
          </w:tcPr>
          <w:p w14:paraId="73F79E7C" w14:textId="77777777" w:rsidR="0098487F" w:rsidRPr="004F5FB4" w:rsidRDefault="0098487F" w:rsidP="001E35BC">
            <w:pPr>
              <w:keepNext/>
              <w:rPr>
                <w:color w:val="000000"/>
              </w:rPr>
            </w:pPr>
            <w:r w:rsidRPr="004F5FB4">
              <w:rPr>
                <w:color w:val="000000"/>
              </w:rPr>
              <w:t>Woche</w:t>
            </w:r>
            <w:r w:rsidR="00CB38A7" w:rsidRPr="004F5FB4">
              <w:rPr>
                <w:color w:val="000000"/>
              </w:rPr>
              <w:t> </w:t>
            </w:r>
            <w:r w:rsidRPr="004F5FB4">
              <w:rPr>
                <w:color w:val="000000"/>
              </w:rPr>
              <w:t>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D87E657" w14:textId="77777777" w:rsidR="0098487F" w:rsidRPr="004F5FB4" w:rsidRDefault="0098487F" w:rsidP="001E35BC">
            <w:pPr>
              <w:keepNext/>
              <w:jc w:val="center"/>
              <w:rPr>
                <w:color w:val="000000"/>
              </w:rPr>
            </w:pPr>
            <w:r w:rsidRPr="004F5FB4">
              <w:rPr>
                <w:color w:val="000000"/>
              </w:rPr>
              <w:t>24 (32,9 %)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19C9C01" w14:textId="77777777" w:rsidR="0098487F" w:rsidRPr="004F5FB4" w:rsidRDefault="0098487F" w:rsidP="001E35BC">
            <w:pPr>
              <w:keepNext/>
              <w:jc w:val="center"/>
              <w:rPr>
                <w:color w:val="000000"/>
              </w:rPr>
            </w:pPr>
            <w:r w:rsidRPr="004F5FB4">
              <w:rPr>
                <w:color w:val="000000"/>
              </w:rPr>
              <w:t>36 (51,4 %)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019AAB4" w14:textId="77777777" w:rsidR="0098487F" w:rsidRPr="004F5FB4" w:rsidRDefault="0098487F" w:rsidP="001E35BC">
            <w:pPr>
              <w:keepNext/>
              <w:jc w:val="center"/>
              <w:rPr>
                <w:color w:val="000000"/>
              </w:rPr>
            </w:pPr>
            <w:r w:rsidRPr="004F5FB4">
              <w:rPr>
                <w:color w:val="000000"/>
              </w:rPr>
              <w:t>40 (57,1 %)</w:t>
            </w:r>
          </w:p>
        </w:tc>
      </w:tr>
      <w:tr w:rsidR="0098487F" w:rsidRPr="004F5FB4" w14:paraId="23A4163D" w14:textId="77777777" w:rsidTr="00141962">
        <w:tc>
          <w:tcPr>
            <w:tcW w:w="2325" w:type="dxa"/>
            <w:tcBorders>
              <w:top w:val="single" w:sz="4" w:space="0" w:color="auto"/>
              <w:left w:val="single" w:sz="4" w:space="0" w:color="auto"/>
              <w:bottom w:val="single" w:sz="4" w:space="0" w:color="auto"/>
              <w:right w:val="single" w:sz="4" w:space="0" w:color="auto"/>
            </w:tcBorders>
            <w:hideMark/>
          </w:tcPr>
          <w:p w14:paraId="0F6ADFE4" w14:textId="77777777" w:rsidR="0098487F" w:rsidRPr="004F5FB4" w:rsidRDefault="0098487F" w:rsidP="00982118">
            <w:pPr>
              <w:rPr>
                <w:color w:val="000000"/>
              </w:rPr>
            </w:pPr>
            <w:r w:rsidRPr="004F5FB4">
              <w:rPr>
                <w:color w:val="000000"/>
              </w:rPr>
              <w:t>Woche</w:t>
            </w:r>
            <w:r w:rsidR="00CB38A7" w:rsidRPr="004F5FB4">
              <w:rPr>
                <w:color w:val="000000"/>
              </w:rPr>
              <w:t> </w:t>
            </w:r>
            <w:r w:rsidRPr="004F5FB4">
              <w:rPr>
                <w:color w:val="000000"/>
              </w:rPr>
              <w:t>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21BF490" w14:textId="77777777" w:rsidR="0098487F" w:rsidRPr="004F5FB4" w:rsidRDefault="0098487F" w:rsidP="00982118">
            <w:pPr>
              <w:jc w:val="center"/>
              <w:rPr>
                <w:color w:val="000000"/>
              </w:rPr>
            </w:pPr>
            <w:r w:rsidRPr="004F5FB4">
              <w:rPr>
                <w:color w:val="000000"/>
              </w:rPr>
              <w:t>22 (30,1 %)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581FDC5" w14:textId="77777777" w:rsidR="0098487F" w:rsidRPr="004F5FB4" w:rsidRDefault="0098487F" w:rsidP="00982118">
            <w:pPr>
              <w:jc w:val="center"/>
              <w:rPr>
                <w:color w:val="000000"/>
              </w:rPr>
            </w:pPr>
            <w:r w:rsidRPr="004F5FB4">
              <w:rPr>
                <w:color w:val="000000"/>
              </w:rPr>
              <w:t>28 (40,0 %)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6F15703" w14:textId="77777777" w:rsidR="0098487F" w:rsidRPr="004F5FB4" w:rsidRDefault="0098487F" w:rsidP="00982118">
            <w:pPr>
              <w:jc w:val="center"/>
              <w:rPr>
                <w:color w:val="000000"/>
              </w:rPr>
            </w:pPr>
            <w:r w:rsidRPr="004F5FB4">
              <w:rPr>
                <w:color w:val="000000"/>
              </w:rPr>
              <w:t>39 (55,7 %)</w:t>
            </w:r>
          </w:p>
        </w:tc>
      </w:tr>
      <w:tr w:rsidR="00141962" w:rsidRPr="004F5FB4" w14:paraId="4B3CBA73" w14:textId="77777777" w:rsidTr="00141962">
        <w:tc>
          <w:tcPr>
            <w:tcW w:w="9303" w:type="dxa"/>
            <w:gridSpan w:val="4"/>
            <w:tcBorders>
              <w:top w:val="single" w:sz="4" w:space="0" w:color="auto"/>
              <w:left w:val="nil"/>
              <w:bottom w:val="nil"/>
              <w:right w:val="nil"/>
            </w:tcBorders>
          </w:tcPr>
          <w:p w14:paraId="68F5D748" w14:textId="77777777" w:rsidR="00141962" w:rsidRPr="00206AEA" w:rsidRDefault="00141962" w:rsidP="00141962">
            <w:pPr>
              <w:tabs>
                <w:tab w:val="left" w:pos="288"/>
              </w:tabs>
              <w:ind w:left="270" w:hanging="270"/>
              <w:rPr>
                <w:color w:val="000000"/>
                <w:sz w:val="20"/>
              </w:rPr>
            </w:pPr>
            <w:r w:rsidRPr="00206AEA">
              <w:rPr>
                <w:color w:val="000000"/>
                <w:sz w:val="20"/>
                <w:vertAlign w:val="superscript"/>
              </w:rPr>
              <w:t>a</w:t>
            </w:r>
            <w:r w:rsidRPr="00206AEA">
              <w:rPr>
                <w:color w:val="000000"/>
                <w:sz w:val="20"/>
              </w:rPr>
              <w:tab/>
              <w:t>Patienten mit einem mindestens teilweisen Ansprechen auf 40 mg Adalimumab wöchentlich nach 12 Behandlungswochen</w:t>
            </w:r>
          </w:p>
          <w:p w14:paraId="3A50DD0B" w14:textId="77777777" w:rsidR="00141962" w:rsidRPr="00206AEA" w:rsidRDefault="00141962" w:rsidP="00141962">
            <w:pPr>
              <w:tabs>
                <w:tab w:val="left" w:pos="288"/>
              </w:tabs>
              <w:ind w:left="270" w:hanging="270"/>
              <w:rPr>
                <w:color w:val="000000"/>
                <w:sz w:val="20"/>
              </w:rPr>
            </w:pPr>
            <w:r w:rsidRPr="00206AEA">
              <w:rPr>
                <w:color w:val="000000"/>
                <w:sz w:val="20"/>
                <w:vertAlign w:val="superscript"/>
              </w:rPr>
              <w:t>b</w:t>
            </w:r>
            <w:r w:rsidRPr="00206AEA">
              <w:rPr>
                <w:color w:val="000000"/>
                <w:sz w:val="20"/>
              </w:rPr>
              <w:tab/>
              <w:t>Patienten, die die im Prüfplan festgelegten Kriterien im Hinblick auf einen Verlust des Ansprechens oder keine Verbesserung erfüllten, mussten aus den Studien ausscheiden und wurden als Non-Responder gewertet.</w:t>
            </w:r>
          </w:p>
        </w:tc>
      </w:tr>
    </w:tbl>
    <w:p w14:paraId="73C9A43E" w14:textId="77777777" w:rsidR="00C46587" w:rsidRPr="004F5FB4" w:rsidRDefault="00C46587" w:rsidP="00982118">
      <w:pPr>
        <w:rPr>
          <w:color w:val="000000"/>
        </w:rPr>
      </w:pPr>
    </w:p>
    <w:p w14:paraId="19AECFE5" w14:textId="77777777" w:rsidR="00C46587" w:rsidRPr="004F5FB4" w:rsidRDefault="00C46587" w:rsidP="00982118">
      <w:pPr>
        <w:rPr>
          <w:color w:val="000000"/>
        </w:rPr>
      </w:pPr>
      <w:r w:rsidRPr="004F5FB4">
        <w:rPr>
          <w:color w:val="000000"/>
        </w:rPr>
        <w:t>Unter den Patienten, die in Woche</w:t>
      </w:r>
      <w:r w:rsidR="00390783" w:rsidRPr="004F5FB4">
        <w:rPr>
          <w:color w:val="000000"/>
        </w:rPr>
        <w:t> </w:t>
      </w:r>
      <w:r w:rsidRPr="004F5FB4">
        <w:rPr>
          <w:color w:val="000000"/>
        </w:rPr>
        <w:t>12 mindestens teilweise auf die Behandlung angesprochen haben und die weiterhin mit Adalimumab behandelt wurden, betrug die HiSCR-Rate in Woche</w:t>
      </w:r>
      <w:r w:rsidR="00390783" w:rsidRPr="004F5FB4">
        <w:rPr>
          <w:color w:val="000000"/>
        </w:rPr>
        <w:t> </w:t>
      </w:r>
      <w:r w:rsidRPr="004F5FB4">
        <w:rPr>
          <w:color w:val="000000"/>
        </w:rPr>
        <w:t>48 68,3</w:t>
      </w:r>
      <w:r w:rsidR="00390783" w:rsidRPr="004F5FB4">
        <w:rPr>
          <w:color w:val="000000"/>
        </w:rPr>
        <w:t> </w:t>
      </w:r>
      <w:r w:rsidRPr="004F5FB4">
        <w:rPr>
          <w:color w:val="000000"/>
        </w:rPr>
        <w:t>% und in Woche</w:t>
      </w:r>
      <w:r w:rsidR="00390783" w:rsidRPr="004F5FB4">
        <w:rPr>
          <w:color w:val="000000"/>
        </w:rPr>
        <w:t> </w:t>
      </w:r>
      <w:r w:rsidRPr="004F5FB4">
        <w:rPr>
          <w:color w:val="000000"/>
        </w:rPr>
        <w:t>96 65,1</w:t>
      </w:r>
      <w:r w:rsidR="00390783" w:rsidRPr="004F5FB4">
        <w:rPr>
          <w:color w:val="000000"/>
        </w:rPr>
        <w:t> </w:t>
      </w:r>
      <w:r w:rsidRPr="004F5FB4">
        <w:rPr>
          <w:color w:val="000000"/>
        </w:rPr>
        <w:t>%. Bei einer langfristigen Behandlung mit Adalimumab 40 mg wöchentlich über 96 Wochen wurden keine neuen Erkenntnisse zur Sicherheit identifiziert.</w:t>
      </w:r>
    </w:p>
    <w:p w14:paraId="626A30EC" w14:textId="77777777" w:rsidR="00C46587" w:rsidRPr="004F5FB4" w:rsidRDefault="00C46587" w:rsidP="00982118">
      <w:pPr>
        <w:rPr>
          <w:color w:val="000000"/>
        </w:rPr>
      </w:pPr>
    </w:p>
    <w:p w14:paraId="1EE3B86F" w14:textId="77777777" w:rsidR="00C46587" w:rsidRPr="004F5FB4" w:rsidRDefault="00C46587" w:rsidP="00982118">
      <w:pPr>
        <w:rPr>
          <w:color w:val="000000"/>
        </w:rPr>
      </w:pPr>
      <w:r w:rsidRPr="004F5FB4">
        <w:rPr>
          <w:color w:val="000000"/>
        </w:rPr>
        <w:t>Unter den Patienten in den Studien HS</w:t>
      </w:r>
      <w:r w:rsidRPr="004F5FB4">
        <w:rPr>
          <w:color w:val="000000"/>
        </w:rPr>
        <w:noBreakHyphen/>
        <w:t>I und HS</w:t>
      </w:r>
      <w:r w:rsidRPr="004F5FB4">
        <w:rPr>
          <w:color w:val="000000"/>
        </w:rPr>
        <w:noBreakHyphen/>
        <w:t>II, deren Behandlung mit Adalimumab in Woche</w:t>
      </w:r>
      <w:r w:rsidR="00390783" w:rsidRPr="004F5FB4">
        <w:rPr>
          <w:color w:val="000000"/>
        </w:rPr>
        <w:t> </w:t>
      </w:r>
      <w:r w:rsidRPr="004F5FB4">
        <w:rPr>
          <w:color w:val="000000"/>
        </w:rPr>
        <w:t>12 abgesetzt wurde, war die HiSCR-Rate 12</w:t>
      </w:r>
      <w:r w:rsidR="00390783" w:rsidRPr="004F5FB4">
        <w:rPr>
          <w:color w:val="000000"/>
        </w:rPr>
        <w:t> </w:t>
      </w:r>
      <w:r w:rsidRPr="004F5FB4">
        <w:rPr>
          <w:color w:val="000000"/>
        </w:rPr>
        <w:t>Wochen nach Wiederaufnahme der Behandlung mit 40 mg Adalimumab wöchentlich vergleichbar mit der Rate vor dem Absetzen der Behandlung (56,0 %).</w:t>
      </w:r>
    </w:p>
    <w:p w14:paraId="212746FA" w14:textId="77777777" w:rsidR="00C46587" w:rsidRPr="004F5FB4" w:rsidRDefault="00C46587" w:rsidP="00982118">
      <w:pPr>
        <w:rPr>
          <w:color w:val="000000"/>
        </w:rPr>
      </w:pPr>
    </w:p>
    <w:p w14:paraId="7ADAB7B0" w14:textId="77777777" w:rsidR="00C46587" w:rsidRPr="004F5FB4" w:rsidRDefault="00C46587" w:rsidP="00DC3A99">
      <w:pPr>
        <w:keepNext/>
        <w:rPr>
          <w:i/>
          <w:color w:val="000000"/>
        </w:rPr>
      </w:pPr>
      <w:r w:rsidRPr="004F5FB4">
        <w:rPr>
          <w:i/>
          <w:color w:val="000000"/>
        </w:rPr>
        <w:t>Morbus Crohn</w:t>
      </w:r>
    </w:p>
    <w:p w14:paraId="33C5D718" w14:textId="77777777" w:rsidR="00C46587" w:rsidRPr="004F5FB4" w:rsidRDefault="00C46587" w:rsidP="00DC3A99">
      <w:pPr>
        <w:keepNext/>
        <w:rPr>
          <w:color w:val="000000"/>
        </w:rPr>
      </w:pPr>
    </w:p>
    <w:p w14:paraId="47D98CCF" w14:textId="77777777" w:rsidR="00C46587" w:rsidRPr="004F5FB4" w:rsidRDefault="00C46587" w:rsidP="00982118">
      <w:pPr>
        <w:rPr>
          <w:color w:val="000000"/>
        </w:rPr>
      </w:pPr>
      <w:r w:rsidRPr="004F5FB4">
        <w:rPr>
          <w:color w:val="000000"/>
        </w:rPr>
        <w:t>Die Sicherheit und Wirksamkeit von Adalimumab wurden bei über 1.500</w:t>
      </w:r>
      <w:r w:rsidR="00390783" w:rsidRPr="004F5FB4">
        <w:rPr>
          <w:color w:val="000000"/>
        </w:rPr>
        <w:t> </w:t>
      </w:r>
      <w:r w:rsidRPr="004F5FB4">
        <w:rPr>
          <w:color w:val="000000"/>
        </w:rPr>
        <w:t xml:space="preserve">Patienten mit mittelschwerem bis schwerem, aktivem Morbus Crohn (Crohn’s Disease Activity Index </w:t>
      </w:r>
      <w:r w:rsidR="00390783" w:rsidRPr="004F5FB4">
        <w:rPr>
          <w:color w:val="000000"/>
        </w:rPr>
        <w:t>[</w:t>
      </w:r>
      <w:r w:rsidRPr="004F5FB4">
        <w:rPr>
          <w:color w:val="000000"/>
        </w:rPr>
        <w:t>CDAI</w:t>
      </w:r>
      <w:r w:rsidR="00390783" w:rsidRPr="004F5FB4">
        <w:rPr>
          <w:color w:val="000000"/>
        </w:rPr>
        <w:t>]</w:t>
      </w:r>
      <w:r w:rsidRPr="004F5FB4">
        <w:rPr>
          <w:color w:val="000000"/>
        </w:rPr>
        <w:t xml:space="preserve"> ≥ 220 und ≤ 450) in randomisierten, doppelblinden, placebokontrollierten Studien untersucht. Eine Begleitmedikation in gleichbleibender Dosierung mit Aminosalicylaten, </w:t>
      </w:r>
      <w:r w:rsidR="00AB27C7" w:rsidRPr="004F5FB4">
        <w:rPr>
          <w:color w:val="000000"/>
        </w:rPr>
        <w:t>Glukok</w:t>
      </w:r>
      <w:r w:rsidRPr="004F5FB4">
        <w:rPr>
          <w:color w:val="000000"/>
        </w:rPr>
        <w:t>ortikoiden und/</w:t>
      </w:r>
      <w:r w:rsidR="00AB27C7" w:rsidRPr="004F5FB4">
        <w:rPr>
          <w:color w:val="000000"/>
        </w:rPr>
        <w:t xml:space="preserve"> </w:t>
      </w:r>
      <w:r w:rsidRPr="004F5FB4">
        <w:rPr>
          <w:color w:val="000000"/>
        </w:rPr>
        <w:t>oder Immun</w:t>
      </w:r>
      <w:r w:rsidR="00AB27C7" w:rsidRPr="004F5FB4">
        <w:rPr>
          <w:color w:val="000000"/>
        </w:rPr>
        <w:t>suppressiva</w:t>
      </w:r>
      <w:r w:rsidRPr="004F5FB4">
        <w:rPr>
          <w:color w:val="000000"/>
        </w:rPr>
        <w:t xml:space="preserve"> war erlaubt, und bei 80 % der Patienten wurde mindestens eines dieser Medikamente fortgeführt.</w:t>
      </w:r>
    </w:p>
    <w:p w14:paraId="7FFBB9E9" w14:textId="77777777" w:rsidR="00C46587" w:rsidRPr="004F5FB4" w:rsidRDefault="00C46587" w:rsidP="00982118">
      <w:pPr>
        <w:rPr>
          <w:color w:val="000000"/>
        </w:rPr>
      </w:pPr>
    </w:p>
    <w:p w14:paraId="7718223E" w14:textId="77777777" w:rsidR="00C46587" w:rsidRPr="004F5FB4" w:rsidRDefault="00C46587" w:rsidP="00982118">
      <w:pPr>
        <w:rPr>
          <w:color w:val="000000"/>
        </w:rPr>
      </w:pPr>
      <w:r w:rsidRPr="004F5FB4">
        <w:rPr>
          <w:color w:val="000000"/>
        </w:rPr>
        <w:t>Die Induktion einer klinischen Remission (definiert als CDAI &lt;</w:t>
      </w:r>
      <w:r w:rsidR="00390783" w:rsidRPr="004F5FB4">
        <w:rPr>
          <w:color w:val="000000"/>
        </w:rPr>
        <w:t> </w:t>
      </w:r>
      <w:r w:rsidRPr="004F5FB4">
        <w:rPr>
          <w:color w:val="000000"/>
        </w:rPr>
        <w:t>150) wurde in zwei Studien, MC-Studie</w:t>
      </w:r>
      <w:r w:rsidR="00390783" w:rsidRPr="004F5FB4">
        <w:rPr>
          <w:color w:val="000000"/>
        </w:rPr>
        <w:t> </w:t>
      </w:r>
      <w:r w:rsidRPr="004F5FB4">
        <w:rPr>
          <w:color w:val="000000"/>
        </w:rPr>
        <w:t>I (CLASSIC</w:t>
      </w:r>
      <w:r w:rsidR="00390783" w:rsidRPr="004F5FB4">
        <w:rPr>
          <w:color w:val="000000"/>
        </w:rPr>
        <w:t> </w:t>
      </w:r>
      <w:r w:rsidRPr="004F5FB4">
        <w:rPr>
          <w:color w:val="000000"/>
        </w:rPr>
        <w:t>I) und MC-Studie</w:t>
      </w:r>
      <w:r w:rsidR="00390783" w:rsidRPr="004F5FB4">
        <w:rPr>
          <w:color w:val="000000"/>
        </w:rPr>
        <w:t> </w:t>
      </w:r>
      <w:r w:rsidRPr="004F5FB4">
        <w:rPr>
          <w:color w:val="000000"/>
        </w:rPr>
        <w:t>II (GAIN), untersucht. In der MC-Studie</w:t>
      </w:r>
      <w:r w:rsidR="00390783" w:rsidRPr="004F5FB4">
        <w:rPr>
          <w:color w:val="000000"/>
        </w:rPr>
        <w:t> </w:t>
      </w:r>
      <w:r w:rsidRPr="004F5FB4">
        <w:rPr>
          <w:color w:val="000000"/>
        </w:rPr>
        <w:t>I wurden 299</w:t>
      </w:r>
      <w:r w:rsidR="00AA719E" w:rsidRPr="004F5FB4">
        <w:rPr>
          <w:color w:val="000000"/>
        </w:rPr>
        <w:t> </w:t>
      </w:r>
      <w:r w:rsidRPr="004F5FB4">
        <w:rPr>
          <w:color w:val="000000"/>
        </w:rPr>
        <w:t>Patienten, die zuvor nicht mit einem TNF</w:t>
      </w:r>
      <w:r w:rsidRPr="004F5FB4">
        <w:rPr>
          <w:color w:val="000000"/>
        </w:rPr>
        <w:noBreakHyphen/>
        <w:t>Antagonisten behandelt wurden, in eine von vier Behandlungsgruppen randomisiert: Placebo in Woche</w:t>
      </w:r>
      <w:r w:rsidR="00390783" w:rsidRPr="004F5FB4">
        <w:rPr>
          <w:color w:val="000000"/>
        </w:rPr>
        <w:t> </w:t>
      </w:r>
      <w:r w:rsidRPr="004F5FB4">
        <w:rPr>
          <w:color w:val="000000"/>
        </w:rPr>
        <w:t>0 und 2, 160 mg Adalimumab in Woche</w:t>
      </w:r>
      <w:r w:rsidR="00390783" w:rsidRPr="004F5FB4">
        <w:rPr>
          <w:color w:val="000000"/>
        </w:rPr>
        <w:t> </w:t>
      </w:r>
      <w:r w:rsidRPr="004F5FB4">
        <w:rPr>
          <w:color w:val="000000"/>
        </w:rPr>
        <w:t>0 und 80 mg in Woche</w:t>
      </w:r>
      <w:r w:rsidR="00390783" w:rsidRPr="004F5FB4">
        <w:rPr>
          <w:color w:val="000000"/>
        </w:rPr>
        <w:t> </w:t>
      </w:r>
      <w:r w:rsidRPr="004F5FB4">
        <w:rPr>
          <w:color w:val="000000"/>
        </w:rPr>
        <w:t>2, 80 mg in Woche</w:t>
      </w:r>
      <w:r w:rsidR="00390783" w:rsidRPr="004F5FB4">
        <w:rPr>
          <w:color w:val="000000"/>
        </w:rPr>
        <w:t> </w:t>
      </w:r>
      <w:r w:rsidRPr="004F5FB4">
        <w:rPr>
          <w:color w:val="000000"/>
        </w:rPr>
        <w:t>0 und 40 mg in Woche</w:t>
      </w:r>
      <w:r w:rsidR="00390783" w:rsidRPr="004F5FB4">
        <w:rPr>
          <w:color w:val="000000"/>
        </w:rPr>
        <w:t> </w:t>
      </w:r>
      <w:r w:rsidRPr="004F5FB4">
        <w:rPr>
          <w:color w:val="000000"/>
        </w:rPr>
        <w:t>2 sowie 40 mg in Woche</w:t>
      </w:r>
      <w:r w:rsidR="00390783" w:rsidRPr="004F5FB4">
        <w:rPr>
          <w:color w:val="000000"/>
        </w:rPr>
        <w:t> </w:t>
      </w:r>
      <w:r w:rsidRPr="004F5FB4">
        <w:rPr>
          <w:color w:val="000000"/>
        </w:rPr>
        <w:t>0 und 20 mg in Woche</w:t>
      </w:r>
      <w:r w:rsidR="00390783" w:rsidRPr="004F5FB4">
        <w:rPr>
          <w:color w:val="000000"/>
        </w:rPr>
        <w:t> </w:t>
      </w:r>
      <w:r w:rsidRPr="004F5FB4">
        <w:rPr>
          <w:color w:val="000000"/>
        </w:rPr>
        <w:t>2. In der MC-Studie</w:t>
      </w:r>
      <w:r w:rsidR="00390783" w:rsidRPr="004F5FB4">
        <w:rPr>
          <w:color w:val="000000"/>
        </w:rPr>
        <w:t> </w:t>
      </w:r>
      <w:r w:rsidRPr="004F5FB4">
        <w:rPr>
          <w:color w:val="000000"/>
        </w:rPr>
        <w:t>II wurden 325</w:t>
      </w:r>
      <w:r w:rsidR="00390783" w:rsidRPr="004F5FB4">
        <w:rPr>
          <w:color w:val="000000"/>
        </w:rPr>
        <w:t> </w:t>
      </w:r>
      <w:r w:rsidRPr="004F5FB4">
        <w:rPr>
          <w:color w:val="000000"/>
        </w:rPr>
        <w:t>Patienten, die nicht mehr ausreichend auf Infliximab ansprachen oder eine Unverträglichkeit gegenüber Infliximab zeigten, randomisiert und erhielten entweder 160 mg Adalimumab in Woche</w:t>
      </w:r>
      <w:r w:rsidR="00390783" w:rsidRPr="004F5FB4">
        <w:rPr>
          <w:color w:val="000000"/>
        </w:rPr>
        <w:t> </w:t>
      </w:r>
      <w:r w:rsidRPr="004F5FB4">
        <w:rPr>
          <w:color w:val="000000"/>
        </w:rPr>
        <w:t>0 und 80 mg in Woche 2 oder Placebo in Woche</w:t>
      </w:r>
      <w:r w:rsidR="00390783" w:rsidRPr="004F5FB4">
        <w:rPr>
          <w:color w:val="000000"/>
        </w:rPr>
        <w:t> </w:t>
      </w:r>
      <w:r w:rsidRPr="004F5FB4">
        <w:rPr>
          <w:color w:val="000000"/>
        </w:rPr>
        <w:t>0 und 2. Patienten, bei denen sich primär keine Wirkung zeigte, wurden aus diesen Studien ausgeschlossen und nicht weiter untersucht.</w:t>
      </w:r>
    </w:p>
    <w:p w14:paraId="73E69570" w14:textId="77777777" w:rsidR="00C46587" w:rsidRPr="004F5FB4" w:rsidRDefault="00C46587" w:rsidP="00982118">
      <w:pPr>
        <w:rPr>
          <w:color w:val="000000"/>
        </w:rPr>
      </w:pPr>
    </w:p>
    <w:p w14:paraId="6FFFDFB2" w14:textId="77777777" w:rsidR="00C46587" w:rsidRPr="004F5FB4" w:rsidRDefault="00C46587" w:rsidP="00982118">
      <w:pPr>
        <w:rPr>
          <w:color w:val="000000"/>
        </w:rPr>
      </w:pPr>
      <w:r w:rsidRPr="004F5FB4">
        <w:rPr>
          <w:color w:val="000000"/>
        </w:rPr>
        <w:t>Der Erhalt der klinischen Remission wurde in der MC-Studie</w:t>
      </w:r>
      <w:r w:rsidR="00390783" w:rsidRPr="004F5FB4">
        <w:rPr>
          <w:color w:val="000000"/>
        </w:rPr>
        <w:t> </w:t>
      </w:r>
      <w:r w:rsidRPr="004F5FB4">
        <w:rPr>
          <w:color w:val="000000"/>
        </w:rPr>
        <w:t>III (CHARM) untersucht. In der offenen Induktionsphase der MC-Studie</w:t>
      </w:r>
      <w:r w:rsidR="00390783" w:rsidRPr="004F5FB4">
        <w:rPr>
          <w:color w:val="000000"/>
        </w:rPr>
        <w:t> </w:t>
      </w:r>
      <w:r w:rsidRPr="004F5FB4">
        <w:rPr>
          <w:color w:val="000000"/>
        </w:rPr>
        <w:t>III erhielten 854</w:t>
      </w:r>
      <w:r w:rsidR="00390783" w:rsidRPr="004F5FB4">
        <w:rPr>
          <w:color w:val="000000"/>
        </w:rPr>
        <w:t> </w:t>
      </w:r>
      <w:r w:rsidRPr="004F5FB4">
        <w:rPr>
          <w:color w:val="000000"/>
        </w:rPr>
        <w:t>Patienten 80 mg in Woche</w:t>
      </w:r>
      <w:r w:rsidR="00390783" w:rsidRPr="004F5FB4">
        <w:rPr>
          <w:color w:val="000000"/>
        </w:rPr>
        <w:t> </w:t>
      </w:r>
      <w:r w:rsidRPr="004F5FB4">
        <w:rPr>
          <w:color w:val="000000"/>
        </w:rPr>
        <w:t>0 und 40 mg in Woche</w:t>
      </w:r>
      <w:r w:rsidR="00390783" w:rsidRPr="004F5FB4">
        <w:rPr>
          <w:color w:val="000000"/>
        </w:rPr>
        <w:t> </w:t>
      </w:r>
      <w:r w:rsidRPr="004F5FB4">
        <w:rPr>
          <w:color w:val="000000"/>
        </w:rPr>
        <w:t>2. In Woche</w:t>
      </w:r>
      <w:r w:rsidR="00390783" w:rsidRPr="004F5FB4">
        <w:rPr>
          <w:color w:val="000000"/>
        </w:rPr>
        <w:t> </w:t>
      </w:r>
      <w:r w:rsidRPr="004F5FB4">
        <w:rPr>
          <w:color w:val="000000"/>
        </w:rPr>
        <w:t>4 wurden die Patienten randomisiert und erhielten entweder 40 mg alle zwei Wochen, 40 mg jede Woche oder Placebo über den gesamten Studienzeitraum von 56</w:t>
      </w:r>
      <w:r w:rsidR="00390783" w:rsidRPr="004F5FB4">
        <w:rPr>
          <w:color w:val="000000"/>
        </w:rPr>
        <w:t> </w:t>
      </w:r>
      <w:r w:rsidRPr="004F5FB4">
        <w:rPr>
          <w:color w:val="000000"/>
        </w:rPr>
        <w:t>Wochen. Patienten, die auf die Therapie ansprachen (Minderung des CDAI ≥</w:t>
      </w:r>
      <w:r w:rsidR="00390783" w:rsidRPr="004F5FB4">
        <w:rPr>
          <w:color w:val="000000"/>
        </w:rPr>
        <w:t> </w:t>
      </w:r>
      <w:r w:rsidRPr="004F5FB4">
        <w:rPr>
          <w:color w:val="000000"/>
        </w:rPr>
        <w:t>70), wurden in Woche</w:t>
      </w:r>
      <w:r w:rsidR="00390783" w:rsidRPr="004F5FB4">
        <w:rPr>
          <w:color w:val="000000"/>
        </w:rPr>
        <w:t> </w:t>
      </w:r>
      <w:r w:rsidRPr="004F5FB4">
        <w:rPr>
          <w:color w:val="000000"/>
        </w:rPr>
        <w:t>4 stratifiziert und unabhängig von denen, die bis Woche</w:t>
      </w:r>
      <w:r w:rsidR="00390783" w:rsidRPr="004F5FB4">
        <w:rPr>
          <w:color w:val="000000"/>
        </w:rPr>
        <w:t> </w:t>
      </w:r>
      <w:r w:rsidRPr="004F5FB4">
        <w:rPr>
          <w:color w:val="000000"/>
        </w:rPr>
        <w:t>4 noch kein</w:t>
      </w:r>
      <w:r w:rsidR="00AB27C7" w:rsidRPr="004F5FB4">
        <w:rPr>
          <w:color w:val="000000"/>
        </w:rPr>
        <w:t>e Wirkung</w:t>
      </w:r>
      <w:r w:rsidRPr="004F5FB4">
        <w:rPr>
          <w:color w:val="000000"/>
        </w:rPr>
        <w:t xml:space="preserve"> zeigten, analysiert. Ein Ausschleichen der </w:t>
      </w:r>
      <w:r w:rsidR="00AB27C7" w:rsidRPr="004F5FB4">
        <w:rPr>
          <w:color w:val="000000"/>
        </w:rPr>
        <w:t>Glukok</w:t>
      </w:r>
      <w:r w:rsidRPr="004F5FB4">
        <w:rPr>
          <w:color w:val="000000"/>
        </w:rPr>
        <w:t>ortikoide war ab der 8.</w:t>
      </w:r>
      <w:r w:rsidR="00390783" w:rsidRPr="004F5FB4">
        <w:rPr>
          <w:color w:val="000000"/>
        </w:rPr>
        <w:t> </w:t>
      </w:r>
      <w:r w:rsidRPr="004F5FB4">
        <w:rPr>
          <w:color w:val="000000"/>
        </w:rPr>
        <w:t>Woche erlaubt.</w:t>
      </w:r>
    </w:p>
    <w:p w14:paraId="4635B32A" w14:textId="77777777" w:rsidR="00C46587" w:rsidRPr="004F5FB4" w:rsidRDefault="00C46587" w:rsidP="00982118">
      <w:pPr>
        <w:rPr>
          <w:color w:val="000000"/>
        </w:rPr>
      </w:pPr>
    </w:p>
    <w:p w14:paraId="152723B5" w14:textId="77777777" w:rsidR="00C46587" w:rsidRPr="004F5FB4" w:rsidRDefault="00C46587" w:rsidP="00982118">
      <w:pPr>
        <w:rPr>
          <w:color w:val="000000"/>
        </w:rPr>
      </w:pPr>
      <w:r w:rsidRPr="004F5FB4">
        <w:rPr>
          <w:color w:val="000000"/>
        </w:rPr>
        <w:t xml:space="preserve">Die </w:t>
      </w:r>
      <w:r w:rsidR="00AB27C7" w:rsidRPr="004F5FB4">
        <w:rPr>
          <w:color w:val="000000"/>
        </w:rPr>
        <w:t>klinischen Remissions- und Ansprechr</w:t>
      </w:r>
      <w:r w:rsidRPr="004F5FB4">
        <w:rPr>
          <w:color w:val="000000"/>
        </w:rPr>
        <w:t>aten für die MC-Studie</w:t>
      </w:r>
      <w:r w:rsidR="00390783" w:rsidRPr="004F5FB4">
        <w:rPr>
          <w:color w:val="000000"/>
        </w:rPr>
        <w:t> </w:t>
      </w:r>
      <w:r w:rsidRPr="004F5FB4">
        <w:rPr>
          <w:color w:val="000000"/>
        </w:rPr>
        <w:t>I und die MC-Studie</w:t>
      </w:r>
      <w:r w:rsidR="00390783" w:rsidRPr="004F5FB4">
        <w:rPr>
          <w:color w:val="000000"/>
        </w:rPr>
        <w:t> </w:t>
      </w:r>
      <w:r w:rsidRPr="004F5FB4">
        <w:rPr>
          <w:color w:val="000000"/>
        </w:rPr>
        <w:t>II sind in Tabelle</w:t>
      </w:r>
      <w:r w:rsidR="00390783" w:rsidRPr="004F5FB4">
        <w:rPr>
          <w:color w:val="000000"/>
        </w:rPr>
        <w:t> </w:t>
      </w:r>
      <w:r w:rsidR="00B852E6">
        <w:rPr>
          <w:color w:val="000000"/>
        </w:rPr>
        <w:t>21</w:t>
      </w:r>
      <w:r w:rsidRPr="004F5FB4">
        <w:rPr>
          <w:color w:val="000000"/>
        </w:rPr>
        <w:t xml:space="preserve"> aufgeführt.</w:t>
      </w:r>
    </w:p>
    <w:p w14:paraId="19919B3E" w14:textId="77777777" w:rsidR="00C46587" w:rsidRPr="004F5FB4" w:rsidRDefault="00C46587" w:rsidP="00982118">
      <w:pPr>
        <w:rPr>
          <w:color w:val="000000"/>
        </w:rPr>
      </w:pPr>
    </w:p>
    <w:p w14:paraId="01FD4DC1" w14:textId="77777777" w:rsidR="00FA0342" w:rsidRPr="004F5FB4" w:rsidRDefault="00C46587" w:rsidP="00687087">
      <w:pPr>
        <w:keepNext/>
        <w:rPr>
          <w:b/>
          <w:color w:val="000000"/>
        </w:rPr>
      </w:pPr>
      <w:r w:rsidRPr="004F5FB4">
        <w:rPr>
          <w:b/>
          <w:color w:val="000000"/>
        </w:rPr>
        <w:lastRenderedPageBreak/>
        <w:t>Tabelle</w:t>
      </w:r>
      <w:r w:rsidR="00B852E6">
        <w:rPr>
          <w:b/>
          <w:color w:val="000000"/>
        </w:rPr>
        <w:t> 21</w:t>
      </w:r>
    </w:p>
    <w:p w14:paraId="6D9C8960" w14:textId="77777777" w:rsidR="003B563C" w:rsidRPr="004F5FB4" w:rsidRDefault="003B563C" w:rsidP="00687087">
      <w:pPr>
        <w:keepNext/>
        <w:rPr>
          <w:b/>
          <w:color w:val="000000"/>
        </w:rPr>
      </w:pPr>
      <w:r w:rsidRPr="004F5FB4">
        <w:rPr>
          <w:b/>
          <w:color w:val="000000"/>
        </w:rPr>
        <w:t>Induktion der klinischen Remission und des Ansprechens (Prozent der Patienten)</w:t>
      </w:r>
    </w:p>
    <w:p w14:paraId="294F24C9" w14:textId="77777777" w:rsidR="003B563C" w:rsidRPr="004F5FB4" w:rsidRDefault="003B563C" w:rsidP="003B563C">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014"/>
        <w:gridCol w:w="1685"/>
        <w:gridCol w:w="1793"/>
        <w:gridCol w:w="1055"/>
        <w:gridCol w:w="1795"/>
      </w:tblGrid>
      <w:tr w:rsidR="003B563C" w:rsidRPr="004F5FB4" w14:paraId="70733D09"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5C42F5A1" w14:textId="77777777" w:rsidR="003B563C" w:rsidRPr="004F5FB4" w:rsidRDefault="003B563C" w:rsidP="00764B9A">
            <w:pPr>
              <w:rPr>
                <w:color w:val="000000"/>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0FD60DB0" w14:textId="77777777" w:rsidR="003B563C" w:rsidRPr="00A265E6" w:rsidRDefault="003B563C" w:rsidP="00764B9A">
            <w:pPr>
              <w:rPr>
                <w:color w:val="000000"/>
              </w:rPr>
            </w:pPr>
            <w:r w:rsidRPr="00A265E6">
              <w:rPr>
                <w:b/>
                <w:color w:val="000000"/>
              </w:rPr>
              <w:t>MC-Studie</w:t>
            </w:r>
            <w:r w:rsidR="00390783" w:rsidRPr="00A265E6">
              <w:rPr>
                <w:b/>
                <w:color w:val="000000"/>
              </w:rPr>
              <w:t> </w:t>
            </w:r>
            <w:r w:rsidRPr="00A265E6">
              <w:rPr>
                <w:b/>
                <w:color w:val="000000"/>
              </w:rPr>
              <w:t>I: Infliximab-naive Patienten</w:t>
            </w:r>
          </w:p>
        </w:tc>
        <w:tc>
          <w:tcPr>
            <w:tcW w:w="2924" w:type="dxa"/>
            <w:gridSpan w:val="2"/>
            <w:tcBorders>
              <w:top w:val="single" w:sz="4" w:space="0" w:color="auto"/>
              <w:left w:val="single" w:sz="4" w:space="0" w:color="auto"/>
              <w:bottom w:val="single" w:sz="4" w:space="0" w:color="auto"/>
              <w:right w:val="single" w:sz="4" w:space="0" w:color="auto"/>
            </w:tcBorders>
            <w:hideMark/>
          </w:tcPr>
          <w:p w14:paraId="21D7D781" w14:textId="77777777" w:rsidR="003B563C" w:rsidRPr="004F5FB4" w:rsidRDefault="003B563C" w:rsidP="00764B9A">
            <w:pPr>
              <w:rPr>
                <w:color w:val="000000"/>
              </w:rPr>
            </w:pPr>
            <w:r w:rsidRPr="004F5FB4">
              <w:rPr>
                <w:b/>
                <w:color w:val="000000"/>
              </w:rPr>
              <w:t>MC-Studie</w:t>
            </w:r>
            <w:r w:rsidR="00390783" w:rsidRPr="004F5FB4">
              <w:rPr>
                <w:b/>
                <w:color w:val="000000"/>
              </w:rPr>
              <w:t> </w:t>
            </w:r>
            <w:r w:rsidRPr="004F5FB4">
              <w:rPr>
                <w:b/>
                <w:color w:val="000000"/>
              </w:rPr>
              <w:t>II: Infliximab-erfahrene Patienten</w:t>
            </w:r>
          </w:p>
        </w:tc>
      </w:tr>
      <w:tr w:rsidR="003B563C" w:rsidRPr="004F5FB4" w14:paraId="04C12774"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0FF985EC" w14:textId="77777777" w:rsidR="003B563C" w:rsidRPr="004F5FB4" w:rsidRDefault="003B563C" w:rsidP="00764B9A">
            <w:pPr>
              <w:rPr>
                <w:color w:val="000000"/>
              </w:rPr>
            </w:pPr>
          </w:p>
        </w:tc>
        <w:tc>
          <w:tcPr>
            <w:tcW w:w="1038" w:type="dxa"/>
            <w:tcBorders>
              <w:top w:val="single" w:sz="4" w:space="0" w:color="auto"/>
              <w:left w:val="single" w:sz="4" w:space="0" w:color="auto"/>
              <w:bottom w:val="single" w:sz="4" w:space="0" w:color="auto"/>
              <w:right w:val="single" w:sz="4" w:space="0" w:color="auto"/>
            </w:tcBorders>
            <w:hideMark/>
          </w:tcPr>
          <w:p w14:paraId="729367C1" w14:textId="77777777" w:rsidR="003B563C" w:rsidRPr="004F5FB4" w:rsidRDefault="003B563C" w:rsidP="00764B9A">
            <w:pPr>
              <w:jc w:val="center"/>
              <w:rPr>
                <w:b/>
                <w:color w:val="000000"/>
              </w:rPr>
            </w:pPr>
            <w:r w:rsidRPr="004F5FB4">
              <w:rPr>
                <w:b/>
                <w:color w:val="000000"/>
              </w:rPr>
              <w:t>Placebo</w:t>
            </w:r>
          </w:p>
          <w:p w14:paraId="1C0039B9" w14:textId="77777777" w:rsidR="003B563C" w:rsidRPr="004F5FB4" w:rsidRDefault="003B563C"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74</w:t>
            </w:r>
          </w:p>
        </w:tc>
        <w:tc>
          <w:tcPr>
            <w:tcW w:w="1730" w:type="dxa"/>
            <w:tcBorders>
              <w:top w:val="single" w:sz="4" w:space="0" w:color="auto"/>
              <w:left w:val="single" w:sz="4" w:space="0" w:color="auto"/>
              <w:bottom w:val="single" w:sz="4" w:space="0" w:color="auto"/>
              <w:right w:val="single" w:sz="4" w:space="0" w:color="auto"/>
            </w:tcBorders>
            <w:hideMark/>
          </w:tcPr>
          <w:p w14:paraId="4FB3232E" w14:textId="77777777" w:rsidR="003B563C" w:rsidRPr="004F5FB4" w:rsidRDefault="003B563C" w:rsidP="00764B9A">
            <w:pPr>
              <w:jc w:val="center"/>
              <w:rPr>
                <w:b/>
                <w:color w:val="000000"/>
              </w:rPr>
            </w:pPr>
            <w:r w:rsidRPr="004F5FB4">
              <w:rPr>
                <w:b/>
                <w:color w:val="000000"/>
              </w:rPr>
              <w:t>Adalimumab</w:t>
            </w:r>
          </w:p>
          <w:p w14:paraId="265985A9" w14:textId="77777777" w:rsidR="003B563C" w:rsidRPr="004F5FB4" w:rsidRDefault="003B563C" w:rsidP="00764B9A">
            <w:pPr>
              <w:jc w:val="center"/>
              <w:rPr>
                <w:b/>
                <w:color w:val="000000"/>
              </w:rPr>
            </w:pPr>
            <w:r w:rsidRPr="004F5FB4">
              <w:rPr>
                <w:b/>
                <w:color w:val="000000"/>
              </w:rPr>
              <w:t>80/40 mg</w:t>
            </w:r>
          </w:p>
          <w:p w14:paraId="53697817" w14:textId="77777777" w:rsidR="003B563C" w:rsidRPr="004F5FB4" w:rsidRDefault="003B563C"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75</w:t>
            </w:r>
          </w:p>
        </w:tc>
        <w:tc>
          <w:tcPr>
            <w:tcW w:w="1841" w:type="dxa"/>
            <w:tcBorders>
              <w:top w:val="single" w:sz="4" w:space="0" w:color="auto"/>
              <w:left w:val="single" w:sz="4" w:space="0" w:color="auto"/>
              <w:bottom w:val="single" w:sz="4" w:space="0" w:color="auto"/>
              <w:right w:val="single" w:sz="4" w:space="0" w:color="auto"/>
            </w:tcBorders>
            <w:hideMark/>
          </w:tcPr>
          <w:p w14:paraId="1030E014" w14:textId="77777777" w:rsidR="003B563C" w:rsidRPr="004F5FB4" w:rsidRDefault="003B563C" w:rsidP="00764B9A">
            <w:pPr>
              <w:jc w:val="center"/>
              <w:rPr>
                <w:b/>
                <w:color w:val="000000"/>
              </w:rPr>
            </w:pPr>
            <w:r w:rsidRPr="004F5FB4">
              <w:rPr>
                <w:b/>
                <w:color w:val="000000"/>
              </w:rPr>
              <w:t>Adalimumab</w:t>
            </w:r>
          </w:p>
          <w:p w14:paraId="3E110AF3" w14:textId="77777777" w:rsidR="003B563C" w:rsidRPr="004F5FB4" w:rsidRDefault="003B563C" w:rsidP="00764B9A">
            <w:pPr>
              <w:jc w:val="center"/>
              <w:rPr>
                <w:b/>
                <w:color w:val="000000"/>
              </w:rPr>
            </w:pPr>
            <w:r w:rsidRPr="004F5FB4">
              <w:rPr>
                <w:b/>
                <w:color w:val="000000"/>
              </w:rPr>
              <w:t>160/80 mg</w:t>
            </w:r>
          </w:p>
          <w:p w14:paraId="2EDDE226" w14:textId="77777777" w:rsidR="003B563C" w:rsidRPr="004F5FB4" w:rsidRDefault="003B563C"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76</w:t>
            </w:r>
          </w:p>
        </w:tc>
        <w:tc>
          <w:tcPr>
            <w:tcW w:w="1080" w:type="dxa"/>
            <w:tcBorders>
              <w:top w:val="single" w:sz="4" w:space="0" w:color="auto"/>
              <w:left w:val="single" w:sz="4" w:space="0" w:color="auto"/>
              <w:bottom w:val="single" w:sz="4" w:space="0" w:color="auto"/>
              <w:right w:val="single" w:sz="4" w:space="0" w:color="auto"/>
            </w:tcBorders>
            <w:hideMark/>
          </w:tcPr>
          <w:p w14:paraId="1139856D" w14:textId="77777777" w:rsidR="003B563C" w:rsidRPr="004F5FB4" w:rsidRDefault="003B563C" w:rsidP="00764B9A">
            <w:pPr>
              <w:jc w:val="center"/>
              <w:rPr>
                <w:b/>
                <w:color w:val="000000"/>
              </w:rPr>
            </w:pPr>
            <w:r w:rsidRPr="004F5FB4">
              <w:rPr>
                <w:b/>
                <w:color w:val="000000"/>
              </w:rPr>
              <w:t>Placebo</w:t>
            </w:r>
          </w:p>
          <w:p w14:paraId="66C07439" w14:textId="77777777" w:rsidR="003B563C" w:rsidRPr="004F5FB4" w:rsidRDefault="003B563C"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166</w:t>
            </w:r>
          </w:p>
        </w:tc>
        <w:tc>
          <w:tcPr>
            <w:tcW w:w="1844" w:type="dxa"/>
            <w:tcBorders>
              <w:top w:val="single" w:sz="4" w:space="0" w:color="auto"/>
              <w:left w:val="single" w:sz="4" w:space="0" w:color="auto"/>
              <w:bottom w:val="single" w:sz="4" w:space="0" w:color="auto"/>
              <w:right w:val="single" w:sz="4" w:space="0" w:color="auto"/>
            </w:tcBorders>
            <w:hideMark/>
          </w:tcPr>
          <w:p w14:paraId="00378F72" w14:textId="77777777" w:rsidR="003B563C" w:rsidRPr="004F5FB4" w:rsidRDefault="003B563C" w:rsidP="00764B9A">
            <w:pPr>
              <w:jc w:val="center"/>
              <w:rPr>
                <w:b/>
                <w:color w:val="000000"/>
              </w:rPr>
            </w:pPr>
            <w:r w:rsidRPr="004F5FB4">
              <w:rPr>
                <w:b/>
                <w:color w:val="000000"/>
              </w:rPr>
              <w:t>Adalimumab</w:t>
            </w:r>
          </w:p>
          <w:p w14:paraId="6E86A8A1" w14:textId="77777777" w:rsidR="003B563C" w:rsidRPr="004F5FB4" w:rsidRDefault="003B563C" w:rsidP="00764B9A">
            <w:pPr>
              <w:jc w:val="center"/>
              <w:rPr>
                <w:b/>
                <w:color w:val="000000"/>
              </w:rPr>
            </w:pPr>
            <w:r w:rsidRPr="004F5FB4">
              <w:rPr>
                <w:b/>
                <w:color w:val="000000"/>
              </w:rPr>
              <w:t>160/80 mg</w:t>
            </w:r>
          </w:p>
          <w:p w14:paraId="3F002CBD" w14:textId="77777777" w:rsidR="003B563C" w:rsidRPr="004F5FB4" w:rsidRDefault="003B563C" w:rsidP="00F41FC1">
            <w:pPr>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159</w:t>
            </w:r>
          </w:p>
        </w:tc>
      </w:tr>
      <w:tr w:rsidR="003B563C" w:rsidRPr="004F5FB4" w14:paraId="77087A01"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011349FD" w14:textId="77777777" w:rsidR="003B563C" w:rsidRPr="004F5FB4" w:rsidRDefault="003B563C" w:rsidP="00764B9A">
            <w:pPr>
              <w:rPr>
                <w:color w:val="000000"/>
              </w:rPr>
            </w:pPr>
            <w:r w:rsidRPr="004F5FB4">
              <w:rPr>
                <w:color w:val="000000"/>
              </w:rPr>
              <w:t>Woche</w:t>
            </w:r>
            <w:r w:rsidR="00CB38A7" w:rsidRPr="004F5FB4">
              <w:rPr>
                <w:color w:val="000000"/>
              </w:rPr>
              <w:t> </w:t>
            </w:r>
            <w:r w:rsidRPr="004F5FB4">
              <w:rPr>
                <w:color w:val="000000"/>
              </w:rPr>
              <w:t>4</w:t>
            </w:r>
          </w:p>
        </w:tc>
        <w:tc>
          <w:tcPr>
            <w:tcW w:w="1038" w:type="dxa"/>
            <w:tcBorders>
              <w:top w:val="single" w:sz="4" w:space="0" w:color="auto"/>
              <w:left w:val="single" w:sz="4" w:space="0" w:color="auto"/>
              <w:bottom w:val="single" w:sz="4" w:space="0" w:color="auto"/>
              <w:right w:val="single" w:sz="4" w:space="0" w:color="auto"/>
            </w:tcBorders>
          </w:tcPr>
          <w:p w14:paraId="5C0A0EE7" w14:textId="77777777" w:rsidR="003B563C" w:rsidRPr="004F5FB4" w:rsidRDefault="003B563C" w:rsidP="00764B9A">
            <w:pPr>
              <w:rPr>
                <w:color w:val="000000"/>
                <w:lang w:val="en-GB"/>
              </w:rPr>
            </w:pPr>
          </w:p>
        </w:tc>
        <w:tc>
          <w:tcPr>
            <w:tcW w:w="1730" w:type="dxa"/>
            <w:tcBorders>
              <w:top w:val="single" w:sz="4" w:space="0" w:color="auto"/>
              <w:left w:val="single" w:sz="4" w:space="0" w:color="auto"/>
              <w:bottom w:val="single" w:sz="4" w:space="0" w:color="auto"/>
              <w:right w:val="single" w:sz="4" w:space="0" w:color="auto"/>
            </w:tcBorders>
          </w:tcPr>
          <w:p w14:paraId="08EAA344" w14:textId="77777777" w:rsidR="003B563C" w:rsidRPr="004F5FB4" w:rsidRDefault="003B563C" w:rsidP="00764B9A">
            <w:pPr>
              <w:rPr>
                <w:color w:val="000000"/>
                <w:lang w:val="en-GB"/>
              </w:rPr>
            </w:pPr>
          </w:p>
        </w:tc>
        <w:tc>
          <w:tcPr>
            <w:tcW w:w="1841" w:type="dxa"/>
            <w:tcBorders>
              <w:top w:val="single" w:sz="4" w:space="0" w:color="auto"/>
              <w:left w:val="single" w:sz="4" w:space="0" w:color="auto"/>
              <w:bottom w:val="single" w:sz="4" w:space="0" w:color="auto"/>
              <w:right w:val="single" w:sz="4" w:space="0" w:color="auto"/>
            </w:tcBorders>
          </w:tcPr>
          <w:p w14:paraId="2C86237F" w14:textId="77777777" w:rsidR="003B563C" w:rsidRPr="004F5FB4" w:rsidRDefault="003B563C" w:rsidP="00764B9A">
            <w:pPr>
              <w:rPr>
                <w:color w:val="000000"/>
                <w:lang w:val="en-GB"/>
              </w:rPr>
            </w:pPr>
          </w:p>
        </w:tc>
        <w:tc>
          <w:tcPr>
            <w:tcW w:w="1080" w:type="dxa"/>
            <w:tcBorders>
              <w:top w:val="single" w:sz="4" w:space="0" w:color="auto"/>
              <w:left w:val="single" w:sz="4" w:space="0" w:color="auto"/>
              <w:bottom w:val="single" w:sz="4" w:space="0" w:color="auto"/>
              <w:right w:val="single" w:sz="4" w:space="0" w:color="auto"/>
            </w:tcBorders>
          </w:tcPr>
          <w:p w14:paraId="310C9707" w14:textId="77777777" w:rsidR="003B563C" w:rsidRPr="004F5FB4" w:rsidRDefault="003B563C" w:rsidP="00764B9A">
            <w:pPr>
              <w:rPr>
                <w:color w:val="000000"/>
                <w:lang w:val="en-GB"/>
              </w:rPr>
            </w:pPr>
          </w:p>
        </w:tc>
        <w:tc>
          <w:tcPr>
            <w:tcW w:w="1844" w:type="dxa"/>
            <w:tcBorders>
              <w:top w:val="single" w:sz="4" w:space="0" w:color="auto"/>
              <w:left w:val="single" w:sz="4" w:space="0" w:color="auto"/>
              <w:bottom w:val="single" w:sz="4" w:space="0" w:color="auto"/>
              <w:right w:val="single" w:sz="4" w:space="0" w:color="auto"/>
            </w:tcBorders>
          </w:tcPr>
          <w:p w14:paraId="4B0AC3DB" w14:textId="77777777" w:rsidR="003B563C" w:rsidRPr="004F5FB4" w:rsidRDefault="003B563C" w:rsidP="00764B9A">
            <w:pPr>
              <w:rPr>
                <w:color w:val="000000"/>
                <w:lang w:val="en-GB"/>
              </w:rPr>
            </w:pPr>
          </w:p>
        </w:tc>
      </w:tr>
      <w:tr w:rsidR="003B563C" w:rsidRPr="004F5FB4" w14:paraId="00D13834"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1B3D6337" w14:textId="77777777" w:rsidR="003B563C" w:rsidRPr="004F5FB4" w:rsidRDefault="003B563C" w:rsidP="00764B9A">
            <w:pPr>
              <w:rPr>
                <w:color w:val="000000"/>
              </w:rPr>
            </w:pPr>
            <w:r w:rsidRPr="004F5FB4">
              <w:rPr>
                <w:color w:val="000000"/>
              </w:rPr>
              <w:t>Klinische Remission</w:t>
            </w:r>
          </w:p>
        </w:tc>
        <w:tc>
          <w:tcPr>
            <w:tcW w:w="1038" w:type="dxa"/>
            <w:tcBorders>
              <w:top w:val="single" w:sz="4" w:space="0" w:color="auto"/>
              <w:left w:val="single" w:sz="4" w:space="0" w:color="auto"/>
              <w:bottom w:val="single" w:sz="4" w:space="0" w:color="auto"/>
              <w:right w:val="single" w:sz="4" w:space="0" w:color="auto"/>
            </w:tcBorders>
            <w:vAlign w:val="center"/>
            <w:hideMark/>
          </w:tcPr>
          <w:p w14:paraId="1D13E95C" w14:textId="77777777" w:rsidR="003B563C" w:rsidRPr="004F5FB4" w:rsidRDefault="003B563C" w:rsidP="00764B9A">
            <w:pPr>
              <w:jc w:val="center"/>
              <w:rPr>
                <w:color w:val="000000"/>
              </w:rPr>
            </w:pPr>
            <w:r w:rsidRPr="004F5FB4">
              <w:rPr>
                <w:color w:val="000000"/>
              </w:rPr>
              <w:t>12 %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FEC20A0" w14:textId="77777777" w:rsidR="003B563C" w:rsidRPr="004F5FB4" w:rsidRDefault="003B563C" w:rsidP="00764B9A">
            <w:pPr>
              <w:jc w:val="center"/>
              <w:rPr>
                <w:color w:val="000000"/>
              </w:rPr>
            </w:pPr>
            <w:r w:rsidRPr="004F5FB4">
              <w:rPr>
                <w:color w:val="000000"/>
              </w:rPr>
              <w:t>24 %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0AC686D" w14:textId="77777777" w:rsidR="003B563C" w:rsidRPr="004F5FB4" w:rsidRDefault="003B563C" w:rsidP="00764B9A">
            <w:pPr>
              <w:jc w:val="center"/>
              <w:rPr>
                <w:color w:val="000000"/>
              </w:rPr>
            </w:pPr>
            <w:r w:rsidRPr="004F5FB4">
              <w:rPr>
                <w:color w:val="000000"/>
              </w:rPr>
              <w:t>36 %*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12EF052" w14:textId="77777777" w:rsidR="003B563C" w:rsidRPr="004F5FB4" w:rsidRDefault="003B563C" w:rsidP="00764B9A">
            <w:pPr>
              <w:jc w:val="center"/>
              <w:rPr>
                <w:color w:val="000000"/>
              </w:rPr>
            </w:pPr>
            <w:r w:rsidRPr="004F5FB4">
              <w:rPr>
                <w:color w:val="000000"/>
              </w:rPr>
              <w:t>7 %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0C641A5" w14:textId="77777777" w:rsidR="003B563C" w:rsidRPr="004F5FB4" w:rsidRDefault="003B563C" w:rsidP="00764B9A">
            <w:pPr>
              <w:jc w:val="center"/>
              <w:rPr>
                <w:color w:val="000000"/>
              </w:rPr>
            </w:pPr>
            <w:r w:rsidRPr="004F5FB4">
              <w:rPr>
                <w:color w:val="000000"/>
              </w:rPr>
              <w:t>21 %*</w:t>
            </w:r>
          </w:p>
        </w:tc>
      </w:tr>
      <w:tr w:rsidR="003B563C" w:rsidRPr="004F5FB4" w14:paraId="6149BB80" w14:textId="77777777" w:rsidTr="00141962">
        <w:trPr>
          <w:cantSplit/>
        </w:trPr>
        <w:tc>
          <w:tcPr>
            <w:tcW w:w="1770" w:type="dxa"/>
            <w:tcBorders>
              <w:top w:val="single" w:sz="4" w:space="0" w:color="auto"/>
              <w:left w:val="single" w:sz="4" w:space="0" w:color="auto"/>
              <w:bottom w:val="single" w:sz="4" w:space="0" w:color="auto"/>
              <w:right w:val="single" w:sz="4" w:space="0" w:color="auto"/>
            </w:tcBorders>
            <w:hideMark/>
          </w:tcPr>
          <w:p w14:paraId="7565CDAC" w14:textId="77777777" w:rsidR="003B563C" w:rsidRPr="004F5FB4" w:rsidRDefault="003B563C" w:rsidP="00764B9A">
            <w:pPr>
              <w:rPr>
                <w:color w:val="000000"/>
              </w:rPr>
            </w:pPr>
            <w:r w:rsidRPr="004F5FB4">
              <w:rPr>
                <w:color w:val="000000"/>
              </w:rPr>
              <w:t>Klinisches Ansprechen (CR</w:t>
            </w:r>
            <w:r w:rsidRPr="004F5FB4">
              <w:rPr>
                <w:color w:val="000000"/>
              </w:rPr>
              <w:noBreakHyphen/>
              <w:t>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5D9034D2" w14:textId="77777777" w:rsidR="003B563C" w:rsidRPr="004F5FB4" w:rsidRDefault="003B563C" w:rsidP="00764B9A">
            <w:pPr>
              <w:jc w:val="center"/>
              <w:rPr>
                <w:color w:val="000000"/>
              </w:rPr>
            </w:pPr>
            <w:r w:rsidRPr="004F5FB4">
              <w:rPr>
                <w:color w:val="000000"/>
              </w:rPr>
              <w:t>24 %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04752E8" w14:textId="77777777" w:rsidR="003B563C" w:rsidRPr="004F5FB4" w:rsidRDefault="003B563C" w:rsidP="00764B9A">
            <w:pPr>
              <w:jc w:val="center"/>
              <w:rPr>
                <w:color w:val="000000"/>
              </w:rPr>
            </w:pPr>
            <w:r w:rsidRPr="004F5FB4">
              <w:rPr>
                <w:color w:val="000000"/>
              </w:rPr>
              <w:t>37 %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B443000" w14:textId="77777777" w:rsidR="003B563C" w:rsidRPr="004F5FB4" w:rsidRDefault="003B563C" w:rsidP="00764B9A">
            <w:pPr>
              <w:jc w:val="center"/>
              <w:rPr>
                <w:color w:val="000000"/>
              </w:rPr>
            </w:pPr>
            <w:r w:rsidRPr="004F5FB4">
              <w:rPr>
                <w:color w:val="000000"/>
              </w:rPr>
              <w:t>49</w:t>
            </w:r>
            <w:r w:rsidR="00390783" w:rsidRPr="004F5FB4">
              <w:rPr>
                <w:color w:val="000000"/>
              </w:rPr>
              <w:t> </w:t>
            </w:r>
            <w:r w:rsidRPr="004F5FB4">
              <w:rPr>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1F23FCE" w14:textId="77777777" w:rsidR="003B563C" w:rsidRPr="004F5FB4" w:rsidRDefault="003B563C" w:rsidP="00764B9A">
            <w:pPr>
              <w:jc w:val="center"/>
              <w:rPr>
                <w:color w:val="000000"/>
              </w:rPr>
            </w:pPr>
            <w:r w:rsidRPr="004F5FB4">
              <w:rPr>
                <w:color w:val="000000"/>
              </w:rPr>
              <w:t>25 %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5866E7F" w14:textId="77777777" w:rsidR="003B563C" w:rsidRPr="004F5FB4" w:rsidRDefault="003B563C" w:rsidP="00764B9A">
            <w:pPr>
              <w:jc w:val="center"/>
              <w:rPr>
                <w:color w:val="000000"/>
              </w:rPr>
            </w:pPr>
            <w:r w:rsidRPr="004F5FB4">
              <w:rPr>
                <w:color w:val="000000"/>
              </w:rPr>
              <w:t>38 %**</w:t>
            </w:r>
          </w:p>
        </w:tc>
      </w:tr>
      <w:tr w:rsidR="00141962" w:rsidRPr="004F5FB4" w14:paraId="59038794" w14:textId="77777777" w:rsidTr="00141962">
        <w:trPr>
          <w:cantSplit/>
        </w:trPr>
        <w:tc>
          <w:tcPr>
            <w:tcW w:w="9303" w:type="dxa"/>
            <w:gridSpan w:val="6"/>
            <w:tcBorders>
              <w:top w:val="single" w:sz="4" w:space="0" w:color="auto"/>
              <w:left w:val="nil"/>
              <w:bottom w:val="nil"/>
              <w:right w:val="nil"/>
            </w:tcBorders>
          </w:tcPr>
          <w:p w14:paraId="64AB14A2" w14:textId="77777777" w:rsidR="00141962" w:rsidRPr="00206AEA" w:rsidRDefault="00141962" w:rsidP="00141962">
            <w:pPr>
              <w:ind w:left="270" w:hanging="270"/>
              <w:rPr>
                <w:color w:val="000000"/>
                <w:sz w:val="20"/>
              </w:rPr>
            </w:pPr>
            <w:r w:rsidRPr="00206AEA">
              <w:rPr>
                <w:color w:val="000000"/>
                <w:sz w:val="20"/>
              </w:rPr>
              <w:t>Alle p</w:t>
            </w:r>
            <w:r w:rsidRPr="00206AEA">
              <w:rPr>
                <w:color w:val="000000"/>
                <w:sz w:val="20"/>
              </w:rPr>
              <w:noBreakHyphen/>
              <w:t xml:space="preserve">Werte beziehen sich auf den paarweisen Vergleich der Zahlen für Adalimumab </w:t>
            </w:r>
            <w:r w:rsidRPr="00206AEA">
              <w:rPr>
                <w:i/>
                <w:iCs/>
                <w:color w:val="000000"/>
                <w:sz w:val="20"/>
              </w:rPr>
              <w:t>versus</w:t>
            </w:r>
            <w:r w:rsidRPr="00206AEA">
              <w:rPr>
                <w:color w:val="000000"/>
                <w:sz w:val="20"/>
              </w:rPr>
              <w:t xml:space="preserve"> Placebo </w:t>
            </w:r>
          </w:p>
          <w:p w14:paraId="124383B7" w14:textId="77777777" w:rsidR="00141962" w:rsidRPr="00206AEA" w:rsidRDefault="00141962" w:rsidP="00141962">
            <w:pPr>
              <w:ind w:left="270" w:hanging="270"/>
              <w:rPr>
                <w:color w:val="000000"/>
                <w:sz w:val="20"/>
              </w:rPr>
            </w:pPr>
            <w:r w:rsidRPr="00206AEA">
              <w:rPr>
                <w:color w:val="000000"/>
                <w:sz w:val="20"/>
              </w:rPr>
              <w:t>*</w:t>
            </w:r>
            <w:r w:rsidRPr="00206AEA">
              <w:rPr>
                <w:color w:val="000000"/>
                <w:sz w:val="20"/>
              </w:rPr>
              <w:tab/>
              <w:t>p</w:t>
            </w:r>
            <w:r w:rsidR="00CB38A7" w:rsidRPr="00206AEA">
              <w:rPr>
                <w:color w:val="000000"/>
                <w:sz w:val="20"/>
              </w:rPr>
              <w:t> </w:t>
            </w:r>
            <w:r w:rsidRPr="00206AEA">
              <w:rPr>
                <w:color w:val="000000"/>
                <w:sz w:val="20"/>
              </w:rPr>
              <w:t>&lt;</w:t>
            </w:r>
            <w:r w:rsidR="00CB38A7" w:rsidRPr="00206AEA">
              <w:rPr>
                <w:color w:val="000000"/>
                <w:sz w:val="20"/>
              </w:rPr>
              <w:t> </w:t>
            </w:r>
            <w:r w:rsidRPr="00206AEA">
              <w:rPr>
                <w:color w:val="000000"/>
                <w:sz w:val="20"/>
              </w:rPr>
              <w:t>0,001 </w:t>
            </w:r>
          </w:p>
          <w:p w14:paraId="4320B66F" w14:textId="77777777" w:rsidR="00141962" w:rsidRPr="00206AEA" w:rsidRDefault="00141962" w:rsidP="00141962">
            <w:pPr>
              <w:ind w:left="270" w:hanging="270"/>
              <w:rPr>
                <w:color w:val="000000"/>
                <w:sz w:val="20"/>
              </w:rPr>
            </w:pPr>
            <w:r w:rsidRPr="00206AEA">
              <w:rPr>
                <w:color w:val="000000"/>
                <w:sz w:val="20"/>
              </w:rPr>
              <w:t>**</w:t>
            </w:r>
            <w:r w:rsidRPr="00206AEA">
              <w:rPr>
                <w:color w:val="000000"/>
                <w:sz w:val="20"/>
              </w:rPr>
              <w:tab/>
              <w:t>p &lt; 0,01 </w:t>
            </w:r>
          </w:p>
        </w:tc>
      </w:tr>
    </w:tbl>
    <w:p w14:paraId="77752F00" w14:textId="77777777" w:rsidR="00C46587" w:rsidRPr="004F5FB4" w:rsidRDefault="00C46587" w:rsidP="00982118">
      <w:pPr>
        <w:rPr>
          <w:color w:val="000000"/>
          <w:lang w:val="en-GB"/>
        </w:rPr>
      </w:pPr>
    </w:p>
    <w:p w14:paraId="659904F7" w14:textId="77777777" w:rsidR="00C46587" w:rsidRPr="004F5FB4" w:rsidRDefault="00C46587" w:rsidP="00982118">
      <w:pPr>
        <w:rPr>
          <w:color w:val="000000"/>
        </w:rPr>
      </w:pPr>
      <w:r w:rsidRPr="004F5FB4">
        <w:rPr>
          <w:color w:val="000000"/>
        </w:rPr>
        <w:t>Die Remissionsraten in Woche</w:t>
      </w:r>
      <w:r w:rsidR="00390783" w:rsidRPr="004F5FB4">
        <w:rPr>
          <w:color w:val="000000"/>
        </w:rPr>
        <w:t> </w:t>
      </w:r>
      <w:r w:rsidRPr="004F5FB4">
        <w:rPr>
          <w:color w:val="000000"/>
        </w:rPr>
        <w:t xml:space="preserve">8 für die Induktionsdosierung mit 160/80 mg und mit 80/40 mg waren vergleichbar, unter der Dosierung mit 160/80 mg wurden häufiger Nebenwirkungen beobachtet. </w:t>
      </w:r>
    </w:p>
    <w:p w14:paraId="3A605C36" w14:textId="77777777" w:rsidR="00C46587" w:rsidRPr="004F5FB4" w:rsidRDefault="00C46587" w:rsidP="00982118">
      <w:pPr>
        <w:rPr>
          <w:color w:val="000000"/>
        </w:rPr>
      </w:pPr>
    </w:p>
    <w:p w14:paraId="1DBE4D59" w14:textId="77777777" w:rsidR="00C46587" w:rsidRPr="004F5FB4" w:rsidRDefault="00C46587" w:rsidP="00982118">
      <w:pPr>
        <w:rPr>
          <w:color w:val="000000"/>
        </w:rPr>
      </w:pPr>
      <w:r w:rsidRPr="004F5FB4">
        <w:rPr>
          <w:color w:val="000000"/>
        </w:rPr>
        <w:t>In Woche</w:t>
      </w:r>
      <w:r w:rsidR="00390783" w:rsidRPr="004F5FB4">
        <w:rPr>
          <w:color w:val="000000"/>
        </w:rPr>
        <w:t> </w:t>
      </w:r>
      <w:r w:rsidRPr="004F5FB4">
        <w:rPr>
          <w:color w:val="000000"/>
        </w:rPr>
        <w:t>4 zeigten in der MC-Studie</w:t>
      </w:r>
      <w:r w:rsidR="00390783" w:rsidRPr="004F5FB4">
        <w:rPr>
          <w:color w:val="000000"/>
        </w:rPr>
        <w:t> </w:t>
      </w:r>
      <w:r w:rsidRPr="004F5FB4">
        <w:rPr>
          <w:color w:val="000000"/>
        </w:rPr>
        <w:t>III 58</w:t>
      </w:r>
      <w:r w:rsidR="00390783" w:rsidRPr="004F5FB4">
        <w:rPr>
          <w:color w:val="000000"/>
        </w:rPr>
        <w:t> </w:t>
      </w:r>
      <w:r w:rsidRPr="004F5FB4">
        <w:rPr>
          <w:color w:val="000000"/>
        </w:rPr>
        <w:t>% (499/854) der Patienten ein klinisches Ansprechen und wurden in der primären Analyse erfasst. Von diesen Patienten mit klinischem Ansprechen in Woche</w:t>
      </w:r>
      <w:r w:rsidR="00390783" w:rsidRPr="004F5FB4">
        <w:rPr>
          <w:color w:val="000000"/>
        </w:rPr>
        <w:t> </w:t>
      </w:r>
      <w:r w:rsidRPr="004F5FB4">
        <w:rPr>
          <w:color w:val="000000"/>
        </w:rPr>
        <w:t>4 hatten 48</w:t>
      </w:r>
      <w:r w:rsidR="00390783" w:rsidRPr="004F5FB4">
        <w:rPr>
          <w:color w:val="000000"/>
        </w:rPr>
        <w:t> </w:t>
      </w:r>
      <w:r w:rsidRPr="004F5FB4">
        <w:rPr>
          <w:color w:val="000000"/>
        </w:rPr>
        <w:t>% bereits zuvor TNF-Antagonisten erhalten. Die Raten der anhaltenden Remission und des Ansprechens sind in Tabelle</w:t>
      </w:r>
      <w:r w:rsidR="00390783" w:rsidRPr="004F5FB4">
        <w:rPr>
          <w:color w:val="000000"/>
        </w:rPr>
        <w:t> </w:t>
      </w:r>
      <w:r w:rsidR="00B852E6">
        <w:rPr>
          <w:color w:val="000000"/>
        </w:rPr>
        <w:t>22</w:t>
      </w:r>
      <w:r w:rsidRPr="004F5FB4">
        <w:rPr>
          <w:color w:val="000000"/>
        </w:rPr>
        <w:t xml:space="preserve"> aufgeführt. Die Ergebnisse zur klinischen Remission waren weitgehend konstant, unabhängig davon, ob früher bereits ein TNF-Antagonist verabreicht wurde. </w:t>
      </w:r>
    </w:p>
    <w:p w14:paraId="28AA1EFC" w14:textId="77777777" w:rsidR="00C46587" w:rsidRPr="004F5FB4" w:rsidRDefault="00C46587" w:rsidP="00982118">
      <w:pPr>
        <w:rPr>
          <w:color w:val="000000"/>
        </w:rPr>
      </w:pPr>
    </w:p>
    <w:p w14:paraId="2173603F" w14:textId="77777777" w:rsidR="00C46587" w:rsidRPr="004F5FB4" w:rsidRDefault="00C46587" w:rsidP="00982118">
      <w:pPr>
        <w:rPr>
          <w:color w:val="000000"/>
        </w:rPr>
      </w:pPr>
      <w:r w:rsidRPr="004F5FB4">
        <w:rPr>
          <w:color w:val="000000"/>
        </w:rPr>
        <w:t>Adalimumab verringerte im Vergleich zu Placebo krankheitsbezogene Klinikaufenthalte und Operationen in Woche</w:t>
      </w:r>
      <w:r w:rsidR="00390783" w:rsidRPr="004F5FB4">
        <w:rPr>
          <w:color w:val="000000"/>
        </w:rPr>
        <w:t> </w:t>
      </w:r>
      <w:r w:rsidRPr="004F5FB4">
        <w:rPr>
          <w:color w:val="000000"/>
        </w:rPr>
        <w:t xml:space="preserve">56 signifikant. </w:t>
      </w:r>
    </w:p>
    <w:p w14:paraId="62401B4A" w14:textId="77777777" w:rsidR="00C46587" w:rsidRPr="004F5FB4" w:rsidRDefault="00C46587" w:rsidP="00982118">
      <w:pPr>
        <w:rPr>
          <w:color w:val="000000"/>
        </w:rPr>
      </w:pPr>
    </w:p>
    <w:p w14:paraId="5063CDE2" w14:textId="77777777" w:rsidR="00FA0342" w:rsidRPr="004F5FB4" w:rsidRDefault="00C46587" w:rsidP="00A65FE9">
      <w:pPr>
        <w:keepNext/>
        <w:keepLines/>
        <w:rPr>
          <w:b/>
          <w:color w:val="000000"/>
        </w:rPr>
      </w:pPr>
      <w:r w:rsidRPr="004F5FB4">
        <w:rPr>
          <w:b/>
          <w:color w:val="000000"/>
        </w:rPr>
        <w:t>Tabelle</w:t>
      </w:r>
      <w:r w:rsidR="00B852E6">
        <w:rPr>
          <w:b/>
          <w:color w:val="000000"/>
        </w:rPr>
        <w:t> 22</w:t>
      </w:r>
    </w:p>
    <w:p w14:paraId="1FDE3570" w14:textId="77777777" w:rsidR="009473C0" w:rsidRPr="004F5FB4" w:rsidRDefault="009473C0" w:rsidP="00A65FE9">
      <w:pPr>
        <w:keepNext/>
        <w:keepLines/>
        <w:rPr>
          <w:b/>
          <w:color w:val="000000"/>
        </w:rPr>
      </w:pPr>
      <w:r w:rsidRPr="004F5FB4">
        <w:rPr>
          <w:b/>
          <w:color w:val="000000"/>
        </w:rPr>
        <w:t>Aufrechterhaltung der klinischen Remission und des Ansprechens (Prozent der Patienten)</w:t>
      </w:r>
    </w:p>
    <w:p w14:paraId="2AB4D777" w14:textId="77777777" w:rsidR="009473C0" w:rsidRPr="004F5FB4" w:rsidRDefault="009473C0" w:rsidP="00A65FE9">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2090"/>
        <w:gridCol w:w="2121"/>
        <w:gridCol w:w="2121"/>
      </w:tblGrid>
      <w:tr w:rsidR="009473C0" w:rsidRPr="004F5FB4" w14:paraId="5DF3CFCE"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76BAB889" w14:textId="77777777" w:rsidR="009473C0" w:rsidRPr="004F5FB4" w:rsidRDefault="009473C0" w:rsidP="00A65FE9">
            <w:pPr>
              <w:keepNext/>
              <w:keepLines/>
              <w:rPr>
                <w:b/>
                <w:color w:val="000000"/>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74464478" w14:textId="77777777" w:rsidR="009473C0" w:rsidRPr="004F5FB4" w:rsidRDefault="009473C0" w:rsidP="00A65FE9">
            <w:pPr>
              <w:keepNext/>
              <w:keepLines/>
              <w:jc w:val="center"/>
              <w:rPr>
                <w:b/>
                <w:color w:val="000000"/>
              </w:rPr>
            </w:pPr>
            <w:r w:rsidRPr="004F5FB4">
              <w:rPr>
                <w:b/>
                <w:color w:val="000000"/>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46BDB497" w14:textId="77777777" w:rsidR="009473C0" w:rsidRPr="004F5FB4" w:rsidRDefault="009473C0" w:rsidP="00A65FE9">
            <w:pPr>
              <w:keepNext/>
              <w:keepLines/>
              <w:jc w:val="center"/>
              <w:rPr>
                <w:b/>
                <w:color w:val="000000"/>
              </w:rPr>
            </w:pPr>
            <w:r w:rsidRPr="004F5FB4">
              <w:rPr>
                <w:b/>
                <w:color w:val="000000"/>
              </w:rPr>
              <w:t>40 mg Adalimumab</w:t>
            </w:r>
          </w:p>
          <w:p w14:paraId="76C5EE94" w14:textId="77777777" w:rsidR="009473C0" w:rsidRPr="004F5FB4" w:rsidRDefault="009473C0" w:rsidP="00A65FE9">
            <w:pPr>
              <w:keepNext/>
              <w:keepLines/>
              <w:jc w:val="center"/>
              <w:rPr>
                <w:b/>
                <w:color w:val="000000"/>
              </w:rPr>
            </w:pPr>
            <w:r w:rsidRPr="004F5FB4">
              <w:rPr>
                <w:b/>
                <w:color w:val="000000"/>
              </w:rPr>
              <w:t>jede zweite Woche</w:t>
            </w:r>
          </w:p>
        </w:tc>
        <w:tc>
          <w:tcPr>
            <w:tcW w:w="2165" w:type="dxa"/>
            <w:tcBorders>
              <w:top w:val="single" w:sz="4" w:space="0" w:color="auto"/>
              <w:left w:val="single" w:sz="4" w:space="0" w:color="auto"/>
              <w:bottom w:val="single" w:sz="4" w:space="0" w:color="auto"/>
              <w:right w:val="single" w:sz="4" w:space="0" w:color="auto"/>
            </w:tcBorders>
            <w:vAlign w:val="center"/>
            <w:hideMark/>
          </w:tcPr>
          <w:p w14:paraId="225E88EC" w14:textId="77777777" w:rsidR="009473C0" w:rsidRPr="004F5FB4" w:rsidRDefault="009473C0" w:rsidP="00A65FE9">
            <w:pPr>
              <w:keepNext/>
              <w:keepLines/>
              <w:jc w:val="center"/>
              <w:rPr>
                <w:b/>
                <w:color w:val="000000"/>
              </w:rPr>
            </w:pPr>
            <w:r w:rsidRPr="004F5FB4">
              <w:rPr>
                <w:b/>
                <w:color w:val="000000"/>
              </w:rPr>
              <w:t>40 mg Adalimumab</w:t>
            </w:r>
          </w:p>
          <w:p w14:paraId="1FB7819B" w14:textId="77777777" w:rsidR="009473C0" w:rsidRPr="004F5FB4" w:rsidRDefault="009473C0" w:rsidP="00A65FE9">
            <w:pPr>
              <w:keepNext/>
              <w:keepLines/>
              <w:jc w:val="center"/>
              <w:rPr>
                <w:b/>
                <w:color w:val="000000"/>
              </w:rPr>
            </w:pPr>
            <w:r w:rsidRPr="004F5FB4">
              <w:rPr>
                <w:b/>
                <w:color w:val="000000"/>
              </w:rPr>
              <w:t>jede Woche</w:t>
            </w:r>
          </w:p>
        </w:tc>
      </w:tr>
      <w:tr w:rsidR="009473C0" w:rsidRPr="004F5FB4" w14:paraId="315BCFD2"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D77EA06" w14:textId="77777777" w:rsidR="009473C0" w:rsidRPr="004F5FB4" w:rsidRDefault="009473C0" w:rsidP="00A65FE9">
            <w:pPr>
              <w:keepNext/>
              <w:keepLines/>
              <w:rPr>
                <w:b/>
                <w:color w:val="000000"/>
              </w:rPr>
            </w:pPr>
            <w:r w:rsidRPr="004F5FB4">
              <w:rPr>
                <w:b/>
                <w:color w:val="000000"/>
              </w:rPr>
              <w:t>Woche 26</w:t>
            </w:r>
          </w:p>
        </w:tc>
        <w:tc>
          <w:tcPr>
            <w:tcW w:w="2165" w:type="dxa"/>
            <w:tcBorders>
              <w:top w:val="single" w:sz="4" w:space="0" w:color="auto"/>
              <w:left w:val="single" w:sz="4" w:space="0" w:color="auto"/>
              <w:bottom w:val="single" w:sz="4" w:space="0" w:color="auto"/>
              <w:right w:val="single" w:sz="4" w:space="0" w:color="auto"/>
            </w:tcBorders>
            <w:hideMark/>
          </w:tcPr>
          <w:p w14:paraId="2C59E05E" w14:textId="77777777" w:rsidR="009473C0" w:rsidRPr="004F5FB4" w:rsidRDefault="009473C0" w:rsidP="00A65FE9">
            <w:pPr>
              <w:keepNext/>
              <w:keepLines/>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170</w:t>
            </w:r>
          </w:p>
        </w:tc>
        <w:tc>
          <w:tcPr>
            <w:tcW w:w="2165" w:type="dxa"/>
            <w:tcBorders>
              <w:top w:val="single" w:sz="4" w:space="0" w:color="auto"/>
              <w:left w:val="single" w:sz="4" w:space="0" w:color="auto"/>
              <w:bottom w:val="single" w:sz="4" w:space="0" w:color="auto"/>
              <w:right w:val="single" w:sz="4" w:space="0" w:color="auto"/>
            </w:tcBorders>
            <w:hideMark/>
          </w:tcPr>
          <w:p w14:paraId="0F01371D" w14:textId="77777777" w:rsidR="009473C0" w:rsidRPr="004F5FB4" w:rsidRDefault="009473C0" w:rsidP="00A65FE9">
            <w:pPr>
              <w:keepNext/>
              <w:keepLines/>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172</w:t>
            </w:r>
          </w:p>
        </w:tc>
        <w:tc>
          <w:tcPr>
            <w:tcW w:w="2165" w:type="dxa"/>
            <w:tcBorders>
              <w:top w:val="single" w:sz="4" w:space="0" w:color="auto"/>
              <w:left w:val="single" w:sz="4" w:space="0" w:color="auto"/>
              <w:bottom w:val="single" w:sz="4" w:space="0" w:color="auto"/>
              <w:right w:val="single" w:sz="4" w:space="0" w:color="auto"/>
            </w:tcBorders>
            <w:hideMark/>
          </w:tcPr>
          <w:p w14:paraId="3CAC1985" w14:textId="77777777" w:rsidR="009473C0" w:rsidRPr="004F5FB4" w:rsidRDefault="009473C0" w:rsidP="00A65FE9">
            <w:pPr>
              <w:keepNext/>
              <w:keepLines/>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157</w:t>
            </w:r>
          </w:p>
        </w:tc>
      </w:tr>
      <w:tr w:rsidR="009473C0" w:rsidRPr="004F5FB4" w14:paraId="27E68DC4"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A40703A" w14:textId="77777777" w:rsidR="009473C0" w:rsidRPr="004F5FB4" w:rsidRDefault="009473C0" w:rsidP="00A65FE9">
            <w:pPr>
              <w:keepNext/>
              <w:keepLines/>
              <w:rPr>
                <w:color w:val="000000"/>
              </w:rPr>
            </w:pPr>
            <w:r w:rsidRPr="004F5FB4">
              <w:rPr>
                <w:color w:val="000000"/>
              </w:rPr>
              <w:t>Klinische Remission</w:t>
            </w:r>
          </w:p>
        </w:tc>
        <w:tc>
          <w:tcPr>
            <w:tcW w:w="2165" w:type="dxa"/>
            <w:tcBorders>
              <w:top w:val="single" w:sz="4" w:space="0" w:color="auto"/>
              <w:left w:val="single" w:sz="4" w:space="0" w:color="auto"/>
              <w:bottom w:val="single" w:sz="4" w:space="0" w:color="auto"/>
              <w:right w:val="single" w:sz="4" w:space="0" w:color="auto"/>
            </w:tcBorders>
            <w:hideMark/>
          </w:tcPr>
          <w:p w14:paraId="051E18BF" w14:textId="77777777" w:rsidR="009473C0" w:rsidRPr="004F5FB4" w:rsidRDefault="009473C0" w:rsidP="00A65FE9">
            <w:pPr>
              <w:keepNext/>
              <w:keepLines/>
              <w:jc w:val="center"/>
              <w:rPr>
                <w:color w:val="000000"/>
              </w:rPr>
            </w:pPr>
            <w:r w:rsidRPr="004F5FB4">
              <w:rPr>
                <w:color w:val="000000"/>
              </w:rPr>
              <w:t>17 %</w:t>
            </w:r>
          </w:p>
        </w:tc>
        <w:tc>
          <w:tcPr>
            <w:tcW w:w="2165" w:type="dxa"/>
            <w:tcBorders>
              <w:top w:val="single" w:sz="4" w:space="0" w:color="auto"/>
              <w:left w:val="single" w:sz="4" w:space="0" w:color="auto"/>
              <w:bottom w:val="single" w:sz="4" w:space="0" w:color="auto"/>
              <w:right w:val="single" w:sz="4" w:space="0" w:color="auto"/>
            </w:tcBorders>
            <w:hideMark/>
          </w:tcPr>
          <w:p w14:paraId="6EA80949" w14:textId="77777777" w:rsidR="009473C0" w:rsidRPr="004F5FB4" w:rsidRDefault="009473C0" w:rsidP="00A65FE9">
            <w:pPr>
              <w:keepNext/>
              <w:keepLines/>
              <w:jc w:val="center"/>
              <w:rPr>
                <w:color w:val="000000"/>
              </w:rPr>
            </w:pPr>
            <w:r w:rsidRPr="004F5FB4">
              <w:rPr>
                <w:color w:val="000000"/>
              </w:rPr>
              <w:t>40 %*</w:t>
            </w:r>
          </w:p>
        </w:tc>
        <w:tc>
          <w:tcPr>
            <w:tcW w:w="2165" w:type="dxa"/>
            <w:tcBorders>
              <w:top w:val="single" w:sz="4" w:space="0" w:color="auto"/>
              <w:left w:val="single" w:sz="4" w:space="0" w:color="auto"/>
              <w:bottom w:val="single" w:sz="4" w:space="0" w:color="auto"/>
              <w:right w:val="single" w:sz="4" w:space="0" w:color="auto"/>
            </w:tcBorders>
            <w:hideMark/>
          </w:tcPr>
          <w:p w14:paraId="3F7934AC" w14:textId="77777777" w:rsidR="009473C0" w:rsidRPr="004F5FB4" w:rsidRDefault="009473C0" w:rsidP="00A65FE9">
            <w:pPr>
              <w:keepNext/>
              <w:keepLines/>
              <w:jc w:val="center"/>
              <w:rPr>
                <w:color w:val="000000"/>
              </w:rPr>
            </w:pPr>
            <w:r w:rsidRPr="004F5FB4">
              <w:rPr>
                <w:color w:val="000000"/>
              </w:rPr>
              <w:t>47 %*</w:t>
            </w:r>
          </w:p>
        </w:tc>
      </w:tr>
      <w:tr w:rsidR="009473C0" w:rsidRPr="004F5FB4" w14:paraId="3CB617CC"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2D96587" w14:textId="77777777" w:rsidR="009473C0" w:rsidRPr="004F5FB4" w:rsidRDefault="009473C0" w:rsidP="00A65FE9">
            <w:pPr>
              <w:keepNext/>
              <w:keepLines/>
              <w:rPr>
                <w:color w:val="000000"/>
              </w:rPr>
            </w:pPr>
            <w:r w:rsidRPr="004F5FB4">
              <w:rPr>
                <w:color w:val="000000"/>
              </w:rPr>
              <w:t>Klinisches Ansprechen (CR</w:t>
            </w:r>
            <w:r w:rsidRPr="004F5FB4">
              <w:rPr>
                <w:color w:val="000000"/>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7918D743" w14:textId="77777777" w:rsidR="009473C0" w:rsidRPr="004F5FB4" w:rsidRDefault="009473C0" w:rsidP="00A65FE9">
            <w:pPr>
              <w:keepNext/>
              <w:keepLines/>
              <w:jc w:val="center"/>
              <w:rPr>
                <w:color w:val="000000"/>
              </w:rPr>
            </w:pPr>
            <w:r w:rsidRPr="004F5FB4">
              <w:rPr>
                <w:color w:val="000000"/>
              </w:rPr>
              <w:t>27 %</w:t>
            </w:r>
          </w:p>
        </w:tc>
        <w:tc>
          <w:tcPr>
            <w:tcW w:w="2165" w:type="dxa"/>
            <w:tcBorders>
              <w:top w:val="single" w:sz="4" w:space="0" w:color="auto"/>
              <w:left w:val="single" w:sz="4" w:space="0" w:color="auto"/>
              <w:bottom w:val="single" w:sz="4" w:space="0" w:color="auto"/>
              <w:right w:val="single" w:sz="4" w:space="0" w:color="auto"/>
            </w:tcBorders>
            <w:hideMark/>
          </w:tcPr>
          <w:p w14:paraId="490722C5" w14:textId="77777777" w:rsidR="009473C0" w:rsidRPr="004F5FB4" w:rsidRDefault="009473C0" w:rsidP="00A65FE9">
            <w:pPr>
              <w:keepNext/>
              <w:keepLines/>
              <w:jc w:val="center"/>
              <w:rPr>
                <w:color w:val="000000"/>
              </w:rPr>
            </w:pPr>
            <w:r w:rsidRPr="004F5FB4">
              <w:rPr>
                <w:color w:val="000000"/>
              </w:rPr>
              <w:t>52 %*</w:t>
            </w:r>
          </w:p>
        </w:tc>
        <w:tc>
          <w:tcPr>
            <w:tcW w:w="2165" w:type="dxa"/>
            <w:tcBorders>
              <w:top w:val="single" w:sz="4" w:space="0" w:color="auto"/>
              <w:left w:val="single" w:sz="4" w:space="0" w:color="auto"/>
              <w:bottom w:val="single" w:sz="4" w:space="0" w:color="auto"/>
              <w:right w:val="single" w:sz="4" w:space="0" w:color="auto"/>
            </w:tcBorders>
            <w:hideMark/>
          </w:tcPr>
          <w:p w14:paraId="31CDBC1B" w14:textId="77777777" w:rsidR="009473C0" w:rsidRPr="004F5FB4" w:rsidRDefault="009473C0" w:rsidP="00A65FE9">
            <w:pPr>
              <w:keepNext/>
              <w:keepLines/>
              <w:jc w:val="center"/>
              <w:rPr>
                <w:color w:val="000000"/>
              </w:rPr>
            </w:pPr>
            <w:r w:rsidRPr="004F5FB4">
              <w:rPr>
                <w:color w:val="000000"/>
              </w:rPr>
              <w:t>52 %*</w:t>
            </w:r>
          </w:p>
        </w:tc>
      </w:tr>
      <w:tr w:rsidR="009473C0" w:rsidRPr="004F5FB4" w14:paraId="3181A8F7"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0BBCB98" w14:textId="77777777" w:rsidR="009473C0" w:rsidRPr="004F5FB4" w:rsidRDefault="009473C0" w:rsidP="00A65FE9">
            <w:pPr>
              <w:keepNext/>
              <w:keepLines/>
              <w:ind w:left="288"/>
              <w:rPr>
                <w:color w:val="000000"/>
              </w:rPr>
            </w:pPr>
            <w:r w:rsidRPr="004F5FB4">
              <w:rPr>
                <w:color w:val="000000"/>
              </w:rPr>
              <w:t>Patienten in steroidfreier Remission für ≥ 90 Tage</w:t>
            </w:r>
            <w:r w:rsidRPr="004F5FB4">
              <w:rPr>
                <w:color w:val="000000"/>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2F7E61EF" w14:textId="77777777" w:rsidR="009473C0" w:rsidRPr="004F5FB4" w:rsidRDefault="009473C0" w:rsidP="00A65FE9">
            <w:pPr>
              <w:keepNext/>
              <w:keepLines/>
              <w:jc w:val="center"/>
              <w:rPr>
                <w:color w:val="000000"/>
              </w:rPr>
            </w:pPr>
            <w:r w:rsidRPr="004F5FB4">
              <w:rPr>
                <w:color w:val="000000"/>
              </w:rPr>
              <w:t>3 % (2/66)</w:t>
            </w:r>
          </w:p>
        </w:tc>
        <w:tc>
          <w:tcPr>
            <w:tcW w:w="2165" w:type="dxa"/>
            <w:tcBorders>
              <w:top w:val="single" w:sz="4" w:space="0" w:color="auto"/>
              <w:left w:val="single" w:sz="4" w:space="0" w:color="auto"/>
              <w:bottom w:val="single" w:sz="4" w:space="0" w:color="auto"/>
              <w:right w:val="single" w:sz="4" w:space="0" w:color="auto"/>
            </w:tcBorders>
            <w:hideMark/>
          </w:tcPr>
          <w:p w14:paraId="1E7FCDE4" w14:textId="77777777" w:rsidR="009473C0" w:rsidRPr="004F5FB4" w:rsidRDefault="009473C0" w:rsidP="00A65FE9">
            <w:pPr>
              <w:keepNext/>
              <w:keepLines/>
              <w:jc w:val="center"/>
              <w:rPr>
                <w:color w:val="000000"/>
              </w:rPr>
            </w:pPr>
            <w:r w:rsidRPr="004F5FB4">
              <w:rPr>
                <w:color w:val="000000"/>
              </w:rPr>
              <w:t>19 % (11/58)**</w:t>
            </w:r>
          </w:p>
        </w:tc>
        <w:tc>
          <w:tcPr>
            <w:tcW w:w="2165" w:type="dxa"/>
            <w:tcBorders>
              <w:top w:val="single" w:sz="4" w:space="0" w:color="auto"/>
              <w:left w:val="single" w:sz="4" w:space="0" w:color="auto"/>
              <w:bottom w:val="single" w:sz="4" w:space="0" w:color="auto"/>
              <w:right w:val="single" w:sz="4" w:space="0" w:color="auto"/>
            </w:tcBorders>
            <w:hideMark/>
          </w:tcPr>
          <w:p w14:paraId="280A62EB" w14:textId="77777777" w:rsidR="009473C0" w:rsidRPr="004F5FB4" w:rsidRDefault="009473C0" w:rsidP="00A65FE9">
            <w:pPr>
              <w:keepNext/>
              <w:keepLines/>
              <w:jc w:val="center"/>
              <w:rPr>
                <w:color w:val="000000"/>
              </w:rPr>
            </w:pPr>
            <w:r w:rsidRPr="004F5FB4">
              <w:rPr>
                <w:color w:val="000000"/>
              </w:rPr>
              <w:t>15 % (11/74)**</w:t>
            </w:r>
          </w:p>
        </w:tc>
      </w:tr>
      <w:tr w:rsidR="009473C0" w:rsidRPr="004F5FB4" w14:paraId="04DB46CF"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63BCC2B" w14:textId="77777777" w:rsidR="009473C0" w:rsidRPr="004F5FB4" w:rsidRDefault="009473C0" w:rsidP="00A65FE9">
            <w:pPr>
              <w:keepNext/>
              <w:keepLines/>
              <w:rPr>
                <w:b/>
                <w:color w:val="000000"/>
              </w:rPr>
            </w:pPr>
            <w:r w:rsidRPr="004F5FB4">
              <w:rPr>
                <w:b/>
                <w:color w:val="000000"/>
              </w:rPr>
              <w:t>Woche 56</w:t>
            </w:r>
          </w:p>
        </w:tc>
        <w:tc>
          <w:tcPr>
            <w:tcW w:w="2165" w:type="dxa"/>
            <w:tcBorders>
              <w:top w:val="single" w:sz="4" w:space="0" w:color="auto"/>
              <w:left w:val="single" w:sz="4" w:space="0" w:color="auto"/>
              <w:bottom w:val="single" w:sz="4" w:space="0" w:color="auto"/>
              <w:right w:val="single" w:sz="4" w:space="0" w:color="auto"/>
            </w:tcBorders>
            <w:hideMark/>
          </w:tcPr>
          <w:p w14:paraId="4F146F8D" w14:textId="77777777" w:rsidR="009473C0" w:rsidRPr="004F5FB4" w:rsidRDefault="009473C0" w:rsidP="00A65FE9">
            <w:pPr>
              <w:keepNext/>
              <w:keepLines/>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170</w:t>
            </w:r>
          </w:p>
        </w:tc>
        <w:tc>
          <w:tcPr>
            <w:tcW w:w="2165" w:type="dxa"/>
            <w:tcBorders>
              <w:top w:val="single" w:sz="4" w:space="0" w:color="auto"/>
              <w:left w:val="single" w:sz="4" w:space="0" w:color="auto"/>
              <w:bottom w:val="single" w:sz="4" w:space="0" w:color="auto"/>
              <w:right w:val="single" w:sz="4" w:space="0" w:color="auto"/>
            </w:tcBorders>
            <w:hideMark/>
          </w:tcPr>
          <w:p w14:paraId="5E085D92" w14:textId="77777777" w:rsidR="009473C0" w:rsidRPr="004F5FB4" w:rsidRDefault="009473C0" w:rsidP="00A65FE9">
            <w:pPr>
              <w:keepNext/>
              <w:keepLines/>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172</w:t>
            </w:r>
          </w:p>
        </w:tc>
        <w:tc>
          <w:tcPr>
            <w:tcW w:w="2165" w:type="dxa"/>
            <w:tcBorders>
              <w:top w:val="single" w:sz="4" w:space="0" w:color="auto"/>
              <w:left w:val="single" w:sz="4" w:space="0" w:color="auto"/>
              <w:bottom w:val="single" w:sz="4" w:space="0" w:color="auto"/>
              <w:right w:val="single" w:sz="4" w:space="0" w:color="auto"/>
            </w:tcBorders>
            <w:hideMark/>
          </w:tcPr>
          <w:p w14:paraId="01FA92B8" w14:textId="77777777" w:rsidR="009473C0" w:rsidRPr="004F5FB4" w:rsidRDefault="009473C0" w:rsidP="00A65FE9">
            <w:pPr>
              <w:keepNext/>
              <w:keepLines/>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157</w:t>
            </w:r>
          </w:p>
        </w:tc>
      </w:tr>
      <w:tr w:rsidR="009473C0" w:rsidRPr="004F5FB4" w14:paraId="5368FE35"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B381BE3" w14:textId="77777777" w:rsidR="009473C0" w:rsidRPr="004F5FB4" w:rsidRDefault="009473C0" w:rsidP="00A65FE9">
            <w:pPr>
              <w:keepNext/>
              <w:keepLines/>
              <w:rPr>
                <w:color w:val="000000"/>
              </w:rPr>
            </w:pPr>
            <w:r w:rsidRPr="004F5FB4">
              <w:rPr>
                <w:color w:val="000000"/>
              </w:rPr>
              <w:t>Klinische Remission</w:t>
            </w:r>
          </w:p>
        </w:tc>
        <w:tc>
          <w:tcPr>
            <w:tcW w:w="2165" w:type="dxa"/>
            <w:tcBorders>
              <w:top w:val="single" w:sz="4" w:space="0" w:color="auto"/>
              <w:left w:val="single" w:sz="4" w:space="0" w:color="auto"/>
              <w:bottom w:val="single" w:sz="4" w:space="0" w:color="auto"/>
              <w:right w:val="single" w:sz="4" w:space="0" w:color="auto"/>
            </w:tcBorders>
            <w:hideMark/>
          </w:tcPr>
          <w:p w14:paraId="6292B622" w14:textId="77777777" w:rsidR="009473C0" w:rsidRPr="004F5FB4" w:rsidRDefault="009473C0" w:rsidP="00A65FE9">
            <w:pPr>
              <w:keepNext/>
              <w:keepLines/>
              <w:jc w:val="center"/>
              <w:rPr>
                <w:color w:val="000000"/>
              </w:rPr>
            </w:pPr>
            <w:r w:rsidRPr="004F5FB4">
              <w:rPr>
                <w:color w:val="000000"/>
              </w:rPr>
              <w:t>12 %</w:t>
            </w:r>
          </w:p>
        </w:tc>
        <w:tc>
          <w:tcPr>
            <w:tcW w:w="2165" w:type="dxa"/>
            <w:tcBorders>
              <w:top w:val="single" w:sz="4" w:space="0" w:color="auto"/>
              <w:left w:val="single" w:sz="4" w:space="0" w:color="auto"/>
              <w:bottom w:val="single" w:sz="4" w:space="0" w:color="auto"/>
              <w:right w:val="single" w:sz="4" w:space="0" w:color="auto"/>
            </w:tcBorders>
            <w:hideMark/>
          </w:tcPr>
          <w:p w14:paraId="31622FD0" w14:textId="77777777" w:rsidR="009473C0" w:rsidRPr="004F5FB4" w:rsidRDefault="009473C0" w:rsidP="00A65FE9">
            <w:pPr>
              <w:keepNext/>
              <w:keepLines/>
              <w:jc w:val="center"/>
              <w:rPr>
                <w:color w:val="000000"/>
              </w:rPr>
            </w:pPr>
            <w:r w:rsidRPr="004F5FB4">
              <w:rPr>
                <w:color w:val="000000"/>
              </w:rPr>
              <w:t>36 %*</w:t>
            </w:r>
          </w:p>
        </w:tc>
        <w:tc>
          <w:tcPr>
            <w:tcW w:w="2165" w:type="dxa"/>
            <w:tcBorders>
              <w:top w:val="single" w:sz="4" w:space="0" w:color="auto"/>
              <w:left w:val="single" w:sz="4" w:space="0" w:color="auto"/>
              <w:bottom w:val="single" w:sz="4" w:space="0" w:color="auto"/>
              <w:right w:val="single" w:sz="4" w:space="0" w:color="auto"/>
            </w:tcBorders>
            <w:hideMark/>
          </w:tcPr>
          <w:p w14:paraId="1ED102E6" w14:textId="77777777" w:rsidR="009473C0" w:rsidRPr="004F5FB4" w:rsidRDefault="009473C0" w:rsidP="00A65FE9">
            <w:pPr>
              <w:keepNext/>
              <w:keepLines/>
              <w:jc w:val="center"/>
              <w:rPr>
                <w:color w:val="000000"/>
              </w:rPr>
            </w:pPr>
            <w:r w:rsidRPr="004F5FB4">
              <w:rPr>
                <w:color w:val="000000"/>
              </w:rPr>
              <w:t>41 %*</w:t>
            </w:r>
          </w:p>
        </w:tc>
      </w:tr>
      <w:tr w:rsidR="009473C0" w:rsidRPr="004F5FB4" w14:paraId="459817DE"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DED0A1F" w14:textId="77777777" w:rsidR="009473C0" w:rsidRPr="004F5FB4" w:rsidRDefault="009473C0" w:rsidP="005A68B9">
            <w:pPr>
              <w:rPr>
                <w:color w:val="000000"/>
              </w:rPr>
            </w:pPr>
            <w:r w:rsidRPr="004F5FB4">
              <w:rPr>
                <w:color w:val="000000"/>
              </w:rPr>
              <w:t>Klinisches Ansprechen (CR</w:t>
            </w:r>
            <w:r w:rsidRPr="004F5FB4">
              <w:rPr>
                <w:color w:val="000000"/>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09AA436C" w14:textId="77777777" w:rsidR="009473C0" w:rsidRPr="004F5FB4" w:rsidRDefault="009473C0" w:rsidP="005A68B9">
            <w:pPr>
              <w:jc w:val="center"/>
              <w:rPr>
                <w:color w:val="000000"/>
              </w:rPr>
            </w:pPr>
            <w:r w:rsidRPr="004F5FB4">
              <w:rPr>
                <w:color w:val="000000"/>
              </w:rPr>
              <w:t>17 %</w:t>
            </w:r>
          </w:p>
        </w:tc>
        <w:tc>
          <w:tcPr>
            <w:tcW w:w="2165" w:type="dxa"/>
            <w:tcBorders>
              <w:top w:val="single" w:sz="4" w:space="0" w:color="auto"/>
              <w:left w:val="single" w:sz="4" w:space="0" w:color="auto"/>
              <w:bottom w:val="single" w:sz="4" w:space="0" w:color="auto"/>
              <w:right w:val="single" w:sz="4" w:space="0" w:color="auto"/>
            </w:tcBorders>
            <w:hideMark/>
          </w:tcPr>
          <w:p w14:paraId="63E938F5" w14:textId="77777777" w:rsidR="009473C0" w:rsidRPr="004F5FB4" w:rsidRDefault="009473C0" w:rsidP="005A68B9">
            <w:pPr>
              <w:jc w:val="center"/>
              <w:rPr>
                <w:color w:val="000000"/>
              </w:rPr>
            </w:pPr>
            <w:r w:rsidRPr="004F5FB4">
              <w:rPr>
                <w:color w:val="000000"/>
              </w:rPr>
              <w:t>41 %*</w:t>
            </w:r>
          </w:p>
        </w:tc>
        <w:tc>
          <w:tcPr>
            <w:tcW w:w="2165" w:type="dxa"/>
            <w:tcBorders>
              <w:top w:val="single" w:sz="4" w:space="0" w:color="auto"/>
              <w:left w:val="single" w:sz="4" w:space="0" w:color="auto"/>
              <w:bottom w:val="single" w:sz="4" w:space="0" w:color="auto"/>
              <w:right w:val="single" w:sz="4" w:space="0" w:color="auto"/>
            </w:tcBorders>
            <w:hideMark/>
          </w:tcPr>
          <w:p w14:paraId="053B0E16" w14:textId="77777777" w:rsidR="009473C0" w:rsidRPr="004F5FB4" w:rsidRDefault="009473C0" w:rsidP="005A68B9">
            <w:pPr>
              <w:jc w:val="center"/>
              <w:rPr>
                <w:color w:val="000000"/>
              </w:rPr>
            </w:pPr>
            <w:r w:rsidRPr="004F5FB4">
              <w:rPr>
                <w:color w:val="000000"/>
              </w:rPr>
              <w:t>48 %*</w:t>
            </w:r>
          </w:p>
        </w:tc>
      </w:tr>
      <w:tr w:rsidR="009473C0" w:rsidRPr="004F5FB4" w14:paraId="058ABC00" w14:textId="77777777" w:rsidTr="00141962">
        <w:tc>
          <w:tcPr>
            <w:tcW w:w="2808" w:type="dxa"/>
            <w:tcBorders>
              <w:top w:val="single" w:sz="4" w:space="0" w:color="auto"/>
              <w:left w:val="single" w:sz="4" w:space="0" w:color="auto"/>
              <w:bottom w:val="single" w:sz="4" w:space="0" w:color="auto"/>
              <w:right w:val="single" w:sz="4" w:space="0" w:color="auto"/>
            </w:tcBorders>
            <w:hideMark/>
          </w:tcPr>
          <w:p w14:paraId="76D86A20" w14:textId="77777777" w:rsidR="009473C0" w:rsidRPr="004F5FB4" w:rsidRDefault="009473C0" w:rsidP="005A68B9">
            <w:pPr>
              <w:ind w:left="288"/>
              <w:rPr>
                <w:color w:val="000000"/>
              </w:rPr>
            </w:pPr>
            <w:r w:rsidRPr="004F5FB4">
              <w:rPr>
                <w:color w:val="000000"/>
              </w:rPr>
              <w:t>Patienten in steroidfreier Remission für ≥ 90 Tage</w:t>
            </w:r>
            <w:r w:rsidRPr="004F5FB4">
              <w:rPr>
                <w:color w:val="000000"/>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676C3C97" w14:textId="77777777" w:rsidR="009473C0" w:rsidRPr="004F5FB4" w:rsidRDefault="009473C0" w:rsidP="005A68B9">
            <w:pPr>
              <w:jc w:val="center"/>
              <w:rPr>
                <w:color w:val="000000"/>
              </w:rPr>
            </w:pPr>
            <w:r w:rsidRPr="004F5FB4">
              <w:rPr>
                <w:color w:val="000000"/>
              </w:rPr>
              <w:t>5 % (3/66)</w:t>
            </w:r>
          </w:p>
        </w:tc>
        <w:tc>
          <w:tcPr>
            <w:tcW w:w="2165" w:type="dxa"/>
            <w:tcBorders>
              <w:top w:val="single" w:sz="4" w:space="0" w:color="auto"/>
              <w:left w:val="single" w:sz="4" w:space="0" w:color="auto"/>
              <w:bottom w:val="single" w:sz="4" w:space="0" w:color="auto"/>
              <w:right w:val="single" w:sz="4" w:space="0" w:color="auto"/>
            </w:tcBorders>
            <w:hideMark/>
          </w:tcPr>
          <w:p w14:paraId="3E5D6D82" w14:textId="77777777" w:rsidR="009473C0" w:rsidRPr="004F5FB4" w:rsidRDefault="009473C0" w:rsidP="005A68B9">
            <w:pPr>
              <w:jc w:val="center"/>
              <w:rPr>
                <w:color w:val="000000"/>
              </w:rPr>
            </w:pPr>
            <w:r w:rsidRPr="004F5FB4">
              <w:rPr>
                <w:color w:val="000000"/>
              </w:rPr>
              <w:t>29 % (17/58)*</w:t>
            </w:r>
          </w:p>
        </w:tc>
        <w:tc>
          <w:tcPr>
            <w:tcW w:w="2165" w:type="dxa"/>
            <w:tcBorders>
              <w:top w:val="single" w:sz="4" w:space="0" w:color="auto"/>
              <w:left w:val="single" w:sz="4" w:space="0" w:color="auto"/>
              <w:bottom w:val="single" w:sz="4" w:space="0" w:color="auto"/>
              <w:right w:val="single" w:sz="4" w:space="0" w:color="auto"/>
            </w:tcBorders>
            <w:hideMark/>
          </w:tcPr>
          <w:p w14:paraId="213EE959" w14:textId="77777777" w:rsidR="009473C0" w:rsidRPr="004F5FB4" w:rsidRDefault="009473C0" w:rsidP="005A68B9">
            <w:pPr>
              <w:jc w:val="center"/>
              <w:rPr>
                <w:color w:val="000000"/>
              </w:rPr>
            </w:pPr>
            <w:r w:rsidRPr="004F5FB4">
              <w:rPr>
                <w:color w:val="000000"/>
              </w:rPr>
              <w:t>20 % (15/74)**</w:t>
            </w:r>
          </w:p>
        </w:tc>
      </w:tr>
      <w:tr w:rsidR="00141962" w:rsidRPr="004F5FB4" w14:paraId="2AD65FA4" w14:textId="77777777" w:rsidTr="00141962">
        <w:tc>
          <w:tcPr>
            <w:tcW w:w="9303" w:type="dxa"/>
            <w:gridSpan w:val="4"/>
            <w:tcBorders>
              <w:top w:val="single" w:sz="4" w:space="0" w:color="auto"/>
              <w:left w:val="nil"/>
              <w:bottom w:val="nil"/>
              <w:right w:val="nil"/>
            </w:tcBorders>
          </w:tcPr>
          <w:p w14:paraId="365AF61C" w14:textId="77777777" w:rsidR="00141962" w:rsidRPr="00206AEA" w:rsidRDefault="00141962" w:rsidP="00141962">
            <w:pPr>
              <w:ind w:left="270" w:hanging="270"/>
              <w:rPr>
                <w:color w:val="000000"/>
                <w:sz w:val="20"/>
              </w:rPr>
            </w:pPr>
            <w:r w:rsidRPr="00206AEA">
              <w:rPr>
                <w:color w:val="000000"/>
                <w:sz w:val="20"/>
              </w:rPr>
              <w:t xml:space="preserve">* </w:t>
            </w:r>
            <w:r w:rsidRPr="00206AEA">
              <w:rPr>
                <w:color w:val="000000"/>
                <w:sz w:val="20"/>
              </w:rPr>
              <w:tab/>
              <w:t xml:space="preserve">p &lt; 0,001 bezogen auf den paarweisen Vergleich der Zahlen für Adalimumab </w:t>
            </w:r>
            <w:r w:rsidRPr="00206AEA">
              <w:rPr>
                <w:i/>
                <w:iCs/>
                <w:color w:val="000000"/>
                <w:sz w:val="20"/>
              </w:rPr>
              <w:t>versus</w:t>
            </w:r>
            <w:r w:rsidRPr="00206AEA">
              <w:rPr>
                <w:color w:val="000000"/>
                <w:sz w:val="20"/>
              </w:rPr>
              <w:t xml:space="preserve"> Placebo </w:t>
            </w:r>
          </w:p>
          <w:p w14:paraId="5AA06D28" w14:textId="77777777" w:rsidR="00141962" w:rsidRPr="00206AEA" w:rsidRDefault="00141962" w:rsidP="00141962">
            <w:pPr>
              <w:ind w:left="270" w:hanging="270"/>
              <w:rPr>
                <w:color w:val="000000"/>
                <w:sz w:val="20"/>
              </w:rPr>
            </w:pPr>
            <w:r w:rsidRPr="00206AEA">
              <w:rPr>
                <w:color w:val="000000"/>
                <w:sz w:val="20"/>
              </w:rPr>
              <w:t xml:space="preserve">** </w:t>
            </w:r>
            <w:r w:rsidRPr="00206AEA">
              <w:rPr>
                <w:color w:val="000000"/>
                <w:sz w:val="20"/>
              </w:rPr>
              <w:tab/>
              <w:t xml:space="preserve">p &lt; 0,02 bezogen auf den paarweisen Vergleich der Zahlen für Adalimumab </w:t>
            </w:r>
            <w:r w:rsidRPr="00206AEA">
              <w:rPr>
                <w:i/>
                <w:iCs/>
                <w:color w:val="000000"/>
                <w:sz w:val="20"/>
              </w:rPr>
              <w:t>versus</w:t>
            </w:r>
            <w:r w:rsidRPr="00206AEA">
              <w:rPr>
                <w:color w:val="000000"/>
                <w:sz w:val="20"/>
              </w:rPr>
              <w:t xml:space="preserve"> Placebo </w:t>
            </w:r>
          </w:p>
          <w:p w14:paraId="57888154" w14:textId="77777777" w:rsidR="00141962" w:rsidRPr="00206AEA" w:rsidRDefault="00141962" w:rsidP="00141962">
            <w:pPr>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r>
            <w:r w:rsidR="00525763" w:rsidRPr="00206AEA">
              <w:rPr>
                <w:color w:val="000000"/>
                <w:sz w:val="20"/>
              </w:rPr>
              <w:t>Von den Patienten, die</w:t>
            </w:r>
            <w:r w:rsidRPr="00206AEA">
              <w:rPr>
                <w:color w:val="000000"/>
                <w:sz w:val="20"/>
              </w:rPr>
              <w:t xml:space="preserve"> </w:t>
            </w:r>
            <w:r w:rsidR="00525763" w:rsidRPr="00206AEA">
              <w:rPr>
                <w:color w:val="000000"/>
                <w:sz w:val="20"/>
              </w:rPr>
              <w:t>Glukok</w:t>
            </w:r>
            <w:r w:rsidRPr="00206AEA">
              <w:rPr>
                <w:color w:val="000000"/>
                <w:sz w:val="20"/>
              </w:rPr>
              <w:t xml:space="preserve">ortikoide zu </w:t>
            </w:r>
            <w:r w:rsidR="00525763" w:rsidRPr="00206AEA">
              <w:rPr>
                <w:color w:val="000000"/>
                <w:sz w:val="20"/>
              </w:rPr>
              <w:t>B</w:t>
            </w:r>
            <w:r w:rsidRPr="00206AEA">
              <w:rPr>
                <w:color w:val="000000"/>
                <w:sz w:val="20"/>
              </w:rPr>
              <w:t>eginn</w:t>
            </w:r>
            <w:r w:rsidR="00525763" w:rsidRPr="00206AEA">
              <w:rPr>
                <w:color w:val="000000"/>
                <w:sz w:val="20"/>
              </w:rPr>
              <w:t xml:space="preserve"> erhalten haben</w:t>
            </w:r>
            <w:r w:rsidRPr="00206AEA">
              <w:rPr>
                <w:color w:val="000000"/>
                <w:sz w:val="20"/>
              </w:rPr>
              <w:t xml:space="preserve"> </w:t>
            </w:r>
          </w:p>
        </w:tc>
      </w:tr>
    </w:tbl>
    <w:p w14:paraId="7D1FCE2C" w14:textId="77777777" w:rsidR="00C46587" w:rsidRPr="004F5FB4" w:rsidRDefault="00C46587" w:rsidP="00982118">
      <w:pPr>
        <w:rPr>
          <w:color w:val="000000"/>
        </w:rPr>
      </w:pPr>
    </w:p>
    <w:p w14:paraId="483565A5" w14:textId="77777777" w:rsidR="00C46587" w:rsidRPr="004F5FB4" w:rsidRDefault="00C46587" w:rsidP="00982118">
      <w:pPr>
        <w:rPr>
          <w:color w:val="000000"/>
        </w:rPr>
      </w:pPr>
      <w:r w:rsidRPr="004F5FB4">
        <w:rPr>
          <w:color w:val="000000"/>
        </w:rPr>
        <w:t>Bei den Patienten, die bis Woche</w:t>
      </w:r>
      <w:r w:rsidR="003B119A" w:rsidRPr="004F5FB4">
        <w:rPr>
          <w:color w:val="000000"/>
        </w:rPr>
        <w:t> </w:t>
      </w:r>
      <w:r w:rsidRPr="004F5FB4">
        <w:rPr>
          <w:color w:val="000000"/>
        </w:rPr>
        <w:t xml:space="preserve">4 nicht angesprochen hatten, zeigte sich bei 43 % der </w:t>
      </w:r>
      <w:r w:rsidR="00525763" w:rsidRPr="004F5FB4">
        <w:rPr>
          <w:color w:val="000000"/>
        </w:rPr>
        <w:t xml:space="preserve">mit Adalimumab behandelten </w:t>
      </w:r>
      <w:r w:rsidRPr="004F5FB4">
        <w:rPr>
          <w:color w:val="000000"/>
        </w:rPr>
        <w:t>Patienten in Woche 12 ein</w:t>
      </w:r>
      <w:r w:rsidR="00525763" w:rsidRPr="004F5FB4">
        <w:rPr>
          <w:color w:val="000000"/>
        </w:rPr>
        <w:t>e</w:t>
      </w:r>
      <w:r w:rsidRPr="004F5FB4">
        <w:rPr>
          <w:color w:val="000000"/>
        </w:rPr>
        <w:t xml:space="preserve"> </w:t>
      </w:r>
      <w:r w:rsidR="00525763" w:rsidRPr="004F5FB4">
        <w:rPr>
          <w:color w:val="000000"/>
        </w:rPr>
        <w:t>Wirkung im</w:t>
      </w:r>
      <w:r w:rsidRPr="004F5FB4">
        <w:rPr>
          <w:color w:val="000000"/>
        </w:rPr>
        <w:t xml:space="preserve"> </w:t>
      </w:r>
      <w:r w:rsidR="00525763" w:rsidRPr="004F5FB4">
        <w:rPr>
          <w:color w:val="000000"/>
        </w:rPr>
        <w:t>V</w:t>
      </w:r>
      <w:r w:rsidRPr="004F5FB4">
        <w:rPr>
          <w:color w:val="000000"/>
        </w:rPr>
        <w:t>ergl</w:t>
      </w:r>
      <w:r w:rsidR="00525763" w:rsidRPr="004F5FB4">
        <w:rPr>
          <w:color w:val="000000"/>
        </w:rPr>
        <w:t>e</w:t>
      </w:r>
      <w:r w:rsidRPr="004F5FB4">
        <w:rPr>
          <w:color w:val="000000"/>
        </w:rPr>
        <w:t xml:space="preserve">ich </w:t>
      </w:r>
      <w:r w:rsidR="00525763" w:rsidRPr="004F5FB4">
        <w:rPr>
          <w:color w:val="000000"/>
        </w:rPr>
        <w:t>zu</w:t>
      </w:r>
      <w:r w:rsidRPr="004F5FB4">
        <w:rPr>
          <w:color w:val="000000"/>
        </w:rPr>
        <w:t xml:space="preserve"> 30 % der P</w:t>
      </w:r>
      <w:r w:rsidR="00525763" w:rsidRPr="004F5FB4">
        <w:rPr>
          <w:color w:val="000000"/>
        </w:rPr>
        <w:t>lacebop</w:t>
      </w:r>
      <w:r w:rsidRPr="004F5FB4">
        <w:rPr>
          <w:color w:val="000000"/>
        </w:rPr>
        <w:t>atienten. Diese Ergebnisse lassen vermuten, dass einige Patienten, die bis Woche</w:t>
      </w:r>
      <w:r w:rsidR="003B119A" w:rsidRPr="004F5FB4">
        <w:rPr>
          <w:color w:val="000000"/>
        </w:rPr>
        <w:t> </w:t>
      </w:r>
      <w:r w:rsidRPr="004F5FB4">
        <w:rPr>
          <w:color w:val="000000"/>
        </w:rPr>
        <w:t xml:space="preserve">4 noch nicht auf die Therapie angesprochen haben, von einer Weiterführung der Erhaltungstherapie bis </w:t>
      </w:r>
      <w:r w:rsidRPr="004F5FB4">
        <w:rPr>
          <w:color w:val="000000"/>
        </w:rPr>
        <w:lastRenderedPageBreak/>
        <w:t>Woche</w:t>
      </w:r>
      <w:r w:rsidR="003B119A" w:rsidRPr="004F5FB4">
        <w:rPr>
          <w:color w:val="000000"/>
        </w:rPr>
        <w:t> </w:t>
      </w:r>
      <w:r w:rsidRPr="004F5FB4">
        <w:rPr>
          <w:color w:val="000000"/>
        </w:rPr>
        <w:t>12 profitieren. Eine Fortsetzung der Therapie über die</w:t>
      </w:r>
      <w:r w:rsidR="003B119A" w:rsidRPr="004F5FB4">
        <w:rPr>
          <w:color w:val="000000"/>
        </w:rPr>
        <w:t xml:space="preserve"> </w:t>
      </w:r>
      <w:r w:rsidRPr="004F5FB4">
        <w:rPr>
          <w:color w:val="000000"/>
        </w:rPr>
        <w:t>12.</w:t>
      </w:r>
      <w:r w:rsidR="003B119A" w:rsidRPr="004F5FB4">
        <w:rPr>
          <w:color w:val="000000"/>
        </w:rPr>
        <w:t> </w:t>
      </w:r>
      <w:r w:rsidRPr="004F5FB4">
        <w:rPr>
          <w:color w:val="000000"/>
        </w:rPr>
        <w:t>Woche hinaus zeigte keine signifikant höhere Ansprechrate (siehe Abschnitt</w:t>
      </w:r>
      <w:r w:rsidR="003B119A" w:rsidRPr="004F5FB4">
        <w:rPr>
          <w:color w:val="000000"/>
        </w:rPr>
        <w:t> </w:t>
      </w:r>
      <w:r w:rsidRPr="004F5FB4">
        <w:rPr>
          <w:color w:val="000000"/>
        </w:rPr>
        <w:t xml:space="preserve">4.2). </w:t>
      </w:r>
    </w:p>
    <w:p w14:paraId="438947ED" w14:textId="77777777" w:rsidR="00C46587" w:rsidRPr="004F5FB4" w:rsidRDefault="00C46587" w:rsidP="00982118">
      <w:pPr>
        <w:rPr>
          <w:color w:val="000000"/>
        </w:rPr>
      </w:pPr>
    </w:p>
    <w:p w14:paraId="049938E6" w14:textId="77777777" w:rsidR="00C46587" w:rsidRPr="004F5FB4" w:rsidRDefault="00C46587" w:rsidP="00982118">
      <w:pPr>
        <w:rPr>
          <w:color w:val="000000"/>
        </w:rPr>
      </w:pPr>
      <w:r w:rsidRPr="004F5FB4">
        <w:rPr>
          <w:color w:val="000000"/>
        </w:rPr>
        <w:t>117 von 276</w:t>
      </w:r>
      <w:r w:rsidR="003B119A" w:rsidRPr="004F5FB4">
        <w:rPr>
          <w:color w:val="000000"/>
        </w:rPr>
        <w:t> </w:t>
      </w:r>
      <w:r w:rsidRPr="004F5FB4">
        <w:rPr>
          <w:color w:val="000000"/>
        </w:rPr>
        <w:t>Patienten aus der MC-Studie</w:t>
      </w:r>
      <w:r w:rsidR="003B119A" w:rsidRPr="004F5FB4">
        <w:rPr>
          <w:color w:val="000000"/>
        </w:rPr>
        <w:t> </w:t>
      </w:r>
      <w:r w:rsidRPr="004F5FB4">
        <w:rPr>
          <w:color w:val="000000"/>
        </w:rPr>
        <w:t>I und 272 von 777 aus den MC-Studien</w:t>
      </w:r>
      <w:r w:rsidR="003B119A" w:rsidRPr="004F5FB4">
        <w:rPr>
          <w:color w:val="000000"/>
        </w:rPr>
        <w:t> </w:t>
      </w:r>
      <w:r w:rsidRPr="004F5FB4">
        <w:rPr>
          <w:color w:val="000000"/>
        </w:rPr>
        <w:t>II und III wurden mindestens 3</w:t>
      </w:r>
      <w:r w:rsidR="003B119A" w:rsidRPr="004F5FB4">
        <w:rPr>
          <w:color w:val="000000"/>
        </w:rPr>
        <w:t> </w:t>
      </w:r>
      <w:r w:rsidRPr="004F5FB4">
        <w:rPr>
          <w:color w:val="000000"/>
        </w:rPr>
        <w:t>Jahre in einer offenen Studie mit Adalimumab weiterbehandelt. 88 bzw. 189</w:t>
      </w:r>
      <w:r w:rsidR="003B119A" w:rsidRPr="004F5FB4">
        <w:rPr>
          <w:color w:val="000000"/>
        </w:rPr>
        <w:t> </w:t>
      </w:r>
      <w:r w:rsidRPr="004F5FB4">
        <w:rPr>
          <w:color w:val="000000"/>
        </w:rPr>
        <w:t>Patienten blieben weiterhin in klinischer Remission. Ein klinisches Ansprechen (CR</w:t>
      </w:r>
      <w:r w:rsidRPr="004F5FB4">
        <w:rPr>
          <w:color w:val="000000"/>
        </w:rPr>
        <w:noBreakHyphen/>
        <w:t xml:space="preserve">100) wurde bei 102 bzw. 233 Patienten erhalten. </w:t>
      </w:r>
    </w:p>
    <w:p w14:paraId="05289551" w14:textId="77777777" w:rsidR="00C46587" w:rsidRPr="004F5FB4" w:rsidRDefault="00C46587" w:rsidP="00982118">
      <w:pPr>
        <w:rPr>
          <w:color w:val="000000"/>
        </w:rPr>
      </w:pPr>
    </w:p>
    <w:p w14:paraId="00F4FC07" w14:textId="77777777" w:rsidR="00C46587" w:rsidRPr="004F5FB4" w:rsidRDefault="00C46587" w:rsidP="00DC3A99">
      <w:pPr>
        <w:keepNext/>
        <w:rPr>
          <w:i/>
          <w:color w:val="000000"/>
          <w:u w:val="single"/>
        </w:rPr>
      </w:pPr>
      <w:r w:rsidRPr="004F5FB4">
        <w:rPr>
          <w:i/>
          <w:color w:val="000000"/>
          <w:u w:val="single"/>
        </w:rPr>
        <w:t>Lebensqualität</w:t>
      </w:r>
    </w:p>
    <w:p w14:paraId="5175437A" w14:textId="77777777" w:rsidR="00C46587" w:rsidRPr="004F5FB4" w:rsidRDefault="00C46587" w:rsidP="00DC3A99">
      <w:pPr>
        <w:keepNext/>
        <w:rPr>
          <w:color w:val="000000"/>
        </w:rPr>
      </w:pPr>
    </w:p>
    <w:p w14:paraId="1AAA7C3C" w14:textId="77777777" w:rsidR="00C46587" w:rsidRPr="004F5FB4" w:rsidRDefault="00C46587" w:rsidP="00982118">
      <w:pPr>
        <w:rPr>
          <w:color w:val="000000"/>
        </w:rPr>
      </w:pPr>
      <w:r w:rsidRPr="004F5FB4">
        <w:rPr>
          <w:color w:val="000000"/>
        </w:rPr>
        <w:t>In der MC-Studie</w:t>
      </w:r>
      <w:r w:rsidR="0083649C" w:rsidRPr="004F5FB4">
        <w:rPr>
          <w:color w:val="000000"/>
        </w:rPr>
        <w:t> </w:t>
      </w:r>
      <w:r w:rsidRPr="004F5FB4">
        <w:rPr>
          <w:color w:val="000000"/>
        </w:rPr>
        <w:t>I und der MC-Studie</w:t>
      </w:r>
      <w:r w:rsidR="0083649C" w:rsidRPr="004F5FB4">
        <w:rPr>
          <w:color w:val="000000"/>
        </w:rPr>
        <w:t> </w:t>
      </w:r>
      <w:r w:rsidRPr="004F5FB4">
        <w:rPr>
          <w:color w:val="000000"/>
        </w:rPr>
        <w:t>II zeigte sich eine statistisch signifikante Verbesserung im krankheitsspezifischen IBDQ(Inflammatory-Bowel-Disease-Questionnaire)-Gesamtscore in Woche</w:t>
      </w:r>
      <w:r w:rsidR="0083649C" w:rsidRPr="004F5FB4">
        <w:rPr>
          <w:color w:val="000000"/>
        </w:rPr>
        <w:t> </w:t>
      </w:r>
      <w:r w:rsidRPr="004F5FB4">
        <w:rPr>
          <w:color w:val="000000"/>
        </w:rPr>
        <w:t>4 bei Patienten, die in die Adalimumab-Gruppen 80/40 mg und 160/80 mg randomisiert wurden, im Vergleich zur Placebogruppe. Dasselbe zeigte sich in der MC-Studie</w:t>
      </w:r>
      <w:r w:rsidR="0083649C" w:rsidRPr="004F5FB4">
        <w:rPr>
          <w:color w:val="000000"/>
        </w:rPr>
        <w:t> </w:t>
      </w:r>
      <w:r w:rsidRPr="004F5FB4">
        <w:rPr>
          <w:color w:val="000000"/>
        </w:rPr>
        <w:t>III in Woche</w:t>
      </w:r>
      <w:r w:rsidR="0083649C" w:rsidRPr="004F5FB4">
        <w:rPr>
          <w:color w:val="000000"/>
        </w:rPr>
        <w:t> </w:t>
      </w:r>
      <w:r w:rsidRPr="004F5FB4">
        <w:rPr>
          <w:color w:val="000000"/>
        </w:rPr>
        <w:t xml:space="preserve">26 und 56 in den Adalimumab-Behandlungsgruppen im Vergleich zur Placebogruppe. </w:t>
      </w:r>
    </w:p>
    <w:p w14:paraId="196CD1BB" w14:textId="77777777" w:rsidR="00C46587" w:rsidRPr="004F5FB4" w:rsidRDefault="00C46587" w:rsidP="00982118">
      <w:pPr>
        <w:rPr>
          <w:color w:val="000000"/>
        </w:rPr>
      </w:pPr>
    </w:p>
    <w:p w14:paraId="7EB6B4CB" w14:textId="77777777" w:rsidR="00C46587" w:rsidRPr="004F5FB4" w:rsidRDefault="00C46587" w:rsidP="00DC3A99">
      <w:pPr>
        <w:keepNext/>
        <w:rPr>
          <w:i/>
          <w:color w:val="000000"/>
        </w:rPr>
      </w:pPr>
      <w:r w:rsidRPr="004F5FB4">
        <w:rPr>
          <w:i/>
          <w:color w:val="000000"/>
        </w:rPr>
        <w:t>Colitis ulcerosa</w:t>
      </w:r>
    </w:p>
    <w:p w14:paraId="4242C2FC" w14:textId="77777777" w:rsidR="00C46587" w:rsidRPr="004F5FB4" w:rsidRDefault="00C46587" w:rsidP="00DC3A99">
      <w:pPr>
        <w:keepNext/>
        <w:rPr>
          <w:color w:val="000000"/>
        </w:rPr>
      </w:pPr>
    </w:p>
    <w:p w14:paraId="163F257A" w14:textId="77777777" w:rsidR="00C46587" w:rsidRPr="004F5FB4" w:rsidRDefault="00C46587" w:rsidP="00982118">
      <w:pPr>
        <w:rPr>
          <w:color w:val="000000"/>
        </w:rPr>
      </w:pPr>
      <w:r w:rsidRPr="004F5FB4">
        <w:rPr>
          <w:color w:val="000000"/>
        </w:rPr>
        <w:t xml:space="preserve">Die Sicherheit und Wirksamkeit von Adalimumab-Mehrfachdosen wurden bei erwachsenen Patienten mit mittelschwerer bis schwerer aktiver Colitis ulcerosa (Mayo-Score 6 bis 12 mit Endoskopie-Subscore 2 bis 3) in randomisierten, doppelblinden, placebokontrollierten Studien untersucht. </w:t>
      </w:r>
    </w:p>
    <w:p w14:paraId="0F8D6A54" w14:textId="77777777" w:rsidR="00C46587" w:rsidRPr="004F5FB4" w:rsidRDefault="00C46587" w:rsidP="00982118">
      <w:pPr>
        <w:rPr>
          <w:color w:val="000000"/>
        </w:rPr>
      </w:pPr>
    </w:p>
    <w:p w14:paraId="3F34C40D" w14:textId="77777777" w:rsidR="00C46587" w:rsidRPr="004F5FB4" w:rsidRDefault="00C46587" w:rsidP="00982118">
      <w:pPr>
        <w:rPr>
          <w:color w:val="000000"/>
        </w:rPr>
      </w:pPr>
      <w:r w:rsidRPr="004F5FB4">
        <w:rPr>
          <w:color w:val="000000"/>
        </w:rPr>
        <w:t>In der UC</w:t>
      </w:r>
      <w:r w:rsidRPr="004F5FB4">
        <w:rPr>
          <w:color w:val="000000"/>
        </w:rPr>
        <w:noBreakHyphen/>
        <w:t>I-Studie wurden 390</w:t>
      </w:r>
      <w:r w:rsidR="0083649C" w:rsidRPr="004F5FB4">
        <w:rPr>
          <w:color w:val="000000"/>
        </w:rPr>
        <w:t> </w:t>
      </w:r>
      <w:r w:rsidRPr="004F5FB4">
        <w:rPr>
          <w:color w:val="000000"/>
        </w:rPr>
        <w:t>Patienten, die gegenüber TNF</w:t>
      </w:r>
      <w:r w:rsidRPr="004F5FB4">
        <w:rPr>
          <w:color w:val="000000"/>
        </w:rPr>
        <w:noBreakHyphen/>
        <w:t>Antagonisten naiv waren, randomisiert: Sie erhielten entweder Placebo in Woche</w:t>
      </w:r>
      <w:r w:rsidR="0083649C" w:rsidRPr="004F5FB4">
        <w:rPr>
          <w:color w:val="000000"/>
        </w:rPr>
        <w:t> </w:t>
      </w:r>
      <w:r w:rsidRPr="004F5FB4">
        <w:rPr>
          <w:color w:val="000000"/>
        </w:rPr>
        <w:t>0 und 2, 160 mg Adalimumab in Woche</w:t>
      </w:r>
      <w:r w:rsidR="0083649C" w:rsidRPr="004F5FB4">
        <w:rPr>
          <w:color w:val="000000"/>
        </w:rPr>
        <w:t> </w:t>
      </w:r>
      <w:r w:rsidRPr="004F5FB4">
        <w:rPr>
          <w:color w:val="000000"/>
        </w:rPr>
        <w:t>0, gefolgt von 80 mg in Woche</w:t>
      </w:r>
      <w:r w:rsidR="0083649C" w:rsidRPr="004F5FB4">
        <w:rPr>
          <w:color w:val="000000"/>
        </w:rPr>
        <w:t> </w:t>
      </w:r>
      <w:r w:rsidRPr="004F5FB4">
        <w:rPr>
          <w:color w:val="000000"/>
        </w:rPr>
        <w:t>2 oder 80 mg Adalimumab in Woche</w:t>
      </w:r>
      <w:r w:rsidR="0083649C" w:rsidRPr="004F5FB4">
        <w:rPr>
          <w:color w:val="000000"/>
        </w:rPr>
        <w:t> </w:t>
      </w:r>
      <w:r w:rsidRPr="004F5FB4">
        <w:rPr>
          <w:color w:val="000000"/>
        </w:rPr>
        <w:t>0, gefolgt von 40 mg in Woche</w:t>
      </w:r>
      <w:r w:rsidR="0083649C" w:rsidRPr="004F5FB4">
        <w:rPr>
          <w:color w:val="000000"/>
        </w:rPr>
        <w:t> </w:t>
      </w:r>
      <w:r w:rsidRPr="004F5FB4">
        <w:rPr>
          <w:color w:val="000000"/>
        </w:rPr>
        <w:t>2. Nach Woche</w:t>
      </w:r>
      <w:r w:rsidR="0083649C" w:rsidRPr="004F5FB4">
        <w:rPr>
          <w:color w:val="000000"/>
        </w:rPr>
        <w:t> </w:t>
      </w:r>
      <w:r w:rsidRPr="004F5FB4">
        <w:rPr>
          <w:color w:val="000000"/>
        </w:rPr>
        <w:t>2 erhielten die Patienten in beiden Adalimumab-Armen jede zweite Woche 40 mg. Eine klinische Remission (definiert als Mayo-Score ≤</w:t>
      </w:r>
      <w:r w:rsidR="0083649C" w:rsidRPr="004F5FB4">
        <w:rPr>
          <w:color w:val="000000"/>
        </w:rPr>
        <w:t> </w:t>
      </w:r>
      <w:r w:rsidRPr="004F5FB4">
        <w:rPr>
          <w:color w:val="000000"/>
        </w:rPr>
        <w:t>2 mit keinem Subscore &gt;</w:t>
      </w:r>
      <w:r w:rsidR="0083649C" w:rsidRPr="004F5FB4">
        <w:rPr>
          <w:color w:val="000000"/>
        </w:rPr>
        <w:t> </w:t>
      </w:r>
      <w:r w:rsidRPr="004F5FB4">
        <w:rPr>
          <w:color w:val="000000"/>
        </w:rPr>
        <w:t>1) wurde in Woche</w:t>
      </w:r>
      <w:r w:rsidR="0083649C" w:rsidRPr="004F5FB4">
        <w:rPr>
          <w:color w:val="000000"/>
        </w:rPr>
        <w:t> </w:t>
      </w:r>
      <w:r w:rsidRPr="004F5FB4">
        <w:rPr>
          <w:color w:val="000000"/>
        </w:rPr>
        <w:t xml:space="preserve">8 bewertet. </w:t>
      </w:r>
    </w:p>
    <w:p w14:paraId="6651EEA7" w14:textId="77777777" w:rsidR="00C46587" w:rsidRPr="004F5FB4" w:rsidRDefault="00C46587" w:rsidP="00982118">
      <w:pPr>
        <w:rPr>
          <w:color w:val="000000"/>
        </w:rPr>
      </w:pPr>
    </w:p>
    <w:p w14:paraId="703D64E4" w14:textId="77777777" w:rsidR="00C46587" w:rsidRPr="004F5FB4" w:rsidRDefault="00C46587" w:rsidP="00982118">
      <w:pPr>
        <w:rPr>
          <w:color w:val="000000"/>
        </w:rPr>
      </w:pPr>
      <w:r w:rsidRPr="004F5FB4">
        <w:rPr>
          <w:color w:val="000000"/>
        </w:rPr>
        <w:t>In der UC-II-Studie erhielten 248</w:t>
      </w:r>
      <w:r w:rsidR="0083649C" w:rsidRPr="004F5FB4">
        <w:rPr>
          <w:color w:val="000000"/>
        </w:rPr>
        <w:t> </w:t>
      </w:r>
      <w:r w:rsidRPr="004F5FB4">
        <w:rPr>
          <w:color w:val="000000"/>
        </w:rPr>
        <w:t>Patienten 160 mg Adalimumab in Woche</w:t>
      </w:r>
      <w:r w:rsidR="0083649C" w:rsidRPr="004F5FB4">
        <w:rPr>
          <w:color w:val="000000"/>
        </w:rPr>
        <w:t> </w:t>
      </w:r>
      <w:r w:rsidRPr="004F5FB4">
        <w:rPr>
          <w:color w:val="000000"/>
        </w:rPr>
        <w:t>0, 80 mg in Woche</w:t>
      </w:r>
      <w:r w:rsidR="0083649C" w:rsidRPr="004F5FB4">
        <w:rPr>
          <w:color w:val="000000"/>
        </w:rPr>
        <w:t> </w:t>
      </w:r>
      <w:r w:rsidRPr="004F5FB4">
        <w:rPr>
          <w:color w:val="000000"/>
        </w:rPr>
        <w:t>2 und danach jede zweite Woche 40 mg und 246</w:t>
      </w:r>
      <w:r w:rsidR="0083649C" w:rsidRPr="004F5FB4">
        <w:rPr>
          <w:color w:val="000000"/>
        </w:rPr>
        <w:t> </w:t>
      </w:r>
      <w:r w:rsidRPr="004F5FB4">
        <w:rPr>
          <w:color w:val="000000"/>
        </w:rPr>
        <w:t>Patienten erhielten Placebo. Die klinischen Ergebnisse wurden auf Einleitung einer Remission in Woche</w:t>
      </w:r>
      <w:r w:rsidR="0083649C" w:rsidRPr="004F5FB4">
        <w:rPr>
          <w:color w:val="000000"/>
        </w:rPr>
        <w:t> </w:t>
      </w:r>
      <w:r w:rsidRPr="004F5FB4">
        <w:rPr>
          <w:color w:val="000000"/>
        </w:rPr>
        <w:t>8 und Bestehen der Remission in Woche</w:t>
      </w:r>
      <w:r w:rsidR="0083649C" w:rsidRPr="004F5FB4">
        <w:rPr>
          <w:color w:val="000000"/>
        </w:rPr>
        <w:t> </w:t>
      </w:r>
      <w:r w:rsidRPr="004F5FB4">
        <w:rPr>
          <w:color w:val="000000"/>
        </w:rPr>
        <w:t xml:space="preserve">52 bewertet. </w:t>
      </w:r>
    </w:p>
    <w:p w14:paraId="7E547210" w14:textId="77777777" w:rsidR="00C46587" w:rsidRPr="004F5FB4" w:rsidRDefault="00C46587" w:rsidP="00982118">
      <w:pPr>
        <w:rPr>
          <w:color w:val="000000"/>
        </w:rPr>
      </w:pPr>
    </w:p>
    <w:p w14:paraId="08A8DE1B" w14:textId="77777777" w:rsidR="00C46587" w:rsidRPr="004F5FB4" w:rsidRDefault="00C46587" w:rsidP="00982118">
      <w:pPr>
        <w:rPr>
          <w:color w:val="000000"/>
        </w:rPr>
      </w:pPr>
      <w:r w:rsidRPr="004F5FB4">
        <w:rPr>
          <w:color w:val="000000"/>
        </w:rPr>
        <w:t>Eine klinische Remission zu einem statistisch signifikanten größeren Prozentsatz gegenüber Placebo erreichten Patienten mit einer Induktionsdosis von 160/80 mg Adalimumab in Woche</w:t>
      </w:r>
      <w:r w:rsidR="0083649C" w:rsidRPr="004F5FB4">
        <w:rPr>
          <w:color w:val="000000"/>
        </w:rPr>
        <w:t> </w:t>
      </w:r>
      <w:r w:rsidRPr="004F5FB4">
        <w:rPr>
          <w:color w:val="000000"/>
        </w:rPr>
        <w:t>8 in der UC</w:t>
      </w:r>
      <w:r w:rsidRPr="004F5FB4">
        <w:rPr>
          <w:color w:val="000000"/>
        </w:rPr>
        <w:noBreakHyphen/>
        <w:t>I-Studie (18</w:t>
      </w:r>
      <w:r w:rsidR="0083649C" w:rsidRPr="004F5FB4">
        <w:rPr>
          <w:color w:val="000000"/>
        </w:rPr>
        <w:t> </w:t>
      </w:r>
      <w:r w:rsidRPr="004F5FB4">
        <w:rPr>
          <w:color w:val="000000"/>
        </w:rPr>
        <w:t xml:space="preserve">% unter Adalimumab </w:t>
      </w:r>
      <w:r w:rsidRPr="004F5FB4">
        <w:rPr>
          <w:i/>
          <w:color w:val="000000"/>
        </w:rPr>
        <w:t>vs.</w:t>
      </w:r>
      <w:r w:rsidRPr="004F5FB4">
        <w:rPr>
          <w:color w:val="000000"/>
        </w:rPr>
        <w:t xml:space="preserve"> 9</w:t>
      </w:r>
      <w:r w:rsidR="0083649C" w:rsidRPr="004F5FB4">
        <w:rPr>
          <w:color w:val="000000"/>
        </w:rPr>
        <w:t> </w:t>
      </w:r>
      <w:r w:rsidRPr="004F5FB4">
        <w:rPr>
          <w:color w:val="000000"/>
        </w:rPr>
        <w:t>% unter Placebo; p</w:t>
      </w:r>
      <w:r w:rsidR="007B1316" w:rsidRPr="004F5FB4">
        <w:rPr>
          <w:color w:val="000000"/>
        </w:rPr>
        <w:t> </w:t>
      </w:r>
      <w:r w:rsidRPr="004F5FB4">
        <w:rPr>
          <w:color w:val="000000"/>
        </w:rPr>
        <w:t>=</w:t>
      </w:r>
      <w:r w:rsidR="007B1316" w:rsidRPr="004F5FB4">
        <w:rPr>
          <w:color w:val="000000"/>
        </w:rPr>
        <w:t> </w:t>
      </w:r>
      <w:r w:rsidRPr="004F5FB4">
        <w:rPr>
          <w:color w:val="000000"/>
        </w:rPr>
        <w:t>0,031) und UC</w:t>
      </w:r>
      <w:r w:rsidRPr="004F5FB4">
        <w:rPr>
          <w:color w:val="000000"/>
        </w:rPr>
        <w:noBreakHyphen/>
        <w:t>II-Studie (17</w:t>
      </w:r>
      <w:r w:rsidR="0083649C" w:rsidRPr="004F5FB4">
        <w:rPr>
          <w:color w:val="000000"/>
        </w:rPr>
        <w:t> </w:t>
      </w:r>
      <w:r w:rsidRPr="004F5FB4">
        <w:rPr>
          <w:color w:val="000000"/>
        </w:rPr>
        <w:t xml:space="preserve">% unter Adalimumab </w:t>
      </w:r>
      <w:r w:rsidRPr="004F5FB4">
        <w:rPr>
          <w:i/>
          <w:color w:val="000000"/>
        </w:rPr>
        <w:t>vs.</w:t>
      </w:r>
      <w:r w:rsidRPr="004F5FB4">
        <w:rPr>
          <w:color w:val="000000"/>
        </w:rPr>
        <w:t xml:space="preserve"> 9</w:t>
      </w:r>
      <w:r w:rsidR="0083649C" w:rsidRPr="004F5FB4">
        <w:rPr>
          <w:color w:val="000000"/>
        </w:rPr>
        <w:t> </w:t>
      </w:r>
      <w:r w:rsidRPr="004F5FB4">
        <w:rPr>
          <w:color w:val="000000"/>
        </w:rPr>
        <w:t>% unter Placebo; p</w:t>
      </w:r>
      <w:r w:rsidR="007B1316" w:rsidRPr="004F5FB4">
        <w:rPr>
          <w:color w:val="000000"/>
        </w:rPr>
        <w:t> </w:t>
      </w:r>
      <w:r w:rsidRPr="004F5FB4">
        <w:rPr>
          <w:color w:val="000000"/>
        </w:rPr>
        <w:t>=</w:t>
      </w:r>
      <w:r w:rsidR="007B1316" w:rsidRPr="004F5FB4">
        <w:rPr>
          <w:color w:val="000000"/>
        </w:rPr>
        <w:t> </w:t>
      </w:r>
      <w:r w:rsidRPr="004F5FB4">
        <w:rPr>
          <w:color w:val="000000"/>
        </w:rPr>
        <w:t>0,019). In der UC</w:t>
      </w:r>
      <w:r w:rsidRPr="004F5FB4">
        <w:rPr>
          <w:color w:val="000000"/>
        </w:rPr>
        <w:noBreakHyphen/>
        <w:t>II-Studie waren unter Adalimumab-Behandlung 21/41 (51</w:t>
      </w:r>
      <w:r w:rsidR="0083649C" w:rsidRPr="004F5FB4">
        <w:rPr>
          <w:color w:val="000000"/>
        </w:rPr>
        <w:t> </w:t>
      </w:r>
      <w:r w:rsidRPr="004F5FB4">
        <w:rPr>
          <w:color w:val="000000"/>
        </w:rPr>
        <w:t>%) Patienten, die in Woche</w:t>
      </w:r>
      <w:r w:rsidR="0083649C" w:rsidRPr="004F5FB4">
        <w:rPr>
          <w:color w:val="000000"/>
        </w:rPr>
        <w:t> </w:t>
      </w:r>
      <w:r w:rsidRPr="004F5FB4">
        <w:rPr>
          <w:color w:val="000000"/>
        </w:rPr>
        <w:t>8 in Remission waren, in Woche</w:t>
      </w:r>
      <w:r w:rsidR="0083649C" w:rsidRPr="004F5FB4">
        <w:rPr>
          <w:color w:val="000000"/>
        </w:rPr>
        <w:t> </w:t>
      </w:r>
      <w:r w:rsidRPr="004F5FB4">
        <w:rPr>
          <w:color w:val="000000"/>
        </w:rPr>
        <w:t xml:space="preserve">52 in Remission. </w:t>
      </w:r>
    </w:p>
    <w:p w14:paraId="515D62E3" w14:textId="77777777" w:rsidR="00C46587" w:rsidRPr="004F5FB4" w:rsidRDefault="00C46587" w:rsidP="00982118">
      <w:pPr>
        <w:rPr>
          <w:color w:val="000000"/>
        </w:rPr>
      </w:pPr>
    </w:p>
    <w:p w14:paraId="06A77755" w14:textId="77777777" w:rsidR="00C46587" w:rsidRPr="004F5FB4" w:rsidRDefault="00C46587" w:rsidP="00982118">
      <w:pPr>
        <w:rPr>
          <w:color w:val="000000"/>
        </w:rPr>
      </w:pPr>
      <w:r w:rsidRPr="004F5FB4">
        <w:rPr>
          <w:color w:val="000000"/>
        </w:rPr>
        <w:t>Tabelle</w:t>
      </w:r>
      <w:r w:rsidR="0083649C" w:rsidRPr="004F5FB4">
        <w:rPr>
          <w:color w:val="000000"/>
        </w:rPr>
        <w:t> </w:t>
      </w:r>
      <w:r w:rsidR="00B852E6">
        <w:rPr>
          <w:color w:val="000000"/>
        </w:rPr>
        <w:t>23</w:t>
      </w:r>
      <w:r w:rsidRPr="004F5FB4">
        <w:rPr>
          <w:color w:val="000000"/>
        </w:rPr>
        <w:t xml:space="preserve"> zeigt die Ergebnisse aus der gesamten Population der UC</w:t>
      </w:r>
      <w:r w:rsidRPr="004F5FB4">
        <w:rPr>
          <w:color w:val="000000"/>
        </w:rPr>
        <w:noBreakHyphen/>
        <w:t xml:space="preserve">II-Studie. </w:t>
      </w:r>
    </w:p>
    <w:p w14:paraId="6199BBB0" w14:textId="77777777" w:rsidR="00C46587" w:rsidRPr="004F5FB4" w:rsidRDefault="00C46587" w:rsidP="00982118">
      <w:pPr>
        <w:rPr>
          <w:color w:val="000000"/>
        </w:rPr>
      </w:pPr>
    </w:p>
    <w:p w14:paraId="61C23789" w14:textId="77777777" w:rsidR="00FA0342" w:rsidRPr="004F5FB4" w:rsidRDefault="00C46587" w:rsidP="00687087">
      <w:pPr>
        <w:keepNext/>
        <w:rPr>
          <w:b/>
          <w:color w:val="000000"/>
        </w:rPr>
      </w:pPr>
      <w:r w:rsidRPr="004F5FB4">
        <w:rPr>
          <w:b/>
          <w:color w:val="000000"/>
        </w:rPr>
        <w:lastRenderedPageBreak/>
        <w:t>Tabelle</w:t>
      </w:r>
      <w:r w:rsidR="00B852E6">
        <w:rPr>
          <w:b/>
          <w:color w:val="000000"/>
        </w:rPr>
        <w:t> 23</w:t>
      </w:r>
    </w:p>
    <w:p w14:paraId="72D9727C" w14:textId="77777777" w:rsidR="00C46587" w:rsidRPr="004F5FB4" w:rsidRDefault="00C46587" w:rsidP="00687087">
      <w:pPr>
        <w:keepNext/>
        <w:rPr>
          <w:b/>
          <w:color w:val="000000"/>
        </w:rPr>
      </w:pPr>
      <w:r w:rsidRPr="004F5FB4">
        <w:rPr>
          <w:b/>
          <w:color w:val="000000"/>
        </w:rPr>
        <w:t>Ansprechen, Remission und Mukosaheilung in der UC</w:t>
      </w:r>
      <w:r w:rsidRPr="004F5FB4">
        <w:rPr>
          <w:b/>
          <w:color w:val="000000"/>
        </w:rPr>
        <w:noBreakHyphen/>
        <w:t>II-Studie (prozentualer Anteil der Patienten)</w:t>
      </w:r>
    </w:p>
    <w:p w14:paraId="1B09F895" w14:textId="77777777" w:rsidR="003B563C" w:rsidRPr="004F5FB4" w:rsidRDefault="003B563C" w:rsidP="00982118">
      <w:pPr>
        <w:keepNext/>
        <w:jc w:val="cente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7"/>
        <w:gridCol w:w="2943"/>
        <w:gridCol w:w="2215"/>
      </w:tblGrid>
      <w:tr w:rsidR="00C46587" w:rsidRPr="004F5FB4" w14:paraId="5C44AF51" w14:textId="77777777" w:rsidTr="00EA7409">
        <w:trPr>
          <w:jc w:val="center"/>
        </w:trPr>
        <w:tc>
          <w:tcPr>
            <w:tcW w:w="4012" w:type="dxa"/>
          </w:tcPr>
          <w:p w14:paraId="68923794" w14:textId="77777777" w:rsidR="00C46587" w:rsidRPr="004F5FB4" w:rsidRDefault="00C46587" w:rsidP="00982118">
            <w:pPr>
              <w:keepNext/>
              <w:jc w:val="center"/>
              <w:rPr>
                <w:color w:val="000000"/>
              </w:rPr>
            </w:pPr>
          </w:p>
        </w:tc>
        <w:tc>
          <w:tcPr>
            <w:tcW w:w="3038" w:type="dxa"/>
            <w:hideMark/>
          </w:tcPr>
          <w:p w14:paraId="4C6B2599" w14:textId="77777777" w:rsidR="00C46587" w:rsidRPr="004F5FB4" w:rsidRDefault="00C46587" w:rsidP="00982118">
            <w:pPr>
              <w:keepNext/>
              <w:jc w:val="center"/>
              <w:rPr>
                <w:b/>
                <w:color w:val="000000"/>
              </w:rPr>
            </w:pPr>
            <w:r w:rsidRPr="004F5FB4">
              <w:rPr>
                <w:b/>
                <w:color w:val="000000"/>
              </w:rPr>
              <w:t>Placebo</w:t>
            </w:r>
          </w:p>
        </w:tc>
        <w:tc>
          <w:tcPr>
            <w:tcW w:w="2253" w:type="dxa"/>
            <w:hideMark/>
          </w:tcPr>
          <w:p w14:paraId="458E2996" w14:textId="77777777" w:rsidR="00C46587" w:rsidRPr="004F5FB4" w:rsidRDefault="005A4709" w:rsidP="00982118">
            <w:pPr>
              <w:keepNext/>
              <w:jc w:val="center"/>
              <w:rPr>
                <w:b/>
                <w:color w:val="000000"/>
              </w:rPr>
            </w:pPr>
            <w:r w:rsidRPr="004F5FB4">
              <w:rPr>
                <w:b/>
                <w:color w:val="000000"/>
              </w:rPr>
              <w:t>40 mg Adalimumab</w:t>
            </w:r>
          </w:p>
          <w:p w14:paraId="79DE3282" w14:textId="77777777" w:rsidR="00C46587" w:rsidRPr="004F5FB4" w:rsidRDefault="00C46587" w:rsidP="00982118">
            <w:pPr>
              <w:keepNext/>
              <w:jc w:val="center"/>
              <w:rPr>
                <w:b/>
                <w:color w:val="000000"/>
              </w:rPr>
            </w:pPr>
            <w:r w:rsidRPr="004F5FB4">
              <w:rPr>
                <w:b/>
                <w:color w:val="000000"/>
              </w:rPr>
              <w:t>jede zweite Woche</w:t>
            </w:r>
          </w:p>
        </w:tc>
      </w:tr>
      <w:tr w:rsidR="00C46587" w:rsidRPr="004F5FB4" w14:paraId="35E9FC6A" w14:textId="77777777" w:rsidTr="00EA7409">
        <w:trPr>
          <w:jc w:val="center"/>
        </w:trPr>
        <w:tc>
          <w:tcPr>
            <w:tcW w:w="4012" w:type="dxa"/>
            <w:hideMark/>
          </w:tcPr>
          <w:p w14:paraId="5206ADA3" w14:textId="77777777" w:rsidR="00C46587" w:rsidRPr="004F5FB4" w:rsidRDefault="00C46587" w:rsidP="00982118">
            <w:pPr>
              <w:keepNext/>
              <w:rPr>
                <w:b/>
                <w:color w:val="000000"/>
              </w:rPr>
            </w:pPr>
            <w:r w:rsidRPr="004F5FB4">
              <w:rPr>
                <w:b/>
                <w:color w:val="000000"/>
              </w:rPr>
              <w:t>Woche</w:t>
            </w:r>
            <w:r w:rsidR="00DE3AE3" w:rsidRPr="004F5FB4">
              <w:rPr>
                <w:b/>
                <w:color w:val="000000"/>
              </w:rPr>
              <w:t> </w:t>
            </w:r>
            <w:r w:rsidRPr="004F5FB4">
              <w:rPr>
                <w:b/>
                <w:color w:val="000000"/>
              </w:rPr>
              <w:t>52</w:t>
            </w:r>
          </w:p>
        </w:tc>
        <w:tc>
          <w:tcPr>
            <w:tcW w:w="3038" w:type="dxa"/>
            <w:vAlign w:val="center"/>
            <w:hideMark/>
          </w:tcPr>
          <w:p w14:paraId="65401FAD"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246</w:t>
            </w:r>
          </w:p>
        </w:tc>
        <w:tc>
          <w:tcPr>
            <w:tcW w:w="2253" w:type="dxa"/>
            <w:vAlign w:val="center"/>
            <w:hideMark/>
          </w:tcPr>
          <w:p w14:paraId="680C2B67"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248</w:t>
            </w:r>
          </w:p>
        </w:tc>
      </w:tr>
      <w:tr w:rsidR="00C46587" w:rsidRPr="004F5FB4" w14:paraId="11058896" w14:textId="77777777" w:rsidTr="00EA7409">
        <w:trPr>
          <w:jc w:val="center"/>
        </w:trPr>
        <w:tc>
          <w:tcPr>
            <w:tcW w:w="4012" w:type="dxa"/>
            <w:hideMark/>
          </w:tcPr>
          <w:p w14:paraId="6C853ADB" w14:textId="77777777" w:rsidR="00C46587" w:rsidRPr="004F5FB4" w:rsidRDefault="00C46587" w:rsidP="00982118">
            <w:pPr>
              <w:keepNext/>
              <w:tabs>
                <w:tab w:val="left" w:pos="288"/>
              </w:tabs>
              <w:ind w:left="252"/>
              <w:rPr>
                <w:color w:val="000000"/>
              </w:rPr>
            </w:pPr>
            <w:r w:rsidRPr="004F5FB4">
              <w:rPr>
                <w:color w:val="000000"/>
              </w:rPr>
              <w:t>Klinisches Ansprechen</w:t>
            </w:r>
          </w:p>
        </w:tc>
        <w:tc>
          <w:tcPr>
            <w:tcW w:w="3038" w:type="dxa"/>
            <w:vAlign w:val="center"/>
            <w:hideMark/>
          </w:tcPr>
          <w:p w14:paraId="4E2FE748" w14:textId="77777777" w:rsidR="00C46587" w:rsidRPr="004F5FB4" w:rsidRDefault="00C46587" w:rsidP="00982118">
            <w:pPr>
              <w:keepNext/>
              <w:jc w:val="center"/>
              <w:rPr>
                <w:color w:val="000000"/>
              </w:rPr>
            </w:pPr>
            <w:r w:rsidRPr="004F5FB4">
              <w:rPr>
                <w:color w:val="000000"/>
              </w:rPr>
              <w:t>18 %</w:t>
            </w:r>
          </w:p>
        </w:tc>
        <w:tc>
          <w:tcPr>
            <w:tcW w:w="2253" w:type="dxa"/>
            <w:vAlign w:val="center"/>
            <w:hideMark/>
          </w:tcPr>
          <w:p w14:paraId="1EC89B96" w14:textId="77777777" w:rsidR="00C46587" w:rsidRPr="004F5FB4" w:rsidRDefault="00C46587" w:rsidP="00982118">
            <w:pPr>
              <w:keepNext/>
              <w:jc w:val="center"/>
              <w:rPr>
                <w:color w:val="000000"/>
              </w:rPr>
            </w:pPr>
            <w:r w:rsidRPr="004F5FB4">
              <w:rPr>
                <w:color w:val="000000"/>
              </w:rPr>
              <w:t>30 %*</w:t>
            </w:r>
          </w:p>
        </w:tc>
      </w:tr>
      <w:tr w:rsidR="00C46587" w:rsidRPr="004F5FB4" w14:paraId="1979835D" w14:textId="77777777" w:rsidTr="00EA7409">
        <w:trPr>
          <w:jc w:val="center"/>
        </w:trPr>
        <w:tc>
          <w:tcPr>
            <w:tcW w:w="4012" w:type="dxa"/>
            <w:hideMark/>
          </w:tcPr>
          <w:p w14:paraId="1C5593B9" w14:textId="77777777" w:rsidR="00C46587" w:rsidRPr="004F5FB4" w:rsidRDefault="00C46587" w:rsidP="00982118">
            <w:pPr>
              <w:keepNext/>
              <w:tabs>
                <w:tab w:val="left" w:pos="288"/>
              </w:tabs>
              <w:ind w:left="252"/>
              <w:rPr>
                <w:color w:val="000000"/>
              </w:rPr>
            </w:pPr>
            <w:r w:rsidRPr="004F5FB4">
              <w:rPr>
                <w:color w:val="000000"/>
              </w:rPr>
              <w:t>Klinische Remission</w:t>
            </w:r>
          </w:p>
        </w:tc>
        <w:tc>
          <w:tcPr>
            <w:tcW w:w="3038" w:type="dxa"/>
            <w:vAlign w:val="center"/>
            <w:hideMark/>
          </w:tcPr>
          <w:p w14:paraId="1A10E0A6" w14:textId="77777777" w:rsidR="00C46587" w:rsidRPr="004F5FB4" w:rsidRDefault="00C46587" w:rsidP="00982118">
            <w:pPr>
              <w:keepNext/>
              <w:jc w:val="center"/>
              <w:rPr>
                <w:color w:val="000000"/>
              </w:rPr>
            </w:pPr>
            <w:r w:rsidRPr="004F5FB4">
              <w:rPr>
                <w:color w:val="000000"/>
              </w:rPr>
              <w:t>9 %</w:t>
            </w:r>
          </w:p>
        </w:tc>
        <w:tc>
          <w:tcPr>
            <w:tcW w:w="2253" w:type="dxa"/>
            <w:vAlign w:val="center"/>
            <w:hideMark/>
          </w:tcPr>
          <w:p w14:paraId="1486FBE0" w14:textId="77777777" w:rsidR="00C46587" w:rsidRPr="004F5FB4" w:rsidRDefault="00C46587" w:rsidP="00982118">
            <w:pPr>
              <w:keepNext/>
              <w:jc w:val="center"/>
              <w:rPr>
                <w:color w:val="000000"/>
              </w:rPr>
            </w:pPr>
            <w:r w:rsidRPr="004F5FB4">
              <w:rPr>
                <w:color w:val="000000"/>
              </w:rPr>
              <w:t>17 %*</w:t>
            </w:r>
          </w:p>
        </w:tc>
      </w:tr>
      <w:tr w:rsidR="00C46587" w:rsidRPr="004F5FB4" w14:paraId="7E66BF0E" w14:textId="77777777" w:rsidTr="00EA7409">
        <w:trPr>
          <w:jc w:val="center"/>
        </w:trPr>
        <w:tc>
          <w:tcPr>
            <w:tcW w:w="4012" w:type="dxa"/>
            <w:hideMark/>
          </w:tcPr>
          <w:p w14:paraId="65B14918" w14:textId="77777777" w:rsidR="00C46587" w:rsidRPr="004F5FB4" w:rsidRDefault="00C46587" w:rsidP="00982118">
            <w:pPr>
              <w:keepNext/>
              <w:tabs>
                <w:tab w:val="left" w:pos="288"/>
              </w:tabs>
              <w:ind w:left="252"/>
              <w:rPr>
                <w:color w:val="000000"/>
              </w:rPr>
            </w:pPr>
            <w:r w:rsidRPr="004F5FB4">
              <w:rPr>
                <w:color w:val="000000"/>
              </w:rPr>
              <w:t>Mukosaheilung</w:t>
            </w:r>
          </w:p>
        </w:tc>
        <w:tc>
          <w:tcPr>
            <w:tcW w:w="3038" w:type="dxa"/>
            <w:vAlign w:val="center"/>
            <w:hideMark/>
          </w:tcPr>
          <w:p w14:paraId="5D4E1467" w14:textId="77777777" w:rsidR="00C46587" w:rsidRPr="004F5FB4" w:rsidRDefault="00C46587" w:rsidP="00982118">
            <w:pPr>
              <w:keepNext/>
              <w:jc w:val="center"/>
              <w:rPr>
                <w:color w:val="000000"/>
              </w:rPr>
            </w:pPr>
            <w:r w:rsidRPr="004F5FB4">
              <w:rPr>
                <w:color w:val="000000"/>
              </w:rPr>
              <w:t>15 %</w:t>
            </w:r>
          </w:p>
        </w:tc>
        <w:tc>
          <w:tcPr>
            <w:tcW w:w="2253" w:type="dxa"/>
            <w:vAlign w:val="center"/>
            <w:hideMark/>
          </w:tcPr>
          <w:p w14:paraId="1771A8D5" w14:textId="77777777" w:rsidR="00C46587" w:rsidRPr="004F5FB4" w:rsidRDefault="00C46587" w:rsidP="00982118">
            <w:pPr>
              <w:keepNext/>
              <w:jc w:val="center"/>
              <w:rPr>
                <w:color w:val="000000"/>
              </w:rPr>
            </w:pPr>
            <w:r w:rsidRPr="004F5FB4">
              <w:rPr>
                <w:color w:val="000000"/>
              </w:rPr>
              <w:t>25 %*</w:t>
            </w:r>
          </w:p>
        </w:tc>
      </w:tr>
      <w:tr w:rsidR="00C46587" w:rsidRPr="004F5FB4" w14:paraId="3B5ACA91" w14:textId="77777777" w:rsidTr="00EA7409">
        <w:trPr>
          <w:jc w:val="center"/>
        </w:trPr>
        <w:tc>
          <w:tcPr>
            <w:tcW w:w="4012" w:type="dxa"/>
            <w:hideMark/>
          </w:tcPr>
          <w:p w14:paraId="46BC6775" w14:textId="77777777" w:rsidR="00C46587" w:rsidRPr="004F5FB4" w:rsidRDefault="00C46587" w:rsidP="00982118">
            <w:pPr>
              <w:keepNext/>
              <w:tabs>
                <w:tab w:val="left" w:pos="288"/>
              </w:tabs>
              <w:ind w:left="252"/>
              <w:rPr>
                <w:color w:val="000000"/>
              </w:rPr>
            </w:pPr>
            <w:r w:rsidRPr="004F5FB4">
              <w:rPr>
                <w:color w:val="000000"/>
              </w:rPr>
              <w:t xml:space="preserve">Steroidfreie Remission für </w:t>
            </w:r>
            <w:r w:rsidRPr="004F5FB4">
              <w:rPr>
                <w:color w:val="000000"/>
              </w:rPr>
              <w:sym w:font="Symbol" w:char="F0B3"/>
            </w:r>
            <w:r w:rsidR="0083649C" w:rsidRPr="004F5FB4">
              <w:rPr>
                <w:color w:val="000000"/>
              </w:rPr>
              <w:t> </w:t>
            </w:r>
            <w:r w:rsidRPr="004F5FB4">
              <w:rPr>
                <w:color w:val="000000"/>
              </w:rPr>
              <w:t>90</w:t>
            </w:r>
            <w:r w:rsidR="0083649C" w:rsidRPr="004F5FB4">
              <w:rPr>
                <w:color w:val="000000"/>
              </w:rPr>
              <w:t> </w:t>
            </w:r>
            <w:r w:rsidRPr="004F5FB4">
              <w:rPr>
                <w:color w:val="000000"/>
              </w:rPr>
              <w:t>Tage</w:t>
            </w:r>
            <w:r w:rsidRPr="004F5FB4">
              <w:rPr>
                <w:color w:val="000000"/>
                <w:vertAlign w:val="superscript"/>
              </w:rPr>
              <w:t xml:space="preserve"> a</w:t>
            </w:r>
          </w:p>
        </w:tc>
        <w:tc>
          <w:tcPr>
            <w:tcW w:w="3038" w:type="dxa"/>
            <w:vAlign w:val="center"/>
            <w:hideMark/>
          </w:tcPr>
          <w:p w14:paraId="44D9D895" w14:textId="77777777" w:rsidR="00C46587" w:rsidRPr="004F5FB4" w:rsidRDefault="00C46587" w:rsidP="00982118">
            <w:pPr>
              <w:keepNext/>
              <w:jc w:val="center"/>
              <w:rPr>
                <w:color w:val="000000"/>
              </w:rPr>
            </w:pPr>
            <w:r w:rsidRPr="004F5FB4">
              <w:rPr>
                <w:color w:val="000000"/>
              </w:rPr>
              <w:t>6 %</w:t>
            </w:r>
          </w:p>
        </w:tc>
        <w:tc>
          <w:tcPr>
            <w:tcW w:w="2253" w:type="dxa"/>
            <w:vAlign w:val="center"/>
            <w:hideMark/>
          </w:tcPr>
          <w:p w14:paraId="7456A73D" w14:textId="77777777" w:rsidR="00C46587" w:rsidRPr="004F5FB4" w:rsidRDefault="00C46587" w:rsidP="00982118">
            <w:pPr>
              <w:keepNext/>
              <w:jc w:val="center"/>
              <w:rPr>
                <w:color w:val="000000"/>
              </w:rPr>
            </w:pPr>
            <w:r w:rsidRPr="004F5FB4">
              <w:rPr>
                <w:color w:val="000000"/>
              </w:rPr>
              <w:t>13 %*</w:t>
            </w:r>
          </w:p>
        </w:tc>
      </w:tr>
      <w:tr w:rsidR="003D5162" w:rsidRPr="004F5FB4" w14:paraId="4C1C7D49" w14:textId="77777777" w:rsidTr="00EA7409">
        <w:trPr>
          <w:jc w:val="center"/>
        </w:trPr>
        <w:tc>
          <w:tcPr>
            <w:tcW w:w="4012" w:type="dxa"/>
          </w:tcPr>
          <w:p w14:paraId="2519FCD0" w14:textId="77777777" w:rsidR="003D5162" w:rsidRPr="004F5FB4" w:rsidRDefault="003D5162" w:rsidP="00982118">
            <w:pPr>
              <w:keepNext/>
              <w:rPr>
                <w:color w:val="000000"/>
                <w:lang w:val="en-GB"/>
              </w:rPr>
            </w:pPr>
          </w:p>
        </w:tc>
        <w:tc>
          <w:tcPr>
            <w:tcW w:w="3038" w:type="dxa"/>
            <w:vAlign w:val="center"/>
          </w:tcPr>
          <w:p w14:paraId="71046CC2" w14:textId="77777777" w:rsidR="003D5162" w:rsidRPr="004F5FB4" w:rsidRDefault="003D5162" w:rsidP="00982118">
            <w:pPr>
              <w:keepNext/>
              <w:jc w:val="center"/>
              <w:rPr>
                <w:color w:val="000000"/>
                <w:lang w:val="en-GB"/>
              </w:rPr>
            </w:pPr>
          </w:p>
        </w:tc>
        <w:tc>
          <w:tcPr>
            <w:tcW w:w="2253" w:type="dxa"/>
            <w:vAlign w:val="center"/>
          </w:tcPr>
          <w:p w14:paraId="51CD4D54" w14:textId="77777777" w:rsidR="003D5162" w:rsidRPr="004F5FB4" w:rsidRDefault="003D5162" w:rsidP="00982118">
            <w:pPr>
              <w:keepNext/>
              <w:jc w:val="center"/>
              <w:rPr>
                <w:color w:val="000000"/>
                <w:lang w:val="en-GB"/>
              </w:rPr>
            </w:pPr>
          </w:p>
        </w:tc>
      </w:tr>
      <w:tr w:rsidR="00C46587" w:rsidRPr="004F5FB4" w14:paraId="75EC9703" w14:textId="77777777" w:rsidTr="00EA7409">
        <w:trPr>
          <w:jc w:val="center"/>
        </w:trPr>
        <w:tc>
          <w:tcPr>
            <w:tcW w:w="4012" w:type="dxa"/>
          </w:tcPr>
          <w:p w14:paraId="7BFF3754" w14:textId="77777777" w:rsidR="00C46587" w:rsidRPr="004F5FB4" w:rsidRDefault="003D5162" w:rsidP="00982118">
            <w:pPr>
              <w:keepNext/>
              <w:rPr>
                <w:b/>
                <w:color w:val="000000"/>
              </w:rPr>
            </w:pPr>
            <w:r w:rsidRPr="004F5FB4">
              <w:rPr>
                <w:b/>
                <w:color w:val="000000"/>
              </w:rPr>
              <w:t>Woche 8 und 52</w:t>
            </w:r>
          </w:p>
        </w:tc>
        <w:tc>
          <w:tcPr>
            <w:tcW w:w="3038" w:type="dxa"/>
            <w:vAlign w:val="center"/>
            <w:hideMark/>
          </w:tcPr>
          <w:p w14:paraId="08FA7B3E"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140)</w:t>
            </w:r>
          </w:p>
        </w:tc>
        <w:tc>
          <w:tcPr>
            <w:tcW w:w="2253" w:type="dxa"/>
            <w:vAlign w:val="center"/>
            <w:hideMark/>
          </w:tcPr>
          <w:p w14:paraId="0C56B864" w14:textId="77777777" w:rsidR="00C46587" w:rsidRPr="004F5FB4" w:rsidRDefault="00C46587" w:rsidP="00F41FC1">
            <w:pPr>
              <w:keepNext/>
              <w:jc w:val="center"/>
              <w:rPr>
                <w:b/>
                <w:color w:val="000000"/>
              </w:rPr>
            </w:pPr>
            <w:r w:rsidRPr="004F5FB4">
              <w:rPr>
                <w:b/>
                <w:color w:val="000000"/>
              </w:rPr>
              <w:t>(n</w:t>
            </w:r>
            <w:r w:rsidR="00F41FC1" w:rsidRPr="004F5FB4">
              <w:rPr>
                <w:b/>
                <w:color w:val="000000"/>
              </w:rPr>
              <w:t> </w:t>
            </w:r>
            <w:r w:rsidRPr="004F5FB4">
              <w:rPr>
                <w:b/>
                <w:color w:val="000000"/>
              </w:rPr>
              <w:t>=</w:t>
            </w:r>
            <w:r w:rsidR="00F41FC1" w:rsidRPr="004F5FB4">
              <w:rPr>
                <w:b/>
                <w:color w:val="000000"/>
              </w:rPr>
              <w:t> </w:t>
            </w:r>
            <w:r w:rsidRPr="004F5FB4">
              <w:rPr>
                <w:b/>
                <w:color w:val="000000"/>
              </w:rPr>
              <w:t>150)</w:t>
            </w:r>
          </w:p>
        </w:tc>
      </w:tr>
      <w:tr w:rsidR="00C46587" w:rsidRPr="004F5FB4" w14:paraId="71A441AC" w14:textId="77777777" w:rsidTr="00EA7409">
        <w:trPr>
          <w:jc w:val="center"/>
        </w:trPr>
        <w:tc>
          <w:tcPr>
            <w:tcW w:w="4012" w:type="dxa"/>
            <w:hideMark/>
          </w:tcPr>
          <w:p w14:paraId="106A4142" w14:textId="77777777" w:rsidR="00C46587" w:rsidRPr="004F5FB4" w:rsidRDefault="00C46587" w:rsidP="00982118">
            <w:pPr>
              <w:keepNext/>
              <w:tabs>
                <w:tab w:val="left" w:pos="288"/>
              </w:tabs>
              <w:ind w:left="252"/>
              <w:rPr>
                <w:color w:val="000000"/>
              </w:rPr>
            </w:pPr>
            <w:r w:rsidRPr="004F5FB4">
              <w:rPr>
                <w:color w:val="000000"/>
              </w:rPr>
              <w:t>Anhaltendes Ansprechen</w:t>
            </w:r>
          </w:p>
        </w:tc>
        <w:tc>
          <w:tcPr>
            <w:tcW w:w="3038" w:type="dxa"/>
            <w:vAlign w:val="center"/>
            <w:hideMark/>
          </w:tcPr>
          <w:p w14:paraId="57563B7F" w14:textId="77777777" w:rsidR="00C46587" w:rsidRPr="004F5FB4" w:rsidRDefault="00C46587" w:rsidP="00982118">
            <w:pPr>
              <w:keepNext/>
              <w:jc w:val="center"/>
              <w:rPr>
                <w:color w:val="000000"/>
              </w:rPr>
            </w:pPr>
            <w:r w:rsidRPr="004F5FB4">
              <w:rPr>
                <w:color w:val="000000"/>
              </w:rPr>
              <w:t>12 %</w:t>
            </w:r>
          </w:p>
        </w:tc>
        <w:tc>
          <w:tcPr>
            <w:tcW w:w="2253" w:type="dxa"/>
            <w:vAlign w:val="center"/>
            <w:hideMark/>
          </w:tcPr>
          <w:p w14:paraId="22354BA8" w14:textId="77777777" w:rsidR="00C46587" w:rsidRPr="004F5FB4" w:rsidRDefault="00C46587" w:rsidP="00982118">
            <w:pPr>
              <w:keepNext/>
              <w:jc w:val="center"/>
              <w:rPr>
                <w:color w:val="000000"/>
              </w:rPr>
            </w:pPr>
            <w:r w:rsidRPr="004F5FB4">
              <w:rPr>
                <w:color w:val="000000"/>
              </w:rPr>
              <w:t>24 %**</w:t>
            </w:r>
          </w:p>
        </w:tc>
      </w:tr>
      <w:tr w:rsidR="00C46587" w:rsidRPr="004F5FB4" w14:paraId="7C4BC9DF" w14:textId="77777777" w:rsidTr="00EA7409">
        <w:trPr>
          <w:jc w:val="center"/>
        </w:trPr>
        <w:tc>
          <w:tcPr>
            <w:tcW w:w="4012" w:type="dxa"/>
            <w:hideMark/>
          </w:tcPr>
          <w:p w14:paraId="457854ED" w14:textId="77777777" w:rsidR="00C46587" w:rsidRPr="004F5FB4" w:rsidRDefault="00C46587" w:rsidP="00982118">
            <w:pPr>
              <w:keepNext/>
              <w:tabs>
                <w:tab w:val="left" w:pos="288"/>
              </w:tabs>
              <w:ind w:left="252"/>
              <w:rPr>
                <w:color w:val="000000"/>
              </w:rPr>
            </w:pPr>
            <w:r w:rsidRPr="004F5FB4">
              <w:rPr>
                <w:color w:val="000000"/>
              </w:rPr>
              <w:t>Anhaltende Remission</w:t>
            </w:r>
          </w:p>
        </w:tc>
        <w:tc>
          <w:tcPr>
            <w:tcW w:w="3038" w:type="dxa"/>
            <w:vAlign w:val="center"/>
            <w:hideMark/>
          </w:tcPr>
          <w:p w14:paraId="345EE23D" w14:textId="77777777" w:rsidR="00C46587" w:rsidRPr="004F5FB4" w:rsidRDefault="00C46587" w:rsidP="00982118">
            <w:pPr>
              <w:keepNext/>
              <w:jc w:val="center"/>
              <w:rPr>
                <w:color w:val="000000"/>
              </w:rPr>
            </w:pPr>
            <w:r w:rsidRPr="004F5FB4">
              <w:rPr>
                <w:color w:val="000000"/>
              </w:rPr>
              <w:t>4 %</w:t>
            </w:r>
          </w:p>
        </w:tc>
        <w:tc>
          <w:tcPr>
            <w:tcW w:w="2253" w:type="dxa"/>
            <w:vAlign w:val="center"/>
            <w:hideMark/>
          </w:tcPr>
          <w:p w14:paraId="371A0558" w14:textId="77777777" w:rsidR="00C46587" w:rsidRPr="004F5FB4" w:rsidRDefault="00C46587" w:rsidP="00982118">
            <w:pPr>
              <w:keepNext/>
              <w:jc w:val="center"/>
              <w:rPr>
                <w:color w:val="000000"/>
              </w:rPr>
            </w:pPr>
            <w:r w:rsidRPr="004F5FB4">
              <w:rPr>
                <w:color w:val="000000"/>
              </w:rPr>
              <w:t>8 %*</w:t>
            </w:r>
          </w:p>
        </w:tc>
      </w:tr>
      <w:tr w:rsidR="00C46587" w:rsidRPr="004F5FB4" w14:paraId="6EAD304D" w14:textId="77777777" w:rsidTr="00EA7409">
        <w:trPr>
          <w:jc w:val="center"/>
        </w:trPr>
        <w:tc>
          <w:tcPr>
            <w:tcW w:w="4012" w:type="dxa"/>
            <w:tcBorders>
              <w:bottom w:val="single" w:sz="4" w:space="0" w:color="auto"/>
            </w:tcBorders>
            <w:hideMark/>
          </w:tcPr>
          <w:p w14:paraId="028C661A" w14:textId="77777777" w:rsidR="00C46587" w:rsidRPr="004F5FB4" w:rsidRDefault="00C46587" w:rsidP="00982118">
            <w:pPr>
              <w:keepNext/>
              <w:tabs>
                <w:tab w:val="left" w:pos="288"/>
              </w:tabs>
              <w:ind w:left="252"/>
              <w:rPr>
                <w:color w:val="000000"/>
              </w:rPr>
            </w:pPr>
            <w:r w:rsidRPr="004F5FB4">
              <w:rPr>
                <w:color w:val="000000"/>
              </w:rPr>
              <w:t>Anhaltende Mukosaheilung</w:t>
            </w:r>
          </w:p>
        </w:tc>
        <w:tc>
          <w:tcPr>
            <w:tcW w:w="3038" w:type="dxa"/>
            <w:tcBorders>
              <w:bottom w:val="single" w:sz="4" w:space="0" w:color="auto"/>
            </w:tcBorders>
            <w:vAlign w:val="center"/>
            <w:hideMark/>
          </w:tcPr>
          <w:p w14:paraId="5F35B11C" w14:textId="77777777" w:rsidR="00C46587" w:rsidRPr="004F5FB4" w:rsidRDefault="00C46587" w:rsidP="00982118">
            <w:pPr>
              <w:keepNext/>
              <w:jc w:val="center"/>
              <w:rPr>
                <w:color w:val="000000"/>
              </w:rPr>
            </w:pPr>
            <w:r w:rsidRPr="004F5FB4">
              <w:rPr>
                <w:color w:val="000000"/>
              </w:rPr>
              <w:t>11 %</w:t>
            </w:r>
          </w:p>
        </w:tc>
        <w:tc>
          <w:tcPr>
            <w:tcW w:w="2253" w:type="dxa"/>
            <w:tcBorders>
              <w:bottom w:val="single" w:sz="4" w:space="0" w:color="auto"/>
            </w:tcBorders>
            <w:vAlign w:val="center"/>
            <w:hideMark/>
          </w:tcPr>
          <w:p w14:paraId="29D86BD2" w14:textId="77777777" w:rsidR="00C46587" w:rsidRPr="004F5FB4" w:rsidRDefault="00C46587" w:rsidP="00982118">
            <w:pPr>
              <w:keepNext/>
              <w:jc w:val="center"/>
              <w:rPr>
                <w:color w:val="000000"/>
              </w:rPr>
            </w:pPr>
            <w:r w:rsidRPr="004F5FB4">
              <w:rPr>
                <w:color w:val="000000"/>
              </w:rPr>
              <w:t>19 %*</w:t>
            </w:r>
          </w:p>
        </w:tc>
      </w:tr>
      <w:tr w:rsidR="00EA7409" w:rsidRPr="004F5FB4" w14:paraId="41893A23" w14:textId="77777777" w:rsidTr="00EA7409">
        <w:trPr>
          <w:jc w:val="center"/>
        </w:trPr>
        <w:tc>
          <w:tcPr>
            <w:tcW w:w="9303" w:type="dxa"/>
            <w:gridSpan w:val="3"/>
            <w:tcBorders>
              <w:left w:val="nil"/>
              <w:bottom w:val="nil"/>
              <w:right w:val="nil"/>
            </w:tcBorders>
          </w:tcPr>
          <w:p w14:paraId="0522F216" w14:textId="77777777" w:rsidR="00EA7409" w:rsidRPr="00206AEA" w:rsidRDefault="00EA7409" w:rsidP="00EA7409">
            <w:pPr>
              <w:rPr>
                <w:color w:val="000000"/>
                <w:sz w:val="20"/>
              </w:rPr>
            </w:pPr>
            <w:r w:rsidRPr="00206AEA">
              <w:rPr>
                <w:color w:val="000000"/>
                <w:sz w:val="20"/>
              </w:rPr>
              <w:t>Klinische Remission bedeutet Mayo-Score ≤</w:t>
            </w:r>
            <w:r w:rsidR="0083649C" w:rsidRPr="00206AEA">
              <w:rPr>
                <w:color w:val="000000"/>
                <w:sz w:val="20"/>
              </w:rPr>
              <w:t> </w:t>
            </w:r>
            <w:r w:rsidRPr="00206AEA">
              <w:rPr>
                <w:color w:val="000000"/>
                <w:sz w:val="20"/>
              </w:rPr>
              <w:t>2 mit keinem Subscore &gt;</w:t>
            </w:r>
            <w:r w:rsidR="0083649C" w:rsidRPr="00206AEA">
              <w:rPr>
                <w:color w:val="000000"/>
                <w:sz w:val="20"/>
              </w:rPr>
              <w:t> </w:t>
            </w:r>
            <w:r w:rsidRPr="00206AEA">
              <w:rPr>
                <w:color w:val="000000"/>
                <w:sz w:val="20"/>
              </w:rPr>
              <w:t>1;</w:t>
            </w:r>
          </w:p>
          <w:p w14:paraId="28ADF010" w14:textId="77777777" w:rsidR="00EA7409" w:rsidRPr="00206AEA" w:rsidRDefault="00EA7409" w:rsidP="00EA7409">
            <w:pPr>
              <w:rPr>
                <w:color w:val="000000"/>
                <w:sz w:val="20"/>
              </w:rPr>
            </w:pPr>
            <w:r w:rsidRPr="00206AEA">
              <w:rPr>
                <w:color w:val="000000"/>
                <w:sz w:val="20"/>
              </w:rPr>
              <w:t>Klinisches Ansprechen bedeutet eine Abnahme im Mayo-Score gegenüber Studienbeginn um ≥</w:t>
            </w:r>
            <w:r w:rsidR="0083649C" w:rsidRPr="00206AEA">
              <w:rPr>
                <w:color w:val="000000"/>
                <w:sz w:val="20"/>
              </w:rPr>
              <w:t> </w:t>
            </w:r>
            <w:r w:rsidRPr="00206AEA">
              <w:rPr>
                <w:color w:val="000000"/>
                <w:sz w:val="20"/>
              </w:rPr>
              <w:t>3</w:t>
            </w:r>
            <w:r w:rsidR="0083649C" w:rsidRPr="00206AEA">
              <w:rPr>
                <w:color w:val="000000"/>
                <w:sz w:val="20"/>
              </w:rPr>
              <w:t> </w:t>
            </w:r>
            <w:r w:rsidRPr="00206AEA">
              <w:rPr>
                <w:color w:val="000000"/>
                <w:sz w:val="20"/>
              </w:rPr>
              <w:t>Punkte und ≥</w:t>
            </w:r>
            <w:r w:rsidR="00AA719E" w:rsidRPr="00206AEA">
              <w:rPr>
                <w:color w:val="000000"/>
                <w:sz w:val="20"/>
              </w:rPr>
              <w:t> </w:t>
            </w:r>
            <w:r w:rsidRPr="00206AEA">
              <w:rPr>
                <w:color w:val="000000"/>
                <w:sz w:val="20"/>
              </w:rPr>
              <w:t>30</w:t>
            </w:r>
            <w:r w:rsidR="0083649C" w:rsidRPr="00206AEA">
              <w:rPr>
                <w:color w:val="000000"/>
                <w:sz w:val="20"/>
              </w:rPr>
              <w:t> </w:t>
            </w:r>
            <w:r w:rsidRPr="00206AEA">
              <w:rPr>
                <w:color w:val="000000"/>
                <w:sz w:val="20"/>
              </w:rPr>
              <w:t>% plus eine Abnahme im rektalen Blutungs-Subscore (RBS) ≥</w:t>
            </w:r>
            <w:r w:rsidR="0083649C" w:rsidRPr="00206AEA">
              <w:rPr>
                <w:color w:val="000000"/>
                <w:sz w:val="20"/>
              </w:rPr>
              <w:t> </w:t>
            </w:r>
            <w:r w:rsidRPr="00206AEA">
              <w:rPr>
                <w:color w:val="000000"/>
                <w:sz w:val="20"/>
              </w:rPr>
              <w:t>1 oder einen absoluten RBS von 0 oder 1;</w:t>
            </w:r>
          </w:p>
          <w:p w14:paraId="33DF66E3" w14:textId="77777777" w:rsidR="00EA7409" w:rsidRPr="00206AEA" w:rsidRDefault="00EA7409" w:rsidP="00EA7409">
            <w:pPr>
              <w:ind w:left="270" w:hanging="270"/>
              <w:rPr>
                <w:color w:val="000000"/>
                <w:sz w:val="20"/>
              </w:rPr>
            </w:pPr>
            <w:r w:rsidRPr="00206AEA">
              <w:rPr>
                <w:color w:val="000000"/>
                <w:sz w:val="20"/>
              </w:rPr>
              <w:t>*</w:t>
            </w:r>
            <w:r w:rsidRPr="00206AEA">
              <w:rPr>
                <w:color w:val="000000"/>
                <w:sz w:val="20"/>
              </w:rPr>
              <w:tab/>
              <w:t xml:space="preserve">p &lt; 0,05 für Adalimumab </w:t>
            </w:r>
            <w:r w:rsidRPr="00206AEA">
              <w:rPr>
                <w:i/>
                <w:iCs/>
                <w:color w:val="000000"/>
                <w:sz w:val="20"/>
              </w:rPr>
              <w:t>versus</w:t>
            </w:r>
            <w:r w:rsidRPr="00206AEA">
              <w:rPr>
                <w:color w:val="000000"/>
                <w:sz w:val="20"/>
              </w:rPr>
              <w:t xml:space="preserve"> Placebo paarweiser Vergleich der Anteile </w:t>
            </w:r>
          </w:p>
          <w:p w14:paraId="1C7ADA79" w14:textId="77777777" w:rsidR="00EA7409" w:rsidRPr="00206AEA" w:rsidRDefault="00EA7409" w:rsidP="00EA7409">
            <w:pPr>
              <w:ind w:left="270" w:hanging="270"/>
              <w:rPr>
                <w:color w:val="000000"/>
                <w:sz w:val="20"/>
              </w:rPr>
            </w:pPr>
            <w:r w:rsidRPr="00206AEA">
              <w:rPr>
                <w:color w:val="000000"/>
                <w:sz w:val="20"/>
              </w:rPr>
              <w:t>**</w:t>
            </w:r>
            <w:r w:rsidRPr="00206AEA">
              <w:rPr>
                <w:color w:val="000000"/>
                <w:sz w:val="20"/>
              </w:rPr>
              <w:tab/>
              <w:t xml:space="preserve">p &lt; 0,001 für Adalimumab </w:t>
            </w:r>
            <w:r w:rsidRPr="00206AEA">
              <w:rPr>
                <w:i/>
                <w:iCs/>
                <w:color w:val="000000"/>
                <w:sz w:val="20"/>
              </w:rPr>
              <w:t>versus</w:t>
            </w:r>
            <w:r w:rsidRPr="00206AEA">
              <w:rPr>
                <w:color w:val="000000"/>
                <w:sz w:val="20"/>
              </w:rPr>
              <w:t xml:space="preserve"> Placebo paarweiser Vergleich der Anteile </w:t>
            </w:r>
          </w:p>
          <w:p w14:paraId="301C1CCA" w14:textId="77777777" w:rsidR="00EA7409" w:rsidRPr="00206AEA" w:rsidRDefault="00EA7409" w:rsidP="00EA7409">
            <w:pPr>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 xml:space="preserve">Verabreichung von </w:t>
            </w:r>
            <w:r w:rsidR="003901AA" w:rsidRPr="00206AEA">
              <w:rPr>
                <w:color w:val="000000"/>
                <w:sz w:val="20"/>
              </w:rPr>
              <w:t>Glukok</w:t>
            </w:r>
            <w:r w:rsidRPr="00206AEA">
              <w:rPr>
                <w:color w:val="000000"/>
                <w:sz w:val="20"/>
              </w:rPr>
              <w:t>ortikoiden zu Studienbeginn</w:t>
            </w:r>
          </w:p>
        </w:tc>
      </w:tr>
    </w:tbl>
    <w:p w14:paraId="488838DD" w14:textId="77777777" w:rsidR="00C46587" w:rsidRPr="004F5FB4" w:rsidRDefault="00C46587" w:rsidP="00982118">
      <w:pPr>
        <w:rPr>
          <w:color w:val="000000"/>
        </w:rPr>
      </w:pPr>
    </w:p>
    <w:p w14:paraId="2CFA628F" w14:textId="77777777" w:rsidR="00C46587" w:rsidRPr="004F5FB4" w:rsidRDefault="00C46587" w:rsidP="00982118">
      <w:pPr>
        <w:rPr>
          <w:color w:val="000000"/>
        </w:rPr>
      </w:pPr>
      <w:r w:rsidRPr="004F5FB4">
        <w:rPr>
          <w:color w:val="000000"/>
        </w:rPr>
        <w:t>Von den Patienten mit einem Ansprechen in Woche</w:t>
      </w:r>
      <w:r w:rsidR="0083649C" w:rsidRPr="004F5FB4">
        <w:rPr>
          <w:color w:val="000000"/>
        </w:rPr>
        <w:t> </w:t>
      </w:r>
      <w:r w:rsidRPr="004F5FB4">
        <w:rPr>
          <w:color w:val="000000"/>
        </w:rPr>
        <w:t>8 sprachen in Woche</w:t>
      </w:r>
      <w:r w:rsidR="0083649C" w:rsidRPr="004F5FB4">
        <w:rPr>
          <w:color w:val="000000"/>
        </w:rPr>
        <w:t> </w:t>
      </w:r>
      <w:r w:rsidRPr="004F5FB4">
        <w:rPr>
          <w:color w:val="000000"/>
        </w:rPr>
        <w:t>52 47</w:t>
      </w:r>
      <w:r w:rsidR="0083649C" w:rsidRPr="004F5FB4">
        <w:rPr>
          <w:color w:val="000000"/>
        </w:rPr>
        <w:t> </w:t>
      </w:r>
      <w:r w:rsidRPr="004F5FB4">
        <w:rPr>
          <w:color w:val="000000"/>
        </w:rPr>
        <w:t>% an, waren 29</w:t>
      </w:r>
      <w:r w:rsidR="0083649C" w:rsidRPr="004F5FB4">
        <w:rPr>
          <w:color w:val="000000"/>
        </w:rPr>
        <w:t> </w:t>
      </w:r>
      <w:r w:rsidRPr="004F5FB4">
        <w:rPr>
          <w:color w:val="000000"/>
        </w:rPr>
        <w:t>% in Remission, hatten 41</w:t>
      </w:r>
      <w:r w:rsidR="0083649C" w:rsidRPr="004F5FB4">
        <w:rPr>
          <w:color w:val="000000"/>
        </w:rPr>
        <w:t> </w:t>
      </w:r>
      <w:r w:rsidRPr="004F5FB4">
        <w:rPr>
          <w:color w:val="000000"/>
        </w:rPr>
        <w:t>% eine Mukosaheilung und waren 20</w:t>
      </w:r>
      <w:r w:rsidR="0083649C" w:rsidRPr="004F5FB4">
        <w:rPr>
          <w:color w:val="000000"/>
        </w:rPr>
        <w:t> </w:t>
      </w:r>
      <w:r w:rsidRPr="004F5FB4">
        <w:rPr>
          <w:color w:val="000000"/>
        </w:rPr>
        <w:t>% in steroidfreier Remission für ≥</w:t>
      </w:r>
      <w:r w:rsidR="0083649C" w:rsidRPr="004F5FB4">
        <w:rPr>
          <w:color w:val="000000"/>
        </w:rPr>
        <w:t> </w:t>
      </w:r>
      <w:r w:rsidRPr="004F5FB4">
        <w:rPr>
          <w:color w:val="000000"/>
        </w:rPr>
        <w:t>90</w:t>
      </w:r>
      <w:r w:rsidR="0083649C" w:rsidRPr="004F5FB4">
        <w:rPr>
          <w:color w:val="000000"/>
        </w:rPr>
        <w:t> </w:t>
      </w:r>
      <w:r w:rsidRPr="004F5FB4">
        <w:rPr>
          <w:color w:val="000000"/>
        </w:rPr>
        <w:t xml:space="preserve">Tage. </w:t>
      </w:r>
    </w:p>
    <w:p w14:paraId="1CA3CD7C" w14:textId="77777777" w:rsidR="00C46587" w:rsidRPr="004F5FB4" w:rsidRDefault="00C46587" w:rsidP="00982118">
      <w:pPr>
        <w:rPr>
          <w:color w:val="000000"/>
        </w:rPr>
      </w:pPr>
    </w:p>
    <w:p w14:paraId="530ED71A" w14:textId="77777777" w:rsidR="00C46587" w:rsidRPr="004F5FB4" w:rsidRDefault="00C46587" w:rsidP="00982118">
      <w:pPr>
        <w:rPr>
          <w:color w:val="000000"/>
        </w:rPr>
      </w:pPr>
      <w:r w:rsidRPr="004F5FB4">
        <w:rPr>
          <w:color w:val="000000"/>
        </w:rPr>
        <w:t>Bei annähernd 40</w:t>
      </w:r>
      <w:r w:rsidR="0083649C" w:rsidRPr="004F5FB4">
        <w:rPr>
          <w:color w:val="000000"/>
        </w:rPr>
        <w:t> </w:t>
      </w:r>
      <w:r w:rsidRPr="004F5FB4">
        <w:rPr>
          <w:color w:val="000000"/>
        </w:rPr>
        <w:t>% der Patienten der UC</w:t>
      </w:r>
      <w:r w:rsidRPr="004F5FB4">
        <w:rPr>
          <w:color w:val="000000"/>
        </w:rPr>
        <w:noBreakHyphen/>
        <w:t>II-Studie hatte zuvor die Anti</w:t>
      </w:r>
      <w:r w:rsidRPr="004F5FB4">
        <w:rPr>
          <w:color w:val="000000"/>
        </w:rPr>
        <w:noBreakHyphen/>
        <w:t>TNF-Behandlung mit Infliximab versagt. Die Wirksamkeit von Adalimumab war bei diesen Patienten im Vergleich zu Patienten, die Anti</w:t>
      </w:r>
      <w:r w:rsidRPr="004F5FB4">
        <w:rPr>
          <w:color w:val="000000"/>
        </w:rPr>
        <w:noBreakHyphen/>
        <w:t>TNF naiv waren, verringert. Unter den Patienten, bei denen zuvor eine Anti</w:t>
      </w:r>
      <w:r w:rsidRPr="004F5FB4">
        <w:rPr>
          <w:color w:val="000000"/>
        </w:rPr>
        <w:noBreakHyphen/>
        <w:t>TNF-Behandlung versagt hatte, wurde bei 3</w:t>
      </w:r>
      <w:r w:rsidR="0083649C" w:rsidRPr="004F5FB4">
        <w:rPr>
          <w:color w:val="000000"/>
        </w:rPr>
        <w:t> </w:t>
      </w:r>
      <w:r w:rsidRPr="004F5FB4">
        <w:rPr>
          <w:color w:val="000000"/>
        </w:rPr>
        <w:t>% der Patienten, die Placebo erhalten hatten, und bei 10</w:t>
      </w:r>
      <w:r w:rsidR="0083649C" w:rsidRPr="004F5FB4">
        <w:rPr>
          <w:color w:val="000000"/>
        </w:rPr>
        <w:t> </w:t>
      </w:r>
      <w:r w:rsidRPr="004F5FB4">
        <w:rPr>
          <w:color w:val="000000"/>
        </w:rPr>
        <w:t>% der Patienten, die Adalimumab erhalten hatten, in Woche</w:t>
      </w:r>
      <w:r w:rsidR="0083649C" w:rsidRPr="004F5FB4">
        <w:rPr>
          <w:color w:val="000000"/>
        </w:rPr>
        <w:t> </w:t>
      </w:r>
      <w:r w:rsidRPr="004F5FB4">
        <w:rPr>
          <w:color w:val="000000"/>
        </w:rPr>
        <w:t xml:space="preserve">52 eine Remission erreicht. </w:t>
      </w:r>
    </w:p>
    <w:p w14:paraId="7B5EDE1A" w14:textId="77777777" w:rsidR="00C46587" w:rsidRPr="004F5FB4" w:rsidRDefault="00C46587" w:rsidP="00982118">
      <w:pPr>
        <w:rPr>
          <w:color w:val="000000"/>
        </w:rPr>
      </w:pPr>
    </w:p>
    <w:p w14:paraId="017B8D9A" w14:textId="77777777" w:rsidR="00C46587" w:rsidRPr="004F5FB4" w:rsidRDefault="00C46587" w:rsidP="00982118">
      <w:pPr>
        <w:rPr>
          <w:color w:val="000000"/>
        </w:rPr>
      </w:pPr>
      <w:r w:rsidRPr="004F5FB4">
        <w:rPr>
          <w:color w:val="000000"/>
        </w:rPr>
        <w:t>Patienten aus den UC</w:t>
      </w:r>
      <w:r w:rsidRPr="004F5FB4">
        <w:rPr>
          <w:color w:val="000000"/>
        </w:rPr>
        <w:noBreakHyphen/>
        <w:t>I- und UC</w:t>
      </w:r>
      <w:r w:rsidRPr="004F5FB4">
        <w:rPr>
          <w:color w:val="000000"/>
        </w:rPr>
        <w:noBreakHyphen/>
        <w:t>II-Studien hatten die Möglichkeit, an einer offenen Langzeit</w:t>
      </w:r>
      <w:r w:rsidRPr="004F5FB4">
        <w:rPr>
          <w:color w:val="000000"/>
        </w:rPr>
        <w:noBreakHyphen/>
      </w:r>
      <w:r w:rsidR="003901AA" w:rsidRPr="004F5FB4">
        <w:rPr>
          <w:color w:val="000000"/>
        </w:rPr>
        <w:t>Fortsetz</w:t>
      </w:r>
      <w:r w:rsidRPr="004F5FB4">
        <w:rPr>
          <w:color w:val="000000"/>
        </w:rPr>
        <w:t>ungsstudie (UC-III) teilzunehmen. Nach Behandlung mit Adalimumab über 3</w:t>
      </w:r>
      <w:r w:rsidR="0083649C" w:rsidRPr="004F5FB4">
        <w:rPr>
          <w:color w:val="000000"/>
        </w:rPr>
        <w:t> </w:t>
      </w:r>
      <w:r w:rsidRPr="004F5FB4">
        <w:rPr>
          <w:color w:val="000000"/>
        </w:rPr>
        <w:t>Jahre waren 75</w:t>
      </w:r>
      <w:r w:rsidR="0083649C" w:rsidRPr="004F5FB4">
        <w:rPr>
          <w:color w:val="000000"/>
        </w:rPr>
        <w:t> </w:t>
      </w:r>
      <w:r w:rsidRPr="004F5FB4">
        <w:rPr>
          <w:color w:val="000000"/>
        </w:rPr>
        <w:t>% (301/402) nach Partial-Mayo-Score weiterhin in klinischer Remission.</w:t>
      </w:r>
    </w:p>
    <w:p w14:paraId="7BF3EDB0" w14:textId="77777777" w:rsidR="00C46587" w:rsidRPr="004F5FB4" w:rsidRDefault="00C46587" w:rsidP="00982118">
      <w:pPr>
        <w:rPr>
          <w:color w:val="000000"/>
        </w:rPr>
      </w:pPr>
    </w:p>
    <w:p w14:paraId="57F2613D" w14:textId="77777777" w:rsidR="00C46587" w:rsidRPr="004F5FB4" w:rsidRDefault="00C46587" w:rsidP="00DC3A99">
      <w:pPr>
        <w:keepNext/>
        <w:rPr>
          <w:i/>
          <w:color w:val="000000"/>
          <w:u w:val="single"/>
        </w:rPr>
      </w:pPr>
      <w:r w:rsidRPr="004F5FB4">
        <w:rPr>
          <w:i/>
          <w:color w:val="000000"/>
          <w:u w:val="single"/>
        </w:rPr>
        <w:t>Hospitalisierungsraten</w:t>
      </w:r>
    </w:p>
    <w:p w14:paraId="0889408C" w14:textId="77777777" w:rsidR="00C46587" w:rsidRPr="004F5FB4" w:rsidRDefault="00C46587" w:rsidP="00DC3A99">
      <w:pPr>
        <w:keepNext/>
        <w:rPr>
          <w:color w:val="000000"/>
        </w:rPr>
      </w:pPr>
    </w:p>
    <w:p w14:paraId="147DF71B" w14:textId="77777777" w:rsidR="00C46587" w:rsidRPr="004F5FB4" w:rsidRDefault="00C46587" w:rsidP="00982118">
      <w:pPr>
        <w:rPr>
          <w:color w:val="000000"/>
        </w:rPr>
      </w:pPr>
      <w:r w:rsidRPr="004F5FB4">
        <w:rPr>
          <w:color w:val="000000"/>
        </w:rPr>
        <w:t>Innerhalb der 52</w:t>
      </w:r>
      <w:r w:rsidR="0083649C" w:rsidRPr="004F5FB4">
        <w:rPr>
          <w:color w:val="000000"/>
        </w:rPr>
        <w:t> </w:t>
      </w:r>
      <w:r w:rsidRPr="004F5FB4">
        <w:rPr>
          <w:color w:val="000000"/>
        </w:rPr>
        <w:t>Wochen der Studien UC</w:t>
      </w:r>
      <w:r w:rsidRPr="004F5FB4">
        <w:rPr>
          <w:color w:val="000000"/>
        </w:rPr>
        <w:noBreakHyphen/>
        <w:t>I und UC</w:t>
      </w:r>
      <w:r w:rsidRPr="004F5FB4">
        <w:rPr>
          <w:color w:val="000000"/>
        </w:rPr>
        <w:noBreakHyphen/>
        <w:t>II wurden für den Adalimumab</w:t>
      </w:r>
      <w:r w:rsidRPr="004F5FB4">
        <w:rPr>
          <w:color w:val="000000"/>
        </w:rPr>
        <w:noBreakHyphen/>
        <w:t>Behandlungsarm im Vergleich zum Placeboarm niedrigere Raten bezüglich allgemeiner sowie Colitis</w:t>
      </w:r>
      <w:r w:rsidRPr="004F5FB4">
        <w:rPr>
          <w:color w:val="000000"/>
        </w:rPr>
        <w:noBreakHyphen/>
        <w:t>ulcerosa-bedingter Krankenhausaufenthalte beobachtet. Die Zahl an allgemeinen Hospitalisierungen betrug in der Adalimumab-Behandlungsgruppe 0,18 pro Patientenjahr gegenüber 0,26 pro Patientenjahr in der Placebogruppe, und die entsprechenden Zahlen für Colitis</w:t>
      </w:r>
      <w:r w:rsidRPr="004F5FB4">
        <w:rPr>
          <w:color w:val="000000"/>
        </w:rPr>
        <w:noBreakHyphen/>
        <w:t>ulcerosa-verursachte Hospitalisierungen waren 0,12 pro Patientenjahr gegenüber 0,22 pro Patientenjahr.</w:t>
      </w:r>
    </w:p>
    <w:p w14:paraId="3F7D7BC9" w14:textId="77777777" w:rsidR="00C46587" w:rsidRPr="004F5FB4" w:rsidRDefault="00C46587" w:rsidP="00982118">
      <w:pPr>
        <w:rPr>
          <w:color w:val="000000"/>
        </w:rPr>
      </w:pPr>
    </w:p>
    <w:p w14:paraId="4C02919B" w14:textId="77777777" w:rsidR="00C46587" w:rsidRPr="004F5FB4" w:rsidRDefault="00C46587" w:rsidP="00982118">
      <w:pPr>
        <w:keepNext/>
        <w:rPr>
          <w:i/>
          <w:color w:val="000000"/>
          <w:u w:val="single"/>
        </w:rPr>
      </w:pPr>
      <w:r w:rsidRPr="004F5FB4">
        <w:rPr>
          <w:i/>
          <w:color w:val="000000"/>
          <w:u w:val="single"/>
        </w:rPr>
        <w:t>Lebensqualität</w:t>
      </w:r>
    </w:p>
    <w:p w14:paraId="1998BB02" w14:textId="77777777" w:rsidR="00C46587" w:rsidRPr="004F5FB4" w:rsidRDefault="00C46587" w:rsidP="00982118">
      <w:pPr>
        <w:keepNext/>
        <w:rPr>
          <w:color w:val="000000"/>
        </w:rPr>
      </w:pPr>
    </w:p>
    <w:p w14:paraId="134AEB16" w14:textId="77777777" w:rsidR="00C46587" w:rsidRPr="004F5FB4" w:rsidRDefault="00C46587" w:rsidP="00982118">
      <w:pPr>
        <w:rPr>
          <w:color w:val="000000"/>
        </w:rPr>
      </w:pPr>
      <w:r w:rsidRPr="004F5FB4">
        <w:rPr>
          <w:color w:val="000000"/>
        </w:rPr>
        <w:t>In der Studie UC</w:t>
      </w:r>
      <w:r w:rsidRPr="004F5FB4">
        <w:rPr>
          <w:color w:val="000000"/>
        </w:rPr>
        <w:noBreakHyphen/>
        <w:t xml:space="preserve">II resultierte die Behandlung mit Adalimumab in einer Verbesserung des Inflammatory-Bowel-Disease-Questionnaire(IBDQ)-Score. </w:t>
      </w:r>
    </w:p>
    <w:p w14:paraId="3C2956AD" w14:textId="77777777" w:rsidR="00C46587" w:rsidRPr="004F5FB4" w:rsidRDefault="00C46587" w:rsidP="00982118">
      <w:pPr>
        <w:rPr>
          <w:color w:val="000000"/>
        </w:rPr>
      </w:pPr>
    </w:p>
    <w:p w14:paraId="18EF00B8" w14:textId="77777777" w:rsidR="00C46587" w:rsidRPr="004F5FB4" w:rsidRDefault="00C46587" w:rsidP="00DC3A99">
      <w:pPr>
        <w:keepNext/>
        <w:rPr>
          <w:i/>
          <w:color w:val="000000"/>
        </w:rPr>
      </w:pPr>
      <w:r w:rsidRPr="004F5FB4">
        <w:rPr>
          <w:i/>
          <w:color w:val="000000"/>
        </w:rPr>
        <w:t>Uveitis</w:t>
      </w:r>
    </w:p>
    <w:p w14:paraId="23FB4C77" w14:textId="77777777" w:rsidR="00C46587" w:rsidRPr="004F5FB4" w:rsidRDefault="00C46587" w:rsidP="00DC3A99">
      <w:pPr>
        <w:keepNext/>
        <w:rPr>
          <w:color w:val="000000"/>
        </w:rPr>
      </w:pPr>
    </w:p>
    <w:p w14:paraId="7AB13EDA" w14:textId="77777777" w:rsidR="00914F4E" w:rsidRPr="004F5FB4" w:rsidRDefault="00914F4E" w:rsidP="00982118">
      <w:pPr>
        <w:rPr>
          <w:color w:val="000000"/>
        </w:rPr>
      </w:pPr>
      <w:r w:rsidRPr="004F5FB4">
        <w:rPr>
          <w:color w:val="000000"/>
        </w:rPr>
        <w:t>Die Sicherheit und Wirksamkeit von Adalimumab wurden in zwei randomisierten, doppelmaskierten, placebokontrollierten Studien (UV</w:t>
      </w:r>
      <w:r w:rsidR="003901AA" w:rsidRPr="004F5FB4">
        <w:rPr>
          <w:color w:val="000000"/>
        </w:rPr>
        <w:t> </w:t>
      </w:r>
      <w:r w:rsidRPr="004F5FB4">
        <w:rPr>
          <w:color w:val="000000"/>
        </w:rPr>
        <w:t xml:space="preserve">I und II) bei erwachsenen Patienten mit nicht infektiöser Uveitis intermedia, Uveitis posterior und Panuveitis beurteilt, ausgenommen Patienten mit isolierter Uveitis anterior. Die Patienten erhielten Placebo oder eine Induktionsdosis von 80 mg Adalimumab, gefolgt </w:t>
      </w:r>
      <w:r w:rsidRPr="004F5FB4">
        <w:rPr>
          <w:color w:val="000000"/>
        </w:rPr>
        <w:lastRenderedPageBreak/>
        <w:t>von 40 mg alle zwei Wochen, beginnend eine Woche nach der Induktionsdosis. Eine Begleitmedikation in gleichbleibender Dosierung mit einem nicht biologischen Immunsuppressivum war erlaubt.</w:t>
      </w:r>
    </w:p>
    <w:p w14:paraId="7CC5384A" w14:textId="77777777" w:rsidR="00914F4E" w:rsidRPr="004F5FB4" w:rsidRDefault="00914F4E" w:rsidP="00982118">
      <w:pPr>
        <w:rPr>
          <w:color w:val="000000"/>
        </w:rPr>
      </w:pPr>
    </w:p>
    <w:p w14:paraId="350D5BE8" w14:textId="77777777" w:rsidR="00914F4E" w:rsidRPr="004F5FB4" w:rsidRDefault="00914F4E" w:rsidP="00982118">
      <w:pPr>
        <w:rPr>
          <w:color w:val="000000"/>
        </w:rPr>
      </w:pPr>
      <w:r w:rsidRPr="004F5FB4">
        <w:rPr>
          <w:color w:val="000000"/>
        </w:rPr>
        <w:t>In der Studie UV</w:t>
      </w:r>
      <w:r w:rsidR="0083649C" w:rsidRPr="004F5FB4">
        <w:rPr>
          <w:color w:val="000000"/>
        </w:rPr>
        <w:t> </w:t>
      </w:r>
      <w:r w:rsidRPr="004F5FB4">
        <w:rPr>
          <w:color w:val="000000"/>
        </w:rPr>
        <w:t>I wurden 217</w:t>
      </w:r>
      <w:r w:rsidR="0083649C" w:rsidRPr="004F5FB4">
        <w:rPr>
          <w:color w:val="000000"/>
        </w:rPr>
        <w:t> </w:t>
      </w:r>
      <w:r w:rsidRPr="004F5FB4">
        <w:rPr>
          <w:color w:val="000000"/>
        </w:rPr>
        <w:t>Patienten untersucht, die trotz Behandlung mit Kortikosteroiden (Prednison oral in einer Dosierung von 10 bis 60 mg/Tag) eine aktive Uveitis aufwiesen. Alle Patienten erhielten bei Eintritt in die Studie 2</w:t>
      </w:r>
      <w:r w:rsidR="0083649C" w:rsidRPr="004F5FB4">
        <w:rPr>
          <w:color w:val="000000"/>
        </w:rPr>
        <w:t> </w:t>
      </w:r>
      <w:r w:rsidRPr="004F5FB4">
        <w:rPr>
          <w:color w:val="000000"/>
        </w:rPr>
        <w:t>Wochen lang eine standardisierte Prednison-Dosis von 60 mg/Tag. Darauf folgte eine verpflichtende Steroidausschleichung, sodass die Kortikosteroide bis Woche</w:t>
      </w:r>
      <w:r w:rsidR="0083649C" w:rsidRPr="004F5FB4">
        <w:rPr>
          <w:color w:val="000000"/>
        </w:rPr>
        <w:t> </w:t>
      </w:r>
      <w:r w:rsidRPr="004F5FB4">
        <w:rPr>
          <w:color w:val="000000"/>
        </w:rPr>
        <w:t>15 vollständig abgesetzt waren.</w:t>
      </w:r>
    </w:p>
    <w:p w14:paraId="5C8B91D8" w14:textId="77777777" w:rsidR="00914F4E" w:rsidRPr="004F5FB4" w:rsidRDefault="00914F4E" w:rsidP="00982118">
      <w:pPr>
        <w:rPr>
          <w:color w:val="000000"/>
        </w:rPr>
      </w:pPr>
    </w:p>
    <w:p w14:paraId="7166FF01" w14:textId="77777777" w:rsidR="00914F4E" w:rsidRPr="004F5FB4" w:rsidRDefault="00914F4E" w:rsidP="00982118">
      <w:pPr>
        <w:rPr>
          <w:color w:val="000000"/>
        </w:rPr>
      </w:pPr>
      <w:r w:rsidRPr="004F5FB4">
        <w:rPr>
          <w:color w:val="000000"/>
        </w:rPr>
        <w:t>In der Studie UV</w:t>
      </w:r>
      <w:r w:rsidR="0083649C" w:rsidRPr="004F5FB4">
        <w:rPr>
          <w:color w:val="000000"/>
        </w:rPr>
        <w:t> </w:t>
      </w:r>
      <w:r w:rsidRPr="004F5FB4">
        <w:rPr>
          <w:color w:val="000000"/>
        </w:rPr>
        <w:t>II wurden 226</w:t>
      </w:r>
      <w:r w:rsidR="0083649C" w:rsidRPr="004F5FB4">
        <w:rPr>
          <w:color w:val="000000"/>
        </w:rPr>
        <w:t> </w:t>
      </w:r>
      <w:r w:rsidRPr="004F5FB4">
        <w:rPr>
          <w:color w:val="000000"/>
        </w:rPr>
        <w:t>Patienten mit inaktiver Uveitis untersucht, die bei Baseline zur Kontrolle ihrer Erkrankung dauerhaft mit Kortikosteroiden behandelt werden mussten (Prednison oral 10 bis 35 mg/Tag). Danach folgte eine verpflichtende Steroidausschleichung, sodass die Kortikosteroide bis Woche</w:t>
      </w:r>
      <w:r w:rsidR="008F0199" w:rsidRPr="004F5FB4">
        <w:rPr>
          <w:color w:val="000000"/>
        </w:rPr>
        <w:t> </w:t>
      </w:r>
      <w:r w:rsidRPr="004F5FB4">
        <w:rPr>
          <w:color w:val="000000"/>
        </w:rPr>
        <w:t>19 vollständig abgesetzt waren.</w:t>
      </w:r>
    </w:p>
    <w:p w14:paraId="1751CD04" w14:textId="77777777" w:rsidR="00914F4E" w:rsidRPr="004F5FB4" w:rsidRDefault="00914F4E" w:rsidP="00982118">
      <w:pPr>
        <w:rPr>
          <w:color w:val="000000"/>
        </w:rPr>
      </w:pPr>
    </w:p>
    <w:p w14:paraId="3832CB79" w14:textId="77777777" w:rsidR="00914F4E" w:rsidRPr="004F5FB4" w:rsidRDefault="00914F4E" w:rsidP="00982118">
      <w:pPr>
        <w:rPr>
          <w:color w:val="000000"/>
        </w:rPr>
      </w:pPr>
      <w:r w:rsidRPr="004F5FB4">
        <w:rPr>
          <w:color w:val="000000"/>
        </w:rPr>
        <w:t>Der primäre Wirksamkeitsendpunkt beider Studien war die „Dauer bis zum Behandlungsversagen“. Das Behandlungsversagen wurde definiert durch eine Verschlechterung in einer der vier Komponenten: entzündliche Läsionen der Ader- und Netzhaut und/</w:t>
      </w:r>
      <w:r w:rsidR="008F0199" w:rsidRPr="004F5FB4">
        <w:rPr>
          <w:color w:val="000000"/>
        </w:rPr>
        <w:t xml:space="preserve"> </w:t>
      </w:r>
      <w:r w:rsidRPr="004F5FB4">
        <w:rPr>
          <w:color w:val="000000"/>
        </w:rPr>
        <w:t xml:space="preserve">oder entzündliche Gefäßläsionen der Netzhaut, Grad der Vorderkammerzellen, Grad der Glaskörpertrübung und bestkorrigierter Visus (best corrected visual acuity, BCVA). </w:t>
      </w:r>
    </w:p>
    <w:p w14:paraId="0FB4C391" w14:textId="77777777" w:rsidR="00F41FC1" w:rsidRPr="004F5FB4" w:rsidRDefault="00F41FC1" w:rsidP="00F41FC1">
      <w:pPr>
        <w:pStyle w:val="BodyText"/>
        <w:widowControl/>
        <w:tabs>
          <w:tab w:val="left" w:pos="90"/>
        </w:tabs>
        <w:kinsoku w:val="0"/>
        <w:overflowPunct w:val="0"/>
        <w:ind w:left="0"/>
        <w:rPr>
          <w:color w:val="000000"/>
        </w:rPr>
      </w:pPr>
    </w:p>
    <w:p w14:paraId="24BF46A7" w14:textId="77777777" w:rsidR="00652710" w:rsidRPr="004F5FB4" w:rsidRDefault="003612F5" w:rsidP="00652710">
      <w:pPr>
        <w:pStyle w:val="BodyText"/>
        <w:widowControl/>
        <w:tabs>
          <w:tab w:val="left" w:pos="90"/>
        </w:tabs>
        <w:kinsoku w:val="0"/>
        <w:overflowPunct w:val="0"/>
        <w:ind w:left="0"/>
        <w:rPr>
          <w:color w:val="000000"/>
        </w:rPr>
      </w:pPr>
      <w:r w:rsidRPr="004F5FB4">
        <w:rPr>
          <w:color w:val="000000"/>
        </w:rPr>
        <w:t xml:space="preserve">Die </w:t>
      </w:r>
      <w:r w:rsidR="00652710" w:rsidRPr="004F5FB4">
        <w:rPr>
          <w:color w:val="000000"/>
        </w:rPr>
        <w:t>Patienten, die die Studien UV I und UV II abgeschlossen hatten, konnten in eine unkontrollierte Langzeit-Fortsetzungsstudie, mit einer ursprünglich geplanten Dauer von 78</w:t>
      </w:r>
      <w:r w:rsidR="00CA61F7" w:rsidRPr="004F5FB4">
        <w:rPr>
          <w:color w:val="000000"/>
        </w:rPr>
        <w:t> </w:t>
      </w:r>
      <w:r w:rsidR="00652710" w:rsidRPr="004F5FB4">
        <w:rPr>
          <w:color w:val="000000"/>
        </w:rPr>
        <w:t>Wochen, eingeschlossen werden. Die Patienten durften die Studienmedikation über die Woche 78 hinaus fortsetzen</w:t>
      </w:r>
      <w:r w:rsidRPr="004F5FB4">
        <w:rPr>
          <w:color w:val="000000"/>
        </w:rPr>
        <w:t>,</w:t>
      </w:r>
      <w:r w:rsidR="00652710" w:rsidRPr="004F5FB4">
        <w:rPr>
          <w:color w:val="000000"/>
        </w:rPr>
        <w:t xml:space="preserve"> bis sie Zugang zu Adalimumab hatten.</w:t>
      </w:r>
    </w:p>
    <w:p w14:paraId="59063841" w14:textId="77777777" w:rsidR="00914F4E" w:rsidRPr="004F5FB4" w:rsidRDefault="00914F4E" w:rsidP="00982118">
      <w:pPr>
        <w:rPr>
          <w:color w:val="000000"/>
        </w:rPr>
      </w:pPr>
    </w:p>
    <w:p w14:paraId="5EA8E94E" w14:textId="77777777" w:rsidR="00914F4E" w:rsidRPr="004F5FB4" w:rsidRDefault="00914F4E" w:rsidP="00DC3A99">
      <w:pPr>
        <w:keepNext/>
        <w:rPr>
          <w:i/>
          <w:color w:val="000000"/>
          <w:u w:val="single"/>
        </w:rPr>
      </w:pPr>
      <w:r w:rsidRPr="004F5FB4">
        <w:rPr>
          <w:i/>
          <w:color w:val="000000"/>
          <w:u w:val="single"/>
        </w:rPr>
        <w:t>Klinisches Ansprechen</w:t>
      </w:r>
    </w:p>
    <w:p w14:paraId="110B516C" w14:textId="77777777" w:rsidR="00914F4E" w:rsidRPr="004F5FB4" w:rsidRDefault="00914F4E" w:rsidP="00DC3A99">
      <w:pPr>
        <w:keepNext/>
        <w:rPr>
          <w:color w:val="000000"/>
        </w:rPr>
      </w:pPr>
    </w:p>
    <w:p w14:paraId="7A3F47EA" w14:textId="77777777" w:rsidR="00914F4E" w:rsidRPr="004F5FB4" w:rsidRDefault="00914F4E" w:rsidP="00982118">
      <w:pPr>
        <w:rPr>
          <w:color w:val="000000"/>
        </w:rPr>
      </w:pPr>
      <w:r w:rsidRPr="004F5FB4">
        <w:rPr>
          <w:color w:val="000000"/>
        </w:rPr>
        <w:t>Die Ergebnisse aus beiden Studien zeigten eine statistisch signifikante Reduktion des Risikos eines Behandlungsversagens bei Patienten unter Behandlung mit Adalimumab gegenüber Patienten, die Placebo erhielten (siehe Tabelle</w:t>
      </w:r>
      <w:r w:rsidR="008F0199" w:rsidRPr="004F5FB4">
        <w:rPr>
          <w:color w:val="000000"/>
        </w:rPr>
        <w:t> </w:t>
      </w:r>
      <w:r w:rsidR="009C55FF">
        <w:rPr>
          <w:color w:val="000000"/>
        </w:rPr>
        <w:t>24</w:t>
      </w:r>
      <w:r w:rsidRPr="004F5FB4">
        <w:rPr>
          <w:color w:val="000000"/>
        </w:rPr>
        <w:t>). Beide Studien zeigten im Vergleich zu Placebo eine frühzeitig einsetzende und anhaltende Auswirkung von Adalimumab auf die Rate an Behandlungsversagen (siehe Abbildung</w:t>
      </w:r>
      <w:r w:rsidR="008F0199" w:rsidRPr="004F5FB4">
        <w:rPr>
          <w:color w:val="000000"/>
        </w:rPr>
        <w:t> </w:t>
      </w:r>
      <w:r w:rsidRPr="004F5FB4">
        <w:rPr>
          <w:color w:val="000000"/>
        </w:rPr>
        <w:t xml:space="preserve">2). </w:t>
      </w:r>
    </w:p>
    <w:p w14:paraId="68B6D83D" w14:textId="77777777" w:rsidR="00C46587" w:rsidRPr="004F5FB4" w:rsidRDefault="00C46587" w:rsidP="00982118">
      <w:pPr>
        <w:rPr>
          <w:color w:val="000000"/>
        </w:rPr>
      </w:pPr>
    </w:p>
    <w:p w14:paraId="49927C4B" w14:textId="77777777" w:rsidR="00CA61F7" w:rsidRPr="004F5FB4" w:rsidRDefault="00914F4E" w:rsidP="00687087">
      <w:pPr>
        <w:keepNext/>
        <w:rPr>
          <w:b/>
          <w:color w:val="000000"/>
        </w:rPr>
      </w:pPr>
      <w:r w:rsidRPr="004F5FB4">
        <w:rPr>
          <w:b/>
          <w:color w:val="000000"/>
        </w:rPr>
        <w:t>Tabelle</w:t>
      </w:r>
      <w:r w:rsidR="009C55FF">
        <w:rPr>
          <w:b/>
          <w:color w:val="000000"/>
        </w:rPr>
        <w:t> 24</w:t>
      </w:r>
    </w:p>
    <w:p w14:paraId="13B724D0" w14:textId="77777777" w:rsidR="00914F4E" w:rsidRPr="004F5FB4" w:rsidRDefault="00914F4E" w:rsidP="00687087">
      <w:pPr>
        <w:keepNext/>
        <w:rPr>
          <w:b/>
          <w:color w:val="000000"/>
        </w:rPr>
      </w:pPr>
      <w:r w:rsidRPr="004F5FB4">
        <w:rPr>
          <w:b/>
          <w:color w:val="000000"/>
        </w:rPr>
        <w:t>Dauer bis zum Behandlungsversagen in den Studien UV</w:t>
      </w:r>
      <w:r w:rsidR="00E27608" w:rsidRPr="004F5FB4">
        <w:rPr>
          <w:b/>
          <w:color w:val="000000"/>
        </w:rPr>
        <w:t> </w:t>
      </w:r>
      <w:r w:rsidRPr="004F5FB4">
        <w:rPr>
          <w:b/>
          <w:color w:val="000000"/>
        </w:rPr>
        <w:t>I und UV</w:t>
      </w:r>
      <w:r w:rsidR="00E27608" w:rsidRPr="004F5FB4">
        <w:rPr>
          <w:b/>
          <w:color w:val="000000"/>
        </w:rPr>
        <w:t> </w:t>
      </w:r>
      <w:r w:rsidRPr="004F5FB4">
        <w:rPr>
          <w:b/>
          <w:color w:val="000000"/>
        </w:rPr>
        <w:t>II</w:t>
      </w:r>
    </w:p>
    <w:p w14:paraId="740BF1B0" w14:textId="77777777" w:rsidR="009473C0" w:rsidRPr="004F5FB4" w:rsidRDefault="009473C0" w:rsidP="00982118">
      <w:pPr>
        <w:keepNext/>
        <w:jc w:val="center"/>
        <w:rPr>
          <w:b/>
          <w:color w:val="000000"/>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32"/>
        <w:gridCol w:w="710"/>
        <w:gridCol w:w="1265"/>
        <w:gridCol w:w="1265"/>
        <w:gridCol w:w="1225"/>
        <w:gridCol w:w="1239"/>
        <w:gridCol w:w="1239"/>
      </w:tblGrid>
      <w:tr w:rsidR="00914F4E" w:rsidRPr="004F5FB4" w14:paraId="47F678CF" w14:textId="77777777" w:rsidTr="003D5162">
        <w:tc>
          <w:tcPr>
            <w:tcW w:w="2178" w:type="dxa"/>
            <w:tcBorders>
              <w:top w:val="single" w:sz="4" w:space="0" w:color="auto"/>
              <w:left w:val="nil"/>
              <w:bottom w:val="single" w:sz="4" w:space="0" w:color="auto"/>
              <w:right w:val="nil"/>
            </w:tcBorders>
            <w:hideMark/>
          </w:tcPr>
          <w:p w14:paraId="0943DAA3" w14:textId="77777777" w:rsidR="00914F4E" w:rsidRPr="004F5FB4" w:rsidRDefault="00914F4E" w:rsidP="00982118">
            <w:pPr>
              <w:keepNext/>
              <w:rPr>
                <w:b/>
                <w:color w:val="000000"/>
              </w:rPr>
            </w:pPr>
            <w:r w:rsidRPr="004F5FB4">
              <w:rPr>
                <w:b/>
                <w:color w:val="000000"/>
              </w:rPr>
              <w:t>Auswertung</w:t>
            </w:r>
          </w:p>
          <w:p w14:paraId="0B274FB2" w14:textId="77777777" w:rsidR="00914F4E" w:rsidRPr="004F5FB4" w:rsidRDefault="009473C0" w:rsidP="00982118">
            <w:pPr>
              <w:keepNext/>
              <w:rPr>
                <w:b/>
                <w:color w:val="000000"/>
              </w:rPr>
            </w:pPr>
            <w:r w:rsidRPr="004F5FB4">
              <w:rPr>
                <w:b/>
                <w:color w:val="000000"/>
              </w:rPr>
              <w:t>     Behandlung</w:t>
            </w:r>
          </w:p>
        </w:tc>
        <w:tc>
          <w:tcPr>
            <w:tcW w:w="720" w:type="dxa"/>
            <w:tcBorders>
              <w:top w:val="single" w:sz="4" w:space="0" w:color="auto"/>
              <w:left w:val="nil"/>
              <w:bottom w:val="single" w:sz="4" w:space="0" w:color="auto"/>
              <w:right w:val="nil"/>
            </w:tcBorders>
            <w:hideMark/>
          </w:tcPr>
          <w:p w14:paraId="7E292724" w14:textId="77777777" w:rsidR="00914F4E" w:rsidRPr="004F5FB4" w:rsidRDefault="00914F4E" w:rsidP="00982118">
            <w:pPr>
              <w:keepNext/>
              <w:rPr>
                <w:b/>
                <w:color w:val="000000"/>
              </w:rPr>
            </w:pPr>
            <w:r w:rsidRPr="004F5FB4">
              <w:rPr>
                <w:b/>
                <w:color w:val="000000"/>
              </w:rPr>
              <w:t>N</w:t>
            </w:r>
          </w:p>
        </w:tc>
        <w:tc>
          <w:tcPr>
            <w:tcW w:w="1281" w:type="dxa"/>
            <w:tcBorders>
              <w:top w:val="single" w:sz="4" w:space="0" w:color="auto"/>
              <w:left w:val="nil"/>
              <w:bottom w:val="single" w:sz="4" w:space="0" w:color="auto"/>
              <w:right w:val="nil"/>
            </w:tcBorders>
            <w:hideMark/>
          </w:tcPr>
          <w:p w14:paraId="0BCF9B39" w14:textId="77777777" w:rsidR="00914F4E" w:rsidRPr="004F5FB4" w:rsidRDefault="00914F4E" w:rsidP="00982118">
            <w:pPr>
              <w:keepNext/>
              <w:rPr>
                <w:b/>
                <w:color w:val="000000"/>
              </w:rPr>
            </w:pPr>
            <w:r w:rsidRPr="004F5FB4">
              <w:rPr>
                <w:b/>
                <w:color w:val="000000"/>
              </w:rPr>
              <w:t>Versagen</w:t>
            </w:r>
          </w:p>
          <w:p w14:paraId="36829906" w14:textId="77777777" w:rsidR="00914F4E" w:rsidRPr="004F5FB4" w:rsidRDefault="00914F4E" w:rsidP="00982118">
            <w:pPr>
              <w:keepNext/>
              <w:rPr>
                <w:b/>
                <w:color w:val="000000"/>
              </w:rPr>
            </w:pPr>
            <w:r w:rsidRPr="004F5FB4">
              <w:rPr>
                <w:b/>
                <w:color w:val="000000"/>
              </w:rPr>
              <w:t>N (%)</w:t>
            </w:r>
          </w:p>
        </w:tc>
        <w:tc>
          <w:tcPr>
            <w:tcW w:w="1281" w:type="dxa"/>
            <w:tcBorders>
              <w:top w:val="single" w:sz="4" w:space="0" w:color="auto"/>
              <w:left w:val="nil"/>
              <w:bottom w:val="single" w:sz="4" w:space="0" w:color="auto"/>
              <w:right w:val="nil"/>
            </w:tcBorders>
            <w:hideMark/>
          </w:tcPr>
          <w:p w14:paraId="4B354150" w14:textId="77777777" w:rsidR="00914F4E" w:rsidRPr="004F5FB4" w:rsidRDefault="00914F4E" w:rsidP="00982118">
            <w:pPr>
              <w:keepNext/>
              <w:rPr>
                <w:b/>
                <w:color w:val="000000"/>
              </w:rPr>
            </w:pPr>
            <w:r w:rsidRPr="004F5FB4">
              <w:rPr>
                <w:b/>
                <w:color w:val="000000"/>
              </w:rPr>
              <w:t>Dauer (Median) bis zum Versagen (Monate)</w:t>
            </w:r>
          </w:p>
        </w:tc>
        <w:tc>
          <w:tcPr>
            <w:tcW w:w="1281" w:type="dxa"/>
            <w:tcBorders>
              <w:top w:val="single" w:sz="4" w:space="0" w:color="auto"/>
              <w:left w:val="nil"/>
              <w:bottom w:val="single" w:sz="4" w:space="0" w:color="auto"/>
              <w:right w:val="nil"/>
            </w:tcBorders>
            <w:hideMark/>
          </w:tcPr>
          <w:p w14:paraId="55177480" w14:textId="77777777" w:rsidR="00914F4E" w:rsidRPr="004F5FB4" w:rsidRDefault="00914F4E" w:rsidP="00982118">
            <w:pPr>
              <w:keepNext/>
              <w:rPr>
                <w:b/>
                <w:color w:val="000000"/>
              </w:rPr>
            </w:pPr>
            <w:r w:rsidRPr="004F5FB4">
              <w:rPr>
                <w:b/>
                <w:color w:val="000000"/>
              </w:rPr>
              <w:t>HR</w:t>
            </w:r>
            <w:r w:rsidRPr="004F5FB4">
              <w:rPr>
                <w:b/>
                <w:color w:val="000000"/>
                <w:vertAlign w:val="superscript"/>
              </w:rPr>
              <w:t>a</w:t>
            </w:r>
          </w:p>
        </w:tc>
        <w:tc>
          <w:tcPr>
            <w:tcW w:w="1281" w:type="dxa"/>
            <w:tcBorders>
              <w:top w:val="single" w:sz="4" w:space="0" w:color="auto"/>
              <w:left w:val="nil"/>
              <w:bottom w:val="single" w:sz="4" w:space="0" w:color="auto"/>
              <w:right w:val="nil"/>
            </w:tcBorders>
            <w:hideMark/>
          </w:tcPr>
          <w:p w14:paraId="7FDD358D" w14:textId="77777777" w:rsidR="00914F4E" w:rsidRPr="004F5FB4" w:rsidRDefault="00914F4E" w:rsidP="00982118">
            <w:pPr>
              <w:keepNext/>
              <w:rPr>
                <w:b/>
                <w:color w:val="000000"/>
              </w:rPr>
            </w:pPr>
            <w:r w:rsidRPr="004F5FB4">
              <w:rPr>
                <w:b/>
                <w:color w:val="000000"/>
              </w:rPr>
              <w:t>95 %-KI für HR</w:t>
            </w:r>
            <w:r w:rsidRPr="004F5FB4">
              <w:rPr>
                <w:b/>
                <w:color w:val="000000"/>
                <w:vertAlign w:val="superscript"/>
              </w:rPr>
              <w:t>a</w:t>
            </w:r>
            <w:r w:rsidRPr="004F5FB4">
              <w:rPr>
                <w:b/>
                <w:color w:val="000000"/>
              </w:rPr>
              <w:t xml:space="preserve"> </w:t>
            </w:r>
          </w:p>
        </w:tc>
        <w:tc>
          <w:tcPr>
            <w:tcW w:w="1281" w:type="dxa"/>
            <w:tcBorders>
              <w:top w:val="single" w:sz="4" w:space="0" w:color="auto"/>
              <w:left w:val="nil"/>
              <w:bottom w:val="single" w:sz="4" w:space="0" w:color="auto"/>
              <w:right w:val="nil"/>
            </w:tcBorders>
            <w:hideMark/>
          </w:tcPr>
          <w:p w14:paraId="645C675E" w14:textId="77777777" w:rsidR="00914F4E" w:rsidRPr="004F5FB4" w:rsidRDefault="00914F4E" w:rsidP="00982118">
            <w:pPr>
              <w:keepNext/>
              <w:rPr>
                <w:b/>
                <w:color w:val="000000"/>
              </w:rPr>
            </w:pPr>
            <w:r w:rsidRPr="004F5FB4">
              <w:rPr>
                <w:b/>
                <w:color w:val="000000"/>
              </w:rPr>
              <w:t>p-Wert</w:t>
            </w:r>
            <w:r w:rsidRPr="004F5FB4">
              <w:rPr>
                <w:b/>
                <w:color w:val="000000"/>
                <w:vertAlign w:val="superscript"/>
              </w:rPr>
              <w:t>b</w:t>
            </w:r>
          </w:p>
        </w:tc>
      </w:tr>
      <w:tr w:rsidR="00914F4E" w:rsidRPr="004F5FB4" w14:paraId="7CAA6700" w14:textId="77777777" w:rsidTr="003D5162">
        <w:tc>
          <w:tcPr>
            <w:tcW w:w="9303" w:type="dxa"/>
            <w:gridSpan w:val="7"/>
            <w:tcBorders>
              <w:top w:val="single" w:sz="4" w:space="0" w:color="auto"/>
              <w:left w:val="nil"/>
              <w:bottom w:val="nil"/>
              <w:right w:val="nil"/>
            </w:tcBorders>
            <w:hideMark/>
          </w:tcPr>
          <w:p w14:paraId="55857A1C" w14:textId="77777777" w:rsidR="00914F4E" w:rsidRPr="004F5FB4" w:rsidRDefault="00914F4E" w:rsidP="00982118">
            <w:pPr>
              <w:keepNext/>
              <w:rPr>
                <w:b/>
                <w:color w:val="000000"/>
              </w:rPr>
            </w:pPr>
            <w:r w:rsidRPr="004F5FB4">
              <w:rPr>
                <w:b/>
                <w:color w:val="000000"/>
              </w:rPr>
              <w:t>Dauer bis zum Behandlungsversagen in oder nach Woche</w:t>
            </w:r>
            <w:r w:rsidR="00E27608" w:rsidRPr="004F5FB4">
              <w:rPr>
                <w:b/>
                <w:color w:val="000000"/>
              </w:rPr>
              <w:t> </w:t>
            </w:r>
            <w:r w:rsidRPr="004F5FB4">
              <w:rPr>
                <w:b/>
                <w:color w:val="000000"/>
              </w:rPr>
              <w:t>6 in der Studie UV</w:t>
            </w:r>
            <w:r w:rsidR="00E27608" w:rsidRPr="004F5FB4">
              <w:rPr>
                <w:b/>
                <w:color w:val="000000"/>
              </w:rPr>
              <w:t> </w:t>
            </w:r>
            <w:r w:rsidRPr="004F5FB4">
              <w:rPr>
                <w:b/>
                <w:color w:val="000000"/>
              </w:rPr>
              <w:t xml:space="preserve">I  </w:t>
            </w:r>
          </w:p>
        </w:tc>
      </w:tr>
      <w:tr w:rsidR="00914F4E" w:rsidRPr="004F5FB4" w14:paraId="633F3742" w14:textId="77777777" w:rsidTr="003D5162">
        <w:tc>
          <w:tcPr>
            <w:tcW w:w="9303" w:type="dxa"/>
            <w:gridSpan w:val="7"/>
            <w:tcBorders>
              <w:top w:val="nil"/>
              <w:left w:val="nil"/>
              <w:bottom w:val="nil"/>
              <w:right w:val="nil"/>
            </w:tcBorders>
            <w:hideMark/>
          </w:tcPr>
          <w:p w14:paraId="303E5B3E" w14:textId="77777777" w:rsidR="00914F4E" w:rsidRPr="004F5FB4" w:rsidRDefault="00914F4E" w:rsidP="00982118">
            <w:pPr>
              <w:keepNext/>
              <w:rPr>
                <w:color w:val="000000"/>
              </w:rPr>
            </w:pPr>
            <w:r w:rsidRPr="004F5FB4">
              <w:rPr>
                <w:color w:val="000000"/>
              </w:rPr>
              <w:t>Primäre Auswertung (ITT-Population)</w:t>
            </w:r>
          </w:p>
        </w:tc>
      </w:tr>
      <w:tr w:rsidR="00914F4E" w:rsidRPr="004F5FB4" w14:paraId="3D543767" w14:textId="77777777" w:rsidTr="003D5162">
        <w:tc>
          <w:tcPr>
            <w:tcW w:w="2178" w:type="dxa"/>
            <w:tcBorders>
              <w:top w:val="nil"/>
              <w:left w:val="nil"/>
              <w:bottom w:val="nil"/>
              <w:right w:val="nil"/>
            </w:tcBorders>
            <w:hideMark/>
          </w:tcPr>
          <w:p w14:paraId="0B37C1BC" w14:textId="77777777" w:rsidR="00914F4E" w:rsidRPr="004F5FB4" w:rsidRDefault="00914F4E" w:rsidP="00982118">
            <w:pPr>
              <w:keepNext/>
              <w:rPr>
                <w:color w:val="000000"/>
              </w:rPr>
            </w:pPr>
            <w:r w:rsidRPr="004F5FB4">
              <w:rPr>
                <w:color w:val="000000"/>
              </w:rPr>
              <w:t>     Placebo</w:t>
            </w:r>
          </w:p>
        </w:tc>
        <w:tc>
          <w:tcPr>
            <w:tcW w:w="720" w:type="dxa"/>
            <w:tcBorders>
              <w:top w:val="nil"/>
              <w:left w:val="nil"/>
              <w:bottom w:val="nil"/>
              <w:right w:val="nil"/>
            </w:tcBorders>
            <w:hideMark/>
          </w:tcPr>
          <w:p w14:paraId="75100C34" w14:textId="77777777" w:rsidR="00914F4E" w:rsidRPr="004F5FB4" w:rsidRDefault="00914F4E" w:rsidP="00982118">
            <w:pPr>
              <w:keepNext/>
              <w:rPr>
                <w:color w:val="000000"/>
              </w:rPr>
            </w:pPr>
            <w:r w:rsidRPr="004F5FB4">
              <w:rPr>
                <w:color w:val="000000"/>
              </w:rPr>
              <w:t>107</w:t>
            </w:r>
          </w:p>
        </w:tc>
        <w:tc>
          <w:tcPr>
            <w:tcW w:w="1281" w:type="dxa"/>
            <w:tcBorders>
              <w:top w:val="nil"/>
              <w:left w:val="nil"/>
              <w:bottom w:val="nil"/>
              <w:right w:val="nil"/>
            </w:tcBorders>
            <w:hideMark/>
          </w:tcPr>
          <w:p w14:paraId="03B12EF7" w14:textId="77777777" w:rsidR="00914F4E" w:rsidRPr="004F5FB4" w:rsidRDefault="00914F4E" w:rsidP="00982118">
            <w:pPr>
              <w:keepNext/>
              <w:rPr>
                <w:color w:val="000000"/>
              </w:rPr>
            </w:pPr>
            <w:r w:rsidRPr="004F5FB4">
              <w:rPr>
                <w:color w:val="000000"/>
              </w:rPr>
              <w:t>84 (78,5)</w:t>
            </w:r>
          </w:p>
        </w:tc>
        <w:tc>
          <w:tcPr>
            <w:tcW w:w="1281" w:type="dxa"/>
            <w:tcBorders>
              <w:top w:val="nil"/>
              <w:left w:val="nil"/>
              <w:bottom w:val="nil"/>
              <w:right w:val="nil"/>
            </w:tcBorders>
            <w:hideMark/>
          </w:tcPr>
          <w:p w14:paraId="3F6367D0" w14:textId="77777777" w:rsidR="00914F4E" w:rsidRPr="004F5FB4" w:rsidRDefault="00914F4E" w:rsidP="00982118">
            <w:pPr>
              <w:keepNext/>
              <w:rPr>
                <w:color w:val="000000"/>
              </w:rPr>
            </w:pPr>
            <w:r w:rsidRPr="004F5FB4">
              <w:rPr>
                <w:color w:val="000000"/>
              </w:rPr>
              <w:t>3,0 </w:t>
            </w:r>
          </w:p>
        </w:tc>
        <w:tc>
          <w:tcPr>
            <w:tcW w:w="1281" w:type="dxa"/>
            <w:tcBorders>
              <w:top w:val="nil"/>
              <w:left w:val="nil"/>
              <w:bottom w:val="nil"/>
              <w:right w:val="nil"/>
            </w:tcBorders>
            <w:hideMark/>
          </w:tcPr>
          <w:p w14:paraId="6392653C" w14:textId="77777777" w:rsidR="00914F4E" w:rsidRPr="004F5FB4" w:rsidRDefault="00914F4E" w:rsidP="00982118">
            <w:pPr>
              <w:keepNext/>
              <w:rPr>
                <w:color w:val="000000"/>
              </w:rPr>
            </w:pPr>
            <w:r w:rsidRPr="004F5FB4">
              <w:rPr>
                <w:color w:val="000000"/>
              </w:rPr>
              <w:noBreakHyphen/>
            </w:r>
          </w:p>
        </w:tc>
        <w:tc>
          <w:tcPr>
            <w:tcW w:w="1281" w:type="dxa"/>
            <w:tcBorders>
              <w:top w:val="nil"/>
              <w:left w:val="nil"/>
              <w:bottom w:val="nil"/>
              <w:right w:val="nil"/>
            </w:tcBorders>
            <w:hideMark/>
          </w:tcPr>
          <w:p w14:paraId="0242A45D" w14:textId="77777777" w:rsidR="00914F4E" w:rsidRPr="004F5FB4" w:rsidRDefault="00914F4E" w:rsidP="00982118">
            <w:pPr>
              <w:keepNext/>
              <w:rPr>
                <w:color w:val="000000"/>
              </w:rPr>
            </w:pPr>
            <w:r w:rsidRPr="004F5FB4">
              <w:rPr>
                <w:color w:val="000000"/>
              </w:rPr>
              <w:noBreakHyphen/>
            </w:r>
          </w:p>
        </w:tc>
        <w:tc>
          <w:tcPr>
            <w:tcW w:w="1281" w:type="dxa"/>
            <w:tcBorders>
              <w:top w:val="nil"/>
              <w:left w:val="nil"/>
              <w:bottom w:val="nil"/>
              <w:right w:val="nil"/>
            </w:tcBorders>
            <w:hideMark/>
          </w:tcPr>
          <w:p w14:paraId="51A83709" w14:textId="77777777" w:rsidR="00914F4E" w:rsidRPr="004F5FB4" w:rsidRDefault="00914F4E" w:rsidP="00982118">
            <w:pPr>
              <w:keepNext/>
              <w:rPr>
                <w:color w:val="000000"/>
              </w:rPr>
            </w:pPr>
            <w:r w:rsidRPr="004F5FB4">
              <w:rPr>
                <w:color w:val="000000"/>
              </w:rPr>
              <w:noBreakHyphen/>
            </w:r>
          </w:p>
        </w:tc>
      </w:tr>
      <w:tr w:rsidR="00914F4E" w:rsidRPr="004F5FB4" w14:paraId="4A097281" w14:textId="77777777" w:rsidTr="003D5162">
        <w:tc>
          <w:tcPr>
            <w:tcW w:w="2178" w:type="dxa"/>
            <w:tcBorders>
              <w:top w:val="nil"/>
              <w:left w:val="nil"/>
              <w:bottom w:val="single" w:sz="4" w:space="0" w:color="auto"/>
              <w:right w:val="nil"/>
            </w:tcBorders>
            <w:hideMark/>
          </w:tcPr>
          <w:p w14:paraId="62DE40CF" w14:textId="77777777" w:rsidR="00914F4E" w:rsidRPr="004F5FB4" w:rsidRDefault="00914F4E" w:rsidP="00982118">
            <w:pPr>
              <w:keepNext/>
              <w:rPr>
                <w:color w:val="000000"/>
              </w:rPr>
            </w:pPr>
            <w:r w:rsidRPr="004F5FB4">
              <w:rPr>
                <w:color w:val="000000"/>
              </w:rPr>
              <w:t>     Adalimumab</w:t>
            </w:r>
          </w:p>
        </w:tc>
        <w:tc>
          <w:tcPr>
            <w:tcW w:w="720" w:type="dxa"/>
            <w:tcBorders>
              <w:top w:val="nil"/>
              <w:left w:val="nil"/>
              <w:bottom w:val="single" w:sz="4" w:space="0" w:color="auto"/>
              <w:right w:val="nil"/>
            </w:tcBorders>
            <w:hideMark/>
          </w:tcPr>
          <w:p w14:paraId="03692F9A" w14:textId="77777777" w:rsidR="00914F4E" w:rsidRPr="004F5FB4" w:rsidRDefault="00914F4E" w:rsidP="00982118">
            <w:pPr>
              <w:keepNext/>
              <w:rPr>
                <w:color w:val="000000"/>
              </w:rPr>
            </w:pPr>
            <w:r w:rsidRPr="004F5FB4">
              <w:rPr>
                <w:color w:val="000000"/>
              </w:rPr>
              <w:t>110 </w:t>
            </w:r>
          </w:p>
        </w:tc>
        <w:tc>
          <w:tcPr>
            <w:tcW w:w="1281" w:type="dxa"/>
            <w:tcBorders>
              <w:top w:val="nil"/>
              <w:left w:val="nil"/>
              <w:bottom w:val="single" w:sz="4" w:space="0" w:color="auto"/>
              <w:right w:val="nil"/>
            </w:tcBorders>
            <w:hideMark/>
          </w:tcPr>
          <w:p w14:paraId="7553D7B9" w14:textId="77777777" w:rsidR="00914F4E" w:rsidRPr="004F5FB4" w:rsidRDefault="00914F4E" w:rsidP="00982118">
            <w:pPr>
              <w:keepNext/>
              <w:rPr>
                <w:color w:val="000000"/>
              </w:rPr>
            </w:pPr>
            <w:r w:rsidRPr="004F5FB4">
              <w:rPr>
                <w:color w:val="000000"/>
              </w:rPr>
              <w:t>60 (54,5)</w:t>
            </w:r>
          </w:p>
        </w:tc>
        <w:tc>
          <w:tcPr>
            <w:tcW w:w="1281" w:type="dxa"/>
            <w:tcBorders>
              <w:top w:val="nil"/>
              <w:left w:val="nil"/>
              <w:bottom w:val="single" w:sz="4" w:space="0" w:color="auto"/>
              <w:right w:val="nil"/>
            </w:tcBorders>
            <w:hideMark/>
          </w:tcPr>
          <w:p w14:paraId="2C87B790" w14:textId="77777777" w:rsidR="00914F4E" w:rsidRPr="004F5FB4" w:rsidRDefault="00914F4E" w:rsidP="00982118">
            <w:pPr>
              <w:keepNext/>
              <w:rPr>
                <w:color w:val="000000"/>
              </w:rPr>
            </w:pPr>
            <w:r w:rsidRPr="004F5FB4">
              <w:rPr>
                <w:color w:val="000000"/>
              </w:rPr>
              <w:t>5,6 </w:t>
            </w:r>
          </w:p>
        </w:tc>
        <w:tc>
          <w:tcPr>
            <w:tcW w:w="1281" w:type="dxa"/>
            <w:tcBorders>
              <w:top w:val="nil"/>
              <w:left w:val="nil"/>
              <w:bottom w:val="single" w:sz="4" w:space="0" w:color="auto"/>
              <w:right w:val="nil"/>
            </w:tcBorders>
            <w:hideMark/>
          </w:tcPr>
          <w:p w14:paraId="6D99E3C1" w14:textId="77777777" w:rsidR="00914F4E" w:rsidRPr="004F5FB4" w:rsidRDefault="00914F4E" w:rsidP="00982118">
            <w:pPr>
              <w:keepNext/>
              <w:rPr>
                <w:color w:val="000000"/>
              </w:rPr>
            </w:pPr>
            <w:r w:rsidRPr="004F5FB4">
              <w:rPr>
                <w:color w:val="000000"/>
              </w:rPr>
              <w:t>0,50</w:t>
            </w:r>
          </w:p>
        </w:tc>
        <w:tc>
          <w:tcPr>
            <w:tcW w:w="1281" w:type="dxa"/>
            <w:tcBorders>
              <w:top w:val="nil"/>
              <w:left w:val="nil"/>
              <w:bottom w:val="single" w:sz="4" w:space="0" w:color="auto"/>
              <w:right w:val="nil"/>
            </w:tcBorders>
            <w:hideMark/>
          </w:tcPr>
          <w:p w14:paraId="43C35827" w14:textId="77777777" w:rsidR="00914F4E" w:rsidRPr="004F5FB4" w:rsidRDefault="00914F4E" w:rsidP="00982118">
            <w:pPr>
              <w:keepNext/>
              <w:rPr>
                <w:color w:val="000000"/>
              </w:rPr>
            </w:pPr>
            <w:r w:rsidRPr="004F5FB4">
              <w:rPr>
                <w:color w:val="000000"/>
              </w:rPr>
              <w:t>0,36; 0,70 </w:t>
            </w:r>
          </w:p>
        </w:tc>
        <w:tc>
          <w:tcPr>
            <w:tcW w:w="1281" w:type="dxa"/>
            <w:tcBorders>
              <w:top w:val="nil"/>
              <w:left w:val="nil"/>
              <w:bottom w:val="single" w:sz="4" w:space="0" w:color="auto"/>
              <w:right w:val="nil"/>
            </w:tcBorders>
            <w:hideMark/>
          </w:tcPr>
          <w:p w14:paraId="38199F85" w14:textId="77777777" w:rsidR="00914F4E" w:rsidRPr="004F5FB4" w:rsidRDefault="00914F4E" w:rsidP="00982118">
            <w:pPr>
              <w:keepNext/>
              <w:rPr>
                <w:color w:val="000000"/>
              </w:rPr>
            </w:pPr>
            <w:r w:rsidRPr="004F5FB4">
              <w:rPr>
                <w:color w:val="000000"/>
              </w:rPr>
              <w:t>&lt; 0,001 </w:t>
            </w:r>
          </w:p>
        </w:tc>
      </w:tr>
      <w:tr w:rsidR="00914F4E" w:rsidRPr="004F5FB4" w14:paraId="65694140" w14:textId="77777777" w:rsidTr="003D5162">
        <w:tc>
          <w:tcPr>
            <w:tcW w:w="9303" w:type="dxa"/>
            <w:gridSpan w:val="7"/>
            <w:tcBorders>
              <w:top w:val="single" w:sz="4" w:space="0" w:color="auto"/>
              <w:left w:val="nil"/>
              <w:bottom w:val="nil"/>
              <w:right w:val="nil"/>
            </w:tcBorders>
            <w:hideMark/>
          </w:tcPr>
          <w:p w14:paraId="677A99C0" w14:textId="77777777" w:rsidR="00914F4E" w:rsidRPr="004F5FB4" w:rsidRDefault="00914F4E" w:rsidP="00982118">
            <w:pPr>
              <w:keepNext/>
              <w:rPr>
                <w:b/>
                <w:color w:val="000000"/>
              </w:rPr>
            </w:pPr>
            <w:r w:rsidRPr="004F5FB4">
              <w:rPr>
                <w:b/>
                <w:color w:val="000000"/>
              </w:rPr>
              <w:t>Dauer bis zum Behandlungsversagen in oder nach Woche</w:t>
            </w:r>
            <w:r w:rsidR="00E27608" w:rsidRPr="004F5FB4">
              <w:rPr>
                <w:b/>
                <w:color w:val="000000"/>
              </w:rPr>
              <w:t> </w:t>
            </w:r>
            <w:r w:rsidRPr="004F5FB4">
              <w:rPr>
                <w:b/>
                <w:color w:val="000000"/>
              </w:rPr>
              <w:t>2 in der Studie UV</w:t>
            </w:r>
            <w:r w:rsidR="00E27608" w:rsidRPr="004F5FB4">
              <w:rPr>
                <w:b/>
                <w:color w:val="000000"/>
              </w:rPr>
              <w:t> </w:t>
            </w:r>
            <w:r w:rsidRPr="004F5FB4">
              <w:rPr>
                <w:b/>
                <w:color w:val="000000"/>
              </w:rPr>
              <w:t>II</w:t>
            </w:r>
          </w:p>
        </w:tc>
      </w:tr>
      <w:tr w:rsidR="00914F4E" w:rsidRPr="004F5FB4" w14:paraId="1D6739F5" w14:textId="77777777" w:rsidTr="003D5162">
        <w:tc>
          <w:tcPr>
            <w:tcW w:w="9303" w:type="dxa"/>
            <w:gridSpan w:val="7"/>
            <w:tcBorders>
              <w:top w:val="nil"/>
              <w:left w:val="nil"/>
              <w:bottom w:val="nil"/>
              <w:right w:val="nil"/>
            </w:tcBorders>
            <w:hideMark/>
          </w:tcPr>
          <w:p w14:paraId="11F920AD" w14:textId="77777777" w:rsidR="00914F4E" w:rsidRPr="004F5FB4" w:rsidRDefault="00914F4E" w:rsidP="00982118">
            <w:pPr>
              <w:keepNext/>
              <w:rPr>
                <w:color w:val="000000"/>
              </w:rPr>
            </w:pPr>
            <w:r w:rsidRPr="004F5FB4">
              <w:rPr>
                <w:color w:val="000000"/>
              </w:rPr>
              <w:t>Primäre Auswertung (ITT-Population)</w:t>
            </w:r>
          </w:p>
        </w:tc>
      </w:tr>
      <w:tr w:rsidR="00914F4E" w:rsidRPr="004F5FB4" w14:paraId="4B895DB3" w14:textId="77777777" w:rsidTr="003D5162">
        <w:tc>
          <w:tcPr>
            <w:tcW w:w="2178" w:type="dxa"/>
            <w:tcBorders>
              <w:top w:val="nil"/>
              <w:left w:val="nil"/>
              <w:bottom w:val="nil"/>
              <w:right w:val="nil"/>
            </w:tcBorders>
            <w:hideMark/>
          </w:tcPr>
          <w:p w14:paraId="1C272CD2" w14:textId="77777777" w:rsidR="00914F4E" w:rsidRPr="004F5FB4" w:rsidRDefault="00914F4E" w:rsidP="00982118">
            <w:pPr>
              <w:keepNext/>
              <w:rPr>
                <w:color w:val="000000"/>
              </w:rPr>
            </w:pPr>
            <w:r w:rsidRPr="004F5FB4">
              <w:rPr>
                <w:color w:val="000000"/>
              </w:rPr>
              <w:t>     Placebo</w:t>
            </w:r>
          </w:p>
        </w:tc>
        <w:tc>
          <w:tcPr>
            <w:tcW w:w="720" w:type="dxa"/>
            <w:tcBorders>
              <w:top w:val="nil"/>
              <w:left w:val="nil"/>
              <w:bottom w:val="nil"/>
              <w:right w:val="nil"/>
            </w:tcBorders>
            <w:hideMark/>
          </w:tcPr>
          <w:p w14:paraId="25EF2C56" w14:textId="77777777" w:rsidR="00914F4E" w:rsidRPr="004F5FB4" w:rsidRDefault="00914F4E" w:rsidP="00982118">
            <w:pPr>
              <w:keepNext/>
              <w:rPr>
                <w:color w:val="000000"/>
              </w:rPr>
            </w:pPr>
            <w:r w:rsidRPr="004F5FB4">
              <w:rPr>
                <w:color w:val="000000"/>
              </w:rPr>
              <w:t>111 </w:t>
            </w:r>
          </w:p>
        </w:tc>
        <w:tc>
          <w:tcPr>
            <w:tcW w:w="1281" w:type="dxa"/>
            <w:tcBorders>
              <w:top w:val="nil"/>
              <w:left w:val="nil"/>
              <w:bottom w:val="nil"/>
              <w:right w:val="nil"/>
            </w:tcBorders>
            <w:hideMark/>
          </w:tcPr>
          <w:p w14:paraId="6384B3FC" w14:textId="77777777" w:rsidR="00914F4E" w:rsidRPr="004F5FB4" w:rsidRDefault="00914F4E" w:rsidP="00982118">
            <w:pPr>
              <w:keepNext/>
              <w:rPr>
                <w:color w:val="000000"/>
              </w:rPr>
            </w:pPr>
            <w:r w:rsidRPr="004F5FB4">
              <w:rPr>
                <w:color w:val="000000"/>
              </w:rPr>
              <w:t>61 (55,0)</w:t>
            </w:r>
          </w:p>
        </w:tc>
        <w:tc>
          <w:tcPr>
            <w:tcW w:w="1281" w:type="dxa"/>
            <w:tcBorders>
              <w:top w:val="nil"/>
              <w:left w:val="nil"/>
              <w:bottom w:val="nil"/>
              <w:right w:val="nil"/>
            </w:tcBorders>
            <w:hideMark/>
          </w:tcPr>
          <w:p w14:paraId="74F9B518" w14:textId="77777777" w:rsidR="00914F4E" w:rsidRPr="004F5FB4" w:rsidRDefault="00914F4E" w:rsidP="00982118">
            <w:pPr>
              <w:keepNext/>
              <w:rPr>
                <w:color w:val="000000"/>
              </w:rPr>
            </w:pPr>
            <w:r w:rsidRPr="004F5FB4">
              <w:rPr>
                <w:color w:val="000000"/>
              </w:rPr>
              <w:t>8,3 </w:t>
            </w:r>
          </w:p>
        </w:tc>
        <w:tc>
          <w:tcPr>
            <w:tcW w:w="1281" w:type="dxa"/>
            <w:tcBorders>
              <w:top w:val="nil"/>
              <w:left w:val="nil"/>
              <w:bottom w:val="nil"/>
              <w:right w:val="nil"/>
            </w:tcBorders>
            <w:hideMark/>
          </w:tcPr>
          <w:p w14:paraId="2AA53ECC" w14:textId="77777777" w:rsidR="00914F4E" w:rsidRPr="004F5FB4" w:rsidRDefault="00914F4E" w:rsidP="00982118">
            <w:pPr>
              <w:keepNext/>
              <w:rPr>
                <w:color w:val="000000"/>
              </w:rPr>
            </w:pPr>
            <w:r w:rsidRPr="004F5FB4">
              <w:rPr>
                <w:color w:val="000000"/>
              </w:rPr>
              <w:noBreakHyphen/>
            </w:r>
          </w:p>
        </w:tc>
        <w:tc>
          <w:tcPr>
            <w:tcW w:w="1281" w:type="dxa"/>
            <w:tcBorders>
              <w:top w:val="nil"/>
              <w:left w:val="nil"/>
              <w:bottom w:val="nil"/>
              <w:right w:val="nil"/>
            </w:tcBorders>
            <w:hideMark/>
          </w:tcPr>
          <w:p w14:paraId="2066F34D" w14:textId="77777777" w:rsidR="00914F4E" w:rsidRPr="004F5FB4" w:rsidRDefault="00914F4E" w:rsidP="00982118">
            <w:pPr>
              <w:keepNext/>
              <w:rPr>
                <w:color w:val="000000"/>
              </w:rPr>
            </w:pPr>
            <w:r w:rsidRPr="004F5FB4">
              <w:rPr>
                <w:color w:val="000000"/>
              </w:rPr>
              <w:noBreakHyphen/>
            </w:r>
          </w:p>
        </w:tc>
        <w:tc>
          <w:tcPr>
            <w:tcW w:w="1281" w:type="dxa"/>
            <w:tcBorders>
              <w:top w:val="nil"/>
              <w:left w:val="nil"/>
              <w:bottom w:val="nil"/>
              <w:right w:val="nil"/>
            </w:tcBorders>
            <w:hideMark/>
          </w:tcPr>
          <w:p w14:paraId="289086A0" w14:textId="77777777" w:rsidR="00914F4E" w:rsidRPr="004F5FB4" w:rsidRDefault="00914F4E" w:rsidP="00982118">
            <w:pPr>
              <w:keepNext/>
              <w:rPr>
                <w:color w:val="000000"/>
              </w:rPr>
            </w:pPr>
            <w:r w:rsidRPr="004F5FB4">
              <w:rPr>
                <w:color w:val="000000"/>
              </w:rPr>
              <w:noBreakHyphen/>
            </w:r>
          </w:p>
        </w:tc>
      </w:tr>
      <w:tr w:rsidR="00914F4E" w:rsidRPr="004F5FB4" w14:paraId="4C718CE4" w14:textId="77777777" w:rsidTr="00EA7409">
        <w:tc>
          <w:tcPr>
            <w:tcW w:w="2178" w:type="dxa"/>
            <w:tcBorders>
              <w:top w:val="nil"/>
              <w:left w:val="nil"/>
              <w:bottom w:val="single" w:sz="4" w:space="0" w:color="auto"/>
              <w:right w:val="nil"/>
            </w:tcBorders>
            <w:hideMark/>
          </w:tcPr>
          <w:p w14:paraId="6FDC70FE" w14:textId="77777777" w:rsidR="00914F4E" w:rsidRPr="004F5FB4" w:rsidRDefault="00914F4E" w:rsidP="00982118">
            <w:pPr>
              <w:keepNext/>
              <w:rPr>
                <w:color w:val="000000"/>
              </w:rPr>
            </w:pPr>
            <w:r w:rsidRPr="004F5FB4">
              <w:rPr>
                <w:color w:val="000000"/>
              </w:rPr>
              <w:t>     Adalimumab</w:t>
            </w:r>
          </w:p>
        </w:tc>
        <w:tc>
          <w:tcPr>
            <w:tcW w:w="720" w:type="dxa"/>
            <w:tcBorders>
              <w:top w:val="nil"/>
              <w:left w:val="nil"/>
              <w:bottom w:val="single" w:sz="4" w:space="0" w:color="auto"/>
              <w:right w:val="nil"/>
            </w:tcBorders>
            <w:hideMark/>
          </w:tcPr>
          <w:p w14:paraId="76E7BFB9" w14:textId="77777777" w:rsidR="00914F4E" w:rsidRPr="004F5FB4" w:rsidRDefault="00914F4E" w:rsidP="00982118">
            <w:pPr>
              <w:keepNext/>
              <w:rPr>
                <w:color w:val="000000"/>
              </w:rPr>
            </w:pPr>
            <w:r w:rsidRPr="004F5FB4">
              <w:rPr>
                <w:color w:val="000000"/>
              </w:rPr>
              <w:t>115 </w:t>
            </w:r>
          </w:p>
        </w:tc>
        <w:tc>
          <w:tcPr>
            <w:tcW w:w="1281" w:type="dxa"/>
            <w:tcBorders>
              <w:top w:val="nil"/>
              <w:left w:val="nil"/>
              <w:bottom w:val="single" w:sz="4" w:space="0" w:color="auto"/>
              <w:right w:val="nil"/>
            </w:tcBorders>
            <w:hideMark/>
          </w:tcPr>
          <w:p w14:paraId="33B31B5D" w14:textId="77777777" w:rsidR="00914F4E" w:rsidRPr="004F5FB4" w:rsidRDefault="00914F4E" w:rsidP="00982118">
            <w:pPr>
              <w:keepNext/>
              <w:rPr>
                <w:color w:val="000000"/>
              </w:rPr>
            </w:pPr>
            <w:r w:rsidRPr="004F5FB4">
              <w:rPr>
                <w:color w:val="000000"/>
              </w:rPr>
              <w:t>45 (39,1)</w:t>
            </w:r>
          </w:p>
        </w:tc>
        <w:tc>
          <w:tcPr>
            <w:tcW w:w="1281" w:type="dxa"/>
            <w:tcBorders>
              <w:top w:val="nil"/>
              <w:left w:val="nil"/>
              <w:bottom w:val="single" w:sz="4" w:space="0" w:color="auto"/>
              <w:right w:val="nil"/>
            </w:tcBorders>
            <w:hideMark/>
          </w:tcPr>
          <w:p w14:paraId="792D7BB3" w14:textId="77777777" w:rsidR="00914F4E" w:rsidRPr="004F5FB4" w:rsidRDefault="00914F4E" w:rsidP="00982118">
            <w:pPr>
              <w:keepNext/>
              <w:rPr>
                <w:color w:val="000000"/>
              </w:rPr>
            </w:pPr>
            <w:r w:rsidRPr="004F5FB4">
              <w:rPr>
                <w:color w:val="000000"/>
              </w:rPr>
              <w:t>n. b.</w:t>
            </w:r>
            <w:r w:rsidRPr="004F5FB4">
              <w:rPr>
                <w:color w:val="000000"/>
                <w:vertAlign w:val="superscript"/>
              </w:rPr>
              <w:t>c</w:t>
            </w:r>
          </w:p>
        </w:tc>
        <w:tc>
          <w:tcPr>
            <w:tcW w:w="1281" w:type="dxa"/>
            <w:tcBorders>
              <w:top w:val="nil"/>
              <w:left w:val="nil"/>
              <w:bottom w:val="single" w:sz="4" w:space="0" w:color="auto"/>
              <w:right w:val="nil"/>
            </w:tcBorders>
            <w:hideMark/>
          </w:tcPr>
          <w:p w14:paraId="60EF75B7" w14:textId="77777777" w:rsidR="00914F4E" w:rsidRPr="004F5FB4" w:rsidRDefault="00914F4E" w:rsidP="00982118">
            <w:pPr>
              <w:keepNext/>
              <w:rPr>
                <w:color w:val="000000"/>
              </w:rPr>
            </w:pPr>
            <w:r w:rsidRPr="004F5FB4">
              <w:rPr>
                <w:color w:val="000000"/>
              </w:rPr>
              <w:t>0,57</w:t>
            </w:r>
          </w:p>
        </w:tc>
        <w:tc>
          <w:tcPr>
            <w:tcW w:w="1281" w:type="dxa"/>
            <w:tcBorders>
              <w:top w:val="nil"/>
              <w:left w:val="nil"/>
              <w:bottom w:val="single" w:sz="4" w:space="0" w:color="auto"/>
              <w:right w:val="nil"/>
            </w:tcBorders>
            <w:hideMark/>
          </w:tcPr>
          <w:p w14:paraId="5D83D8B4" w14:textId="77777777" w:rsidR="00914F4E" w:rsidRPr="004F5FB4" w:rsidRDefault="00914F4E" w:rsidP="00982118">
            <w:pPr>
              <w:keepNext/>
              <w:rPr>
                <w:color w:val="000000"/>
              </w:rPr>
            </w:pPr>
            <w:r w:rsidRPr="004F5FB4">
              <w:rPr>
                <w:color w:val="000000"/>
              </w:rPr>
              <w:t>0,39; 0,84</w:t>
            </w:r>
          </w:p>
        </w:tc>
        <w:tc>
          <w:tcPr>
            <w:tcW w:w="1281" w:type="dxa"/>
            <w:tcBorders>
              <w:top w:val="nil"/>
              <w:left w:val="nil"/>
              <w:bottom w:val="single" w:sz="4" w:space="0" w:color="auto"/>
              <w:right w:val="nil"/>
            </w:tcBorders>
            <w:hideMark/>
          </w:tcPr>
          <w:p w14:paraId="261D4876" w14:textId="77777777" w:rsidR="00914F4E" w:rsidRPr="004F5FB4" w:rsidRDefault="00914F4E" w:rsidP="00982118">
            <w:pPr>
              <w:keepNext/>
              <w:rPr>
                <w:color w:val="000000"/>
              </w:rPr>
            </w:pPr>
            <w:r w:rsidRPr="004F5FB4">
              <w:rPr>
                <w:color w:val="000000"/>
              </w:rPr>
              <w:t>0,004 </w:t>
            </w:r>
          </w:p>
        </w:tc>
      </w:tr>
      <w:tr w:rsidR="00EA7409" w:rsidRPr="004F5FB4" w14:paraId="01768B4C" w14:textId="77777777" w:rsidTr="00EA7409">
        <w:tc>
          <w:tcPr>
            <w:tcW w:w="9303" w:type="dxa"/>
            <w:gridSpan w:val="7"/>
            <w:tcBorders>
              <w:top w:val="single" w:sz="4" w:space="0" w:color="auto"/>
              <w:left w:val="nil"/>
              <w:bottom w:val="nil"/>
              <w:right w:val="nil"/>
            </w:tcBorders>
          </w:tcPr>
          <w:p w14:paraId="3B36DF3E" w14:textId="77777777" w:rsidR="00EA7409" w:rsidRPr="00206AEA" w:rsidRDefault="00EA7409" w:rsidP="00EA7409">
            <w:pPr>
              <w:keepNext/>
              <w:rPr>
                <w:color w:val="000000"/>
                <w:sz w:val="20"/>
              </w:rPr>
            </w:pPr>
            <w:r w:rsidRPr="00206AEA">
              <w:rPr>
                <w:color w:val="000000"/>
                <w:sz w:val="20"/>
              </w:rPr>
              <w:t>Hinweis: Ein Behandlungsversagen in oder nach Woche</w:t>
            </w:r>
            <w:r w:rsidR="00652710" w:rsidRPr="00206AEA">
              <w:rPr>
                <w:color w:val="000000"/>
                <w:sz w:val="20"/>
              </w:rPr>
              <w:t> </w:t>
            </w:r>
            <w:r w:rsidRPr="00206AEA">
              <w:rPr>
                <w:color w:val="000000"/>
                <w:sz w:val="20"/>
              </w:rPr>
              <w:t>6 (Studie UV I) bzw. in oder nach Woche</w:t>
            </w:r>
            <w:r w:rsidR="00652710" w:rsidRPr="00206AEA">
              <w:rPr>
                <w:color w:val="000000"/>
                <w:sz w:val="20"/>
              </w:rPr>
              <w:t> </w:t>
            </w:r>
            <w:r w:rsidRPr="00206AEA">
              <w:rPr>
                <w:color w:val="000000"/>
                <w:sz w:val="20"/>
              </w:rPr>
              <w:t xml:space="preserve">2 (Studie UV II) wurde als Ereignis gewertet. Ein Ausscheiden aus anderen Gründen als Behandlungsversagen wurde zum Zeitpunkt des Ausscheidens zensiert. </w:t>
            </w:r>
          </w:p>
          <w:p w14:paraId="431F3440" w14:textId="77777777" w:rsidR="00EA7409" w:rsidRPr="00206AEA" w:rsidRDefault="00EA7409" w:rsidP="00EA7409">
            <w:pPr>
              <w:keepNext/>
              <w:ind w:left="270" w:hanging="270"/>
              <w:rPr>
                <w:color w:val="000000"/>
                <w:sz w:val="20"/>
              </w:rPr>
            </w:pPr>
            <w:r w:rsidRPr="00206AEA">
              <w:rPr>
                <w:color w:val="000000"/>
                <w:sz w:val="20"/>
                <w:vertAlign w:val="superscript"/>
              </w:rPr>
              <w:t>a</w:t>
            </w:r>
            <w:r w:rsidRPr="00206AEA">
              <w:rPr>
                <w:color w:val="000000"/>
                <w:sz w:val="20"/>
              </w:rPr>
              <w:tab/>
              <w:t xml:space="preserve">HR von Adalimumab gegenüber Placebo der Cox-Regressionsanalyse mit Behandlung als Faktor </w:t>
            </w:r>
          </w:p>
          <w:p w14:paraId="1F245637" w14:textId="77777777" w:rsidR="00EA7409" w:rsidRPr="00206AEA" w:rsidRDefault="00EA7409" w:rsidP="00EA7409">
            <w:pPr>
              <w:keepNext/>
              <w:ind w:left="270" w:hanging="270"/>
              <w:rPr>
                <w:color w:val="000000"/>
                <w:sz w:val="20"/>
              </w:rPr>
            </w:pPr>
            <w:r w:rsidRPr="00206AEA">
              <w:rPr>
                <w:color w:val="000000"/>
                <w:sz w:val="20"/>
                <w:vertAlign w:val="superscript"/>
              </w:rPr>
              <w:t>b</w:t>
            </w:r>
            <w:r w:rsidRPr="00206AEA">
              <w:rPr>
                <w:color w:val="000000"/>
                <w:sz w:val="20"/>
              </w:rPr>
              <w:tab/>
              <w:t>2</w:t>
            </w:r>
            <w:r w:rsidRPr="00206AEA">
              <w:rPr>
                <w:color w:val="000000"/>
                <w:sz w:val="20"/>
              </w:rPr>
              <w:noBreakHyphen/>
              <w:t xml:space="preserve">seitiger p-Wert vom Log-Rank-Test </w:t>
            </w:r>
          </w:p>
          <w:p w14:paraId="500C4316" w14:textId="77777777" w:rsidR="00EA7409" w:rsidRPr="00206AEA" w:rsidRDefault="00EA7409" w:rsidP="00EA7409">
            <w:pPr>
              <w:keepNext/>
              <w:ind w:left="270" w:hanging="270"/>
              <w:rPr>
                <w:color w:val="000000"/>
                <w:sz w:val="20"/>
              </w:rPr>
            </w:pPr>
            <w:r w:rsidRPr="00206AEA">
              <w:rPr>
                <w:color w:val="000000"/>
                <w:sz w:val="20"/>
                <w:vertAlign w:val="superscript"/>
              </w:rPr>
              <w:t>c</w:t>
            </w:r>
            <w:r w:rsidRPr="00206AEA">
              <w:rPr>
                <w:color w:val="000000"/>
                <w:sz w:val="20"/>
              </w:rPr>
              <w:tab/>
              <w:t xml:space="preserve">n. b. = nicht bestimmbar. Bei weniger als der Hälfte der Risikopatienten kam es zu einem Ereignis. </w:t>
            </w:r>
          </w:p>
        </w:tc>
      </w:tr>
    </w:tbl>
    <w:p w14:paraId="3BCA9017" w14:textId="77777777" w:rsidR="00914F4E" w:rsidRPr="004F5FB4" w:rsidRDefault="00914F4E" w:rsidP="00982118">
      <w:pPr>
        <w:rPr>
          <w:color w:val="000000"/>
        </w:rPr>
      </w:pPr>
    </w:p>
    <w:p w14:paraId="6506A602" w14:textId="604A4E08" w:rsidR="00C46587" w:rsidRPr="004F5FB4" w:rsidRDefault="00032CD3" w:rsidP="00687087">
      <w:pPr>
        <w:keepNext/>
        <w:rPr>
          <w:b/>
          <w:color w:val="000000"/>
        </w:rPr>
      </w:pPr>
      <w:r w:rsidRPr="004F5FB4">
        <w:rPr>
          <w:noProof/>
          <w:color w:val="000000"/>
        </w:rPr>
        <w:lastRenderedPageBreak/>
        <mc:AlternateContent>
          <mc:Choice Requires="wps">
            <w:drawing>
              <wp:anchor distT="0" distB="0" distL="114300" distR="114300" simplePos="0" relativeHeight="251658274" behindDoc="0" locked="0" layoutInCell="1" allowOverlap="1" wp14:anchorId="5EC675BC" wp14:editId="0DC1D663">
                <wp:simplePos x="0" y="0"/>
                <wp:positionH relativeFrom="column">
                  <wp:posOffset>-6350</wp:posOffset>
                </wp:positionH>
                <wp:positionV relativeFrom="paragraph">
                  <wp:posOffset>177165</wp:posOffset>
                </wp:positionV>
                <wp:extent cx="369570" cy="2882265"/>
                <wp:effectExtent l="0" t="0" r="0" b="0"/>
                <wp:wrapNone/>
                <wp:docPr id="27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5B2ADAE7" w14:textId="77777777" w:rsidR="008F3710" w:rsidRPr="007C4B2C" w:rsidRDefault="008F3710" w:rsidP="00172DF4">
                            <w:pPr>
                              <w:jc w:val="center"/>
                              <w:rPr>
                                <w:b/>
                                <w:bCs/>
                                <w:sz w:val="18"/>
                                <w:szCs w:val="18"/>
                              </w:rPr>
                            </w:pPr>
                            <w:r>
                              <w:rPr>
                                <w:b/>
                                <w:bCs/>
                                <w:sz w:val="18"/>
                                <w:szCs w:val="18"/>
                              </w:rPr>
                              <w:t>RATE BEHANDLUNGSVERSAGEN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675BC" id="Text Box 234" o:spid="_x0000_s1052" type="#_x0000_t202" style="position:absolute;margin-left:-.5pt;margin-top:13.95pt;width:29.1pt;height:226.9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h+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" stroked="f">
                <v:textbox style="layout-flow:vertical;mso-layout-flow-alt:bottom-to-top">
                  <w:txbxContent>
                    <w:p w14:paraId="5B2ADAE7" w14:textId="77777777" w:rsidR="008F3710" w:rsidRPr="007C4B2C" w:rsidRDefault="008F3710" w:rsidP="00172DF4">
                      <w:pPr>
                        <w:jc w:val="center"/>
                        <w:rPr>
                          <w:b/>
                          <w:bCs/>
                          <w:sz w:val="18"/>
                          <w:szCs w:val="18"/>
                        </w:rPr>
                      </w:pPr>
                      <w:r>
                        <w:rPr>
                          <w:b/>
                          <w:bCs/>
                          <w:sz w:val="18"/>
                          <w:szCs w:val="18"/>
                        </w:rPr>
                        <w:t>RATE BEHANDLUNGSVERSAGEN (%)</w:t>
                      </w:r>
                    </w:p>
                  </w:txbxContent>
                </v:textbox>
              </v:shape>
            </w:pict>
          </mc:Fallback>
        </mc:AlternateContent>
      </w:r>
      <w:r w:rsidR="00464875" w:rsidRPr="004F5FB4">
        <w:rPr>
          <w:b/>
          <w:color w:val="000000"/>
        </w:rPr>
        <w:t>Abb. 2: Kaplan</w:t>
      </w:r>
      <w:r w:rsidR="00464875" w:rsidRPr="004F5FB4">
        <w:rPr>
          <w:b/>
          <w:color w:val="000000"/>
        </w:rPr>
        <w:noBreakHyphen/>
        <w:t>Meier-Kurven zur Darstellung der Dauer bis zum Behandlungsversagen in oder nach Woche 6 (Studie</w:t>
      </w:r>
      <w:r w:rsidR="00D83438" w:rsidRPr="004F5FB4">
        <w:rPr>
          <w:b/>
          <w:color w:val="000000"/>
        </w:rPr>
        <w:t> </w:t>
      </w:r>
      <w:r w:rsidR="00464875" w:rsidRPr="004F5FB4">
        <w:rPr>
          <w:b/>
          <w:color w:val="000000"/>
        </w:rPr>
        <w:t>UV</w:t>
      </w:r>
      <w:r w:rsidR="00D83438" w:rsidRPr="004F5FB4">
        <w:rPr>
          <w:b/>
          <w:color w:val="000000"/>
        </w:rPr>
        <w:t> </w:t>
      </w:r>
      <w:r w:rsidR="00464875" w:rsidRPr="004F5FB4">
        <w:rPr>
          <w:b/>
          <w:color w:val="000000"/>
        </w:rPr>
        <w:t>I) bzw. Woche 2 (Studie</w:t>
      </w:r>
      <w:r w:rsidR="00D83438" w:rsidRPr="004F5FB4">
        <w:rPr>
          <w:b/>
          <w:color w:val="000000"/>
        </w:rPr>
        <w:t> </w:t>
      </w:r>
      <w:r w:rsidR="00464875" w:rsidRPr="004F5FB4">
        <w:rPr>
          <w:b/>
          <w:color w:val="000000"/>
        </w:rPr>
        <w:t>UV</w:t>
      </w:r>
      <w:r w:rsidR="00D83438" w:rsidRPr="004F5FB4">
        <w:rPr>
          <w:b/>
          <w:color w:val="000000"/>
        </w:rPr>
        <w:t> </w:t>
      </w:r>
      <w:r w:rsidR="00464875" w:rsidRPr="004F5FB4">
        <w:rPr>
          <w:b/>
          <w:color w:val="000000"/>
        </w:rPr>
        <w:t>II)</w:t>
      </w:r>
    </w:p>
    <w:p w14:paraId="4B1B965C" w14:textId="14FC9C4A" w:rsidR="00C46587" w:rsidRPr="004F5FB4" w:rsidRDefault="00032CD3" w:rsidP="00982118">
      <w:pPr>
        <w:rPr>
          <w:color w:val="000000"/>
        </w:rPr>
      </w:pPr>
      <w:r w:rsidRPr="004F5FB4">
        <w:rPr>
          <w:noProof/>
          <w:color w:val="000000"/>
        </w:rPr>
        <mc:AlternateContent>
          <mc:Choice Requires="wps">
            <w:drawing>
              <wp:anchor distT="0" distB="0" distL="114300" distR="114300" simplePos="0" relativeHeight="251658254" behindDoc="0" locked="0" layoutInCell="1" allowOverlap="1" wp14:anchorId="7E9F8FE6" wp14:editId="7DF0ABD2">
                <wp:simplePos x="0" y="0"/>
                <wp:positionH relativeFrom="column">
                  <wp:posOffset>351790</wp:posOffset>
                </wp:positionH>
                <wp:positionV relativeFrom="paragraph">
                  <wp:posOffset>2686685</wp:posOffset>
                </wp:positionV>
                <wp:extent cx="1123950" cy="304800"/>
                <wp:effectExtent l="0" t="0" r="0" b="0"/>
                <wp:wrapNone/>
                <wp:docPr id="27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04800"/>
                        </a:xfrm>
                        <a:prstGeom prst="rect">
                          <a:avLst/>
                        </a:prstGeom>
                        <a:solidFill>
                          <a:srgbClr val="FFFFFF"/>
                        </a:solidFill>
                        <a:ln>
                          <a:noFill/>
                        </a:ln>
                      </wps:spPr>
                      <wps:txbx>
                        <w:txbxContent>
                          <w:p w14:paraId="6594FE8B" w14:textId="77777777" w:rsidR="008F3710" w:rsidRPr="007C4B2C" w:rsidRDefault="008F3710" w:rsidP="00172DF4">
                            <w:pPr>
                              <w:rPr>
                                <w:sz w:val="18"/>
                                <w:szCs w:val="18"/>
                              </w:rPr>
                            </w:pPr>
                            <w:r>
                              <w:rPr>
                                <w:sz w:val="18"/>
                                <w:szCs w:val="18"/>
                              </w:rPr>
                              <w:t>Studie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F8FE6" id="Text Box 238" o:spid="_x0000_s1053" type="#_x0000_t202" style="position:absolute;margin-left:27.7pt;margin-top:211.55pt;width:88.5pt;height:2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" stroked="f">
                <v:textbox>
                  <w:txbxContent>
                    <w:p w14:paraId="6594FE8B" w14:textId="77777777" w:rsidR="008F3710" w:rsidRPr="007C4B2C" w:rsidRDefault="008F3710" w:rsidP="00172DF4">
                      <w:pPr>
                        <w:rPr>
                          <w:sz w:val="18"/>
                          <w:szCs w:val="18"/>
                        </w:rPr>
                      </w:pPr>
                      <w:r>
                        <w:rPr>
                          <w:sz w:val="18"/>
                          <w:szCs w:val="18"/>
                        </w:rPr>
                        <w:t>Studie UV I</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6" behindDoc="0" locked="0" layoutInCell="1" allowOverlap="1" wp14:anchorId="4A606C41" wp14:editId="60908ECC">
                <wp:simplePos x="0" y="0"/>
                <wp:positionH relativeFrom="column">
                  <wp:posOffset>1746250</wp:posOffset>
                </wp:positionH>
                <wp:positionV relativeFrom="paragraph">
                  <wp:posOffset>2674620</wp:posOffset>
                </wp:positionV>
                <wp:extent cx="872490" cy="201930"/>
                <wp:effectExtent l="0" t="0" r="0" b="0"/>
                <wp:wrapNone/>
                <wp:docPr id="2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201930"/>
                        </a:xfrm>
                        <a:prstGeom prst="rect">
                          <a:avLst/>
                        </a:prstGeom>
                        <a:solidFill>
                          <a:srgbClr val="FFFFFF"/>
                        </a:solidFill>
                        <a:ln>
                          <a:noFill/>
                        </a:ln>
                      </wps:spPr>
                      <wps:txbx>
                        <w:txbxContent>
                          <w:p w14:paraId="3AB3CD04"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06C41" id="Text Box 241" o:spid="_x0000_s1054" type="#_x0000_t202" style="position:absolute;margin-left:137.5pt;margin-top:210.6pt;width:68.7pt;height:15.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" stroked="f">
                <v:textbox>
                  <w:txbxContent>
                    <w:p w14:paraId="3AB3CD04"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7" behindDoc="0" locked="0" layoutInCell="1" allowOverlap="1" wp14:anchorId="7025E3A2" wp14:editId="34F33D55">
                <wp:simplePos x="0" y="0"/>
                <wp:positionH relativeFrom="column">
                  <wp:posOffset>3293110</wp:posOffset>
                </wp:positionH>
                <wp:positionV relativeFrom="paragraph">
                  <wp:posOffset>2714625</wp:posOffset>
                </wp:positionV>
                <wp:extent cx="759460" cy="201930"/>
                <wp:effectExtent l="0" t="0" r="0" b="0"/>
                <wp:wrapNone/>
                <wp:docPr id="27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201930"/>
                        </a:xfrm>
                        <a:prstGeom prst="rect">
                          <a:avLst/>
                        </a:prstGeom>
                        <a:solidFill>
                          <a:srgbClr val="FFFFFF"/>
                        </a:solidFill>
                        <a:ln>
                          <a:noFill/>
                        </a:ln>
                      </wps:spPr>
                      <wps:txbx>
                        <w:txbxContent>
                          <w:p w14:paraId="372D03EF"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5E3A2" id="Text Box 243" o:spid="_x0000_s1055" type="#_x0000_t202" style="position:absolute;margin-left:259.3pt;margin-top:213.75pt;width:59.8pt;height:15.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" stroked="f">
                <v:textbox>
                  <w:txbxContent>
                    <w:p w14:paraId="372D03EF"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9" behindDoc="0" locked="0" layoutInCell="1" allowOverlap="1" wp14:anchorId="789ABEE0" wp14:editId="246F28CD">
                <wp:simplePos x="0" y="0"/>
                <wp:positionH relativeFrom="column">
                  <wp:posOffset>4742815</wp:posOffset>
                </wp:positionH>
                <wp:positionV relativeFrom="paragraph">
                  <wp:posOffset>2687955</wp:posOffset>
                </wp:positionV>
                <wp:extent cx="889635" cy="222885"/>
                <wp:effectExtent l="0" t="0" r="0" b="0"/>
                <wp:wrapNone/>
                <wp:docPr id="27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00B25C05"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ABEE0" id="Text Box 244" o:spid="_x0000_s1056" type="#_x0000_t202" style="position:absolute;margin-left:373.45pt;margin-top:211.65pt;width:70.05pt;height:17.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" stroked="f">
                <v:textbox>
                  <w:txbxContent>
                    <w:p w14:paraId="00B25C05"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2" behindDoc="0" locked="0" layoutInCell="1" allowOverlap="1" wp14:anchorId="63998F7C" wp14:editId="29D92F09">
                <wp:simplePos x="0" y="0"/>
                <wp:positionH relativeFrom="column">
                  <wp:posOffset>2459355</wp:posOffset>
                </wp:positionH>
                <wp:positionV relativeFrom="paragraph">
                  <wp:posOffset>2556510</wp:posOffset>
                </wp:positionV>
                <wp:extent cx="1181100" cy="196215"/>
                <wp:effectExtent l="0" t="0" r="0" b="0"/>
                <wp:wrapNone/>
                <wp:docPr id="27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4A25E763" w14:textId="77777777" w:rsidR="008F3710" w:rsidRPr="007C4B2C" w:rsidRDefault="008F3710" w:rsidP="00172DF4">
                            <w:pPr>
                              <w:rPr>
                                <w:b/>
                                <w:bCs/>
                                <w:sz w:val="16"/>
                                <w:szCs w:val="16"/>
                              </w:rPr>
                            </w:pPr>
                            <w:r>
                              <w:rPr>
                                <w:b/>
                                <w:bCs/>
                                <w:sz w:val="16"/>
                                <w:szCs w:val="16"/>
                              </w:rPr>
                              <w:t>DAUER (MONATE)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98F7C" id="Text Box 236" o:spid="_x0000_s1057" type="#_x0000_t202" style="position:absolute;margin-left:193.65pt;margin-top:201.3pt;width:93pt;height:15.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" stroked="f">
                <v:textbox>
                  <w:txbxContent>
                    <w:p w14:paraId="4A25E763" w14:textId="77777777" w:rsidR="008F3710" w:rsidRPr="007C4B2C" w:rsidRDefault="008F3710" w:rsidP="00172DF4">
                      <w:pPr>
                        <w:rPr>
                          <w:b/>
                          <w:bCs/>
                          <w:sz w:val="16"/>
                          <w:szCs w:val="16"/>
                        </w:rPr>
                      </w:pPr>
                      <w:r>
                        <w:rPr>
                          <w:b/>
                          <w:bCs/>
                          <w:sz w:val="16"/>
                          <w:szCs w:val="16"/>
                        </w:rPr>
                        <w:t>DAUER (MONATE)</w:t>
                      </w:r>
                    </w:p>
                  </w:txbxContent>
                </v:textbox>
              </v:shape>
            </w:pict>
          </mc:Fallback>
        </mc:AlternateContent>
      </w:r>
      <w:r w:rsidRPr="004F5FB4">
        <w:rPr>
          <w:noProof/>
          <w:color w:val="000000"/>
          <w:lang w:eastAsia="de-DE"/>
        </w:rPr>
        <w:drawing>
          <wp:inline distT="0" distB="0" distL="0" distR="0" wp14:anchorId="317CE18D" wp14:editId="1098DE5B">
            <wp:extent cx="5943600" cy="28956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pic:spPr>
                </pic:pic>
              </a:graphicData>
            </a:graphic>
          </wp:inline>
        </w:drawing>
      </w:r>
    </w:p>
    <w:p w14:paraId="7C641605" w14:textId="77777777" w:rsidR="00C46587" w:rsidRPr="004F5FB4" w:rsidRDefault="00C46587" w:rsidP="00982118">
      <w:pPr>
        <w:rPr>
          <w:color w:val="000000"/>
          <w:lang w:val="en-GB"/>
        </w:rPr>
      </w:pPr>
    </w:p>
    <w:p w14:paraId="26ADAC6A" w14:textId="77777777" w:rsidR="00C46587" w:rsidRPr="004F5FB4" w:rsidRDefault="00C46587" w:rsidP="00982118">
      <w:pPr>
        <w:rPr>
          <w:color w:val="000000"/>
          <w:lang w:val="en-GB"/>
        </w:rPr>
      </w:pPr>
    </w:p>
    <w:p w14:paraId="6FBC15E1" w14:textId="493596F4" w:rsidR="00C46587" w:rsidRPr="004F5FB4" w:rsidRDefault="00032CD3" w:rsidP="00982118">
      <w:pPr>
        <w:rPr>
          <w:color w:val="000000"/>
        </w:rPr>
      </w:pPr>
      <w:r w:rsidRPr="004F5FB4">
        <w:rPr>
          <w:noProof/>
          <w:color w:val="000000"/>
        </w:rPr>
        <mc:AlternateContent>
          <mc:Choice Requires="wps">
            <w:drawing>
              <wp:anchor distT="0" distB="0" distL="114300" distR="114300" simplePos="0" relativeHeight="251658277" behindDoc="0" locked="0" layoutInCell="1" allowOverlap="1" wp14:anchorId="1522687C" wp14:editId="785AA9EB">
                <wp:simplePos x="0" y="0"/>
                <wp:positionH relativeFrom="column">
                  <wp:posOffset>1746250</wp:posOffset>
                </wp:positionH>
                <wp:positionV relativeFrom="paragraph">
                  <wp:posOffset>2553335</wp:posOffset>
                </wp:positionV>
                <wp:extent cx="882015" cy="201930"/>
                <wp:effectExtent l="0" t="0" r="0" b="0"/>
                <wp:wrapNone/>
                <wp:docPr id="26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201930"/>
                        </a:xfrm>
                        <a:prstGeom prst="rect">
                          <a:avLst/>
                        </a:prstGeom>
                        <a:solidFill>
                          <a:srgbClr val="FFFFFF"/>
                        </a:solidFill>
                        <a:ln>
                          <a:noFill/>
                        </a:ln>
                      </wps:spPr>
                      <wps:txbx>
                        <w:txbxContent>
                          <w:p w14:paraId="1D30FA9F"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2687C" id="Text Box 240" o:spid="_x0000_s1058" type="#_x0000_t202" style="position:absolute;margin-left:137.5pt;margin-top:201.05pt;width:69.45pt;height:15.9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" stroked="f">
                <v:textbox>
                  <w:txbxContent>
                    <w:p w14:paraId="1D30FA9F" w14:textId="77777777" w:rsidR="008F3710" w:rsidRPr="007C4B2C" w:rsidRDefault="008F3710" w:rsidP="00172DF4">
                      <w:pPr>
                        <w:rPr>
                          <w:sz w:val="18"/>
                          <w:szCs w:val="18"/>
                        </w:rPr>
                      </w:pPr>
                      <w:r>
                        <w:rPr>
                          <w:sz w:val="18"/>
                          <w:szCs w:val="18"/>
                        </w:rPr>
                        <w:t>Behandlung</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51" behindDoc="0" locked="0" layoutInCell="1" allowOverlap="1" wp14:anchorId="640F07C1" wp14:editId="2FE1AC7F">
                <wp:simplePos x="0" y="0"/>
                <wp:positionH relativeFrom="column">
                  <wp:posOffset>-76835</wp:posOffset>
                </wp:positionH>
                <wp:positionV relativeFrom="paragraph">
                  <wp:posOffset>-6985</wp:posOffset>
                </wp:positionV>
                <wp:extent cx="369570" cy="2409190"/>
                <wp:effectExtent l="0" t="0" r="0" b="0"/>
                <wp:wrapNone/>
                <wp:docPr id="27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409190"/>
                        </a:xfrm>
                        <a:prstGeom prst="rect">
                          <a:avLst/>
                        </a:prstGeom>
                        <a:solidFill>
                          <a:srgbClr val="FFFFFF"/>
                        </a:solidFill>
                        <a:ln>
                          <a:noFill/>
                        </a:ln>
                      </wps:spPr>
                      <wps:txbx>
                        <w:txbxContent>
                          <w:p w14:paraId="7FEC4DFD" w14:textId="77777777" w:rsidR="008F3710" w:rsidRPr="007C4B2C" w:rsidRDefault="008F3710" w:rsidP="00172DF4">
                            <w:pPr>
                              <w:jc w:val="center"/>
                              <w:rPr>
                                <w:b/>
                                <w:bCs/>
                                <w:sz w:val="18"/>
                                <w:szCs w:val="18"/>
                              </w:rPr>
                            </w:pPr>
                            <w:r>
                              <w:rPr>
                                <w:b/>
                                <w:bCs/>
                                <w:sz w:val="18"/>
                                <w:szCs w:val="18"/>
                              </w:rPr>
                              <w:t>RATE BEHANDLUNGSVERSAGEN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F07C1" id="Text Box 233" o:spid="_x0000_s1059" type="#_x0000_t202" style="position:absolute;margin-left:-6.05pt;margin-top:-.55pt;width:29.1pt;height:189.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" stroked="f">
                <v:textbox style="layout-flow:vertical;mso-layout-flow-alt:bottom-to-top">
                  <w:txbxContent>
                    <w:p w14:paraId="7FEC4DFD" w14:textId="77777777" w:rsidR="008F3710" w:rsidRPr="007C4B2C" w:rsidRDefault="008F3710" w:rsidP="00172DF4">
                      <w:pPr>
                        <w:jc w:val="center"/>
                        <w:rPr>
                          <w:b/>
                          <w:bCs/>
                          <w:sz w:val="18"/>
                          <w:szCs w:val="18"/>
                        </w:rPr>
                      </w:pPr>
                      <w:r>
                        <w:rPr>
                          <w:b/>
                          <w:bCs/>
                          <w:sz w:val="18"/>
                          <w:szCs w:val="18"/>
                        </w:rPr>
                        <w:t>RATE BEHANDLUNGSVERSAGEN (%)</w:t>
                      </w:r>
                    </w:p>
                  </w:txbxContent>
                </v:textbox>
              </v:shape>
            </w:pict>
          </mc:Fallback>
        </mc:AlternateContent>
      </w:r>
      <w:r w:rsidRPr="004F5FB4">
        <w:rPr>
          <w:noProof/>
          <w:color w:val="000000"/>
        </w:rPr>
        <mc:AlternateContent>
          <mc:Choice Requires="wps">
            <w:drawing>
              <wp:anchor distT="0" distB="0" distL="114300" distR="114300" simplePos="0" relativeHeight="251658279" behindDoc="0" locked="0" layoutInCell="1" allowOverlap="1" wp14:anchorId="2FA9657C" wp14:editId="28284A4E">
                <wp:simplePos x="0" y="0"/>
                <wp:positionH relativeFrom="column">
                  <wp:posOffset>4693285</wp:posOffset>
                </wp:positionH>
                <wp:positionV relativeFrom="paragraph">
                  <wp:posOffset>2553335</wp:posOffset>
                </wp:positionV>
                <wp:extent cx="889635" cy="222885"/>
                <wp:effectExtent l="0" t="0" r="0" b="0"/>
                <wp:wrapNone/>
                <wp:docPr id="27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63E15EF4"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9657C" id="Text Box 245" o:spid="_x0000_s1060" type="#_x0000_t202" style="position:absolute;margin-left:369.55pt;margin-top:201.05pt;width:70.05pt;height:17.5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" stroked="f">
                <v:textbox>
                  <w:txbxContent>
                    <w:p w14:paraId="63E15EF4" w14:textId="77777777" w:rsidR="008F3710" w:rsidRPr="007C4B2C" w:rsidRDefault="008F3710"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78" behindDoc="0" locked="0" layoutInCell="1" allowOverlap="1" wp14:anchorId="10A70EE1" wp14:editId="635D7C6E">
                <wp:simplePos x="0" y="0"/>
                <wp:positionH relativeFrom="column">
                  <wp:posOffset>3190240</wp:posOffset>
                </wp:positionH>
                <wp:positionV relativeFrom="paragraph">
                  <wp:posOffset>2586355</wp:posOffset>
                </wp:positionV>
                <wp:extent cx="713105" cy="201930"/>
                <wp:effectExtent l="0" t="0" r="0" b="0"/>
                <wp:wrapNone/>
                <wp:docPr id="27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438360B5"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0EE1" id="Text Box 242" o:spid="_x0000_s1061" type="#_x0000_t202" style="position:absolute;margin-left:251.2pt;margin-top:203.65pt;width:56.15pt;height:15.9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" stroked="f">
                <v:textbox>
                  <w:txbxContent>
                    <w:p w14:paraId="438360B5" w14:textId="77777777" w:rsidR="008F3710" w:rsidRPr="007C4B2C" w:rsidRDefault="008F3710"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76" behindDoc="0" locked="0" layoutInCell="1" allowOverlap="1" wp14:anchorId="73F2967E" wp14:editId="50E2C491">
                <wp:simplePos x="0" y="0"/>
                <wp:positionH relativeFrom="column">
                  <wp:posOffset>305435</wp:posOffset>
                </wp:positionH>
                <wp:positionV relativeFrom="paragraph">
                  <wp:posOffset>2564765</wp:posOffset>
                </wp:positionV>
                <wp:extent cx="898525" cy="201295"/>
                <wp:effectExtent l="0" t="0" r="0" b="0"/>
                <wp:wrapNone/>
                <wp:docPr id="26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201295"/>
                        </a:xfrm>
                        <a:prstGeom prst="rect">
                          <a:avLst/>
                        </a:prstGeom>
                        <a:solidFill>
                          <a:srgbClr val="FFFFFF"/>
                        </a:solidFill>
                        <a:ln>
                          <a:noFill/>
                        </a:ln>
                      </wps:spPr>
                      <wps:txbx>
                        <w:txbxContent>
                          <w:p w14:paraId="07970E8A" w14:textId="77777777" w:rsidR="008F3710" w:rsidRPr="007C4B2C" w:rsidRDefault="008F3710" w:rsidP="00172DF4">
                            <w:pPr>
                              <w:rPr>
                                <w:sz w:val="18"/>
                                <w:szCs w:val="18"/>
                              </w:rPr>
                            </w:pPr>
                            <w:r>
                              <w:rPr>
                                <w:sz w:val="18"/>
                                <w:szCs w:val="18"/>
                              </w:rPr>
                              <w:t>Studie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2967E" id="Text Box 239" o:spid="_x0000_s1062" type="#_x0000_t202" style="position:absolute;margin-left:24.05pt;margin-top:201.95pt;width:70.75pt;height:15.8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" stroked="f">
                <v:textbox>
                  <w:txbxContent>
                    <w:p w14:paraId="07970E8A" w14:textId="77777777" w:rsidR="008F3710" w:rsidRPr="007C4B2C" w:rsidRDefault="008F3710" w:rsidP="00172DF4">
                      <w:pPr>
                        <w:rPr>
                          <w:sz w:val="18"/>
                          <w:szCs w:val="18"/>
                        </w:rPr>
                      </w:pPr>
                      <w:r>
                        <w:rPr>
                          <w:sz w:val="18"/>
                          <w:szCs w:val="18"/>
                        </w:rPr>
                        <w:t>Studie UV II</w:t>
                      </w:r>
                      <w:r>
                        <w:rPr>
                          <w:sz w:val="18"/>
                          <w:szCs w:val="18"/>
                        </w:rPr>
                        <w:tab/>
                      </w:r>
                      <w:r>
                        <w:rPr>
                          <w:sz w:val="18"/>
                          <w:szCs w:val="18"/>
                        </w:rPr>
                        <w:tab/>
                      </w:r>
                      <w:r>
                        <w:rPr>
                          <w:sz w:val="18"/>
                          <w:szCs w:val="18"/>
                        </w:rPr>
                        <w:tab/>
                      </w:r>
                    </w:p>
                  </w:txbxContent>
                </v:textbox>
              </v:shape>
            </w:pict>
          </mc:Fallback>
        </mc:AlternateContent>
      </w:r>
      <w:r w:rsidRPr="004F5FB4">
        <w:rPr>
          <w:noProof/>
          <w:color w:val="000000"/>
        </w:rPr>
        <mc:AlternateContent>
          <mc:Choice Requires="wps">
            <w:drawing>
              <wp:anchor distT="0" distB="0" distL="114300" distR="114300" simplePos="0" relativeHeight="251658275" behindDoc="0" locked="0" layoutInCell="1" allowOverlap="1" wp14:anchorId="3C8447ED" wp14:editId="5A794B5E">
                <wp:simplePos x="0" y="0"/>
                <wp:positionH relativeFrom="column">
                  <wp:posOffset>2459355</wp:posOffset>
                </wp:positionH>
                <wp:positionV relativeFrom="paragraph">
                  <wp:posOffset>2433320</wp:posOffset>
                </wp:positionV>
                <wp:extent cx="1181100" cy="196215"/>
                <wp:effectExtent l="0" t="0" r="0" b="0"/>
                <wp:wrapNone/>
                <wp:docPr id="267"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5A9FAA8E" w14:textId="77777777" w:rsidR="008F3710" w:rsidRPr="007C4B2C" w:rsidRDefault="008F3710" w:rsidP="00172DF4">
                            <w:pPr>
                              <w:rPr>
                                <w:b/>
                                <w:bCs/>
                                <w:sz w:val="16"/>
                                <w:szCs w:val="16"/>
                              </w:rPr>
                            </w:pPr>
                            <w:r>
                              <w:rPr>
                                <w:b/>
                                <w:bCs/>
                                <w:sz w:val="16"/>
                                <w:szCs w:val="16"/>
                              </w:rPr>
                              <w:t>DAUER (MONATE)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447ED" id="Text Box 235" o:spid="_x0000_s1063" type="#_x0000_t202" style="position:absolute;margin-left:193.65pt;margin-top:191.6pt;width:93pt;height:15.4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" stroked="f">
                <v:textbox>
                  <w:txbxContent>
                    <w:p w14:paraId="5A9FAA8E" w14:textId="77777777" w:rsidR="008F3710" w:rsidRPr="007C4B2C" w:rsidRDefault="008F3710" w:rsidP="00172DF4">
                      <w:pPr>
                        <w:rPr>
                          <w:b/>
                          <w:bCs/>
                          <w:sz w:val="16"/>
                          <w:szCs w:val="16"/>
                        </w:rPr>
                      </w:pPr>
                      <w:r>
                        <w:rPr>
                          <w:b/>
                          <w:bCs/>
                          <w:sz w:val="16"/>
                          <w:szCs w:val="16"/>
                        </w:rPr>
                        <w:t>DAUER (MONATE)</w:t>
                      </w:r>
                    </w:p>
                  </w:txbxContent>
                </v:textbox>
              </v:shape>
            </w:pict>
          </mc:Fallback>
        </mc:AlternateContent>
      </w:r>
      <w:r w:rsidRPr="004F5FB4">
        <w:rPr>
          <w:noProof/>
          <w:color w:val="000000"/>
          <w:lang w:eastAsia="de-DE"/>
        </w:rPr>
        <w:drawing>
          <wp:inline distT="0" distB="0" distL="0" distR="0" wp14:anchorId="1EE5A9D4" wp14:editId="65D07083">
            <wp:extent cx="5905500" cy="280987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00" cy="2809875"/>
                    </a:xfrm>
                    <a:prstGeom prst="rect">
                      <a:avLst/>
                    </a:prstGeom>
                    <a:noFill/>
                    <a:ln>
                      <a:noFill/>
                    </a:ln>
                  </pic:spPr>
                </pic:pic>
              </a:graphicData>
            </a:graphic>
          </wp:inline>
        </w:drawing>
      </w:r>
    </w:p>
    <w:p w14:paraId="1DA03B7F" w14:textId="77777777" w:rsidR="00C46587" w:rsidRPr="00206AEA" w:rsidRDefault="00C46587" w:rsidP="00982118">
      <w:pPr>
        <w:rPr>
          <w:color w:val="000000"/>
          <w:sz w:val="20"/>
          <w:szCs w:val="20"/>
        </w:rPr>
      </w:pPr>
      <w:r w:rsidRPr="00206AEA">
        <w:rPr>
          <w:color w:val="000000"/>
          <w:sz w:val="20"/>
          <w:szCs w:val="20"/>
        </w:rPr>
        <w:t>Hinweis: P# = Placebo (Anzahl Ereignisse/</w:t>
      </w:r>
      <w:r w:rsidR="00E27608" w:rsidRPr="00206AEA">
        <w:rPr>
          <w:color w:val="000000"/>
          <w:sz w:val="20"/>
          <w:szCs w:val="20"/>
        </w:rPr>
        <w:t xml:space="preserve"> </w:t>
      </w:r>
      <w:r w:rsidRPr="00206AEA">
        <w:rPr>
          <w:color w:val="000000"/>
          <w:sz w:val="20"/>
          <w:szCs w:val="20"/>
        </w:rPr>
        <w:t>Anzahl Risikopatienten); A# = Adalimumab (Anzahl Ereignisse/</w:t>
      </w:r>
      <w:r w:rsidR="00E27608" w:rsidRPr="00206AEA">
        <w:rPr>
          <w:color w:val="000000"/>
          <w:sz w:val="20"/>
          <w:szCs w:val="20"/>
        </w:rPr>
        <w:t xml:space="preserve"> </w:t>
      </w:r>
      <w:r w:rsidRPr="00206AEA">
        <w:rPr>
          <w:color w:val="000000"/>
          <w:sz w:val="20"/>
          <w:szCs w:val="20"/>
        </w:rPr>
        <w:t>Anzahl Risikopatienten)</w:t>
      </w:r>
    </w:p>
    <w:p w14:paraId="27173A33" w14:textId="77777777" w:rsidR="00914F4E" w:rsidRPr="004F5FB4" w:rsidRDefault="00914F4E" w:rsidP="00982118">
      <w:pPr>
        <w:rPr>
          <w:color w:val="000000"/>
        </w:rPr>
      </w:pPr>
    </w:p>
    <w:p w14:paraId="41207FCF" w14:textId="77777777" w:rsidR="00914F4E" w:rsidRPr="004F5FB4" w:rsidRDefault="00914F4E" w:rsidP="00982118">
      <w:pPr>
        <w:rPr>
          <w:color w:val="000000"/>
        </w:rPr>
      </w:pPr>
      <w:r w:rsidRPr="004F5FB4">
        <w:rPr>
          <w:color w:val="000000"/>
        </w:rPr>
        <w:t>In der Studie UV</w:t>
      </w:r>
      <w:r w:rsidR="008F0199" w:rsidRPr="004F5FB4">
        <w:rPr>
          <w:color w:val="000000"/>
        </w:rPr>
        <w:t> </w:t>
      </w:r>
      <w:r w:rsidRPr="004F5FB4">
        <w:rPr>
          <w:color w:val="000000"/>
        </w:rPr>
        <w:t>I wurden für jede Komponente des Behandlungsversagens statistisch signifikante Unterschiede zugunsten von Adalimumab gegenüber Placebo festgestellt. In der Studie UV</w:t>
      </w:r>
      <w:r w:rsidR="008F0199" w:rsidRPr="004F5FB4">
        <w:rPr>
          <w:color w:val="000000"/>
        </w:rPr>
        <w:t> </w:t>
      </w:r>
      <w:r w:rsidRPr="004F5FB4">
        <w:rPr>
          <w:color w:val="000000"/>
        </w:rPr>
        <w:t xml:space="preserve">II wurden statistisch signifikante Unterschiede nur für die Sehschärfe festgestellt, doch die Ergebnisse der anderen Komponenten fielen numerisch zugunsten von Adalimumab aus. </w:t>
      </w:r>
    </w:p>
    <w:p w14:paraId="16D3F467" w14:textId="77777777" w:rsidR="00914F4E" w:rsidRPr="004F5FB4" w:rsidRDefault="00914F4E" w:rsidP="00982118">
      <w:pPr>
        <w:rPr>
          <w:color w:val="000000"/>
        </w:rPr>
      </w:pPr>
    </w:p>
    <w:p w14:paraId="5C53E2D7" w14:textId="77777777" w:rsidR="00652710" w:rsidRPr="004F5FB4" w:rsidRDefault="00652710" w:rsidP="00652710">
      <w:pPr>
        <w:pStyle w:val="BodyText"/>
        <w:widowControl/>
        <w:kinsoku w:val="0"/>
        <w:overflowPunct w:val="0"/>
        <w:ind w:left="0"/>
        <w:rPr>
          <w:color w:val="000000"/>
        </w:rPr>
      </w:pPr>
      <w:r w:rsidRPr="004F5FB4">
        <w:rPr>
          <w:color w:val="000000"/>
        </w:rPr>
        <w:t xml:space="preserve">Von den 424 Studienteilnehmern, die in die unkontrollierte Langzeit-Fortsetzungsstudie von den Studien UV I und UV II eingeschlossen waren, erwiesen sich 60 Studienteilnehmer als nicht auswertbar (z. B. aufgrund von Abweichungen oder durch Komplikationen nachrangig einer diabetischen Retinopathie, die auf eine Operation des grauen Stars oder Glaskörperentfernung zurückzuführen waren). Sie wurden deshalb von der primären Wirksamkeitsanalyse ausgeschlossen. Von den 364 verbleibenden Patienten waren 269 Patienten (74 %) nach 78 Wochen noch auf Adalimumab-Therapie. Basierend auf dem betrachteten datenbasierten Ansatz waren 216 (80,3 %) Patienten symptomfrei (keine aktiven entzündlichen Läsionen, Grad der Vorderkammerzellen ≤ 0,5+, Grad der Glaskörpertrübung ≤ 0,5+) mit einer einhergehenden Steroiddosis ≤ 7,5 mg pro Tag und 178 (66,2 %) waren in einer steroidfreien Ruhephase. In Woche 78 wurde bei 88,6 % der Augen der </w:t>
      </w:r>
      <w:r w:rsidRPr="004F5FB4">
        <w:rPr>
          <w:color w:val="000000"/>
        </w:rPr>
        <w:lastRenderedPageBreak/>
        <w:t>bestkorrigierte Visus (</w:t>
      </w:r>
      <w:r w:rsidRPr="004F5FB4">
        <w:rPr>
          <w:i/>
          <w:color w:val="000000"/>
        </w:rPr>
        <w:t>best corrected visual acuity</w:t>
      </w:r>
      <w:r w:rsidRPr="004F5FB4">
        <w:rPr>
          <w:color w:val="000000"/>
        </w:rPr>
        <w:t>, BCVA) entweder verbessert oder erhalten (&lt; 5 Zeichen der Verschlechterung). Die Daten, die über die Woche 78 hinaus erhoben wurden, waren im Allgemeinen übereinstimmend mit diesen Daten, aber die Anzahl von eingeschlossenen Studienteilnehmern war nach dieser Zeit zurückgegangen. Ursächlich für die vorzeitige Beendigung der Studie waren in 18 % der Fälle das Auftreten von Nebenwirkungen und in 8 % der Fälle ein unzureichendes Ansprechen auf die Behandlung mit Adalimumab.</w:t>
      </w:r>
    </w:p>
    <w:p w14:paraId="193240A1" w14:textId="77777777" w:rsidR="000A176B" w:rsidRPr="004F5FB4" w:rsidRDefault="000A176B" w:rsidP="00982118">
      <w:pPr>
        <w:rPr>
          <w:color w:val="000000"/>
        </w:rPr>
      </w:pPr>
    </w:p>
    <w:p w14:paraId="37E610E5" w14:textId="77777777" w:rsidR="000A176B" w:rsidRPr="004F5FB4" w:rsidRDefault="003D5162" w:rsidP="00DC3A99">
      <w:pPr>
        <w:keepNext/>
        <w:rPr>
          <w:i/>
          <w:color w:val="000000"/>
          <w:u w:val="single"/>
        </w:rPr>
      </w:pPr>
      <w:r w:rsidRPr="004F5FB4">
        <w:rPr>
          <w:i/>
          <w:color w:val="000000"/>
          <w:u w:val="single"/>
        </w:rPr>
        <w:t>Lebensqualität</w:t>
      </w:r>
    </w:p>
    <w:p w14:paraId="1022E1B5" w14:textId="77777777" w:rsidR="000A176B" w:rsidRPr="004F5FB4" w:rsidRDefault="000A176B" w:rsidP="00DC3A99">
      <w:pPr>
        <w:keepNext/>
        <w:rPr>
          <w:color w:val="000000"/>
        </w:rPr>
      </w:pPr>
    </w:p>
    <w:p w14:paraId="25399F4B" w14:textId="77777777" w:rsidR="00C46587" w:rsidRPr="004F5FB4" w:rsidRDefault="000A176B" w:rsidP="00982118">
      <w:pPr>
        <w:rPr>
          <w:color w:val="000000"/>
        </w:rPr>
      </w:pPr>
      <w:r w:rsidRPr="004F5FB4">
        <w:rPr>
          <w:color w:val="000000"/>
        </w:rPr>
        <w:t>In beiden klinischen Studien wurde die Therapiebewertung aus Patientensicht (patient reported outcome, PRO) hinsichtlich des Sehvermögens mithilfe des NEI VFQ</w:t>
      </w:r>
      <w:r w:rsidRPr="004F5FB4">
        <w:rPr>
          <w:color w:val="000000"/>
        </w:rPr>
        <w:noBreakHyphen/>
        <w:t>25 beurteilt. Bei den meisten Subscores fielen die Ergebnisse numerisch zugunsten von Adalimumab aus – ein statistisch signifikanter mittlerer Unterschied bestand in der Studie UV</w:t>
      </w:r>
      <w:r w:rsidR="00E27608" w:rsidRPr="004F5FB4">
        <w:rPr>
          <w:color w:val="000000"/>
        </w:rPr>
        <w:t> </w:t>
      </w:r>
      <w:r w:rsidRPr="004F5FB4">
        <w:rPr>
          <w:color w:val="000000"/>
        </w:rPr>
        <w:t>I beim allgemeinen Sehvermögen, bei Augenschmerzen, Nahsicht, mentaler Gesundheit und dem Gesamtscore, in der Studie UV</w:t>
      </w:r>
      <w:r w:rsidR="00E27608" w:rsidRPr="004F5FB4">
        <w:rPr>
          <w:color w:val="000000"/>
        </w:rPr>
        <w:t> </w:t>
      </w:r>
      <w:r w:rsidRPr="004F5FB4">
        <w:rPr>
          <w:color w:val="000000"/>
        </w:rPr>
        <w:t>II beim allgemeinen Sehvermögen und der mentalen Gesundheit. Weitere Wirkungen in Bezug auf das Sehvermögen fielen in der Studie UV</w:t>
      </w:r>
      <w:r w:rsidR="00E27608" w:rsidRPr="004F5FB4">
        <w:rPr>
          <w:color w:val="000000"/>
        </w:rPr>
        <w:t> </w:t>
      </w:r>
      <w:r w:rsidRPr="004F5FB4">
        <w:rPr>
          <w:color w:val="000000"/>
        </w:rPr>
        <w:t>I beim Farbsehen und in der Studie UV</w:t>
      </w:r>
      <w:r w:rsidR="00E27608" w:rsidRPr="004F5FB4">
        <w:rPr>
          <w:color w:val="000000"/>
        </w:rPr>
        <w:t> </w:t>
      </w:r>
      <w:r w:rsidRPr="004F5FB4">
        <w:rPr>
          <w:color w:val="000000"/>
        </w:rPr>
        <w:t>II beim Farbsehen, dem peripheren Sehen und der Nahsicht numerisch nicht zugunsten von Adalimumab aus.</w:t>
      </w:r>
    </w:p>
    <w:p w14:paraId="2EA0BF1D" w14:textId="77777777" w:rsidR="000A176B" w:rsidRPr="004F5FB4" w:rsidRDefault="000A176B" w:rsidP="00982118">
      <w:pPr>
        <w:rPr>
          <w:color w:val="000000"/>
        </w:rPr>
      </w:pPr>
    </w:p>
    <w:p w14:paraId="67D07E38" w14:textId="77777777" w:rsidR="00C46587" w:rsidRPr="004F5FB4" w:rsidRDefault="003D5162" w:rsidP="00982118">
      <w:pPr>
        <w:keepNext/>
        <w:rPr>
          <w:color w:val="000000"/>
          <w:u w:val="single"/>
        </w:rPr>
      </w:pPr>
      <w:r w:rsidRPr="004F5FB4">
        <w:rPr>
          <w:color w:val="000000"/>
          <w:u w:val="single"/>
        </w:rPr>
        <w:t>Immunogenität</w:t>
      </w:r>
    </w:p>
    <w:p w14:paraId="44871D82" w14:textId="77777777" w:rsidR="00C46587" w:rsidRPr="004F5FB4" w:rsidRDefault="00C46587" w:rsidP="00982118">
      <w:pPr>
        <w:keepNext/>
        <w:rPr>
          <w:color w:val="000000"/>
        </w:rPr>
      </w:pPr>
    </w:p>
    <w:p w14:paraId="0E83E50A" w14:textId="77777777" w:rsidR="00C46587" w:rsidRPr="004F5FB4" w:rsidRDefault="00CD6C45" w:rsidP="00982118">
      <w:pPr>
        <w:rPr>
          <w:color w:val="000000"/>
        </w:rPr>
      </w:pPr>
      <w:r w:rsidRPr="004F5FB4">
        <w:rPr>
          <w:color w:val="000000"/>
        </w:rPr>
        <w:t>Während der Behandlung mit Adalimumab können sich Anti-Adalimumab-Antikörper entwickeln. Die Bildung von Anti</w:t>
      </w:r>
      <w:r w:rsidRPr="004F5FB4">
        <w:rPr>
          <w:color w:val="000000"/>
        </w:rPr>
        <w:noBreakHyphen/>
        <w:t xml:space="preserve">Adalimumab-Antikörpern ist mit einer erhöhten Clearance und einer verminderten Wirksamkeit von Adalimumab verbunden. Zwischen der Anwesenheit von Anti-Adalimumab-Antikörpern und dem Auftreten von unerwünschten Ereignissen gibt es keinen offensichtlichen Zusammenhang. </w:t>
      </w:r>
    </w:p>
    <w:p w14:paraId="74F657D1" w14:textId="77777777" w:rsidR="00C46587" w:rsidRPr="004F5FB4" w:rsidRDefault="00C46587" w:rsidP="00982118">
      <w:pPr>
        <w:rPr>
          <w:color w:val="000000"/>
        </w:rPr>
      </w:pPr>
    </w:p>
    <w:p w14:paraId="2993ED0E" w14:textId="77777777" w:rsidR="00C46587" w:rsidRPr="004F5FB4" w:rsidRDefault="003D5162" w:rsidP="00982118">
      <w:pPr>
        <w:keepNext/>
        <w:rPr>
          <w:color w:val="000000"/>
          <w:u w:val="single"/>
        </w:rPr>
      </w:pPr>
      <w:r w:rsidRPr="004F5FB4">
        <w:rPr>
          <w:color w:val="000000"/>
          <w:u w:val="single"/>
        </w:rPr>
        <w:t>Kinder und Jugendliche</w:t>
      </w:r>
    </w:p>
    <w:p w14:paraId="2AF9FCF1" w14:textId="77777777" w:rsidR="00C46587" w:rsidRDefault="00C46587" w:rsidP="00982118">
      <w:pPr>
        <w:keepNext/>
        <w:rPr>
          <w:color w:val="000000"/>
        </w:rPr>
      </w:pPr>
    </w:p>
    <w:p w14:paraId="53696EA2" w14:textId="77777777" w:rsidR="0023205F" w:rsidRPr="0023205F" w:rsidRDefault="0023205F" w:rsidP="0023205F">
      <w:pPr>
        <w:widowControl w:val="0"/>
        <w:kinsoku w:val="0"/>
        <w:overflowPunct w:val="0"/>
        <w:rPr>
          <w:i/>
          <w:iCs/>
          <w:color w:val="000000"/>
        </w:rPr>
      </w:pPr>
      <w:bookmarkStart w:id="3" w:name="_Hlk67035106"/>
      <w:r w:rsidRPr="0023205F">
        <w:rPr>
          <w:i/>
          <w:iCs/>
          <w:color w:val="000000"/>
        </w:rPr>
        <w:t>Juvenile idiopathische Arthritis (JIA)</w:t>
      </w:r>
    </w:p>
    <w:p w14:paraId="0EC628D4" w14:textId="77777777" w:rsidR="0023205F" w:rsidRPr="0023205F" w:rsidRDefault="0023205F" w:rsidP="0023205F">
      <w:pPr>
        <w:widowControl w:val="0"/>
        <w:kinsoku w:val="0"/>
        <w:overflowPunct w:val="0"/>
        <w:rPr>
          <w:i/>
          <w:iCs/>
          <w:color w:val="000000"/>
        </w:rPr>
      </w:pPr>
    </w:p>
    <w:p w14:paraId="6318F6AD" w14:textId="77777777" w:rsidR="0023205F" w:rsidRPr="0023205F" w:rsidRDefault="0023205F" w:rsidP="0023205F">
      <w:pPr>
        <w:widowControl w:val="0"/>
        <w:kinsoku w:val="0"/>
        <w:overflowPunct w:val="0"/>
        <w:rPr>
          <w:i/>
          <w:iCs/>
          <w:color w:val="000000"/>
          <w:u w:val="single"/>
        </w:rPr>
      </w:pPr>
      <w:r w:rsidRPr="0023205F">
        <w:rPr>
          <w:i/>
          <w:iCs/>
          <w:color w:val="000000"/>
          <w:u w:val="single"/>
        </w:rPr>
        <w:t>Polyartikuläre juvenile idiopathische Arthritis (pJIA)</w:t>
      </w:r>
    </w:p>
    <w:p w14:paraId="4FBC2463" w14:textId="77777777" w:rsidR="0023205F" w:rsidRPr="0023205F" w:rsidRDefault="0023205F" w:rsidP="0023205F">
      <w:pPr>
        <w:widowControl w:val="0"/>
        <w:kinsoku w:val="0"/>
        <w:overflowPunct w:val="0"/>
        <w:rPr>
          <w:color w:val="000000"/>
        </w:rPr>
      </w:pPr>
    </w:p>
    <w:p w14:paraId="7FCCC620" w14:textId="77777777" w:rsidR="0023205F" w:rsidRPr="0023205F" w:rsidRDefault="0023205F" w:rsidP="0023205F">
      <w:pPr>
        <w:widowControl w:val="0"/>
        <w:kinsoku w:val="0"/>
        <w:overflowPunct w:val="0"/>
        <w:rPr>
          <w:color w:val="000000"/>
        </w:rPr>
      </w:pPr>
      <w:r w:rsidRPr="0023205F">
        <w:rPr>
          <w:color w:val="000000"/>
        </w:rPr>
        <w:t>Die Sicherheit und Wirksamkeit von Adalimumab wurden in zwei Studien (pJIA I und II) an Kindern mit aktiver polyartikulärer juveniler idiopathischer Arthritis oder polyartikulärem Verlauf untersucht, die zu Erkrankungsbeginn verschiedene Subtypen der juvenilen idiopathischen Arthritis aufwiesen (am häufigsten waren Rheumafaktor-negative oder -positive Polyarthritis und erweiterte Oligoarthritis).</w:t>
      </w:r>
    </w:p>
    <w:p w14:paraId="6DD9A37F" w14:textId="77777777" w:rsidR="0023205F" w:rsidRPr="0023205F" w:rsidRDefault="0023205F" w:rsidP="0023205F">
      <w:pPr>
        <w:widowControl w:val="0"/>
        <w:kinsoku w:val="0"/>
        <w:overflowPunct w:val="0"/>
        <w:rPr>
          <w:color w:val="000000"/>
        </w:rPr>
      </w:pPr>
    </w:p>
    <w:p w14:paraId="5162324D" w14:textId="77777777" w:rsidR="0023205F" w:rsidRPr="0023205F" w:rsidRDefault="0023205F" w:rsidP="0023205F">
      <w:pPr>
        <w:widowControl w:val="0"/>
        <w:kinsoku w:val="0"/>
        <w:overflowPunct w:val="0"/>
        <w:rPr>
          <w:color w:val="000000"/>
        </w:rPr>
      </w:pPr>
      <w:r w:rsidRPr="0023205F">
        <w:rPr>
          <w:color w:val="000000"/>
        </w:rPr>
        <w:t>pJIA I</w:t>
      </w:r>
    </w:p>
    <w:p w14:paraId="3F3094DB" w14:textId="77777777" w:rsidR="0023205F" w:rsidRPr="0023205F" w:rsidRDefault="0023205F" w:rsidP="0023205F">
      <w:pPr>
        <w:widowControl w:val="0"/>
        <w:kinsoku w:val="0"/>
        <w:overflowPunct w:val="0"/>
        <w:rPr>
          <w:color w:val="000000"/>
        </w:rPr>
      </w:pPr>
    </w:p>
    <w:p w14:paraId="45CB6A14" w14:textId="77777777" w:rsidR="0023205F" w:rsidRPr="0023205F" w:rsidRDefault="0023205F" w:rsidP="0023205F">
      <w:pPr>
        <w:kinsoku w:val="0"/>
        <w:overflowPunct w:val="0"/>
        <w:rPr>
          <w:color w:val="000000"/>
        </w:rPr>
      </w:pPr>
      <w:r w:rsidRPr="0023205F">
        <w:rPr>
          <w:color w:val="000000"/>
        </w:rPr>
        <w:t>Die Sicherheit und Wirksamkeit von Adalimumab wurden in einer multizentrischen, randomisierten, doppelblinden Parallelgruppenstudie an 171 Kindern und Jugendlichen (4 – 17 Jahre alt) mit polyartikulärer JIA untersucht. In der offenen Einleitungsphase (OL-LI) wurden die Patienten in zwei Gruppen stratifiziert: mit Methotrexat (MTX) behandelte oder nicht mit MTX behandelte Patienten. Patienten, die im Nicht-MTX-Arm waren, waren entweder MTX-naiv oder MTX war mindestens zwei Wochen vor Verabreichung der Studienmedikation abgesetzt worden. Die Patienten erhielten stabile Dosen eines nicht steroidalen Antirheumatikums (NSAR) und/oder Prednison (≤ 0,2 mg/kg/Tag oder maximal 10 mg/Tag). In der OL-LI-Phase erhielten alle Patienten 16 Wochen lang 24 mg/m</w:t>
      </w:r>
      <w:r w:rsidRPr="0023205F">
        <w:rPr>
          <w:color w:val="000000"/>
          <w:vertAlign w:val="superscript"/>
        </w:rPr>
        <w:t>2</w:t>
      </w:r>
      <w:r w:rsidRPr="0023205F">
        <w:rPr>
          <w:color w:val="000000"/>
        </w:rPr>
        <w:t xml:space="preserve"> bis zu einer Maximaldosis von 40 mg Adalimumab jede zweite Woche. Die Patientenverteilung nach Alter und minimaler, mittlerer und maximaler Dosis, wie sie während der OL-LI-Phase verabreicht wurde, ist in Tabelle </w:t>
      </w:r>
      <w:r>
        <w:rPr>
          <w:color w:val="000000"/>
        </w:rPr>
        <w:t>25</w:t>
      </w:r>
      <w:r w:rsidRPr="0023205F">
        <w:rPr>
          <w:color w:val="000000"/>
        </w:rPr>
        <w:t xml:space="preserve"> dargestellt.</w:t>
      </w:r>
    </w:p>
    <w:p w14:paraId="27B156E9" w14:textId="77777777" w:rsidR="0023205F" w:rsidRPr="0023205F" w:rsidRDefault="0023205F" w:rsidP="0023205F">
      <w:pPr>
        <w:kinsoku w:val="0"/>
        <w:overflowPunct w:val="0"/>
        <w:rPr>
          <w:color w:val="000000"/>
        </w:rPr>
      </w:pPr>
    </w:p>
    <w:p w14:paraId="595FF3B9" w14:textId="77777777" w:rsidR="0023205F" w:rsidRPr="0023205F" w:rsidRDefault="0023205F" w:rsidP="0023205F">
      <w:pPr>
        <w:kinsoku w:val="0"/>
        <w:overflowPunct w:val="0"/>
        <w:rPr>
          <w:b/>
          <w:color w:val="000000"/>
        </w:rPr>
      </w:pPr>
      <w:r w:rsidRPr="0023205F">
        <w:rPr>
          <w:b/>
          <w:color w:val="000000"/>
        </w:rPr>
        <w:t>Tabelle </w:t>
      </w:r>
      <w:r>
        <w:rPr>
          <w:b/>
          <w:color w:val="000000"/>
        </w:rPr>
        <w:t>25</w:t>
      </w:r>
    </w:p>
    <w:p w14:paraId="5115DA32" w14:textId="77777777" w:rsidR="0023205F" w:rsidRPr="0023205F" w:rsidRDefault="0023205F" w:rsidP="0023205F">
      <w:pPr>
        <w:kinsoku w:val="0"/>
        <w:overflowPunct w:val="0"/>
        <w:rPr>
          <w:b/>
          <w:color w:val="000000"/>
        </w:rPr>
      </w:pPr>
      <w:r w:rsidRPr="0023205F">
        <w:rPr>
          <w:b/>
          <w:color w:val="000000"/>
        </w:rPr>
        <w:t>Patientenverteilung nach Alter und verabreichter Adalimumab-Dosis während der OL-LI-Phase</w:t>
      </w:r>
    </w:p>
    <w:p w14:paraId="4E608FC6" w14:textId="77777777" w:rsidR="0023205F" w:rsidRPr="0023205F" w:rsidRDefault="0023205F" w:rsidP="0023205F">
      <w:pPr>
        <w:keepNext/>
        <w:keepLines/>
        <w:kinsoku w:val="0"/>
        <w:overflowPunct w:val="0"/>
        <w:rPr>
          <w:b/>
          <w:bCs/>
          <w:color w:val="000000"/>
          <w:szCs w:val="24"/>
        </w:rPr>
      </w:pPr>
    </w:p>
    <w:tbl>
      <w:tblPr>
        <w:tblW w:w="5000" w:type="pct"/>
        <w:tblInd w:w="5" w:type="dxa"/>
        <w:tblLayout w:type="fixed"/>
        <w:tblCellMar>
          <w:left w:w="0" w:type="dxa"/>
          <w:right w:w="0" w:type="dxa"/>
        </w:tblCellMar>
        <w:tblLook w:val="0000" w:firstRow="0" w:lastRow="0" w:firstColumn="0" w:lastColumn="0" w:noHBand="0" w:noVBand="0"/>
      </w:tblPr>
      <w:tblGrid>
        <w:gridCol w:w="2389"/>
        <w:gridCol w:w="3476"/>
        <w:gridCol w:w="3200"/>
      </w:tblGrid>
      <w:tr w:rsidR="0023205F" w:rsidRPr="0023205F" w14:paraId="268493BA" w14:textId="77777777" w:rsidTr="0023205F">
        <w:tc>
          <w:tcPr>
            <w:tcW w:w="2394" w:type="dxa"/>
            <w:tcBorders>
              <w:top w:val="single" w:sz="4" w:space="0" w:color="000000"/>
              <w:left w:val="single" w:sz="4" w:space="0" w:color="000000"/>
              <w:bottom w:val="single" w:sz="4" w:space="0" w:color="000000"/>
              <w:right w:val="single" w:sz="4" w:space="0" w:color="000000"/>
            </w:tcBorders>
          </w:tcPr>
          <w:p w14:paraId="69787013" w14:textId="77777777" w:rsidR="0023205F" w:rsidRPr="0023205F" w:rsidRDefault="0023205F" w:rsidP="0023205F">
            <w:pPr>
              <w:keepNext/>
              <w:keepLines/>
              <w:kinsoku w:val="0"/>
              <w:overflowPunct w:val="0"/>
              <w:ind w:left="102"/>
              <w:jc w:val="center"/>
              <w:rPr>
                <w:rFonts w:eastAsia="Calibri"/>
                <w:b/>
                <w:color w:val="000000"/>
              </w:rPr>
            </w:pPr>
            <w:r w:rsidRPr="0023205F">
              <w:rPr>
                <w:rFonts w:eastAsia="Calibri"/>
                <w:b/>
                <w:color w:val="000000"/>
              </w:rPr>
              <w:t>Altersgruppe</w:t>
            </w:r>
          </w:p>
        </w:tc>
        <w:tc>
          <w:tcPr>
            <w:tcW w:w="3484" w:type="dxa"/>
            <w:tcBorders>
              <w:top w:val="single" w:sz="4" w:space="0" w:color="000000"/>
              <w:left w:val="single" w:sz="4" w:space="0" w:color="000000"/>
              <w:bottom w:val="single" w:sz="4" w:space="0" w:color="000000"/>
              <w:right w:val="single" w:sz="4" w:space="0" w:color="000000"/>
            </w:tcBorders>
          </w:tcPr>
          <w:p w14:paraId="4C707E3D" w14:textId="77777777" w:rsidR="0023205F" w:rsidRPr="0023205F" w:rsidRDefault="0023205F" w:rsidP="008419B6">
            <w:pPr>
              <w:keepNext/>
              <w:keepLines/>
              <w:kinsoku w:val="0"/>
              <w:overflowPunct w:val="0"/>
              <w:ind w:left="101" w:right="208"/>
              <w:jc w:val="center"/>
              <w:rPr>
                <w:rFonts w:eastAsia="Calibri"/>
                <w:b/>
                <w:color w:val="000000"/>
              </w:rPr>
            </w:pPr>
            <w:r w:rsidRPr="0023205F">
              <w:rPr>
                <w:rFonts w:eastAsia="Calibri"/>
                <w:b/>
                <w:color w:val="000000"/>
              </w:rPr>
              <w:t>Patientenanzahl zu Studienbeginn</w:t>
            </w:r>
          </w:p>
          <w:p w14:paraId="12A7D53C" w14:textId="77777777" w:rsidR="0023205F" w:rsidRPr="0023205F" w:rsidRDefault="0023205F" w:rsidP="008419B6">
            <w:pPr>
              <w:keepNext/>
              <w:keepLines/>
              <w:kinsoku w:val="0"/>
              <w:overflowPunct w:val="0"/>
              <w:ind w:left="101" w:right="208"/>
              <w:jc w:val="center"/>
              <w:rPr>
                <w:rFonts w:eastAsia="Calibri"/>
                <w:b/>
                <w:color w:val="000000"/>
              </w:rPr>
            </w:pPr>
            <w:r w:rsidRPr="0023205F">
              <w:rPr>
                <w:rFonts w:eastAsia="Calibri"/>
                <w:b/>
                <w:color w:val="000000"/>
              </w:rPr>
              <w:t>n (%)</w:t>
            </w:r>
          </w:p>
        </w:tc>
        <w:tc>
          <w:tcPr>
            <w:tcW w:w="3207" w:type="dxa"/>
            <w:tcBorders>
              <w:top w:val="single" w:sz="4" w:space="0" w:color="000000"/>
              <w:left w:val="single" w:sz="4" w:space="0" w:color="000000"/>
              <w:bottom w:val="single" w:sz="4" w:space="0" w:color="000000"/>
              <w:right w:val="single" w:sz="4" w:space="0" w:color="000000"/>
            </w:tcBorders>
          </w:tcPr>
          <w:p w14:paraId="4BAC27ED" w14:textId="77777777" w:rsidR="0023205F" w:rsidRPr="0023205F" w:rsidRDefault="0023205F" w:rsidP="0023205F">
            <w:pPr>
              <w:keepNext/>
              <w:keepLines/>
              <w:kinsoku w:val="0"/>
              <w:overflowPunct w:val="0"/>
              <w:ind w:left="102" w:right="165"/>
              <w:jc w:val="center"/>
              <w:rPr>
                <w:rFonts w:eastAsia="Calibri"/>
                <w:b/>
                <w:color w:val="000000"/>
              </w:rPr>
            </w:pPr>
            <w:r w:rsidRPr="0023205F">
              <w:rPr>
                <w:rFonts w:eastAsia="Calibri"/>
                <w:b/>
                <w:color w:val="000000"/>
              </w:rPr>
              <w:t>Minimale, mittlere und maximale Dosis</w:t>
            </w:r>
          </w:p>
        </w:tc>
      </w:tr>
      <w:tr w:rsidR="0023205F" w:rsidRPr="0023205F" w14:paraId="3619CFC6" w14:textId="77777777" w:rsidTr="0023205F">
        <w:tc>
          <w:tcPr>
            <w:tcW w:w="2394" w:type="dxa"/>
            <w:tcBorders>
              <w:top w:val="single" w:sz="4" w:space="0" w:color="000000"/>
              <w:left w:val="single" w:sz="4" w:space="0" w:color="000000"/>
              <w:bottom w:val="single" w:sz="4" w:space="0" w:color="000000"/>
              <w:right w:val="single" w:sz="4" w:space="0" w:color="000000"/>
            </w:tcBorders>
          </w:tcPr>
          <w:p w14:paraId="47241E3C" w14:textId="77777777" w:rsidR="0023205F" w:rsidRPr="0023205F" w:rsidRDefault="0023205F" w:rsidP="0023205F">
            <w:pPr>
              <w:kinsoku w:val="0"/>
              <w:overflowPunct w:val="0"/>
              <w:ind w:left="102"/>
              <w:jc w:val="center"/>
              <w:rPr>
                <w:rFonts w:eastAsia="Calibri"/>
                <w:color w:val="000000"/>
              </w:rPr>
            </w:pPr>
            <w:r w:rsidRPr="0023205F">
              <w:rPr>
                <w:rFonts w:eastAsia="Calibri"/>
                <w:color w:val="000000"/>
              </w:rPr>
              <w:t>4 bis 7 Jahre</w:t>
            </w:r>
          </w:p>
        </w:tc>
        <w:tc>
          <w:tcPr>
            <w:tcW w:w="3484" w:type="dxa"/>
            <w:tcBorders>
              <w:top w:val="single" w:sz="4" w:space="0" w:color="000000"/>
              <w:left w:val="single" w:sz="4" w:space="0" w:color="000000"/>
              <w:bottom w:val="single" w:sz="4" w:space="0" w:color="000000"/>
              <w:right w:val="single" w:sz="4" w:space="0" w:color="000000"/>
            </w:tcBorders>
          </w:tcPr>
          <w:p w14:paraId="4FA8D191" w14:textId="77777777" w:rsidR="0023205F" w:rsidRPr="0023205F" w:rsidRDefault="0023205F" w:rsidP="0023205F">
            <w:pPr>
              <w:kinsoku w:val="0"/>
              <w:overflowPunct w:val="0"/>
              <w:ind w:left="101"/>
              <w:jc w:val="center"/>
              <w:rPr>
                <w:rFonts w:eastAsia="Calibri"/>
                <w:color w:val="000000"/>
              </w:rPr>
            </w:pPr>
            <w:r w:rsidRPr="0023205F">
              <w:rPr>
                <w:rFonts w:eastAsia="Calibri"/>
                <w:color w:val="000000"/>
              </w:rPr>
              <w:t>31 (18,1)</w:t>
            </w:r>
          </w:p>
        </w:tc>
        <w:tc>
          <w:tcPr>
            <w:tcW w:w="3207" w:type="dxa"/>
            <w:tcBorders>
              <w:top w:val="single" w:sz="4" w:space="0" w:color="000000"/>
              <w:left w:val="single" w:sz="4" w:space="0" w:color="000000"/>
              <w:bottom w:val="single" w:sz="4" w:space="0" w:color="000000"/>
              <w:right w:val="single" w:sz="4" w:space="0" w:color="000000"/>
            </w:tcBorders>
          </w:tcPr>
          <w:p w14:paraId="1A7C857D" w14:textId="77777777" w:rsidR="0023205F" w:rsidRPr="0023205F" w:rsidRDefault="0023205F" w:rsidP="0023205F">
            <w:pPr>
              <w:kinsoku w:val="0"/>
              <w:overflowPunct w:val="0"/>
              <w:ind w:left="102"/>
              <w:jc w:val="center"/>
              <w:rPr>
                <w:rFonts w:eastAsia="Calibri"/>
                <w:color w:val="000000"/>
              </w:rPr>
            </w:pPr>
            <w:r w:rsidRPr="0023205F">
              <w:rPr>
                <w:rFonts w:eastAsia="Calibri"/>
                <w:color w:val="000000"/>
              </w:rPr>
              <w:t>10, 20 und 25 mg</w:t>
            </w:r>
          </w:p>
        </w:tc>
      </w:tr>
      <w:tr w:rsidR="0023205F" w:rsidRPr="0023205F" w14:paraId="5AA0A63F" w14:textId="77777777" w:rsidTr="0023205F">
        <w:tc>
          <w:tcPr>
            <w:tcW w:w="2394" w:type="dxa"/>
            <w:tcBorders>
              <w:top w:val="single" w:sz="4" w:space="0" w:color="000000"/>
              <w:left w:val="single" w:sz="4" w:space="0" w:color="000000"/>
              <w:bottom w:val="single" w:sz="4" w:space="0" w:color="000000"/>
              <w:right w:val="single" w:sz="4" w:space="0" w:color="000000"/>
            </w:tcBorders>
          </w:tcPr>
          <w:p w14:paraId="17449DB9" w14:textId="77777777" w:rsidR="0023205F" w:rsidRPr="0023205F" w:rsidRDefault="0023205F" w:rsidP="0023205F">
            <w:pPr>
              <w:kinsoku w:val="0"/>
              <w:overflowPunct w:val="0"/>
              <w:ind w:left="102"/>
              <w:jc w:val="center"/>
              <w:rPr>
                <w:rFonts w:eastAsia="Calibri"/>
                <w:color w:val="000000"/>
              </w:rPr>
            </w:pPr>
            <w:r w:rsidRPr="0023205F">
              <w:rPr>
                <w:rFonts w:eastAsia="Calibri"/>
                <w:color w:val="000000"/>
              </w:rPr>
              <w:t>8 bis 12 Jahre</w:t>
            </w:r>
          </w:p>
        </w:tc>
        <w:tc>
          <w:tcPr>
            <w:tcW w:w="3484" w:type="dxa"/>
            <w:tcBorders>
              <w:top w:val="single" w:sz="4" w:space="0" w:color="000000"/>
              <w:left w:val="single" w:sz="4" w:space="0" w:color="000000"/>
              <w:bottom w:val="single" w:sz="4" w:space="0" w:color="000000"/>
              <w:right w:val="single" w:sz="4" w:space="0" w:color="000000"/>
            </w:tcBorders>
          </w:tcPr>
          <w:p w14:paraId="3E637DED" w14:textId="77777777" w:rsidR="0023205F" w:rsidRPr="0023205F" w:rsidRDefault="0023205F" w:rsidP="0023205F">
            <w:pPr>
              <w:kinsoku w:val="0"/>
              <w:overflowPunct w:val="0"/>
              <w:ind w:left="101"/>
              <w:jc w:val="center"/>
              <w:rPr>
                <w:rFonts w:eastAsia="Calibri"/>
                <w:color w:val="000000"/>
              </w:rPr>
            </w:pPr>
            <w:r w:rsidRPr="0023205F">
              <w:rPr>
                <w:rFonts w:eastAsia="Calibri"/>
                <w:color w:val="000000"/>
              </w:rPr>
              <w:t>71 (41,5)</w:t>
            </w:r>
          </w:p>
        </w:tc>
        <w:tc>
          <w:tcPr>
            <w:tcW w:w="3207" w:type="dxa"/>
            <w:tcBorders>
              <w:top w:val="single" w:sz="4" w:space="0" w:color="000000"/>
              <w:left w:val="single" w:sz="4" w:space="0" w:color="000000"/>
              <w:bottom w:val="single" w:sz="4" w:space="0" w:color="000000"/>
              <w:right w:val="single" w:sz="4" w:space="0" w:color="000000"/>
            </w:tcBorders>
          </w:tcPr>
          <w:p w14:paraId="09E2BE06" w14:textId="77777777" w:rsidR="0023205F" w:rsidRPr="0023205F" w:rsidRDefault="0023205F" w:rsidP="0023205F">
            <w:pPr>
              <w:kinsoku w:val="0"/>
              <w:overflowPunct w:val="0"/>
              <w:ind w:left="102"/>
              <w:jc w:val="center"/>
              <w:rPr>
                <w:rFonts w:eastAsia="Calibri"/>
                <w:color w:val="000000"/>
              </w:rPr>
            </w:pPr>
            <w:r w:rsidRPr="0023205F">
              <w:rPr>
                <w:rFonts w:eastAsia="Calibri"/>
                <w:color w:val="000000"/>
              </w:rPr>
              <w:t>20, 25 und 40 mg</w:t>
            </w:r>
          </w:p>
        </w:tc>
      </w:tr>
      <w:tr w:rsidR="0023205F" w:rsidRPr="0023205F" w14:paraId="0DFD4754" w14:textId="77777777" w:rsidTr="0023205F">
        <w:tc>
          <w:tcPr>
            <w:tcW w:w="2394" w:type="dxa"/>
            <w:tcBorders>
              <w:top w:val="single" w:sz="4" w:space="0" w:color="000000"/>
              <w:left w:val="single" w:sz="4" w:space="0" w:color="000000"/>
              <w:bottom w:val="single" w:sz="4" w:space="0" w:color="000000"/>
              <w:right w:val="single" w:sz="4" w:space="0" w:color="000000"/>
            </w:tcBorders>
          </w:tcPr>
          <w:p w14:paraId="6016B652" w14:textId="77777777" w:rsidR="0023205F" w:rsidRPr="0023205F" w:rsidRDefault="0023205F" w:rsidP="0023205F">
            <w:pPr>
              <w:kinsoku w:val="0"/>
              <w:overflowPunct w:val="0"/>
              <w:ind w:left="102"/>
              <w:jc w:val="center"/>
              <w:rPr>
                <w:rFonts w:eastAsia="Calibri"/>
                <w:color w:val="000000"/>
              </w:rPr>
            </w:pPr>
            <w:r w:rsidRPr="0023205F">
              <w:rPr>
                <w:rFonts w:eastAsia="Calibri"/>
                <w:color w:val="000000"/>
              </w:rPr>
              <w:t>13 bis 17 Jahre</w:t>
            </w:r>
          </w:p>
        </w:tc>
        <w:tc>
          <w:tcPr>
            <w:tcW w:w="3484" w:type="dxa"/>
            <w:tcBorders>
              <w:top w:val="single" w:sz="4" w:space="0" w:color="000000"/>
              <w:left w:val="single" w:sz="4" w:space="0" w:color="000000"/>
              <w:bottom w:val="single" w:sz="4" w:space="0" w:color="000000"/>
              <w:right w:val="single" w:sz="4" w:space="0" w:color="000000"/>
            </w:tcBorders>
          </w:tcPr>
          <w:p w14:paraId="625D5628" w14:textId="77777777" w:rsidR="0023205F" w:rsidRPr="0023205F" w:rsidRDefault="0023205F" w:rsidP="0023205F">
            <w:pPr>
              <w:kinsoku w:val="0"/>
              <w:overflowPunct w:val="0"/>
              <w:ind w:left="101"/>
              <w:jc w:val="center"/>
              <w:rPr>
                <w:rFonts w:eastAsia="Calibri"/>
                <w:color w:val="000000"/>
              </w:rPr>
            </w:pPr>
            <w:r w:rsidRPr="0023205F">
              <w:rPr>
                <w:rFonts w:eastAsia="Calibri"/>
                <w:color w:val="000000"/>
              </w:rPr>
              <w:t>69 (40,4)</w:t>
            </w:r>
          </w:p>
        </w:tc>
        <w:tc>
          <w:tcPr>
            <w:tcW w:w="3207" w:type="dxa"/>
            <w:tcBorders>
              <w:top w:val="single" w:sz="4" w:space="0" w:color="000000"/>
              <w:left w:val="single" w:sz="4" w:space="0" w:color="000000"/>
              <w:bottom w:val="single" w:sz="4" w:space="0" w:color="000000"/>
              <w:right w:val="single" w:sz="4" w:space="0" w:color="000000"/>
            </w:tcBorders>
          </w:tcPr>
          <w:p w14:paraId="31BF2BBA" w14:textId="77777777" w:rsidR="0023205F" w:rsidRPr="0023205F" w:rsidRDefault="0023205F" w:rsidP="0023205F">
            <w:pPr>
              <w:kinsoku w:val="0"/>
              <w:overflowPunct w:val="0"/>
              <w:ind w:left="102"/>
              <w:jc w:val="center"/>
              <w:rPr>
                <w:rFonts w:eastAsia="Calibri"/>
                <w:color w:val="000000"/>
              </w:rPr>
            </w:pPr>
            <w:r w:rsidRPr="0023205F">
              <w:rPr>
                <w:rFonts w:eastAsia="Calibri"/>
                <w:color w:val="000000"/>
              </w:rPr>
              <w:t>25, 40 und 40 mg</w:t>
            </w:r>
          </w:p>
        </w:tc>
      </w:tr>
    </w:tbl>
    <w:p w14:paraId="48A6234D" w14:textId="77777777" w:rsidR="0023205F" w:rsidRPr="0023205F" w:rsidRDefault="0023205F" w:rsidP="0023205F">
      <w:pPr>
        <w:kinsoku w:val="0"/>
        <w:overflowPunct w:val="0"/>
        <w:rPr>
          <w:bCs/>
          <w:color w:val="000000"/>
          <w:lang w:val="en-GB"/>
        </w:rPr>
      </w:pPr>
    </w:p>
    <w:p w14:paraId="28A52D3F" w14:textId="77777777" w:rsidR="0023205F" w:rsidRPr="0023205F" w:rsidRDefault="0023205F" w:rsidP="0023205F">
      <w:pPr>
        <w:kinsoku w:val="0"/>
        <w:overflowPunct w:val="0"/>
        <w:rPr>
          <w:color w:val="000000"/>
        </w:rPr>
      </w:pPr>
      <w:r w:rsidRPr="0023205F">
        <w:rPr>
          <w:color w:val="000000"/>
        </w:rPr>
        <w:t>Die Patienten, die ein pädiatrisches ACR-30-Ansprechen in Woche 16 zeigten, waren für die Randomisierung in die doppelblinde (DB-)Studienphase geeignet und erhielten entweder Adalimumab (24 mg/m</w:t>
      </w:r>
      <w:r w:rsidRPr="0023205F">
        <w:rPr>
          <w:color w:val="000000"/>
          <w:vertAlign w:val="superscript"/>
        </w:rPr>
        <w:t>2</w:t>
      </w:r>
      <w:r w:rsidRPr="0023205F">
        <w:rPr>
          <w:color w:val="000000"/>
        </w:rPr>
        <w:t xml:space="preserve"> bis zu einer maximalen </w:t>
      </w:r>
      <w:r w:rsidR="00C20DA3">
        <w:rPr>
          <w:color w:val="000000"/>
        </w:rPr>
        <w:t>Einzeld</w:t>
      </w:r>
      <w:r w:rsidR="000D3832">
        <w:rPr>
          <w:color w:val="000000"/>
        </w:rPr>
        <w:t>osis</w:t>
      </w:r>
      <w:r w:rsidRPr="0023205F">
        <w:rPr>
          <w:color w:val="000000"/>
        </w:rPr>
        <w:t xml:space="preserve"> von 40 mg) oder Placebo jede zweite Woche für weitere 32 Wochen oder bis zu einem Wiederaufflammen der Erkrankung. Kriterien für ein Wiederaufflammen der Erkrankung waren definiert als eine Verschlechterung von ≥ 30 % im Vergleich zu Studienbeginn bei ≥ 3 von 6 pädiatrischen ACR-Core-Kriterien, ≥ 2 aktive Gelenke und eine Verbesserung von &gt; 30 % in nicht mehr als einem der 6 Kriterien. Nach 32 Wochen oder bei Wiederaufflammen der Erkrankung waren die Patienten für die Überführung in die offene Fortsetzungsphase (OLE) geeignet.</w:t>
      </w:r>
    </w:p>
    <w:p w14:paraId="63C58F6B" w14:textId="77777777" w:rsidR="0023205F" w:rsidRPr="0023205F" w:rsidRDefault="0023205F" w:rsidP="0023205F">
      <w:pPr>
        <w:rPr>
          <w:color w:val="000000"/>
        </w:rPr>
      </w:pPr>
    </w:p>
    <w:p w14:paraId="2D1BEB4A" w14:textId="77777777" w:rsidR="0023205F" w:rsidRPr="0023205F" w:rsidRDefault="0023205F" w:rsidP="0023205F">
      <w:pPr>
        <w:keepNext/>
        <w:keepLines/>
        <w:kinsoku w:val="0"/>
        <w:overflowPunct w:val="0"/>
        <w:rPr>
          <w:b/>
          <w:color w:val="000000"/>
        </w:rPr>
      </w:pPr>
      <w:r w:rsidRPr="0023205F">
        <w:rPr>
          <w:b/>
          <w:color w:val="000000"/>
        </w:rPr>
        <w:t>Tabelle </w:t>
      </w:r>
      <w:r>
        <w:rPr>
          <w:b/>
          <w:color w:val="000000"/>
        </w:rPr>
        <w:t>26</w:t>
      </w:r>
    </w:p>
    <w:p w14:paraId="231E538C" w14:textId="77777777" w:rsidR="0023205F" w:rsidRPr="0023205F" w:rsidRDefault="0023205F" w:rsidP="0023205F">
      <w:pPr>
        <w:keepNext/>
        <w:keepLines/>
        <w:kinsoku w:val="0"/>
        <w:overflowPunct w:val="0"/>
        <w:rPr>
          <w:b/>
          <w:color w:val="000000"/>
        </w:rPr>
      </w:pPr>
      <w:r w:rsidRPr="0023205F">
        <w:rPr>
          <w:b/>
          <w:color w:val="000000"/>
        </w:rPr>
        <w:t>Pädiatrisches ACR-30-Ansprechen in der JIA-Studie</w:t>
      </w:r>
    </w:p>
    <w:p w14:paraId="5D77D748" w14:textId="77777777" w:rsidR="0023205F" w:rsidRPr="0023205F" w:rsidRDefault="0023205F" w:rsidP="0023205F">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1915"/>
        <w:gridCol w:w="1654"/>
        <w:gridCol w:w="1826"/>
        <w:gridCol w:w="1311"/>
      </w:tblGrid>
      <w:tr w:rsidR="0023205F" w:rsidRPr="0023205F" w14:paraId="3814F381" w14:textId="77777777" w:rsidTr="0023205F">
        <w:trPr>
          <w:tblHeader/>
        </w:trPr>
        <w:tc>
          <w:tcPr>
            <w:tcW w:w="1311" w:type="pct"/>
            <w:tcBorders>
              <w:top w:val="single" w:sz="4" w:space="0" w:color="auto"/>
              <w:left w:val="single" w:sz="4" w:space="0" w:color="auto"/>
              <w:bottom w:val="single" w:sz="4" w:space="0" w:color="auto"/>
              <w:right w:val="single" w:sz="4" w:space="0" w:color="auto"/>
            </w:tcBorders>
            <w:hideMark/>
          </w:tcPr>
          <w:p w14:paraId="598AD28D" w14:textId="77777777" w:rsidR="0023205F" w:rsidRPr="0023205F" w:rsidRDefault="0023205F" w:rsidP="0023205F">
            <w:pPr>
              <w:keepNext/>
              <w:keepLines/>
              <w:rPr>
                <w:b/>
                <w:color w:val="000000"/>
              </w:rPr>
            </w:pPr>
            <w:r w:rsidRPr="0023205F">
              <w:rPr>
                <w:b/>
                <w:color w:val="000000"/>
              </w:rPr>
              <w:t>Studienarm</w:t>
            </w:r>
          </w:p>
        </w:tc>
        <w:tc>
          <w:tcPr>
            <w:tcW w:w="1939" w:type="pct"/>
            <w:gridSpan w:val="2"/>
            <w:tcBorders>
              <w:top w:val="single" w:sz="4" w:space="0" w:color="auto"/>
              <w:left w:val="single" w:sz="4" w:space="0" w:color="auto"/>
              <w:bottom w:val="single" w:sz="4" w:space="0" w:color="auto"/>
              <w:right w:val="single" w:sz="4" w:space="0" w:color="auto"/>
            </w:tcBorders>
            <w:hideMark/>
          </w:tcPr>
          <w:p w14:paraId="3DBC4C8E" w14:textId="77777777" w:rsidR="0023205F" w:rsidRPr="0023205F" w:rsidRDefault="0023205F" w:rsidP="0023205F">
            <w:pPr>
              <w:keepNext/>
              <w:keepLines/>
              <w:jc w:val="center"/>
              <w:rPr>
                <w:b/>
                <w:color w:val="000000"/>
              </w:rPr>
            </w:pPr>
            <w:r w:rsidRPr="0023205F">
              <w:rPr>
                <w:b/>
                <w:color w:val="000000"/>
              </w:rPr>
              <w:t>Methotrexat (MTX)</w:t>
            </w:r>
          </w:p>
        </w:tc>
        <w:tc>
          <w:tcPr>
            <w:tcW w:w="1750" w:type="pct"/>
            <w:gridSpan w:val="2"/>
            <w:tcBorders>
              <w:top w:val="single" w:sz="4" w:space="0" w:color="auto"/>
              <w:left w:val="single" w:sz="4" w:space="0" w:color="auto"/>
              <w:bottom w:val="single" w:sz="4" w:space="0" w:color="auto"/>
              <w:right w:val="single" w:sz="4" w:space="0" w:color="auto"/>
            </w:tcBorders>
            <w:hideMark/>
          </w:tcPr>
          <w:p w14:paraId="7BD1BB8C" w14:textId="77777777" w:rsidR="0023205F" w:rsidRPr="0023205F" w:rsidRDefault="0023205F" w:rsidP="0023205F">
            <w:pPr>
              <w:keepNext/>
              <w:keepLines/>
              <w:jc w:val="center"/>
              <w:rPr>
                <w:b/>
                <w:color w:val="000000"/>
              </w:rPr>
            </w:pPr>
            <w:r w:rsidRPr="0023205F">
              <w:rPr>
                <w:b/>
                <w:color w:val="000000"/>
              </w:rPr>
              <w:t>Ohne MTX</w:t>
            </w:r>
          </w:p>
        </w:tc>
      </w:tr>
      <w:tr w:rsidR="0023205F" w:rsidRPr="0023205F" w14:paraId="640A2674" w14:textId="77777777" w:rsidTr="0023205F">
        <w:trPr>
          <w:tblHeader/>
        </w:trPr>
        <w:tc>
          <w:tcPr>
            <w:tcW w:w="1311" w:type="pct"/>
            <w:tcBorders>
              <w:top w:val="single" w:sz="4" w:space="0" w:color="auto"/>
              <w:left w:val="single" w:sz="4" w:space="0" w:color="auto"/>
              <w:bottom w:val="single" w:sz="4" w:space="0" w:color="auto"/>
              <w:right w:val="single" w:sz="4" w:space="0" w:color="auto"/>
            </w:tcBorders>
            <w:hideMark/>
          </w:tcPr>
          <w:p w14:paraId="16CE6944" w14:textId="77777777" w:rsidR="0023205F" w:rsidRPr="0023205F" w:rsidRDefault="0023205F" w:rsidP="0023205F">
            <w:pPr>
              <w:keepNext/>
              <w:keepLines/>
              <w:rPr>
                <w:b/>
                <w:color w:val="000000"/>
              </w:rPr>
            </w:pPr>
            <w:r w:rsidRPr="0023205F">
              <w:rPr>
                <w:b/>
                <w:color w:val="000000"/>
              </w:rPr>
              <w:t>Phase</w:t>
            </w:r>
          </w:p>
        </w:tc>
        <w:tc>
          <w:tcPr>
            <w:tcW w:w="1939" w:type="pct"/>
            <w:gridSpan w:val="2"/>
            <w:tcBorders>
              <w:top w:val="single" w:sz="4" w:space="0" w:color="auto"/>
              <w:left w:val="single" w:sz="4" w:space="0" w:color="auto"/>
              <w:bottom w:val="single" w:sz="4" w:space="0" w:color="auto"/>
              <w:right w:val="single" w:sz="4" w:space="0" w:color="auto"/>
            </w:tcBorders>
          </w:tcPr>
          <w:p w14:paraId="07A92189" w14:textId="77777777" w:rsidR="0023205F" w:rsidRPr="0023205F" w:rsidRDefault="0023205F" w:rsidP="0023205F">
            <w:pPr>
              <w:keepNext/>
              <w:keepLines/>
              <w:jc w:val="center"/>
              <w:rPr>
                <w:color w:val="000000"/>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7E783159" w14:textId="77777777" w:rsidR="0023205F" w:rsidRPr="0023205F" w:rsidRDefault="0023205F" w:rsidP="0023205F">
            <w:pPr>
              <w:keepNext/>
              <w:keepLines/>
              <w:jc w:val="center"/>
              <w:rPr>
                <w:color w:val="000000"/>
                <w:lang w:val="en-GB"/>
              </w:rPr>
            </w:pPr>
          </w:p>
        </w:tc>
      </w:tr>
      <w:tr w:rsidR="0023205F" w:rsidRPr="0023205F" w14:paraId="77A6A015" w14:textId="77777777" w:rsidTr="0023205F">
        <w:tc>
          <w:tcPr>
            <w:tcW w:w="1311" w:type="pct"/>
            <w:tcBorders>
              <w:top w:val="single" w:sz="4" w:space="0" w:color="auto"/>
              <w:left w:val="single" w:sz="4" w:space="0" w:color="auto"/>
              <w:bottom w:val="single" w:sz="4" w:space="0" w:color="auto"/>
              <w:right w:val="single" w:sz="4" w:space="0" w:color="auto"/>
            </w:tcBorders>
            <w:hideMark/>
          </w:tcPr>
          <w:p w14:paraId="74722B8B" w14:textId="77777777" w:rsidR="0023205F" w:rsidRPr="0023205F" w:rsidRDefault="0023205F" w:rsidP="0023205F">
            <w:pPr>
              <w:keepNext/>
              <w:rPr>
                <w:color w:val="000000"/>
              </w:rPr>
            </w:pPr>
            <w:r w:rsidRPr="0023205F">
              <w:rPr>
                <w:color w:val="000000"/>
              </w:rPr>
              <w:t>OL-LI 16 Wochen</w:t>
            </w:r>
          </w:p>
        </w:tc>
        <w:tc>
          <w:tcPr>
            <w:tcW w:w="1939" w:type="pct"/>
            <w:gridSpan w:val="2"/>
            <w:tcBorders>
              <w:top w:val="single" w:sz="4" w:space="0" w:color="auto"/>
              <w:left w:val="single" w:sz="4" w:space="0" w:color="auto"/>
              <w:bottom w:val="single" w:sz="4" w:space="0" w:color="auto"/>
              <w:right w:val="single" w:sz="4" w:space="0" w:color="auto"/>
            </w:tcBorders>
          </w:tcPr>
          <w:p w14:paraId="5AFD79EB" w14:textId="77777777" w:rsidR="0023205F" w:rsidRPr="0023205F" w:rsidRDefault="0023205F" w:rsidP="0023205F">
            <w:pPr>
              <w:keepNext/>
              <w:jc w:val="center"/>
              <w:rPr>
                <w:color w:val="000000"/>
                <w:lang w:val="en-GB"/>
              </w:rPr>
            </w:pPr>
          </w:p>
        </w:tc>
        <w:tc>
          <w:tcPr>
            <w:tcW w:w="1750" w:type="pct"/>
            <w:gridSpan w:val="2"/>
            <w:tcBorders>
              <w:top w:val="single" w:sz="4" w:space="0" w:color="auto"/>
              <w:left w:val="single" w:sz="4" w:space="0" w:color="auto"/>
              <w:bottom w:val="single" w:sz="4" w:space="0" w:color="auto"/>
              <w:right w:val="single" w:sz="4" w:space="0" w:color="auto"/>
            </w:tcBorders>
          </w:tcPr>
          <w:p w14:paraId="493B011D" w14:textId="77777777" w:rsidR="0023205F" w:rsidRPr="0023205F" w:rsidRDefault="0023205F" w:rsidP="0023205F">
            <w:pPr>
              <w:keepNext/>
              <w:jc w:val="center"/>
              <w:rPr>
                <w:color w:val="000000"/>
                <w:lang w:val="en-GB"/>
              </w:rPr>
            </w:pPr>
          </w:p>
        </w:tc>
      </w:tr>
      <w:tr w:rsidR="0023205F" w:rsidRPr="0023205F" w14:paraId="23610140" w14:textId="77777777" w:rsidTr="0023205F">
        <w:tc>
          <w:tcPr>
            <w:tcW w:w="1311" w:type="pct"/>
            <w:tcBorders>
              <w:top w:val="single" w:sz="4" w:space="0" w:color="auto"/>
              <w:left w:val="single" w:sz="4" w:space="0" w:color="auto"/>
              <w:bottom w:val="single" w:sz="4" w:space="0" w:color="auto"/>
              <w:right w:val="single" w:sz="4" w:space="0" w:color="auto"/>
            </w:tcBorders>
            <w:hideMark/>
          </w:tcPr>
          <w:p w14:paraId="4E582AB5" w14:textId="77777777" w:rsidR="0023205F" w:rsidRPr="0023205F" w:rsidRDefault="0023205F" w:rsidP="0023205F">
            <w:pPr>
              <w:keepNext/>
              <w:ind w:left="180"/>
              <w:rPr>
                <w:color w:val="000000"/>
              </w:rPr>
            </w:pPr>
            <w:r w:rsidRPr="0023205F">
              <w:rPr>
                <w:color w:val="000000"/>
              </w:rPr>
              <w:t>pädiatrisches ACR-30-Ansprechen (n/n)</w:t>
            </w:r>
          </w:p>
        </w:tc>
        <w:tc>
          <w:tcPr>
            <w:tcW w:w="1939" w:type="pct"/>
            <w:gridSpan w:val="2"/>
            <w:tcBorders>
              <w:top w:val="single" w:sz="4" w:space="0" w:color="auto"/>
              <w:left w:val="single" w:sz="4" w:space="0" w:color="auto"/>
              <w:bottom w:val="single" w:sz="4" w:space="0" w:color="auto"/>
              <w:right w:val="single" w:sz="4" w:space="0" w:color="auto"/>
            </w:tcBorders>
            <w:hideMark/>
          </w:tcPr>
          <w:p w14:paraId="276B3CF2" w14:textId="77777777" w:rsidR="0023205F" w:rsidRPr="0023205F" w:rsidRDefault="0023205F" w:rsidP="0023205F">
            <w:pPr>
              <w:keepNext/>
              <w:jc w:val="center"/>
              <w:rPr>
                <w:color w:val="000000"/>
              </w:rPr>
            </w:pPr>
            <w:r w:rsidRPr="0023205F">
              <w:rPr>
                <w:color w:val="000000"/>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580DC590" w14:textId="77777777" w:rsidR="0023205F" w:rsidRPr="0023205F" w:rsidRDefault="0023205F" w:rsidP="0023205F">
            <w:pPr>
              <w:keepNext/>
              <w:jc w:val="center"/>
              <w:rPr>
                <w:color w:val="000000"/>
              </w:rPr>
            </w:pPr>
            <w:r w:rsidRPr="0023205F">
              <w:rPr>
                <w:color w:val="000000"/>
              </w:rPr>
              <w:t>74,4 % (64/86)</w:t>
            </w:r>
          </w:p>
        </w:tc>
      </w:tr>
      <w:tr w:rsidR="0023205F" w:rsidRPr="0023205F" w14:paraId="6A29426E" w14:textId="77777777" w:rsidTr="0023205F">
        <w:tc>
          <w:tcPr>
            <w:tcW w:w="5000" w:type="pct"/>
            <w:gridSpan w:val="5"/>
            <w:tcBorders>
              <w:top w:val="single" w:sz="4" w:space="0" w:color="auto"/>
              <w:left w:val="single" w:sz="4" w:space="0" w:color="auto"/>
              <w:bottom w:val="single" w:sz="4" w:space="0" w:color="auto"/>
              <w:right w:val="single" w:sz="4" w:space="0" w:color="auto"/>
            </w:tcBorders>
            <w:hideMark/>
          </w:tcPr>
          <w:p w14:paraId="5B79C938" w14:textId="77777777" w:rsidR="0023205F" w:rsidRPr="0023205F" w:rsidRDefault="0023205F" w:rsidP="0023205F">
            <w:pPr>
              <w:jc w:val="center"/>
              <w:rPr>
                <w:color w:val="000000"/>
              </w:rPr>
            </w:pPr>
            <w:r w:rsidRPr="0023205F">
              <w:rPr>
                <w:color w:val="000000"/>
              </w:rPr>
              <w:t>Ergebnisse zur Wirksamkeit</w:t>
            </w:r>
          </w:p>
        </w:tc>
      </w:tr>
      <w:tr w:rsidR="0023205F" w:rsidRPr="0023205F" w14:paraId="073EDBED" w14:textId="77777777" w:rsidTr="0023205F">
        <w:tc>
          <w:tcPr>
            <w:tcW w:w="1311" w:type="pct"/>
            <w:tcBorders>
              <w:top w:val="single" w:sz="4" w:space="0" w:color="auto"/>
              <w:left w:val="single" w:sz="4" w:space="0" w:color="auto"/>
              <w:bottom w:val="single" w:sz="4" w:space="0" w:color="auto"/>
              <w:right w:val="single" w:sz="4" w:space="0" w:color="auto"/>
            </w:tcBorders>
            <w:hideMark/>
          </w:tcPr>
          <w:p w14:paraId="4BE6750A" w14:textId="77777777" w:rsidR="0023205F" w:rsidRPr="0023205F" w:rsidRDefault="0023205F" w:rsidP="0023205F">
            <w:pPr>
              <w:rPr>
                <w:color w:val="000000"/>
              </w:rPr>
            </w:pPr>
            <w:r w:rsidRPr="0023205F">
              <w:rPr>
                <w:color w:val="000000"/>
              </w:rPr>
              <w:t>Doppelblind 32 Wochen</w:t>
            </w:r>
          </w:p>
        </w:tc>
        <w:tc>
          <w:tcPr>
            <w:tcW w:w="1017" w:type="pct"/>
            <w:tcBorders>
              <w:top w:val="single" w:sz="4" w:space="0" w:color="auto"/>
              <w:left w:val="single" w:sz="4" w:space="0" w:color="auto"/>
              <w:bottom w:val="single" w:sz="4" w:space="0" w:color="auto"/>
              <w:right w:val="single" w:sz="4" w:space="0" w:color="auto"/>
            </w:tcBorders>
            <w:hideMark/>
          </w:tcPr>
          <w:p w14:paraId="6324DCDE" w14:textId="77777777" w:rsidR="0023205F" w:rsidRPr="0023205F" w:rsidRDefault="0023205F" w:rsidP="0023205F">
            <w:pPr>
              <w:jc w:val="center"/>
              <w:rPr>
                <w:color w:val="000000"/>
              </w:rPr>
            </w:pPr>
            <w:r w:rsidRPr="0023205F">
              <w:rPr>
                <w:color w:val="000000"/>
              </w:rPr>
              <w:t>Adalimumab/MTX</w:t>
            </w:r>
          </w:p>
          <w:p w14:paraId="183A217E" w14:textId="77777777" w:rsidR="0023205F" w:rsidRPr="0023205F" w:rsidRDefault="0023205F" w:rsidP="0023205F">
            <w:pPr>
              <w:jc w:val="center"/>
              <w:rPr>
                <w:color w:val="000000"/>
              </w:rPr>
            </w:pPr>
            <w:r w:rsidRPr="0023205F">
              <w:rPr>
                <w:color w:val="000000"/>
              </w:rPr>
              <w:t>(n = 38)</w:t>
            </w:r>
          </w:p>
        </w:tc>
        <w:tc>
          <w:tcPr>
            <w:tcW w:w="922" w:type="pct"/>
            <w:tcBorders>
              <w:top w:val="single" w:sz="4" w:space="0" w:color="auto"/>
              <w:left w:val="single" w:sz="4" w:space="0" w:color="auto"/>
              <w:bottom w:val="single" w:sz="4" w:space="0" w:color="auto"/>
              <w:right w:val="single" w:sz="4" w:space="0" w:color="auto"/>
            </w:tcBorders>
            <w:hideMark/>
          </w:tcPr>
          <w:p w14:paraId="0923A762" w14:textId="77777777" w:rsidR="0023205F" w:rsidRPr="0023205F" w:rsidRDefault="0023205F" w:rsidP="0023205F">
            <w:pPr>
              <w:jc w:val="center"/>
              <w:rPr>
                <w:color w:val="000000"/>
              </w:rPr>
            </w:pPr>
            <w:r w:rsidRPr="0023205F">
              <w:rPr>
                <w:color w:val="000000"/>
              </w:rPr>
              <w:t>Placebo/MTX</w:t>
            </w:r>
          </w:p>
          <w:p w14:paraId="37D90E74" w14:textId="77777777" w:rsidR="0023205F" w:rsidRPr="0023205F" w:rsidRDefault="0023205F" w:rsidP="0023205F">
            <w:pPr>
              <w:jc w:val="center"/>
              <w:rPr>
                <w:color w:val="000000"/>
              </w:rPr>
            </w:pPr>
            <w:r w:rsidRPr="0023205F">
              <w:rPr>
                <w:color w:val="000000"/>
              </w:rPr>
              <w:t>(n = 37)</w:t>
            </w:r>
          </w:p>
        </w:tc>
        <w:tc>
          <w:tcPr>
            <w:tcW w:w="1017" w:type="pct"/>
            <w:tcBorders>
              <w:top w:val="single" w:sz="4" w:space="0" w:color="auto"/>
              <w:left w:val="single" w:sz="4" w:space="0" w:color="auto"/>
              <w:bottom w:val="single" w:sz="4" w:space="0" w:color="auto"/>
              <w:right w:val="single" w:sz="4" w:space="0" w:color="auto"/>
            </w:tcBorders>
            <w:hideMark/>
          </w:tcPr>
          <w:p w14:paraId="1D0C464B" w14:textId="77777777" w:rsidR="0023205F" w:rsidRPr="0023205F" w:rsidRDefault="0023205F" w:rsidP="0023205F">
            <w:pPr>
              <w:jc w:val="center"/>
              <w:rPr>
                <w:color w:val="000000"/>
              </w:rPr>
            </w:pPr>
            <w:r w:rsidRPr="0023205F">
              <w:rPr>
                <w:color w:val="000000"/>
              </w:rPr>
              <w:t>Adalimumab</w:t>
            </w:r>
          </w:p>
          <w:p w14:paraId="7AF17007" w14:textId="77777777" w:rsidR="0023205F" w:rsidRPr="0023205F" w:rsidRDefault="0023205F" w:rsidP="0023205F">
            <w:pPr>
              <w:jc w:val="center"/>
              <w:rPr>
                <w:color w:val="000000"/>
              </w:rPr>
            </w:pPr>
            <w:r w:rsidRPr="0023205F">
              <w:rPr>
                <w:color w:val="000000"/>
              </w:rPr>
              <w:t>(n = 30)</w:t>
            </w:r>
          </w:p>
        </w:tc>
        <w:tc>
          <w:tcPr>
            <w:tcW w:w="733" w:type="pct"/>
            <w:tcBorders>
              <w:top w:val="single" w:sz="4" w:space="0" w:color="auto"/>
              <w:left w:val="single" w:sz="4" w:space="0" w:color="auto"/>
              <w:bottom w:val="single" w:sz="4" w:space="0" w:color="auto"/>
              <w:right w:val="single" w:sz="4" w:space="0" w:color="auto"/>
            </w:tcBorders>
            <w:hideMark/>
          </w:tcPr>
          <w:p w14:paraId="1B63B302" w14:textId="77777777" w:rsidR="0023205F" w:rsidRPr="0023205F" w:rsidRDefault="0023205F" w:rsidP="0023205F">
            <w:pPr>
              <w:jc w:val="center"/>
              <w:rPr>
                <w:color w:val="000000"/>
              </w:rPr>
            </w:pPr>
            <w:r w:rsidRPr="0023205F">
              <w:rPr>
                <w:color w:val="000000"/>
              </w:rPr>
              <w:t>Placebo</w:t>
            </w:r>
          </w:p>
          <w:p w14:paraId="5AD70DF2" w14:textId="77777777" w:rsidR="0023205F" w:rsidRPr="0023205F" w:rsidRDefault="0023205F" w:rsidP="0023205F">
            <w:pPr>
              <w:jc w:val="center"/>
              <w:rPr>
                <w:color w:val="000000"/>
              </w:rPr>
            </w:pPr>
            <w:r w:rsidRPr="0023205F">
              <w:rPr>
                <w:color w:val="000000"/>
              </w:rPr>
              <w:t>(n = 28)</w:t>
            </w:r>
          </w:p>
        </w:tc>
      </w:tr>
      <w:tr w:rsidR="0023205F" w:rsidRPr="0023205F" w14:paraId="7A4FB2C0" w14:textId="77777777" w:rsidTr="0023205F">
        <w:tc>
          <w:tcPr>
            <w:tcW w:w="1311" w:type="pct"/>
            <w:tcBorders>
              <w:top w:val="single" w:sz="4" w:space="0" w:color="auto"/>
              <w:left w:val="single" w:sz="4" w:space="0" w:color="auto"/>
              <w:bottom w:val="single" w:sz="4" w:space="0" w:color="auto"/>
              <w:right w:val="single" w:sz="4" w:space="0" w:color="auto"/>
            </w:tcBorders>
            <w:hideMark/>
          </w:tcPr>
          <w:p w14:paraId="1187D2DD" w14:textId="77777777" w:rsidR="0023205F" w:rsidRPr="0023205F" w:rsidRDefault="0023205F" w:rsidP="0023205F">
            <w:pPr>
              <w:ind w:left="180"/>
              <w:rPr>
                <w:color w:val="000000"/>
              </w:rPr>
            </w:pPr>
            <w:r w:rsidRPr="0023205F">
              <w:rPr>
                <w:color w:val="000000"/>
              </w:rPr>
              <w:t>Wiederaufflammen der Erkrankung nach 32 Wochen</w:t>
            </w:r>
            <w:r w:rsidRPr="0023205F">
              <w:rPr>
                <w:color w:val="000000"/>
                <w:vertAlign w:val="superscript"/>
              </w:rPr>
              <w:t>a</w:t>
            </w:r>
            <w:r w:rsidRPr="0023205F">
              <w:rPr>
                <w:color w:val="000000"/>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22B131DE" w14:textId="77777777" w:rsidR="0023205F" w:rsidRPr="0023205F" w:rsidRDefault="0023205F" w:rsidP="0023205F">
            <w:pPr>
              <w:jc w:val="center"/>
              <w:rPr>
                <w:color w:val="000000"/>
              </w:rPr>
            </w:pPr>
            <w:r w:rsidRPr="0023205F">
              <w:rPr>
                <w:color w:val="000000"/>
              </w:rPr>
              <w:t>36,8 % (14/38)</w:t>
            </w:r>
          </w:p>
        </w:tc>
        <w:tc>
          <w:tcPr>
            <w:tcW w:w="922" w:type="pct"/>
            <w:tcBorders>
              <w:top w:val="single" w:sz="4" w:space="0" w:color="auto"/>
              <w:left w:val="single" w:sz="4" w:space="0" w:color="auto"/>
              <w:bottom w:val="single" w:sz="4" w:space="0" w:color="auto"/>
              <w:right w:val="single" w:sz="4" w:space="0" w:color="auto"/>
            </w:tcBorders>
            <w:hideMark/>
          </w:tcPr>
          <w:p w14:paraId="02D2D35D" w14:textId="77777777" w:rsidR="0023205F" w:rsidRPr="0023205F" w:rsidRDefault="0023205F" w:rsidP="0023205F">
            <w:pPr>
              <w:jc w:val="center"/>
              <w:rPr>
                <w:color w:val="000000"/>
              </w:rPr>
            </w:pPr>
            <w:r w:rsidRPr="0023205F">
              <w:rPr>
                <w:color w:val="000000"/>
              </w:rPr>
              <w:t>64,9 % (24/37)</w:t>
            </w:r>
            <w:r w:rsidRPr="0023205F">
              <w:rPr>
                <w:color w:val="000000"/>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6D0355B9" w14:textId="77777777" w:rsidR="0023205F" w:rsidRPr="0023205F" w:rsidRDefault="0023205F" w:rsidP="0023205F">
            <w:pPr>
              <w:jc w:val="center"/>
              <w:rPr>
                <w:color w:val="000000"/>
              </w:rPr>
            </w:pPr>
            <w:r w:rsidRPr="0023205F">
              <w:rPr>
                <w:color w:val="000000"/>
              </w:rPr>
              <w:t>43,3 % (13/30)</w:t>
            </w:r>
          </w:p>
        </w:tc>
        <w:tc>
          <w:tcPr>
            <w:tcW w:w="733" w:type="pct"/>
            <w:tcBorders>
              <w:top w:val="single" w:sz="4" w:space="0" w:color="auto"/>
              <w:left w:val="single" w:sz="4" w:space="0" w:color="auto"/>
              <w:bottom w:val="single" w:sz="4" w:space="0" w:color="auto"/>
              <w:right w:val="single" w:sz="4" w:space="0" w:color="auto"/>
            </w:tcBorders>
            <w:hideMark/>
          </w:tcPr>
          <w:p w14:paraId="33FC8A3A" w14:textId="77777777" w:rsidR="0023205F" w:rsidRPr="0023205F" w:rsidRDefault="0023205F" w:rsidP="0023205F">
            <w:pPr>
              <w:jc w:val="center"/>
              <w:rPr>
                <w:color w:val="000000"/>
              </w:rPr>
            </w:pPr>
            <w:r w:rsidRPr="0023205F">
              <w:rPr>
                <w:color w:val="000000"/>
              </w:rPr>
              <w:t>71,4 % (20/28)</w:t>
            </w:r>
            <w:r w:rsidRPr="0023205F">
              <w:rPr>
                <w:color w:val="000000"/>
                <w:vertAlign w:val="superscript"/>
              </w:rPr>
              <w:t>c</w:t>
            </w:r>
          </w:p>
        </w:tc>
      </w:tr>
      <w:tr w:rsidR="0023205F" w:rsidRPr="0023205F" w14:paraId="5B77C70C" w14:textId="77777777" w:rsidTr="0023205F">
        <w:tc>
          <w:tcPr>
            <w:tcW w:w="1311" w:type="pct"/>
            <w:tcBorders>
              <w:top w:val="single" w:sz="4" w:space="0" w:color="auto"/>
              <w:left w:val="single" w:sz="4" w:space="0" w:color="auto"/>
              <w:bottom w:val="single" w:sz="4" w:space="0" w:color="auto"/>
              <w:right w:val="single" w:sz="4" w:space="0" w:color="auto"/>
            </w:tcBorders>
            <w:hideMark/>
          </w:tcPr>
          <w:p w14:paraId="5E896E3A" w14:textId="77777777" w:rsidR="0023205F" w:rsidRPr="0023205F" w:rsidRDefault="0023205F" w:rsidP="0023205F">
            <w:pPr>
              <w:ind w:left="180"/>
              <w:rPr>
                <w:color w:val="000000"/>
              </w:rPr>
            </w:pPr>
            <w:r w:rsidRPr="0023205F">
              <w:rPr>
                <w:color w:val="000000"/>
              </w:rPr>
              <w:t>Mittlere Zeit bis zum Wiederaufflammen der Erkrankung</w:t>
            </w:r>
          </w:p>
        </w:tc>
        <w:tc>
          <w:tcPr>
            <w:tcW w:w="1017" w:type="pct"/>
            <w:tcBorders>
              <w:top w:val="single" w:sz="4" w:space="0" w:color="auto"/>
              <w:left w:val="single" w:sz="4" w:space="0" w:color="auto"/>
              <w:bottom w:val="single" w:sz="4" w:space="0" w:color="auto"/>
              <w:right w:val="single" w:sz="4" w:space="0" w:color="auto"/>
            </w:tcBorders>
            <w:hideMark/>
          </w:tcPr>
          <w:p w14:paraId="59569849" w14:textId="77777777" w:rsidR="0023205F" w:rsidRPr="0023205F" w:rsidRDefault="0023205F" w:rsidP="0023205F">
            <w:pPr>
              <w:jc w:val="center"/>
              <w:rPr>
                <w:color w:val="000000"/>
              </w:rPr>
            </w:pPr>
            <w:r w:rsidRPr="0023205F">
              <w:rPr>
                <w:color w:val="000000"/>
              </w:rPr>
              <w:t>&gt; 32 Wochen</w:t>
            </w:r>
          </w:p>
        </w:tc>
        <w:tc>
          <w:tcPr>
            <w:tcW w:w="922" w:type="pct"/>
            <w:tcBorders>
              <w:top w:val="single" w:sz="4" w:space="0" w:color="auto"/>
              <w:left w:val="single" w:sz="4" w:space="0" w:color="auto"/>
              <w:bottom w:val="single" w:sz="4" w:space="0" w:color="auto"/>
              <w:right w:val="single" w:sz="4" w:space="0" w:color="auto"/>
            </w:tcBorders>
            <w:hideMark/>
          </w:tcPr>
          <w:p w14:paraId="6A1D13F7" w14:textId="77777777" w:rsidR="0023205F" w:rsidRPr="0023205F" w:rsidRDefault="0023205F" w:rsidP="0023205F">
            <w:pPr>
              <w:jc w:val="center"/>
              <w:rPr>
                <w:color w:val="000000"/>
              </w:rPr>
            </w:pPr>
            <w:r w:rsidRPr="0023205F">
              <w:rPr>
                <w:color w:val="000000"/>
              </w:rPr>
              <w:t>20 Wochen</w:t>
            </w:r>
          </w:p>
        </w:tc>
        <w:tc>
          <w:tcPr>
            <w:tcW w:w="1017" w:type="pct"/>
            <w:tcBorders>
              <w:top w:val="single" w:sz="4" w:space="0" w:color="auto"/>
              <w:left w:val="single" w:sz="4" w:space="0" w:color="auto"/>
              <w:bottom w:val="single" w:sz="4" w:space="0" w:color="auto"/>
              <w:right w:val="single" w:sz="4" w:space="0" w:color="auto"/>
            </w:tcBorders>
            <w:hideMark/>
          </w:tcPr>
          <w:p w14:paraId="7893D6B3" w14:textId="77777777" w:rsidR="0023205F" w:rsidRPr="0023205F" w:rsidRDefault="0023205F" w:rsidP="0023205F">
            <w:pPr>
              <w:jc w:val="center"/>
              <w:rPr>
                <w:color w:val="000000"/>
              </w:rPr>
            </w:pPr>
            <w:r w:rsidRPr="0023205F">
              <w:rPr>
                <w:color w:val="000000"/>
              </w:rPr>
              <w:t>&gt;</w:t>
            </w:r>
            <w:r w:rsidR="00C20DA3">
              <w:rPr>
                <w:color w:val="000000"/>
              </w:rPr>
              <w:t> </w:t>
            </w:r>
            <w:r w:rsidRPr="0023205F">
              <w:rPr>
                <w:color w:val="000000"/>
              </w:rPr>
              <w:t>32 Wochen</w:t>
            </w:r>
          </w:p>
        </w:tc>
        <w:tc>
          <w:tcPr>
            <w:tcW w:w="733" w:type="pct"/>
            <w:tcBorders>
              <w:top w:val="single" w:sz="4" w:space="0" w:color="auto"/>
              <w:left w:val="single" w:sz="4" w:space="0" w:color="auto"/>
              <w:bottom w:val="single" w:sz="4" w:space="0" w:color="auto"/>
              <w:right w:val="single" w:sz="4" w:space="0" w:color="auto"/>
            </w:tcBorders>
            <w:hideMark/>
          </w:tcPr>
          <w:p w14:paraId="5AA0876A" w14:textId="77777777" w:rsidR="0023205F" w:rsidRPr="0023205F" w:rsidRDefault="0023205F" w:rsidP="0023205F">
            <w:pPr>
              <w:jc w:val="center"/>
              <w:rPr>
                <w:color w:val="000000"/>
              </w:rPr>
            </w:pPr>
            <w:r w:rsidRPr="0023205F">
              <w:rPr>
                <w:color w:val="000000"/>
              </w:rPr>
              <w:t>14 Wochen</w:t>
            </w:r>
          </w:p>
        </w:tc>
      </w:tr>
      <w:tr w:rsidR="0023205F" w:rsidRPr="0023205F" w14:paraId="536F7FE2" w14:textId="77777777" w:rsidTr="0023205F">
        <w:tc>
          <w:tcPr>
            <w:tcW w:w="5000" w:type="pct"/>
            <w:gridSpan w:val="5"/>
            <w:tcBorders>
              <w:top w:val="single" w:sz="4" w:space="0" w:color="auto"/>
              <w:left w:val="nil"/>
              <w:bottom w:val="nil"/>
              <w:right w:val="nil"/>
            </w:tcBorders>
          </w:tcPr>
          <w:p w14:paraId="1D1BF386" w14:textId="77777777" w:rsidR="0023205F" w:rsidRPr="00206AEA" w:rsidRDefault="0023205F" w:rsidP="0023205F">
            <w:pPr>
              <w:kinsoku w:val="0"/>
              <w:overflowPunct w:val="0"/>
              <w:ind w:left="270" w:hanging="270"/>
              <w:rPr>
                <w:color w:val="000000"/>
                <w:sz w:val="20"/>
              </w:rPr>
            </w:pPr>
            <w:r w:rsidRPr="00206AEA">
              <w:rPr>
                <w:color w:val="000000"/>
                <w:sz w:val="20"/>
                <w:vertAlign w:val="superscript"/>
              </w:rPr>
              <w:t>a</w:t>
            </w:r>
            <w:r w:rsidRPr="00206AEA">
              <w:rPr>
                <w:color w:val="000000"/>
                <w:sz w:val="20"/>
              </w:rPr>
              <w:t xml:space="preserve"> </w:t>
            </w:r>
            <w:r w:rsidRPr="00206AEA">
              <w:rPr>
                <w:color w:val="000000"/>
                <w:sz w:val="20"/>
              </w:rPr>
              <w:tab/>
              <w:t>pädiatrisches ACR-30/50/70-Ansprechen in Woche 48 war signifikant größer als bei mit Placebo behandelten Patienten</w:t>
            </w:r>
          </w:p>
          <w:p w14:paraId="545A1F30" w14:textId="77777777" w:rsidR="0023205F" w:rsidRPr="00206AEA" w:rsidRDefault="0023205F" w:rsidP="0023205F">
            <w:pPr>
              <w:kinsoku w:val="0"/>
              <w:overflowPunct w:val="0"/>
              <w:ind w:left="270" w:hanging="270"/>
              <w:rPr>
                <w:color w:val="000000"/>
                <w:sz w:val="20"/>
              </w:rPr>
            </w:pPr>
            <w:r w:rsidRPr="00206AEA">
              <w:rPr>
                <w:color w:val="000000"/>
                <w:sz w:val="20"/>
                <w:vertAlign w:val="superscript"/>
              </w:rPr>
              <w:t>b</w:t>
            </w:r>
            <w:r w:rsidRPr="00206AEA">
              <w:rPr>
                <w:color w:val="000000"/>
                <w:sz w:val="20"/>
              </w:rPr>
              <w:t xml:space="preserve"> </w:t>
            </w:r>
            <w:r w:rsidRPr="00206AEA">
              <w:rPr>
                <w:color w:val="000000"/>
                <w:sz w:val="20"/>
              </w:rPr>
              <w:tab/>
              <w:t>p = 0,015</w:t>
            </w:r>
          </w:p>
          <w:p w14:paraId="206B6788" w14:textId="77777777" w:rsidR="0023205F" w:rsidRPr="00206AEA" w:rsidRDefault="0023205F" w:rsidP="0023205F">
            <w:pPr>
              <w:kinsoku w:val="0"/>
              <w:overflowPunct w:val="0"/>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 p = 0,031</w:t>
            </w:r>
          </w:p>
        </w:tc>
      </w:tr>
    </w:tbl>
    <w:p w14:paraId="7789D2C5" w14:textId="77777777" w:rsidR="0023205F" w:rsidRPr="0023205F" w:rsidRDefault="0023205F" w:rsidP="0023205F">
      <w:pPr>
        <w:kinsoku w:val="0"/>
        <w:overflowPunct w:val="0"/>
        <w:rPr>
          <w:color w:val="000000"/>
          <w:lang w:val="en-GB"/>
        </w:rPr>
      </w:pPr>
    </w:p>
    <w:p w14:paraId="7D67CF51" w14:textId="77777777" w:rsidR="0023205F" w:rsidRPr="0023205F" w:rsidRDefault="0023205F" w:rsidP="0023205F">
      <w:pPr>
        <w:kinsoku w:val="0"/>
        <w:overflowPunct w:val="0"/>
        <w:rPr>
          <w:color w:val="000000"/>
        </w:rPr>
      </w:pPr>
      <w:r w:rsidRPr="0023205F">
        <w:rPr>
          <w:color w:val="000000"/>
        </w:rPr>
        <w:t>Unter den Patienten, die in Woche 16 (n = 144) ansprachen, wurde das pädiatrische ACR-30/50/70/90-Ansprechen für bis zu sechs Jahre in der OLE-Phase bei denjenigen aufrechterhalten, die Adalimumab während der ganzen Studie über erhielten. Insgesamt wurden 19 Patienten (11 zu Studienbeginn in der Altersgruppe von 4 bis 12 Jahren und 8 zu Studienbeginn in der Altersgruppe von 13 bis 17 Jahren) 6 Jahre oder länger behandelt.</w:t>
      </w:r>
    </w:p>
    <w:p w14:paraId="12894B18" w14:textId="77777777" w:rsidR="0023205F" w:rsidRPr="0023205F" w:rsidRDefault="0023205F" w:rsidP="0023205F">
      <w:pPr>
        <w:kinsoku w:val="0"/>
        <w:overflowPunct w:val="0"/>
        <w:rPr>
          <w:color w:val="000000"/>
        </w:rPr>
      </w:pPr>
    </w:p>
    <w:p w14:paraId="38128427" w14:textId="77777777" w:rsidR="0023205F" w:rsidRPr="0023205F" w:rsidRDefault="0023205F" w:rsidP="0023205F">
      <w:pPr>
        <w:kinsoku w:val="0"/>
        <w:overflowPunct w:val="0"/>
        <w:rPr>
          <w:color w:val="000000"/>
        </w:rPr>
      </w:pPr>
      <w:r w:rsidRPr="0023205F">
        <w:rPr>
          <w:color w:val="000000"/>
        </w:rPr>
        <w:t>Das Gesamtansprechen bei der Kombinationstherapie von Adalimumab und MTX war allgemein besser und weniger Patienten entwickelten Antikörper im Vergleich zur Adalimumab-Monotherapie. Unter Berücksichtigung dieser Ergebnisse wird der Einsatz von Adalimumab in Kombination mit MTX empfohlen. Bei Patienten, bei denen der MTX-Einsatz nicht geeignet ist, wird eine Monotherapie mit Adalimumab empfohlen (siehe Abschnitt 4.2).</w:t>
      </w:r>
    </w:p>
    <w:p w14:paraId="39649AFE" w14:textId="77777777" w:rsidR="0023205F" w:rsidRPr="0023205F" w:rsidRDefault="0023205F" w:rsidP="0023205F">
      <w:pPr>
        <w:rPr>
          <w:color w:val="000000"/>
        </w:rPr>
      </w:pPr>
    </w:p>
    <w:p w14:paraId="639ADF68" w14:textId="77777777" w:rsidR="0023205F" w:rsidRPr="0023205F" w:rsidRDefault="0023205F" w:rsidP="0023205F">
      <w:pPr>
        <w:keepNext/>
        <w:kinsoku w:val="0"/>
        <w:overflowPunct w:val="0"/>
        <w:rPr>
          <w:color w:val="000000"/>
        </w:rPr>
      </w:pPr>
      <w:r w:rsidRPr="0023205F">
        <w:rPr>
          <w:color w:val="000000"/>
        </w:rPr>
        <w:t>pJIA II</w:t>
      </w:r>
    </w:p>
    <w:p w14:paraId="47799084" w14:textId="77777777" w:rsidR="0023205F" w:rsidRPr="0023205F" w:rsidRDefault="0023205F" w:rsidP="0023205F">
      <w:pPr>
        <w:keepNext/>
        <w:kinsoku w:val="0"/>
        <w:overflowPunct w:val="0"/>
        <w:rPr>
          <w:color w:val="000000"/>
        </w:rPr>
      </w:pPr>
    </w:p>
    <w:p w14:paraId="1DA9FBD6" w14:textId="77777777" w:rsidR="0023205F" w:rsidRPr="0023205F" w:rsidRDefault="0023205F" w:rsidP="0023205F">
      <w:pPr>
        <w:kinsoku w:val="0"/>
        <w:overflowPunct w:val="0"/>
        <w:rPr>
          <w:color w:val="000000"/>
        </w:rPr>
      </w:pPr>
      <w:r w:rsidRPr="0023205F">
        <w:rPr>
          <w:color w:val="000000"/>
        </w:rPr>
        <w:t xml:space="preserve">Die Sicherheit und Wirksamkeit von Adalimumab wurden in einer offenen, multizentrischen Studie an 32 Kleinkindern/Kindern (im Alter von 2 – &lt; 4 Jahren oder im Alter von 4 Jahren und älter mit einem Körpergewicht &lt; 15 kg) mit mittelschwerer bis schwerer aktiver polyartikulärer JIA untersucht. Die </w:t>
      </w:r>
      <w:r w:rsidRPr="0023205F">
        <w:rPr>
          <w:color w:val="000000"/>
        </w:rPr>
        <w:lastRenderedPageBreak/>
        <w:t>Patienten erhielten als Einzeldosis mittels subkutaner Injektion mindestens 24 Wochen lang jede zweite Woche 24 mg Adalimumab/m</w:t>
      </w:r>
      <w:r w:rsidRPr="0023205F">
        <w:rPr>
          <w:color w:val="000000"/>
          <w:vertAlign w:val="superscript"/>
        </w:rPr>
        <w:t>2</w:t>
      </w:r>
      <w:r w:rsidRPr="0023205F">
        <w:rPr>
          <w:color w:val="000000"/>
        </w:rPr>
        <w:t xml:space="preserve"> Körperoberfläche bis zu einer maximalen Dosis von 20 mg. Während der Studie verwendeten die meisten Patienten eine MTX-Begleittherapie, die Anwendung von </w:t>
      </w:r>
      <w:r w:rsidR="00C20DA3">
        <w:rPr>
          <w:color w:val="000000"/>
        </w:rPr>
        <w:t>K</w:t>
      </w:r>
      <w:r w:rsidRPr="0023205F">
        <w:rPr>
          <w:color w:val="000000"/>
        </w:rPr>
        <w:t>ortiko</w:t>
      </w:r>
      <w:r w:rsidR="00C20DA3">
        <w:rPr>
          <w:color w:val="000000"/>
        </w:rPr>
        <w:t>stero</w:t>
      </w:r>
      <w:r w:rsidRPr="0023205F">
        <w:rPr>
          <w:color w:val="000000"/>
        </w:rPr>
        <w:t>iden oder NSARs wurde seltener berichtet.</w:t>
      </w:r>
    </w:p>
    <w:p w14:paraId="1D2EF917" w14:textId="77777777" w:rsidR="0023205F" w:rsidRPr="0023205F" w:rsidRDefault="0023205F" w:rsidP="0023205F">
      <w:pPr>
        <w:kinsoku w:val="0"/>
        <w:overflowPunct w:val="0"/>
        <w:rPr>
          <w:color w:val="000000"/>
          <w:szCs w:val="21"/>
        </w:rPr>
      </w:pPr>
    </w:p>
    <w:p w14:paraId="2E16B19C" w14:textId="77777777" w:rsidR="0023205F" w:rsidRPr="0023205F" w:rsidRDefault="0023205F" w:rsidP="0023205F">
      <w:pPr>
        <w:kinsoku w:val="0"/>
        <w:overflowPunct w:val="0"/>
        <w:rPr>
          <w:color w:val="000000"/>
        </w:rPr>
      </w:pPr>
      <w:r w:rsidRPr="0023205F">
        <w:rPr>
          <w:color w:val="000000"/>
        </w:rPr>
        <w:t>In Woche 12 und Woche 24 betrug unter Auswertung der beobachteten Daten das pädiatrische ACR-30-Ansprechen 93,5 % bzw. 90,0 %. Die Anteile an Patienten mit pädiatrischem ACR-50/70/90-Ansprechen betrugen 90,3 %/61,3 %/38,7 % bzw. 83,3 %/73,3 %/36,7 % in Woche 12 und Woche 24. Von den Patienten, die in Woche 24 ein pädiatrisches ACR-30-Ansprechen zeigten (n = 27 von 30 Patienten), wurde das pädiatrische ACR-30-Ansprechen bis zu 60 Wochen in der OLE-Phase bei den Patienten aufrechterhalten, die Adalimumab über diesen Zeitraum erhielten. Insgesamt wurden 20 Patienten 60 Wochen oder länger behandelt.</w:t>
      </w:r>
    </w:p>
    <w:p w14:paraId="37A887BD" w14:textId="77777777" w:rsidR="0023205F" w:rsidRPr="0023205F" w:rsidRDefault="0023205F" w:rsidP="0023205F">
      <w:pPr>
        <w:kinsoku w:val="0"/>
        <w:overflowPunct w:val="0"/>
        <w:rPr>
          <w:color w:val="000000"/>
        </w:rPr>
      </w:pPr>
    </w:p>
    <w:p w14:paraId="576C1DDF" w14:textId="77777777" w:rsidR="0023205F" w:rsidRPr="0023205F" w:rsidRDefault="0023205F" w:rsidP="0023205F">
      <w:pPr>
        <w:keepNext/>
        <w:kinsoku w:val="0"/>
        <w:overflowPunct w:val="0"/>
        <w:rPr>
          <w:color w:val="000000"/>
        </w:rPr>
      </w:pPr>
      <w:r w:rsidRPr="0023205F">
        <w:rPr>
          <w:i/>
          <w:iCs/>
          <w:color w:val="000000"/>
          <w:u w:val="single"/>
        </w:rPr>
        <w:t>Enthesitis-assoziierte Arthritis</w:t>
      </w:r>
    </w:p>
    <w:p w14:paraId="69C2E766" w14:textId="77777777" w:rsidR="0023205F" w:rsidRPr="0023205F" w:rsidRDefault="0023205F" w:rsidP="0023205F">
      <w:pPr>
        <w:keepNext/>
        <w:kinsoku w:val="0"/>
        <w:overflowPunct w:val="0"/>
        <w:rPr>
          <w:i/>
          <w:iCs/>
          <w:color w:val="000000"/>
        </w:rPr>
      </w:pPr>
    </w:p>
    <w:p w14:paraId="753429C4" w14:textId="77777777" w:rsidR="0023205F" w:rsidRPr="0023205F" w:rsidRDefault="0023205F" w:rsidP="0023205F">
      <w:pPr>
        <w:kinsoku w:val="0"/>
        <w:overflowPunct w:val="0"/>
        <w:rPr>
          <w:color w:val="000000"/>
        </w:rPr>
      </w:pPr>
      <w:r w:rsidRPr="0023205F">
        <w:rPr>
          <w:color w:val="000000"/>
        </w:rPr>
        <w:t>Die Sicherheit und Wirksamkeit von Adalimumab wurden in einer multizentrischen, randomisierten, doppelblinden Studie bei 46 Kindern und Jugendlichen (im Alter von 6 bis 17 Jahren) mit mittelschwerer Enthesitis-assoziierter Arthritis untersucht. Die Patienten wurden randomisiert und erhielten 12 Wochen lang entweder 24 mg Adalimumab/m</w:t>
      </w:r>
      <w:r w:rsidRPr="0023205F">
        <w:rPr>
          <w:color w:val="000000"/>
          <w:vertAlign w:val="superscript"/>
        </w:rPr>
        <w:t>2</w:t>
      </w:r>
      <w:r w:rsidRPr="0023205F">
        <w:rPr>
          <w:color w:val="000000"/>
        </w:rPr>
        <w:t xml:space="preserve"> Körperoberfläche (KOF) bis zu maximal 40 mg Adalimumab oder Placebo jede zweite Woche. Der doppelblinden Phase folgte eine offene Fortsetzungsphase</w:t>
      </w:r>
      <w:r w:rsidR="00C20DA3">
        <w:rPr>
          <w:color w:val="000000"/>
        </w:rPr>
        <w:t xml:space="preserve"> (OL)</w:t>
      </w:r>
      <w:r w:rsidRPr="0023205F">
        <w:rPr>
          <w:color w:val="000000"/>
        </w:rPr>
        <w:t>. Während dieser Zeit erhielten die Patienten subkutan bis zu weitere</w:t>
      </w:r>
      <w:r w:rsidR="00A77B4B">
        <w:rPr>
          <w:color w:val="000000"/>
        </w:rPr>
        <w:t>n</w:t>
      </w:r>
      <w:r w:rsidRPr="0023205F">
        <w:rPr>
          <w:color w:val="000000"/>
        </w:rPr>
        <w:t xml:space="preserve"> 192 Wochen jede zweite Woche 24 mg Adalimumab/m</w:t>
      </w:r>
      <w:r w:rsidRPr="0023205F">
        <w:rPr>
          <w:color w:val="000000"/>
          <w:vertAlign w:val="superscript"/>
        </w:rPr>
        <w:t>2</w:t>
      </w:r>
      <w:r w:rsidRPr="0023205F">
        <w:rPr>
          <w:color w:val="000000"/>
        </w:rPr>
        <w:t xml:space="preserve"> KOF bis zu maximal 40 mg Adalimumab. Der primäre Endpunkt war die prozentuale Veränderung in der Anzahl der aktiven Gelenke mit Arthritis (Schwellung nicht als Folge von Deformierung oder Gelenke mit Bewegungsverlust plus Schmerzen und/</w:t>
      </w:r>
      <w:r w:rsidR="00167CCD">
        <w:rPr>
          <w:color w:val="000000"/>
        </w:rPr>
        <w:t xml:space="preserve"> </w:t>
      </w:r>
      <w:r w:rsidRPr="0023205F">
        <w:rPr>
          <w:color w:val="000000"/>
        </w:rPr>
        <w:t>oder Druckschmerzempfindlichkeit) zu Woche 12 gegenüber dem Therapiebeginn. Er wurde mit einer durchschnittlichen prozentualen Abnahme von -62,6 % (Median der prozentualen Abnahme -88,9 %) bei Patienten in der Adalimumab-Gruppe im Vergleich zu -11,6 % (Median der prozentualen Abnahme -50 %) bei Patienten in der Placebogruppe erreicht. Die Verbesserung in der Anzahl der aktiven Gelenke mit Arthritis wurde während der OL-Phase bis Woche 156 für 26 von 31 (84 %) Patienten der Adalimumab-Gruppe, die in der Studie verblieben sind, aufrechterhalten. Obwohl statistisch nicht signifikant, zeigte die Mehrheit der Patienten eine klinische Verbesserung bei den sekundären Endpunkten, wie z. B. Anzahl der Stellen mit Enthesitis, Anzahl schmerzempfindlicher Gelenke (TJC), Anzahl geschwollener Gelenke (SJC), pädiatrisches ACR-50-Ansprechen und pädiatrisches ACR-70-Ansprechen.</w:t>
      </w:r>
    </w:p>
    <w:p w14:paraId="6D332BC0" w14:textId="77777777" w:rsidR="0023205F" w:rsidRPr="0023205F" w:rsidRDefault="0023205F" w:rsidP="0023205F">
      <w:pPr>
        <w:kinsoku w:val="0"/>
        <w:overflowPunct w:val="0"/>
        <w:rPr>
          <w:color w:val="000000"/>
        </w:rPr>
      </w:pPr>
    </w:p>
    <w:p w14:paraId="5F226626" w14:textId="77777777" w:rsidR="0023205F" w:rsidRPr="0023205F" w:rsidRDefault="0023205F" w:rsidP="0023205F">
      <w:pPr>
        <w:keepNext/>
        <w:kinsoku w:val="0"/>
        <w:overflowPunct w:val="0"/>
        <w:rPr>
          <w:color w:val="000000"/>
        </w:rPr>
      </w:pPr>
      <w:r w:rsidRPr="0023205F">
        <w:rPr>
          <w:i/>
          <w:iCs/>
          <w:color w:val="000000"/>
        </w:rPr>
        <w:t>Plaque-Psoriasis bei Kindern und Jugendlichen</w:t>
      </w:r>
    </w:p>
    <w:p w14:paraId="45B5B451" w14:textId="77777777" w:rsidR="0023205F" w:rsidRPr="0023205F" w:rsidRDefault="0023205F" w:rsidP="0023205F">
      <w:pPr>
        <w:keepNext/>
        <w:kinsoku w:val="0"/>
        <w:overflowPunct w:val="0"/>
        <w:rPr>
          <w:i/>
          <w:iCs/>
          <w:color w:val="000000"/>
        </w:rPr>
      </w:pPr>
    </w:p>
    <w:p w14:paraId="66D37292" w14:textId="77777777" w:rsidR="0023205F" w:rsidRPr="0023205F" w:rsidRDefault="0023205F" w:rsidP="0023205F">
      <w:pPr>
        <w:kinsoku w:val="0"/>
        <w:overflowPunct w:val="0"/>
        <w:rPr>
          <w:color w:val="000000"/>
        </w:rPr>
      </w:pPr>
      <w:r w:rsidRPr="0023205F">
        <w:rPr>
          <w:color w:val="000000"/>
        </w:rPr>
        <w:t>Die Wirksamkeit von Adalimumab wurde in einer randomisierten, doppelblinden, kontrollierten Studie mit 114 Kindern und Jugendlichen ab 4 Jahren mit schwerer chronischer Plaque-Psoriasis untersucht, deren topische Therapie und Heliotherapie oder Phototherapie unzureichend war (schwere chronische Plaque-Psoriasis ist definiert durch einen Wert im Physician’s Global Assessment [PGA] ≥ 4 oder &gt; 20 % KOF-Beteiligung oder &gt; 10 % KOF-Beteiligung mit sehr dicken Läsionen oder Psoriasis Area and Severity Index [PASI] ≥ 20 oder ≥ 10 mit klinisch relevanter Beteiligung von Gesicht, Genitalbereich oder Händen/Füßen).</w:t>
      </w:r>
    </w:p>
    <w:p w14:paraId="58DF4180" w14:textId="77777777" w:rsidR="0023205F" w:rsidRPr="0023205F" w:rsidRDefault="0023205F" w:rsidP="0023205F">
      <w:pPr>
        <w:kinsoku w:val="0"/>
        <w:overflowPunct w:val="0"/>
        <w:rPr>
          <w:color w:val="000000"/>
        </w:rPr>
      </w:pPr>
    </w:p>
    <w:p w14:paraId="07E0AC03" w14:textId="77777777" w:rsidR="0023205F" w:rsidRPr="0023205F" w:rsidRDefault="0023205F" w:rsidP="0023205F">
      <w:pPr>
        <w:kinsoku w:val="0"/>
        <w:overflowPunct w:val="0"/>
        <w:rPr>
          <w:color w:val="000000"/>
        </w:rPr>
      </w:pPr>
      <w:r w:rsidRPr="0023205F">
        <w:rPr>
          <w:color w:val="000000"/>
        </w:rPr>
        <w:t>Patienten erhielten Adalimumab 0,8 mg/kg jede zweite Woche (bis zu 40 mg), 0,4 mg/kg jede zweite Woche (bis zu 20 mg) oder Methotrexat 0,1 – 0,4 mg/kg wöchentlich (bis zu 25 mg). In Woche 16 hatten mehr Patienten, die in die Adalimumab-Gruppe mit 0,8 mg/kg randomisiert waren, positive Wirksamkeitsnachweise (z. B. PASI-75) als jene, die in die Gruppe mit 0,4 mg/kg jede zweite Woche oder in die MTX-Gruppe randomisiert waren.</w:t>
      </w:r>
    </w:p>
    <w:p w14:paraId="5133A0C4" w14:textId="77777777" w:rsidR="0023205F" w:rsidRPr="0023205F" w:rsidRDefault="0023205F" w:rsidP="0023205F">
      <w:pPr>
        <w:kinsoku w:val="0"/>
        <w:overflowPunct w:val="0"/>
        <w:rPr>
          <w:color w:val="000000"/>
          <w:szCs w:val="23"/>
        </w:rPr>
      </w:pPr>
    </w:p>
    <w:p w14:paraId="44AB6974" w14:textId="77777777" w:rsidR="0023205F" w:rsidRPr="0023205F" w:rsidRDefault="0023205F" w:rsidP="004A209A">
      <w:pPr>
        <w:keepNext/>
        <w:kinsoku w:val="0"/>
        <w:overflowPunct w:val="0"/>
        <w:rPr>
          <w:b/>
          <w:color w:val="000000"/>
        </w:rPr>
      </w:pPr>
      <w:r w:rsidRPr="0023205F">
        <w:rPr>
          <w:b/>
          <w:color w:val="000000"/>
        </w:rPr>
        <w:lastRenderedPageBreak/>
        <w:t>Tabelle </w:t>
      </w:r>
      <w:r>
        <w:rPr>
          <w:b/>
          <w:color w:val="000000"/>
        </w:rPr>
        <w:t>27</w:t>
      </w:r>
    </w:p>
    <w:p w14:paraId="7EF95058" w14:textId="77777777" w:rsidR="0023205F" w:rsidRPr="0023205F" w:rsidRDefault="0023205F" w:rsidP="004A209A">
      <w:pPr>
        <w:keepNext/>
        <w:kinsoku w:val="0"/>
        <w:overflowPunct w:val="0"/>
        <w:rPr>
          <w:b/>
          <w:color w:val="000000"/>
        </w:rPr>
      </w:pPr>
      <w:r w:rsidRPr="0023205F">
        <w:rPr>
          <w:b/>
          <w:color w:val="000000"/>
        </w:rPr>
        <w:t>Wirksamkeitsergebnisse bei pädiatrischer Plaque-Psoriasis in Woche 16</w:t>
      </w:r>
    </w:p>
    <w:p w14:paraId="3D8C2B91" w14:textId="77777777" w:rsidR="0023205F" w:rsidRPr="0023205F" w:rsidRDefault="0023205F" w:rsidP="0023205F">
      <w:pPr>
        <w:keepNext/>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2980"/>
        <w:gridCol w:w="3031"/>
      </w:tblGrid>
      <w:tr w:rsidR="0023205F" w:rsidRPr="0023205F" w14:paraId="40810BF5" w14:textId="77777777" w:rsidTr="0023205F">
        <w:trPr>
          <w:cantSplit/>
          <w:tblHeader/>
        </w:trPr>
        <w:tc>
          <w:tcPr>
            <w:tcW w:w="3118" w:type="dxa"/>
            <w:tcBorders>
              <w:top w:val="single" w:sz="4" w:space="0" w:color="auto"/>
              <w:left w:val="single" w:sz="4" w:space="0" w:color="auto"/>
              <w:bottom w:val="single" w:sz="4" w:space="0" w:color="auto"/>
              <w:right w:val="single" w:sz="4" w:space="0" w:color="auto"/>
            </w:tcBorders>
          </w:tcPr>
          <w:p w14:paraId="45702D39" w14:textId="77777777" w:rsidR="0023205F" w:rsidRPr="0023205F" w:rsidRDefault="0023205F" w:rsidP="0023205F">
            <w:pPr>
              <w:keepNext/>
              <w:jc w:val="center"/>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7B83AB7C" w14:textId="77777777" w:rsidR="0023205F" w:rsidRPr="0023205F" w:rsidRDefault="0023205F" w:rsidP="0023205F">
            <w:pPr>
              <w:keepNext/>
              <w:jc w:val="center"/>
              <w:rPr>
                <w:b/>
                <w:color w:val="000000"/>
                <w:vertAlign w:val="superscript"/>
              </w:rPr>
            </w:pPr>
            <w:r w:rsidRPr="0023205F">
              <w:rPr>
                <w:b/>
                <w:color w:val="000000"/>
              </w:rPr>
              <w:t>MTX</w:t>
            </w:r>
            <w:r w:rsidRPr="0023205F">
              <w:rPr>
                <w:b/>
                <w:color w:val="000000"/>
                <w:vertAlign w:val="superscript"/>
              </w:rPr>
              <w:t>a</w:t>
            </w:r>
          </w:p>
          <w:p w14:paraId="0556B4B4" w14:textId="77777777" w:rsidR="0023205F" w:rsidRPr="0023205F" w:rsidRDefault="0023205F" w:rsidP="0023205F">
            <w:pPr>
              <w:keepNext/>
              <w:jc w:val="center"/>
              <w:rPr>
                <w:b/>
                <w:color w:val="000000"/>
              </w:rPr>
            </w:pPr>
            <w:r w:rsidRPr="0023205F">
              <w:rPr>
                <w:b/>
                <w:color w:val="000000"/>
              </w:rPr>
              <w:t>n = 37</w:t>
            </w:r>
          </w:p>
        </w:tc>
        <w:tc>
          <w:tcPr>
            <w:tcW w:w="3108" w:type="dxa"/>
            <w:tcBorders>
              <w:top w:val="single" w:sz="4" w:space="0" w:color="auto"/>
              <w:left w:val="single" w:sz="4" w:space="0" w:color="auto"/>
              <w:bottom w:val="single" w:sz="4" w:space="0" w:color="auto"/>
              <w:right w:val="single" w:sz="4" w:space="0" w:color="auto"/>
            </w:tcBorders>
            <w:hideMark/>
          </w:tcPr>
          <w:p w14:paraId="6A5F0C38" w14:textId="77777777" w:rsidR="0023205F" w:rsidRPr="0023205F" w:rsidRDefault="0023205F" w:rsidP="0023205F">
            <w:pPr>
              <w:keepNext/>
              <w:jc w:val="center"/>
              <w:rPr>
                <w:b/>
                <w:color w:val="000000"/>
              </w:rPr>
            </w:pPr>
            <w:r w:rsidRPr="0023205F">
              <w:rPr>
                <w:b/>
                <w:color w:val="000000"/>
              </w:rPr>
              <w:t>Adalimumab 0,8 mg/kg jede zweite Woche</w:t>
            </w:r>
          </w:p>
          <w:p w14:paraId="5B64AE56" w14:textId="77777777" w:rsidR="0023205F" w:rsidRPr="0023205F" w:rsidRDefault="0023205F" w:rsidP="0023205F">
            <w:pPr>
              <w:keepNext/>
              <w:jc w:val="center"/>
              <w:rPr>
                <w:b/>
                <w:color w:val="000000"/>
              </w:rPr>
            </w:pPr>
            <w:r w:rsidRPr="0023205F">
              <w:rPr>
                <w:b/>
                <w:color w:val="000000"/>
              </w:rPr>
              <w:t>n = 38</w:t>
            </w:r>
          </w:p>
        </w:tc>
      </w:tr>
      <w:tr w:rsidR="0023205F" w:rsidRPr="0023205F" w14:paraId="291F845A" w14:textId="77777777" w:rsidTr="0023205F">
        <w:trPr>
          <w:cantSplit/>
        </w:trPr>
        <w:tc>
          <w:tcPr>
            <w:tcW w:w="3118" w:type="dxa"/>
            <w:tcBorders>
              <w:top w:val="single" w:sz="4" w:space="0" w:color="auto"/>
              <w:left w:val="single" w:sz="4" w:space="0" w:color="auto"/>
              <w:bottom w:val="single" w:sz="4" w:space="0" w:color="auto"/>
              <w:right w:val="single" w:sz="4" w:space="0" w:color="auto"/>
            </w:tcBorders>
            <w:hideMark/>
          </w:tcPr>
          <w:p w14:paraId="31B4935E" w14:textId="77777777" w:rsidR="0023205F" w:rsidRPr="0023205F" w:rsidRDefault="0023205F" w:rsidP="0023205F">
            <w:pPr>
              <w:keepNext/>
              <w:rPr>
                <w:color w:val="000000"/>
              </w:rPr>
            </w:pPr>
            <w:r w:rsidRPr="0023205F">
              <w:rPr>
                <w:color w:val="000000"/>
              </w:rPr>
              <w:t>PASI 75</w:t>
            </w:r>
            <w:r w:rsidRPr="0023205F">
              <w:rPr>
                <w:color w:val="000000"/>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77863D0F" w14:textId="77777777" w:rsidR="0023205F" w:rsidRPr="0023205F" w:rsidRDefault="0023205F" w:rsidP="0023205F">
            <w:pPr>
              <w:keepNext/>
              <w:jc w:val="center"/>
              <w:rPr>
                <w:color w:val="000000"/>
              </w:rPr>
            </w:pPr>
            <w:r w:rsidRPr="0023205F">
              <w:rPr>
                <w:color w:val="000000"/>
              </w:rPr>
              <w:t>12 (32,4 %)</w:t>
            </w:r>
          </w:p>
        </w:tc>
        <w:tc>
          <w:tcPr>
            <w:tcW w:w="3108" w:type="dxa"/>
            <w:tcBorders>
              <w:top w:val="single" w:sz="4" w:space="0" w:color="auto"/>
              <w:left w:val="single" w:sz="4" w:space="0" w:color="auto"/>
              <w:bottom w:val="single" w:sz="4" w:space="0" w:color="auto"/>
              <w:right w:val="single" w:sz="4" w:space="0" w:color="auto"/>
            </w:tcBorders>
            <w:hideMark/>
          </w:tcPr>
          <w:p w14:paraId="73E16653" w14:textId="77777777" w:rsidR="0023205F" w:rsidRPr="0023205F" w:rsidRDefault="0023205F" w:rsidP="0023205F">
            <w:pPr>
              <w:keepNext/>
              <w:jc w:val="center"/>
              <w:rPr>
                <w:color w:val="000000"/>
              </w:rPr>
            </w:pPr>
            <w:r w:rsidRPr="0023205F">
              <w:rPr>
                <w:color w:val="000000"/>
              </w:rPr>
              <w:t>22 (57,9 %)</w:t>
            </w:r>
          </w:p>
        </w:tc>
      </w:tr>
      <w:tr w:rsidR="0023205F" w:rsidRPr="0023205F" w14:paraId="7550B1B6" w14:textId="77777777" w:rsidTr="0023205F">
        <w:trPr>
          <w:cantSplit/>
        </w:trPr>
        <w:tc>
          <w:tcPr>
            <w:tcW w:w="3118" w:type="dxa"/>
            <w:tcBorders>
              <w:top w:val="single" w:sz="4" w:space="0" w:color="auto"/>
              <w:left w:val="single" w:sz="4" w:space="0" w:color="auto"/>
              <w:bottom w:val="single" w:sz="4" w:space="0" w:color="auto"/>
              <w:right w:val="single" w:sz="4" w:space="0" w:color="auto"/>
            </w:tcBorders>
            <w:hideMark/>
          </w:tcPr>
          <w:p w14:paraId="39253076" w14:textId="77777777" w:rsidR="0023205F" w:rsidRPr="0023205F" w:rsidRDefault="0023205F" w:rsidP="0023205F">
            <w:pPr>
              <w:keepNext/>
              <w:rPr>
                <w:color w:val="000000"/>
              </w:rPr>
            </w:pPr>
            <w:r w:rsidRPr="0023205F">
              <w:rPr>
                <w:color w:val="000000"/>
              </w:rPr>
              <w:t>PGA: erscheinungsfrei/ minimal</w:t>
            </w:r>
            <w:r w:rsidRPr="0023205F">
              <w:rPr>
                <w:color w:val="000000"/>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62C0E872" w14:textId="77777777" w:rsidR="0023205F" w:rsidRPr="0023205F" w:rsidRDefault="0023205F" w:rsidP="0023205F">
            <w:pPr>
              <w:keepNext/>
              <w:jc w:val="center"/>
              <w:rPr>
                <w:color w:val="000000"/>
              </w:rPr>
            </w:pPr>
            <w:r w:rsidRPr="0023205F">
              <w:rPr>
                <w:color w:val="000000"/>
              </w:rPr>
              <w:t>15 (40,5 %)</w:t>
            </w:r>
          </w:p>
        </w:tc>
        <w:tc>
          <w:tcPr>
            <w:tcW w:w="3108" w:type="dxa"/>
            <w:tcBorders>
              <w:top w:val="single" w:sz="4" w:space="0" w:color="auto"/>
              <w:left w:val="single" w:sz="4" w:space="0" w:color="auto"/>
              <w:bottom w:val="single" w:sz="4" w:space="0" w:color="auto"/>
              <w:right w:val="single" w:sz="4" w:space="0" w:color="auto"/>
            </w:tcBorders>
            <w:hideMark/>
          </w:tcPr>
          <w:p w14:paraId="1DA2457E" w14:textId="77777777" w:rsidR="0023205F" w:rsidRPr="0023205F" w:rsidRDefault="0023205F" w:rsidP="0023205F">
            <w:pPr>
              <w:keepNext/>
              <w:jc w:val="center"/>
              <w:rPr>
                <w:color w:val="000000"/>
              </w:rPr>
            </w:pPr>
            <w:r w:rsidRPr="0023205F">
              <w:rPr>
                <w:color w:val="000000"/>
              </w:rPr>
              <w:t>23 (60,5 %)</w:t>
            </w:r>
          </w:p>
        </w:tc>
      </w:tr>
      <w:tr w:rsidR="0023205F" w:rsidRPr="00D42C63" w14:paraId="2676EA4C" w14:textId="77777777" w:rsidTr="0023205F">
        <w:trPr>
          <w:cantSplit/>
        </w:trPr>
        <w:tc>
          <w:tcPr>
            <w:tcW w:w="9303" w:type="dxa"/>
            <w:gridSpan w:val="3"/>
            <w:tcBorders>
              <w:top w:val="single" w:sz="4" w:space="0" w:color="auto"/>
              <w:left w:val="nil"/>
              <w:bottom w:val="nil"/>
              <w:right w:val="nil"/>
            </w:tcBorders>
          </w:tcPr>
          <w:p w14:paraId="33BE8323" w14:textId="77777777" w:rsidR="0023205F" w:rsidRPr="00CB30D8" w:rsidRDefault="0023205F" w:rsidP="0023205F">
            <w:pPr>
              <w:ind w:left="270" w:hanging="270"/>
              <w:rPr>
                <w:color w:val="000000"/>
                <w:sz w:val="20"/>
              </w:rPr>
            </w:pPr>
            <w:r w:rsidRPr="00CB30D8">
              <w:rPr>
                <w:color w:val="000000"/>
                <w:sz w:val="20"/>
                <w:vertAlign w:val="superscript"/>
              </w:rPr>
              <w:t>a</w:t>
            </w:r>
            <w:r w:rsidRPr="00CB30D8">
              <w:rPr>
                <w:color w:val="000000"/>
                <w:sz w:val="20"/>
              </w:rPr>
              <w:t xml:space="preserve"> </w:t>
            </w:r>
            <w:r w:rsidRPr="00CB30D8">
              <w:rPr>
                <w:color w:val="000000"/>
                <w:sz w:val="20"/>
              </w:rPr>
              <w:tab/>
              <w:t>MTX = Methotrexat</w:t>
            </w:r>
          </w:p>
          <w:p w14:paraId="2EB99E79" w14:textId="77777777" w:rsidR="0023205F" w:rsidRPr="00CB30D8" w:rsidRDefault="0023205F" w:rsidP="0023205F">
            <w:pPr>
              <w:ind w:left="270" w:hanging="270"/>
              <w:rPr>
                <w:color w:val="000000"/>
                <w:sz w:val="20"/>
              </w:rPr>
            </w:pPr>
            <w:r w:rsidRPr="00CB30D8">
              <w:rPr>
                <w:color w:val="000000"/>
                <w:sz w:val="20"/>
                <w:vertAlign w:val="superscript"/>
              </w:rPr>
              <w:t>b</w:t>
            </w:r>
            <w:r w:rsidRPr="00CB30D8">
              <w:rPr>
                <w:color w:val="000000"/>
                <w:sz w:val="20"/>
              </w:rPr>
              <w:t xml:space="preserve"> </w:t>
            </w:r>
            <w:r w:rsidRPr="00CB30D8">
              <w:rPr>
                <w:color w:val="000000"/>
                <w:sz w:val="20"/>
              </w:rPr>
              <w:tab/>
              <w:t xml:space="preserve">p = 0,027; Adalimumab 0,8 mg/kg </w:t>
            </w:r>
            <w:r w:rsidRPr="00CB30D8">
              <w:rPr>
                <w:i/>
                <w:iCs/>
                <w:color w:val="000000"/>
                <w:sz w:val="20"/>
              </w:rPr>
              <w:t>versus</w:t>
            </w:r>
            <w:r w:rsidRPr="00CB30D8">
              <w:rPr>
                <w:color w:val="000000"/>
                <w:sz w:val="20"/>
              </w:rPr>
              <w:t xml:space="preserve"> MTX</w:t>
            </w:r>
          </w:p>
          <w:p w14:paraId="220149BF" w14:textId="77777777" w:rsidR="0023205F" w:rsidRPr="00206AEA" w:rsidRDefault="0023205F" w:rsidP="0023205F">
            <w:pPr>
              <w:ind w:left="270" w:hanging="270"/>
              <w:rPr>
                <w:color w:val="000000"/>
                <w:sz w:val="20"/>
              </w:rPr>
            </w:pPr>
            <w:r w:rsidRPr="00206AEA">
              <w:rPr>
                <w:color w:val="000000"/>
                <w:sz w:val="20"/>
                <w:vertAlign w:val="superscript"/>
              </w:rPr>
              <w:t>c</w:t>
            </w:r>
            <w:r w:rsidRPr="00206AEA">
              <w:rPr>
                <w:color w:val="000000"/>
                <w:sz w:val="20"/>
              </w:rPr>
              <w:t xml:space="preserve"> </w:t>
            </w:r>
            <w:r w:rsidRPr="00206AEA">
              <w:rPr>
                <w:color w:val="000000"/>
                <w:sz w:val="20"/>
              </w:rPr>
              <w:tab/>
              <w:t xml:space="preserve">p = 0,083; Adalimumab 0,8 mg/kg </w:t>
            </w:r>
            <w:r w:rsidRPr="00206AEA">
              <w:rPr>
                <w:i/>
                <w:iCs/>
                <w:color w:val="000000"/>
                <w:sz w:val="20"/>
              </w:rPr>
              <w:t>versus</w:t>
            </w:r>
            <w:r w:rsidRPr="00206AEA">
              <w:rPr>
                <w:color w:val="000000"/>
                <w:sz w:val="20"/>
              </w:rPr>
              <w:t xml:space="preserve"> MTX</w:t>
            </w:r>
          </w:p>
        </w:tc>
      </w:tr>
    </w:tbl>
    <w:p w14:paraId="3B072B25" w14:textId="77777777" w:rsidR="0023205F" w:rsidRPr="00D42C63" w:rsidRDefault="0023205F" w:rsidP="0023205F">
      <w:pPr>
        <w:rPr>
          <w:color w:val="000000"/>
        </w:rPr>
      </w:pPr>
    </w:p>
    <w:p w14:paraId="1D0EF380" w14:textId="77777777" w:rsidR="0023205F" w:rsidRPr="0023205F" w:rsidRDefault="0023205F" w:rsidP="0023205F">
      <w:pPr>
        <w:kinsoku w:val="0"/>
        <w:overflowPunct w:val="0"/>
        <w:rPr>
          <w:color w:val="000000"/>
        </w:rPr>
      </w:pPr>
      <w:r w:rsidRPr="0023205F">
        <w:rPr>
          <w:color w:val="000000"/>
        </w:rPr>
        <w:t>Bei Patienten, die PASI-75 und einen PGA, definiert als „erscheinungsfrei“ oder „minimal“, erreichten, wurde die Behandlung bis zu 36 Wochen lang abgesetzt. Diese Patienten wurden dahingehend beobachtet, ob sie einen Rückfall erlitten (z. B. Verschlechterung des PGA um mindestens zwei Grade). Die Behandlung der Patienten wurde dann wieder mit 0,8 mg Adalimumab/kg jede zweite Woche für weitere 16 Wochen aufgenommen. Die Ansprechraten, die während der erneuten Behandlung beobachtet wurden, waren vergleichbar mit denen in der vorherigen doppelblinden Phase: PASI-75-Ansprechen von 78,9 % (15 von 19 Patienten) und PGA (definiert als „erscheinungsfrei“ oder „minimal“) von 52,6 % (10 von 19 Patienten).</w:t>
      </w:r>
    </w:p>
    <w:p w14:paraId="61A02CCC" w14:textId="77777777" w:rsidR="0023205F" w:rsidRPr="0023205F" w:rsidRDefault="0023205F" w:rsidP="0023205F">
      <w:pPr>
        <w:kinsoku w:val="0"/>
        <w:overflowPunct w:val="0"/>
        <w:rPr>
          <w:color w:val="000000"/>
        </w:rPr>
      </w:pPr>
    </w:p>
    <w:p w14:paraId="58E369E5" w14:textId="77777777" w:rsidR="0023205F" w:rsidRPr="0023205F" w:rsidRDefault="0023205F" w:rsidP="0023205F">
      <w:pPr>
        <w:kinsoku w:val="0"/>
        <w:overflowPunct w:val="0"/>
        <w:rPr>
          <w:color w:val="000000"/>
        </w:rPr>
      </w:pPr>
      <w:r w:rsidRPr="0023205F">
        <w:rPr>
          <w:color w:val="000000"/>
        </w:rPr>
        <w:t>In der offenen Fortsetzungsphase der Studie wurden für bis zu weitere</w:t>
      </w:r>
      <w:r w:rsidR="00167CCD">
        <w:rPr>
          <w:color w:val="000000"/>
        </w:rPr>
        <w:t>n</w:t>
      </w:r>
      <w:r w:rsidRPr="0023205F">
        <w:rPr>
          <w:color w:val="000000"/>
        </w:rPr>
        <w:t xml:space="preserve"> 52 Wochen ein PASI-75-Ansprechen und PGA, definiert als „erscheinungsfrei“ oder „minimal“, aufrechterhalten; es gab keine neuen Erkenntnisse zur Sicherheit.</w:t>
      </w:r>
    </w:p>
    <w:p w14:paraId="27626397" w14:textId="77777777" w:rsidR="0023205F" w:rsidRDefault="0023205F" w:rsidP="0023205F">
      <w:pPr>
        <w:kinsoku w:val="0"/>
        <w:overflowPunct w:val="0"/>
        <w:rPr>
          <w:color w:val="000000"/>
        </w:rPr>
      </w:pPr>
    </w:p>
    <w:p w14:paraId="049352D4" w14:textId="77777777" w:rsidR="0023205F" w:rsidRPr="0023205F" w:rsidRDefault="0023205F" w:rsidP="0023205F">
      <w:pPr>
        <w:kinsoku w:val="0"/>
        <w:overflowPunct w:val="0"/>
        <w:rPr>
          <w:i/>
          <w:iCs/>
          <w:color w:val="000000"/>
        </w:rPr>
      </w:pPr>
      <w:r w:rsidRPr="0023205F">
        <w:rPr>
          <w:i/>
          <w:iCs/>
          <w:color w:val="000000"/>
        </w:rPr>
        <w:t>Hidradenitis suppurativa (Acne inversa) bei Jugendlichen</w:t>
      </w:r>
    </w:p>
    <w:p w14:paraId="22DD409F" w14:textId="77777777" w:rsidR="0023205F" w:rsidRPr="0023205F" w:rsidRDefault="0023205F" w:rsidP="0023205F">
      <w:pPr>
        <w:kinsoku w:val="0"/>
        <w:overflowPunct w:val="0"/>
        <w:rPr>
          <w:i/>
          <w:iCs/>
          <w:color w:val="000000"/>
        </w:rPr>
      </w:pPr>
    </w:p>
    <w:p w14:paraId="1D04D0AE" w14:textId="77777777" w:rsidR="0023205F" w:rsidRPr="0023205F" w:rsidRDefault="0023205F" w:rsidP="0023205F">
      <w:pPr>
        <w:kinsoku w:val="0"/>
        <w:overflowPunct w:val="0"/>
        <w:rPr>
          <w:color w:val="000000"/>
        </w:rPr>
      </w:pPr>
      <w:r w:rsidRPr="0023205F">
        <w:rPr>
          <w:color w:val="000000"/>
        </w:rPr>
        <w:t>Es gibt keine klinischen Studien mit Adalimumab bei jugendlichen Patienten mit Hidradenitis suppurativa (HS). Es ist zu erwarten, dass Adalimumab bei der Behandlung von jugendlichen Patienten mit HS wirksam ist, da die Wirksamkeit und die Dosis-Wirkungsbeziehung bei erwachsenen HS-Patienten nachgewiesen wurde und es wahrscheinlich ist, dass Krankheitsverlauf, Pathophysiologie und Arzneimittelwirkungen bei gleicher Exposition im Wesentlichen ähnlich sind wie bei Erwachsenen. Die Sicherheit der empfohlenen Adalimumab-Dosis bei Jugendlichen mit HS basiert auf dem indikationsübergreifenden Sicherheitsprofil von Adalimumab bei Erwachsenen sowie Kindern und Jugendlichen bei ähnlicher Dosierung oder häufigerer Gabe (siehe Abschnitt 5.2).</w:t>
      </w:r>
    </w:p>
    <w:p w14:paraId="5CC67089" w14:textId="77777777" w:rsidR="0023205F" w:rsidRDefault="0023205F" w:rsidP="0023205F">
      <w:pPr>
        <w:kinsoku w:val="0"/>
        <w:overflowPunct w:val="0"/>
        <w:rPr>
          <w:color w:val="000000"/>
        </w:rPr>
      </w:pPr>
    </w:p>
    <w:p w14:paraId="43D822FE" w14:textId="77777777" w:rsidR="0023205F" w:rsidRPr="0023205F" w:rsidRDefault="0023205F" w:rsidP="0023205F">
      <w:pPr>
        <w:keepNext/>
        <w:kinsoku w:val="0"/>
        <w:overflowPunct w:val="0"/>
        <w:rPr>
          <w:i/>
          <w:iCs/>
          <w:color w:val="000000"/>
        </w:rPr>
      </w:pPr>
      <w:r w:rsidRPr="0023205F">
        <w:rPr>
          <w:i/>
          <w:iCs/>
          <w:color w:val="000000"/>
        </w:rPr>
        <w:t>Morbus Crohn bei Kindern und Jugendlichen</w:t>
      </w:r>
    </w:p>
    <w:p w14:paraId="55C34157" w14:textId="77777777" w:rsidR="0023205F" w:rsidRPr="0023205F" w:rsidRDefault="0023205F" w:rsidP="0023205F">
      <w:pPr>
        <w:keepNext/>
        <w:kinsoku w:val="0"/>
        <w:overflowPunct w:val="0"/>
        <w:rPr>
          <w:color w:val="000000"/>
        </w:rPr>
      </w:pPr>
    </w:p>
    <w:p w14:paraId="3EAE82FE" w14:textId="77777777" w:rsidR="0023205F" w:rsidRPr="0023205F" w:rsidRDefault="0023205F" w:rsidP="0023205F">
      <w:pPr>
        <w:kinsoku w:val="0"/>
        <w:overflowPunct w:val="0"/>
        <w:rPr>
          <w:color w:val="000000"/>
        </w:rPr>
      </w:pPr>
      <w:r w:rsidRPr="0023205F">
        <w:rPr>
          <w:color w:val="000000"/>
        </w:rPr>
        <w:t xml:space="preserve">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 (PCDAI)-Score &gt; 30, eingeschlossen. Die Dosis war abhängig vom Körpergewicht (&lt; 40 kg oder ≥ 40 kg). Eingeschlossen wurden Patienten, bei denen eine konventionelle MC-Therapie (einschließlich eines </w:t>
      </w:r>
      <w:r w:rsidR="00167CCD">
        <w:rPr>
          <w:color w:val="000000"/>
        </w:rPr>
        <w:t>K</w:t>
      </w:r>
      <w:r w:rsidRPr="0023205F">
        <w:rPr>
          <w:color w:val="000000"/>
        </w:rPr>
        <w:t>ortiko</w:t>
      </w:r>
      <w:r w:rsidR="00167CCD">
        <w:rPr>
          <w:color w:val="000000"/>
        </w:rPr>
        <w:t>stero</w:t>
      </w:r>
      <w:r w:rsidRPr="0023205F">
        <w:rPr>
          <w:color w:val="000000"/>
        </w:rPr>
        <w:t xml:space="preserve">ids und/oder eines Immunsuppressivums) versagt hatte. Es wurden auch Patienten eingeschlossen, die unter Infliximab-Therapie einen Verlust des klinischen Ansprechens oder eine Unverträglichkeit </w:t>
      </w:r>
      <w:r w:rsidR="00167CCD">
        <w:rPr>
          <w:color w:val="000000"/>
        </w:rPr>
        <w:t xml:space="preserve">entwickelt </w:t>
      </w:r>
      <w:r w:rsidRPr="0023205F">
        <w:rPr>
          <w:color w:val="000000"/>
        </w:rPr>
        <w:t>hatten.</w:t>
      </w:r>
    </w:p>
    <w:p w14:paraId="47E422B0" w14:textId="77777777" w:rsidR="0023205F" w:rsidRPr="0023205F" w:rsidRDefault="0023205F" w:rsidP="0023205F">
      <w:pPr>
        <w:kinsoku w:val="0"/>
        <w:overflowPunct w:val="0"/>
        <w:rPr>
          <w:color w:val="000000"/>
        </w:rPr>
      </w:pPr>
    </w:p>
    <w:p w14:paraId="1613A0AB" w14:textId="77777777" w:rsidR="0023205F" w:rsidRPr="0023205F" w:rsidRDefault="0023205F" w:rsidP="0023205F">
      <w:pPr>
        <w:kinsoku w:val="0"/>
        <w:overflowPunct w:val="0"/>
        <w:rPr>
          <w:color w:val="000000"/>
        </w:rPr>
      </w:pPr>
      <w:r w:rsidRPr="0023205F">
        <w:rPr>
          <w:color w:val="000000"/>
        </w:rPr>
        <w:t>Alle Patienten erhielten eine offene Induktionstherapie mit einer Dosis auf Basis des Körpergewichts zu Studienbeginn: 160 mg zu Woche 0 und 80 mg zu Woche 2 für Patienten ≥ 40 kg bzw. 80 mg und 40 mg für Patienten &lt; 40 kg.</w:t>
      </w:r>
    </w:p>
    <w:p w14:paraId="0A0774B9" w14:textId="77777777" w:rsidR="0023205F" w:rsidRPr="0023205F" w:rsidRDefault="0023205F" w:rsidP="0023205F">
      <w:pPr>
        <w:kinsoku w:val="0"/>
        <w:overflowPunct w:val="0"/>
        <w:rPr>
          <w:color w:val="000000"/>
        </w:rPr>
      </w:pPr>
    </w:p>
    <w:p w14:paraId="5B15A450" w14:textId="77777777" w:rsidR="0023205F" w:rsidRPr="0023205F" w:rsidRDefault="0023205F" w:rsidP="0023205F">
      <w:pPr>
        <w:kinsoku w:val="0"/>
        <w:overflowPunct w:val="0"/>
        <w:rPr>
          <w:color w:val="000000"/>
        </w:rPr>
      </w:pPr>
      <w:r w:rsidRPr="0023205F">
        <w:rPr>
          <w:color w:val="000000"/>
        </w:rPr>
        <w:t>Zu Woche 4 wurden die Patienten 1:1 auf Basis des derzeitigen Körpergewichts</w:t>
      </w:r>
      <w:r w:rsidR="00167CCD">
        <w:rPr>
          <w:color w:val="000000"/>
        </w:rPr>
        <w:t xml:space="preserve"> entweder</w:t>
      </w:r>
      <w:r w:rsidRPr="0023205F">
        <w:rPr>
          <w:color w:val="000000"/>
        </w:rPr>
        <w:t xml:space="preserve"> einem Behandlungsschema mit niedriger Dosis oder Standarddosis nach dem Zufallsprinzip zugeteilt (siehe Tabelle 2</w:t>
      </w:r>
      <w:r>
        <w:rPr>
          <w:color w:val="000000"/>
        </w:rPr>
        <w:t>8</w:t>
      </w:r>
      <w:r w:rsidRPr="0023205F">
        <w:rPr>
          <w:color w:val="000000"/>
        </w:rPr>
        <w:t>).</w:t>
      </w:r>
    </w:p>
    <w:p w14:paraId="684D795C" w14:textId="77777777" w:rsidR="0023205F" w:rsidRPr="0023205F" w:rsidRDefault="0023205F" w:rsidP="0023205F">
      <w:pPr>
        <w:kinsoku w:val="0"/>
        <w:overflowPunct w:val="0"/>
        <w:rPr>
          <w:color w:val="000000"/>
        </w:rPr>
      </w:pPr>
    </w:p>
    <w:p w14:paraId="7F35B8A0" w14:textId="77777777" w:rsidR="0023205F" w:rsidRPr="0023205F" w:rsidRDefault="0023205F" w:rsidP="0023205F">
      <w:pPr>
        <w:kinsoku w:val="0"/>
        <w:overflowPunct w:val="0"/>
        <w:rPr>
          <w:b/>
          <w:color w:val="000000"/>
        </w:rPr>
      </w:pPr>
      <w:r w:rsidRPr="0023205F">
        <w:rPr>
          <w:b/>
          <w:color w:val="000000"/>
        </w:rPr>
        <w:lastRenderedPageBreak/>
        <w:t>Tabelle 2</w:t>
      </w:r>
      <w:r>
        <w:rPr>
          <w:b/>
          <w:color w:val="000000"/>
        </w:rPr>
        <w:t>8</w:t>
      </w:r>
    </w:p>
    <w:p w14:paraId="4AF8DC25" w14:textId="77777777" w:rsidR="0023205F" w:rsidRPr="0023205F" w:rsidRDefault="0023205F" w:rsidP="0023205F">
      <w:pPr>
        <w:kinsoku w:val="0"/>
        <w:overflowPunct w:val="0"/>
        <w:rPr>
          <w:b/>
          <w:color w:val="000000"/>
        </w:rPr>
      </w:pPr>
      <w:r w:rsidRPr="0023205F">
        <w:rPr>
          <w:b/>
          <w:color w:val="000000"/>
        </w:rPr>
        <w:t>Erhaltungsdosis</w:t>
      </w:r>
    </w:p>
    <w:p w14:paraId="48224165" w14:textId="77777777" w:rsidR="0023205F" w:rsidRPr="0023205F" w:rsidRDefault="0023205F" w:rsidP="0023205F">
      <w:pPr>
        <w:kinsoku w:val="0"/>
        <w:overflowPunct w:val="0"/>
        <w:rPr>
          <w:b/>
          <w:color w:val="000000"/>
        </w:rPr>
      </w:pPr>
    </w:p>
    <w:tbl>
      <w:tblPr>
        <w:tblW w:w="4684" w:type="pct"/>
        <w:tblLayout w:type="fixed"/>
        <w:tblCellMar>
          <w:left w:w="0" w:type="dxa"/>
          <w:right w:w="0" w:type="dxa"/>
        </w:tblCellMar>
        <w:tblLook w:val="0000" w:firstRow="0" w:lastRow="0" w:firstColumn="0" w:lastColumn="0" w:noHBand="0" w:noVBand="0"/>
      </w:tblPr>
      <w:tblGrid>
        <w:gridCol w:w="3117"/>
        <w:gridCol w:w="2405"/>
        <w:gridCol w:w="2970"/>
      </w:tblGrid>
      <w:tr w:rsidR="0023205F" w:rsidRPr="0023205F" w14:paraId="62DA4840" w14:textId="77777777" w:rsidTr="0023205F">
        <w:trPr>
          <w:cantSplit/>
          <w:tblHeader/>
        </w:trPr>
        <w:tc>
          <w:tcPr>
            <w:tcW w:w="3124" w:type="dxa"/>
            <w:tcBorders>
              <w:top w:val="single" w:sz="4" w:space="0" w:color="000000"/>
              <w:left w:val="single" w:sz="4" w:space="0" w:color="000000"/>
              <w:bottom w:val="single" w:sz="4" w:space="0" w:color="000000"/>
              <w:right w:val="single" w:sz="4" w:space="0" w:color="000000"/>
            </w:tcBorders>
          </w:tcPr>
          <w:p w14:paraId="6533A43E" w14:textId="77777777" w:rsidR="0023205F" w:rsidRPr="0023205F" w:rsidRDefault="0023205F" w:rsidP="0023205F">
            <w:pPr>
              <w:keepNext/>
              <w:kinsoku w:val="0"/>
              <w:overflowPunct w:val="0"/>
              <w:ind w:left="102" w:right="188"/>
              <w:jc w:val="center"/>
              <w:rPr>
                <w:rFonts w:eastAsia="Calibri"/>
                <w:color w:val="000000"/>
              </w:rPr>
            </w:pPr>
            <w:r w:rsidRPr="0023205F">
              <w:rPr>
                <w:rFonts w:eastAsia="Calibri"/>
                <w:b/>
                <w:bCs/>
                <w:color w:val="000000"/>
              </w:rPr>
              <w:t>Patienten</w:t>
            </w:r>
            <w:r w:rsidR="00167CCD">
              <w:rPr>
                <w:rFonts w:eastAsia="Calibri"/>
                <w:b/>
                <w:bCs/>
                <w:color w:val="000000"/>
              </w:rPr>
              <w:t>gewicht</w:t>
            </w:r>
          </w:p>
        </w:tc>
        <w:tc>
          <w:tcPr>
            <w:tcW w:w="2410" w:type="dxa"/>
            <w:tcBorders>
              <w:top w:val="single" w:sz="4" w:space="0" w:color="000000"/>
              <w:left w:val="single" w:sz="4" w:space="0" w:color="000000"/>
              <w:bottom w:val="single" w:sz="4" w:space="0" w:color="000000"/>
              <w:right w:val="single" w:sz="4" w:space="0" w:color="000000"/>
            </w:tcBorders>
          </w:tcPr>
          <w:p w14:paraId="0930D597" w14:textId="77777777" w:rsidR="0023205F" w:rsidRPr="0023205F" w:rsidRDefault="0023205F" w:rsidP="0023205F">
            <w:pPr>
              <w:keepNext/>
              <w:kinsoku w:val="0"/>
              <w:overflowPunct w:val="0"/>
              <w:spacing w:line="251" w:lineRule="exact"/>
              <w:ind w:left="100"/>
              <w:jc w:val="center"/>
              <w:rPr>
                <w:rFonts w:eastAsia="Calibri"/>
                <w:color w:val="000000"/>
              </w:rPr>
            </w:pPr>
            <w:r w:rsidRPr="0023205F">
              <w:rPr>
                <w:rFonts w:eastAsia="Calibri"/>
                <w:b/>
                <w:bCs/>
                <w:color w:val="000000"/>
              </w:rPr>
              <w:t>Niedrige Dosis</w:t>
            </w:r>
          </w:p>
        </w:tc>
        <w:tc>
          <w:tcPr>
            <w:tcW w:w="2976" w:type="dxa"/>
            <w:tcBorders>
              <w:top w:val="single" w:sz="4" w:space="0" w:color="000000"/>
              <w:left w:val="single" w:sz="4" w:space="0" w:color="000000"/>
              <w:bottom w:val="single" w:sz="4" w:space="0" w:color="000000"/>
              <w:right w:val="single" w:sz="4" w:space="0" w:color="000000"/>
            </w:tcBorders>
          </w:tcPr>
          <w:p w14:paraId="317EA705" w14:textId="77777777" w:rsidR="0023205F" w:rsidRPr="0023205F" w:rsidRDefault="0023205F" w:rsidP="0023205F">
            <w:pPr>
              <w:keepNext/>
              <w:kinsoku w:val="0"/>
              <w:overflowPunct w:val="0"/>
              <w:ind w:left="102" w:right="213"/>
              <w:jc w:val="center"/>
              <w:rPr>
                <w:rFonts w:eastAsia="Calibri"/>
                <w:color w:val="000000"/>
              </w:rPr>
            </w:pPr>
            <w:r w:rsidRPr="0023205F">
              <w:rPr>
                <w:rFonts w:eastAsia="Calibri"/>
                <w:b/>
                <w:bCs/>
                <w:color w:val="000000"/>
              </w:rPr>
              <w:t>Standarddosis</w:t>
            </w:r>
          </w:p>
        </w:tc>
      </w:tr>
      <w:tr w:rsidR="0023205F" w:rsidRPr="0023205F" w14:paraId="0D513571" w14:textId="77777777" w:rsidTr="0023205F">
        <w:trPr>
          <w:cantSplit/>
        </w:trPr>
        <w:tc>
          <w:tcPr>
            <w:tcW w:w="3124" w:type="dxa"/>
            <w:tcBorders>
              <w:top w:val="single" w:sz="4" w:space="0" w:color="000000"/>
              <w:left w:val="single" w:sz="4" w:space="0" w:color="000000"/>
              <w:bottom w:val="single" w:sz="4" w:space="0" w:color="000000"/>
              <w:right w:val="single" w:sz="4" w:space="0" w:color="000000"/>
            </w:tcBorders>
          </w:tcPr>
          <w:p w14:paraId="6B12AC7E" w14:textId="77777777" w:rsidR="0023205F" w:rsidRPr="0023205F" w:rsidRDefault="0023205F" w:rsidP="0023205F">
            <w:pPr>
              <w:kinsoku w:val="0"/>
              <w:overflowPunct w:val="0"/>
              <w:spacing w:line="249" w:lineRule="exact"/>
              <w:ind w:left="102"/>
              <w:jc w:val="center"/>
              <w:rPr>
                <w:rFonts w:eastAsia="Calibri"/>
                <w:color w:val="000000"/>
              </w:rPr>
            </w:pPr>
            <w:r w:rsidRPr="0023205F">
              <w:rPr>
                <w:rFonts w:eastAsia="Calibri"/>
                <w:color w:val="000000"/>
              </w:rPr>
              <w:t>&lt; 40 kg</w:t>
            </w:r>
          </w:p>
        </w:tc>
        <w:tc>
          <w:tcPr>
            <w:tcW w:w="2410" w:type="dxa"/>
            <w:tcBorders>
              <w:top w:val="single" w:sz="4" w:space="0" w:color="000000"/>
              <w:left w:val="single" w:sz="4" w:space="0" w:color="000000"/>
              <w:bottom w:val="single" w:sz="4" w:space="0" w:color="000000"/>
              <w:right w:val="single" w:sz="4" w:space="0" w:color="000000"/>
            </w:tcBorders>
          </w:tcPr>
          <w:p w14:paraId="46705788" w14:textId="77777777" w:rsidR="0023205F" w:rsidRPr="0023205F" w:rsidRDefault="0023205F" w:rsidP="0023205F">
            <w:pPr>
              <w:kinsoku w:val="0"/>
              <w:overflowPunct w:val="0"/>
              <w:spacing w:line="249" w:lineRule="exact"/>
              <w:ind w:left="100"/>
              <w:jc w:val="center"/>
              <w:rPr>
                <w:rFonts w:eastAsia="Calibri"/>
                <w:color w:val="000000"/>
              </w:rPr>
            </w:pPr>
            <w:r w:rsidRPr="0023205F">
              <w:rPr>
                <w:rFonts w:eastAsia="Calibri"/>
                <w:color w:val="000000"/>
              </w:rPr>
              <w:t xml:space="preserve">10 mg </w:t>
            </w:r>
            <w:r w:rsidR="00167CCD">
              <w:rPr>
                <w:rFonts w:eastAsia="Calibri"/>
                <w:color w:val="000000"/>
              </w:rPr>
              <w:t>jede zweite Woche</w:t>
            </w:r>
          </w:p>
        </w:tc>
        <w:tc>
          <w:tcPr>
            <w:tcW w:w="2976" w:type="dxa"/>
            <w:tcBorders>
              <w:top w:val="single" w:sz="4" w:space="0" w:color="000000"/>
              <w:left w:val="single" w:sz="4" w:space="0" w:color="000000"/>
              <w:bottom w:val="single" w:sz="4" w:space="0" w:color="000000"/>
              <w:right w:val="single" w:sz="4" w:space="0" w:color="000000"/>
            </w:tcBorders>
          </w:tcPr>
          <w:p w14:paraId="5EDADCB0" w14:textId="77777777" w:rsidR="0023205F" w:rsidRPr="0023205F" w:rsidRDefault="0023205F" w:rsidP="0023205F">
            <w:pPr>
              <w:kinsoku w:val="0"/>
              <w:overflowPunct w:val="0"/>
              <w:spacing w:line="249" w:lineRule="exact"/>
              <w:ind w:left="102"/>
              <w:jc w:val="center"/>
              <w:rPr>
                <w:rFonts w:eastAsia="Calibri"/>
                <w:color w:val="000000"/>
              </w:rPr>
            </w:pPr>
            <w:r w:rsidRPr="0023205F">
              <w:rPr>
                <w:rFonts w:eastAsia="Calibri"/>
                <w:color w:val="000000"/>
              </w:rPr>
              <w:t xml:space="preserve">20 mg </w:t>
            </w:r>
            <w:r w:rsidR="00167CCD">
              <w:rPr>
                <w:rFonts w:eastAsia="Calibri"/>
                <w:color w:val="000000"/>
              </w:rPr>
              <w:t>jede zweite Woche</w:t>
            </w:r>
          </w:p>
        </w:tc>
      </w:tr>
      <w:tr w:rsidR="0023205F" w:rsidRPr="0023205F" w14:paraId="537CCB06" w14:textId="77777777" w:rsidTr="0023205F">
        <w:trPr>
          <w:cantSplit/>
        </w:trPr>
        <w:tc>
          <w:tcPr>
            <w:tcW w:w="3124" w:type="dxa"/>
            <w:tcBorders>
              <w:top w:val="single" w:sz="4" w:space="0" w:color="000000"/>
              <w:left w:val="single" w:sz="4" w:space="0" w:color="000000"/>
              <w:bottom w:val="single" w:sz="4" w:space="0" w:color="000000"/>
              <w:right w:val="single" w:sz="4" w:space="0" w:color="000000"/>
            </w:tcBorders>
          </w:tcPr>
          <w:p w14:paraId="7F7BD9EF" w14:textId="77777777" w:rsidR="0023205F" w:rsidRPr="0023205F" w:rsidRDefault="0023205F" w:rsidP="0023205F">
            <w:pPr>
              <w:kinsoku w:val="0"/>
              <w:overflowPunct w:val="0"/>
              <w:spacing w:line="251" w:lineRule="exact"/>
              <w:ind w:left="102"/>
              <w:jc w:val="center"/>
              <w:rPr>
                <w:rFonts w:eastAsia="Calibri"/>
                <w:color w:val="000000"/>
              </w:rPr>
            </w:pPr>
            <w:r w:rsidRPr="0023205F">
              <w:rPr>
                <w:rFonts w:eastAsia="Calibri"/>
                <w:color w:val="000000"/>
              </w:rPr>
              <w:t>≥ 40 kg</w:t>
            </w:r>
          </w:p>
        </w:tc>
        <w:tc>
          <w:tcPr>
            <w:tcW w:w="2410" w:type="dxa"/>
            <w:tcBorders>
              <w:top w:val="single" w:sz="4" w:space="0" w:color="000000"/>
              <w:left w:val="single" w:sz="4" w:space="0" w:color="000000"/>
              <w:bottom w:val="single" w:sz="4" w:space="0" w:color="000000"/>
              <w:right w:val="single" w:sz="4" w:space="0" w:color="000000"/>
            </w:tcBorders>
          </w:tcPr>
          <w:p w14:paraId="4D649445" w14:textId="77777777" w:rsidR="0023205F" w:rsidRPr="0023205F" w:rsidRDefault="0023205F" w:rsidP="0023205F">
            <w:pPr>
              <w:kinsoku w:val="0"/>
              <w:overflowPunct w:val="0"/>
              <w:spacing w:line="251" w:lineRule="exact"/>
              <w:ind w:left="100"/>
              <w:jc w:val="center"/>
              <w:rPr>
                <w:rFonts w:eastAsia="Calibri"/>
                <w:color w:val="000000"/>
              </w:rPr>
            </w:pPr>
            <w:r w:rsidRPr="0023205F">
              <w:rPr>
                <w:rFonts w:eastAsia="Calibri"/>
                <w:color w:val="000000"/>
              </w:rPr>
              <w:t xml:space="preserve">20 mg </w:t>
            </w:r>
            <w:r w:rsidR="00167CCD">
              <w:rPr>
                <w:rFonts w:eastAsia="Calibri"/>
                <w:color w:val="000000"/>
              </w:rPr>
              <w:t>jede zweite Woche</w:t>
            </w:r>
          </w:p>
        </w:tc>
        <w:tc>
          <w:tcPr>
            <w:tcW w:w="2976" w:type="dxa"/>
            <w:tcBorders>
              <w:top w:val="single" w:sz="4" w:space="0" w:color="000000"/>
              <w:left w:val="single" w:sz="4" w:space="0" w:color="000000"/>
              <w:bottom w:val="single" w:sz="4" w:space="0" w:color="000000"/>
              <w:right w:val="single" w:sz="4" w:space="0" w:color="000000"/>
            </w:tcBorders>
          </w:tcPr>
          <w:p w14:paraId="2698EB04" w14:textId="77777777" w:rsidR="0023205F" w:rsidRPr="0023205F" w:rsidRDefault="0023205F" w:rsidP="0023205F">
            <w:pPr>
              <w:kinsoku w:val="0"/>
              <w:overflowPunct w:val="0"/>
              <w:spacing w:line="251" w:lineRule="exact"/>
              <w:ind w:left="102"/>
              <w:jc w:val="center"/>
              <w:rPr>
                <w:rFonts w:eastAsia="Calibri"/>
                <w:color w:val="000000"/>
              </w:rPr>
            </w:pPr>
            <w:r w:rsidRPr="0023205F">
              <w:rPr>
                <w:rFonts w:eastAsia="Calibri"/>
                <w:color w:val="000000"/>
              </w:rPr>
              <w:t xml:space="preserve">40 mg </w:t>
            </w:r>
            <w:r w:rsidR="00167CCD">
              <w:rPr>
                <w:rFonts w:eastAsia="Calibri"/>
                <w:color w:val="000000"/>
              </w:rPr>
              <w:t>jede zweite Woche</w:t>
            </w:r>
          </w:p>
        </w:tc>
      </w:tr>
    </w:tbl>
    <w:p w14:paraId="75858576" w14:textId="77777777" w:rsidR="0023205F" w:rsidRPr="00167CCD" w:rsidRDefault="0023205F" w:rsidP="0023205F">
      <w:pPr>
        <w:kinsoku w:val="0"/>
        <w:overflowPunct w:val="0"/>
        <w:rPr>
          <w:bCs/>
          <w:color w:val="000000"/>
        </w:rPr>
      </w:pPr>
    </w:p>
    <w:p w14:paraId="1E5DE95E" w14:textId="77777777" w:rsidR="0023205F" w:rsidRPr="0023205F" w:rsidRDefault="0023205F" w:rsidP="0023205F">
      <w:pPr>
        <w:keepNext/>
        <w:kinsoku w:val="0"/>
        <w:overflowPunct w:val="0"/>
        <w:rPr>
          <w:color w:val="000000"/>
        </w:rPr>
      </w:pPr>
      <w:r w:rsidRPr="0023205F">
        <w:rPr>
          <w:i/>
          <w:iCs/>
          <w:color w:val="000000"/>
          <w:u w:val="single"/>
        </w:rPr>
        <w:t>Ergebnisse zur Wirksamkeit</w:t>
      </w:r>
    </w:p>
    <w:p w14:paraId="13CE8B66" w14:textId="77777777" w:rsidR="0023205F" w:rsidRPr="0023205F" w:rsidRDefault="0023205F" w:rsidP="0023205F">
      <w:pPr>
        <w:keepNext/>
        <w:kinsoku w:val="0"/>
        <w:overflowPunct w:val="0"/>
        <w:rPr>
          <w:i/>
          <w:iCs/>
          <w:color w:val="000000"/>
          <w:lang w:val="en-GB"/>
        </w:rPr>
      </w:pPr>
    </w:p>
    <w:p w14:paraId="75C69022" w14:textId="77777777" w:rsidR="0023205F" w:rsidRPr="0023205F" w:rsidRDefault="0023205F" w:rsidP="0023205F">
      <w:pPr>
        <w:kinsoku w:val="0"/>
        <w:overflowPunct w:val="0"/>
        <w:rPr>
          <w:color w:val="000000"/>
        </w:rPr>
      </w:pPr>
      <w:r w:rsidRPr="0023205F">
        <w:rPr>
          <w:color w:val="000000"/>
        </w:rPr>
        <w:t xml:space="preserve">Der primäre Endpunkt der Studie war die klinische Remission </w:t>
      </w:r>
      <w:r w:rsidR="00167CCD">
        <w:rPr>
          <w:color w:val="000000"/>
        </w:rPr>
        <w:t>in</w:t>
      </w:r>
      <w:r w:rsidRPr="0023205F">
        <w:rPr>
          <w:color w:val="000000"/>
        </w:rPr>
        <w:t xml:space="preserve"> Woche 26, definiert als PCDAI-Score ≤ 10.</w:t>
      </w:r>
    </w:p>
    <w:p w14:paraId="5D945E83" w14:textId="77777777" w:rsidR="0023205F" w:rsidRPr="0023205F" w:rsidRDefault="0023205F" w:rsidP="0023205F">
      <w:pPr>
        <w:kinsoku w:val="0"/>
        <w:overflowPunct w:val="0"/>
        <w:rPr>
          <w:color w:val="000000"/>
        </w:rPr>
      </w:pPr>
    </w:p>
    <w:p w14:paraId="1FFAB2AA" w14:textId="77777777" w:rsidR="0023205F" w:rsidRPr="0023205F" w:rsidRDefault="0023205F" w:rsidP="0023205F">
      <w:pPr>
        <w:kinsoku w:val="0"/>
        <w:overflowPunct w:val="0"/>
        <w:rPr>
          <w:color w:val="000000"/>
        </w:rPr>
      </w:pPr>
      <w:r w:rsidRPr="0023205F">
        <w:rPr>
          <w:color w:val="000000"/>
        </w:rPr>
        <w:t>Die Raten zur klinischen Remission und zum klinischen Ansprechen (definiert als Verringerung im PCDAI-Score um mindestens 15 Punkte im Vergleich zu Studienbeginn) sind in Tabelle 2</w:t>
      </w:r>
      <w:r>
        <w:rPr>
          <w:color w:val="000000"/>
        </w:rPr>
        <w:t>9</w:t>
      </w:r>
      <w:r w:rsidRPr="0023205F">
        <w:rPr>
          <w:color w:val="000000"/>
        </w:rPr>
        <w:t xml:space="preserve"> dargestellt. Die Raten zum Absetzen von </w:t>
      </w:r>
      <w:r w:rsidR="00167CCD">
        <w:rPr>
          <w:color w:val="000000"/>
        </w:rPr>
        <w:t>K</w:t>
      </w:r>
      <w:r w:rsidRPr="0023205F">
        <w:rPr>
          <w:color w:val="000000"/>
        </w:rPr>
        <w:t>ortiko</w:t>
      </w:r>
      <w:r w:rsidR="00167CCD">
        <w:rPr>
          <w:color w:val="000000"/>
        </w:rPr>
        <w:t>stero</w:t>
      </w:r>
      <w:r w:rsidRPr="0023205F">
        <w:rPr>
          <w:color w:val="000000"/>
        </w:rPr>
        <w:t>iden oder Immunsuppressiva zeigt Tabelle </w:t>
      </w:r>
      <w:r>
        <w:rPr>
          <w:color w:val="000000"/>
        </w:rPr>
        <w:t>30</w:t>
      </w:r>
      <w:r w:rsidRPr="0023205F">
        <w:rPr>
          <w:color w:val="000000"/>
        </w:rPr>
        <w:t>.</w:t>
      </w:r>
    </w:p>
    <w:p w14:paraId="6FA4ECE3" w14:textId="77777777" w:rsidR="0023205F" w:rsidRPr="0023205F" w:rsidRDefault="0023205F" w:rsidP="0023205F">
      <w:pPr>
        <w:kinsoku w:val="0"/>
        <w:overflowPunct w:val="0"/>
        <w:rPr>
          <w:color w:val="000000"/>
        </w:rPr>
      </w:pPr>
    </w:p>
    <w:p w14:paraId="2520A518" w14:textId="77777777" w:rsidR="0023205F" w:rsidRPr="0023205F" w:rsidRDefault="0023205F" w:rsidP="0023205F">
      <w:pPr>
        <w:keepNext/>
        <w:kinsoku w:val="0"/>
        <w:overflowPunct w:val="0"/>
        <w:rPr>
          <w:b/>
          <w:color w:val="000000"/>
        </w:rPr>
      </w:pPr>
      <w:r w:rsidRPr="0023205F">
        <w:rPr>
          <w:b/>
          <w:color w:val="000000"/>
        </w:rPr>
        <w:t>Tabelle 2</w:t>
      </w:r>
      <w:r>
        <w:rPr>
          <w:b/>
          <w:color w:val="000000"/>
        </w:rPr>
        <w:t>9</w:t>
      </w:r>
    </w:p>
    <w:p w14:paraId="706A6175" w14:textId="77777777" w:rsidR="0023205F" w:rsidRPr="0023205F" w:rsidRDefault="0023205F" w:rsidP="0023205F">
      <w:pPr>
        <w:keepNext/>
        <w:kinsoku w:val="0"/>
        <w:overflowPunct w:val="0"/>
        <w:rPr>
          <w:b/>
          <w:color w:val="000000"/>
        </w:rPr>
      </w:pPr>
      <w:r w:rsidRPr="0023205F">
        <w:rPr>
          <w:b/>
          <w:color w:val="000000"/>
        </w:rPr>
        <w:t>Morbus-Crohn-Studie bei Kindern und Jugendlichen – Klinische Remission und Ansprechen nach PCDAI</w:t>
      </w:r>
    </w:p>
    <w:p w14:paraId="3C29BA3E" w14:textId="77777777" w:rsidR="0023205F" w:rsidRPr="0023205F" w:rsidRDefault="0023205F" w:rsidP="0023205F">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285"/>
        <w:gridCol w:w="2258"/>
        <w:gridCol w:w="2245"/>
      </w:tblGrid>
      <w:tr w:rsidR="0023205F" w:rsidRPr="0023205F" w14:paraId="31CDCCC9" w14:textId="77777777" w:rsidTr="0023205F">
        <w:trPr>
          <w:tblHeader/>
        </w:trPr>
        <w:tc>
          <w:tcPr>
            <w:tcW w:w="2325" w:type="dxa"/>
            <w:tcBorders>
              <w:top w:val="single" w:sz="4" w:space="0" w:color="auto"/>
              <w:left w:val="single" w:sz="4" w:space="0" w:color="auto"/>
              <w:bottom w:val="single" w:sz="4" w:space="0" w:color="auto"/>
              <w:right w:val="single" w:sz="4" w:space="0" w:color="auto"/>
            </w:tcBorders>
          </w:tcPr>
          <w:p w14:paraId="27DAB65D" w14:textId="77777777" w:rsidR="0023205F" w:rsidRPr="0023205F" w:rsidRDefault="0023205F" w:rsidP="0023205F">
            <w:pPr>
              <w:keepNext/>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0C92DF76" w14:textId="77777777" w:rsidR="0023205F" w:rsidRPr="0023205F" w:rsidRDefault="0023205F" w:rsidP="0023205F">
            <w:pPr>
              <w:keepNext/>
              <w:jc w:val="center"/>
              <w:rPr>
                <w:b/>
                <w:color w:val="000000"/>
              </w:rPr>
            </w:pPr>
            <w:r w:rsidRPr="0023205F">
              <w:rPr>
                <w:b/>
                <w:color w:val="000000"/>
              </w:rPr>
              <w:t>Standarddosis</w:t>
            </w:r>
          </w:p>
          <w:p w14:paraId="799364E4" w14:textId="77777777" w:rsidR="0023205F" w:rsidRPr="0023205F" w:rsidRDefault="0023205F" w:rsidP="0023205F">
            <w:pPr>
              <w:keepNext/>
              <w:jc w:val="center"/>
              <w:rPr>
                <w:b/>
                <w:color w:val="000000"/>
              </w:rPr>
            </w:pPr>
            <w:r w:rsidRPr="0023205F">
              <w:rPr>
                <w:b/>
                <w:color w:val="000000"/>
              </w:rPr>
              <w:t>40/20 mg jede zweite Woche</w:t>
            </w:r>
          </w:p>
          <w:p w14:paraId="2692736B" w14:textId="77777777" w:rsidR="0023205F" w:rsidRPr="0023205F" w:rsidRDefault="0023205F" w:rsidP="0023205F">
            <w:pPr>
              <w:keepNext/>
              <w:jc w:val="center"/>
              <w:rPr>
                <w:b/>
                <w:color w:val="000000"/>
              </w:rPr>
            </w:pPr>
            <w:r w:rsidRPr="0023205F">
              <w:rPr>
                <w:b/>
                <w:color w:val="000000"/>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B629B9F" w14:textId="77777777" w:rsidR="0023205F" w:rsidRPr="0023205F" w:rsidRDefault="0023205F" w:rsidP="0023205F">
            <w:pPr>
              <w:keepNext/>
              <w:jc w:val="center"/>
              <w:rPr>
                <w:b/>
                <w:color w:val="000000"/>
              </w:rPr>
            </w:pPr>
            <w:r w:rsidRPr="0023205F">
              <w:rPr>
                <w:b/>
                <w:color w:val="000000"/>
              </w:rPr>
              <w:t>Niedrige Dosis</w:t>
            </w:r>
          </w:p>
          <w:p w14:paraId="70F9151A" w14:textId="77777777" w:rsidR="0023205F" w:rsidRPr="0023205F" w:rsidRDefault="0023205F" w:rsidP="0023205F">
            <w:pPr>
              <w:keepNext/>
              <w:jc w:val="center"/>
              <w:rPr>
                <w:b/>
                <w:color w:val="000000"/>
              </w:rPr>
            </w:pPr>
            <w:r w:rsidRPr="0023205F">
              <w:rPr>
                <w:b/>
                <w:color w:val="000000"/>
              </w:rPr>
              <w:t>20/10 mg jede zweite Woche</w:t>
            </w:r>
          </w:p>
          <w:p w14:paraId="1EAB6754" w14:textId="77777777" w:rsidR="0023205F" w:rsidRPr="0023205F" w:rsidRDefault="0023205F" w:rsidP="0023205F">
            <w:pPr>
              <w:keepNext/>
              <w:jc w:val="center"/>
              <w:rPr>
                <w:b/>
                <w:color w:val="000000"/>
              </w:rPr>
            </w:pPr>
            <w:r w:rsidRPr="0023205F">
              <w:rPr>
                <w:b/>
                <w:color w:val="000000"/>
              </w:rPr>
              <w:t>n = 95</w:t>
            </w:r>
          </w:p>
        </w:tc>
        <w:tc>
          <w:tcPr>
            <w:tcW w:w="2326" w:type="dxa"/>
            <w:tcBorders>
              <w:top w:val="single" w:sz="4" w:space="0" w:color="auto"/>
              <w:left w:val="single" w:sz="4" w:space="0" w:color="auto"/>
              <w:bottom w:val="single" w:sz="4" w:space="0" w:color="auto"/>
              <w:right w:val="single" w:sz="4" w:space="0" w:color="auto"/>
            </w:tcBorders>
            <w:hideMark/>
          </w:tcPr>
          <w:p w14:paraId="30A7D61C" w14:textId="77777777" w:rsidR="0023205F" w:rsidRPr="0023205F" w:rsidRDefault="0023205F" w:rsidP="0023205F">
            <w:pPr>
              <w:keepNext/>
              <w:jc w:val="center"/>
              <w:rPr>
                <w:b/>
                <w:color w:val="000000"/>
              </w:rPr>
            </w:pPr>
            <w:r w:rsidRPr="0023205F">
              <w:rPr>
                <w:b/>
                <w:color w:val="000000"/>
              </w:rPr>
              <w:t>p-Wert*</w:t>
            </w:r>
          </w:p>
        </w:tc>
      </w:tr>
      <w:tr w:rsidR="0023205F" w:rsidRPr="0023205F" w14:paraId="210BD953" w14:textId="77777777" w:rsidTr="0023205F">
        <w:tc>
          <w:tcPr>
            <w:tcW w:w="2325" w:type="dxa"/>
            <w:tcBorders>
              <w:top w:val="single" w:sz="4" w:space="0" w:color="auto"/>
              <w:left w:val="single" w:sz="4" w:space="0" w:color="auto"/>
              <w:bottom w:val="single" w:sz="4" w:space="0" w:color="auto"/>
              <w:right w:val="single" w:sz="4" w:space="0" w:color="auto"/>
            </w:tcBorders>
            <w:hideMark/>
          </w:tcPr>
          <w:p w14:paraId="3F3601FA" w14:textId="77777777" w:rsidR="0023205F" w:rsidRPr="0023205F" w:rsidRDefault="0023205F" w:rsidP="0023205F">
            <w:pPr>
              <w:keepNext/>
              <w:rPr>
                <w:b/>
                <w:color w:val="000000"/>
              </w:rPr>
            </w:pPr>
            <w:r w:rsidRPr="0023205F">
              <w:rPr>
                <w:b/>
                <w:color w:val="000000"/>
              </w:rPr>
              <w:t>Woche 26</w:t>
            </w:r>
          </w:p>
        </w:tc>
        <w:tc>
          <w:tcPr>
            <w:tcW w:w="2326" w:type="dxa"/>
            <w:tcBorders>
              <w:top w:val="single" w:sz="4" w:space="0" w:color="auto"/>
              <w:left w:val="single" w:sz="4" w:space="0" w:color="auto"/>
              <w:bottom w:val="single" w:sz="4" w:space="0" w:color="auto"/>
              <w:right w:val="single" w:sz="4" w:space="0" w:color="auto"/>
            </w:tcBorders>
            <w:vAlign w:val="center"/>
          </w:tcPr>
          <w:p w14:paraId="15F6AE30" w14:textId="77777777" w:rsidR="0023205F" w:rsidRPr="0023205F" w:rsidRDefault="0023205F" w:rsidP="0023205F">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33851D2A" w14:textId="77777777" w:rsidR="0023205F" w:rsidRPr="0023205F" w:rsidRDefault="0023205F" w:rsidP="0023205F">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14BC90CE" w14:textId="77777777" w:rsidR="0023205F" w:rsidRPr="0023205F" w:rsidRDefault="0023205F" w:rsidP="0023205F">
            <w:pPr>
              <w:keepNext/>
              <w:jc w:val="center"/>
              <w:rPr>
                <w:color w:val="000000"/>
                <w:lang w:val="en-GB"/>
              </w:rPr>
            </w:pPr>
          </w:p>
        </w:tc>
      </w:tr>
      <w:tr w:rsidR="0023205F" w:rsidRPr="0023205F" w14:paraId="61FFDC4B" w14:textId="77777777" w:rsidTr="0023205F">
        <w:tc>
          <w:tcPr>
            <w:tcW w:w="2325" w:type="dxa"/>
            <w:tcBorders>
              <w:top w:val="single" w:sz="4" w:space="0" w:color="auto"/>
              <w:left w:val="single" w:sz="4" w:space="0" w:color="auto"/>
              <w:bottom w:val="single" w:sz="4" w:space="0" w:color="auto"/>
              <w:right w:val="single" w:sz="4" w:space="0" w:color="auto"/>
            </w:tcBorders>
            <w:hideMark/>
          </w:tcPr>
          <w:p w14:paraId="5E9CF840" w14:textId="77777777" w:rsidR="0023205F" w:rsidRPr="0023205F" w:rsidRDefault="0023205F" w:rsidP="0023205F">
            <w:pPr>
              <w:keepNext/>
              <w:ind w:left="180"/>
              <w:rPr>
                <w:color w:val="000000"/>
              </w:rPr>
            </w:pPr>
            <w:r w:rsidRPr="0023205F">
              <w:rPr>
                <w:color w:val="000000"/>
              </w:rPr>
              <w:t>Klinische Remission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6ECAACF" w14:textId="77777777" w:rsidR="0023205F" w:rsidRPr="0023205F" w:rsidRDefault="0023205F" w:rsidP="0023205F">
            <w:pPr>
              <w:keepNext/>
              <w:jc w:val="center"/>
              <w:rPr>
                <w:color w:val="000000"/>
              </w:rPr>
            </w:pPr>
            <w:r w:rsidRPr="0023205F">
              <w:rPr>
                <w:color w:val="000000"/>
              </w:rPr>
              <w:t>38,7 %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0618ED6" w14:textId="77777777" w:rsidR="0023205F" w:rsidRPr="0023205F" w:rsidRDefault="0023205F" w:rsidP="0023205F">
            <w:pPr>
              <w:keepNext/>
              <w:jc w:val="center"/>
              <w:rPr>
                <w:color w:val="000000"/>
              </w:rPr>
            </w:pPr>
            <w:r w:rsidRPr="0023205F">
              <w:rPr>
                <w:color w:val="000000"/>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9B14DBB" w14:textId="77777777" w:rsidR="0023205F" w:rsidRPr="0023205F" w:rsidRDefault="0023205F" w:rsidP="0023205F">
            <w:pPr>
              <w:keepNext/>
              <w:jc w:val="center"/>
              <w:rPr>
                <w:color w:val="000000"/>
              </w:rPr>
            </w:pPr>
            <w:r w:rsidRPr="0023205F">
              <w:rPr>
                <w:color w:val="000000"/>
              </w:rPr>
              <w:t>0,075</w:t>
            </w:r>
          </w:p>
        </w:tc>
      </w:tr>
      <w:tr w:rsidR="0023205F" w:rsidRPr="0023205F" w14:paraId="5A64DBC2" w14:textId="77777777" w:rsidTr="0023205F">
        <w:tc>
          <w:tcPr>
            <w:tcW w:w="2325" w:type="dxa"/>
            <w:tcBorders>
              <w:top w:val="single" w:sz="4" w:space="0" w:color="auto"/>
              <w:left w:val="single" w:sz="4" w:space="0" w:color="auto"/>
              <w:bottom w:val="single" w:sz="4" w:space="0" w:color="auto"/>
              <w:right w:val="single" w:sz="4" w:space="0" w:color="auto"/>
            </w:tcBorders>
            <w:hideMark/>
          </w:tcPr>
          <w:p w14:paraId="2FB31DE9" w14:textId="77777777" w:rsidR="0023205F" w:rsidRPr="0023205F" w:rsidRDefault="0023205F" w:rsidP="0023205F">
            <w:pPr>
              <w:ind w:left="180"/>
              <w:rPr>
                <w:color w:val="000000"/>
              </w:rPr>
            </w:pPr>
            <w:r w:rsidRPr="0023205F">
              <w:rPr>
                <w:color w:val="000000"/>
              </w:rPr>
              <w:t>Klinisches Ansprechen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58F465F" w14:textId="77777777" w:rsidR="0023205F" w:rsidRPr="0023205F" w:rsidRDefault="0023205F" w:rsidP="0023205F">
            <w:pPr>
              <w:jc w:val="center"/>
              <w:rPr>
                <w:color w:val="000000"/>
              </w:rPr>
            </w:pPr>
            <w:r w:rsidRPr="0023205F">
              <w:rPr>
                <w:color w:val="000000"/>
              </w:rPr>
              <w:t>59,1 %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48B4C01" w14:textId="77777777" w:rsidR="0023205F" w:rsidRPr="0023205F" w:rsidRDefault="0023205F" w:rsidP="0023205F">
            <w:pPr>
              <w:jc w:val="center"/>
              <w:rPr>
                <w:color w:val="000000"/>
              </w:rPr>
            </w:pPr>
            <w:r w:rsidRPr="0023205F">
              <w:rPr>
                <w:color w:val="000000"/>
              </w:rPr>
              <w:t>48,4 %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EFA39F" w14:textId="77777777" w:rsidR="0023205F" w:rsidRPr="0023205F" w:rsidRDefault="0023205F" w:rsidP="0023205F">
            <w:pPr>
              <w:jc w:val="center"/>
              <w:rPr>
                <w:color w:val="000000"/>
              </w:rPr>
            </w:pPr>
            <w:r w:rsidRPr="0023205F">
              <w:rPr>
                <w:color w:val="000000"/>
              </w:rPr>
              <w:t>0,073</w:t>
            </w:r>
          </w:p>
        </w:tc>
      </w:tr>
      <w:tr w:rsidR="0023205F" w:rsidRPr="0023205F" w14:paraId="402DD89E" w14:textId="77777777" w:rsidTr="0023205F">
        <w:tc>
          <w:tcPr>
            <w:tcW w:w="2325" w:type="dxa"/>
            <w:tcBorders>
              <w:top w:val="single" w:sz="4" w:space="0" w:color="auto"/>
              <w:left w:val="single" w:sz="4" w:space="0" w:color="auto"/>
              <w:bottom w:val="single" w:sz="4" w:space="0" w:color="auto"/>
              <w:right w:val="single" w:sz="4" w:space="0" w:color="auto"/>
            </w:tcBorders>
            <w:hideMark/>
          </w:tcPr>
          <w:p w14:paraId="6A4F88E0" w14:textId="77777777" w:rsidR="0023205F" w:rsidRPr="0023205F" w:rsidRDefault="0023205F" w:rsidP="0023205F">
            <w:pPr>
              <w:keepNext/>
              <w:rPr>
                <w:b/>
                <w:color w:val="000000"/>
              </w:rPr>
            </w:pPr>
            <w:r w:rsidRPr="0023205F">
              <w:rPr>
                <w:b/>
                <w:color w:val="000000"/>
              </w:rPr>
              <w:t>Woche 52</w:t>
            </w:r>
          </w:p>
        </w:tc>
        <w:tc>
          <w:tcPr>
            <w:tcW w:w="2326" w:type="dxa"/>
            <w:tcBorders>
              <w:top w:val="single" w:sz="4" w:space="0" w:color="auto"/>
              <w:left w:val="single" w:sz="4" w:space="0" w:color="auto"/>
              <w:bottom w:val="single" w:sz="4" w:space="0" w:color="auto"/>
              <w:right w:val="single" w:sz="4" w:space="0" w:color="auto"/>
            </w:tcBorders>
            <w:vAlign w:val="center"/>
          </w:tcPr>
          <w:p w14:paraId="0842ECB2" w14:textId="77777777" w:rsidR="0023205F" w:rsidRPr="0023205F" w:rsidRDefault="0023205F" w:rsidP="0023205F">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0A7F0AAF" w14:textId="77777777" w:rsidR="0023205F" w:rsidRPr="0023205F" w:rsidRDefault="0023205F" w:rsidP="0023205F">
            <w:pPr>
              <w:keepNext/>
              <w:jc w:val="center"/>
              <w:rPr>
                <w:color w:val="000000"/>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46C9A0E2" w14:textId="77777777" w:rsidR="0023205F" w:rsidRPr="0023205F" w:rsidRDefault="0023205F" w:rsidP="0023205F">
            <w:pPr>
              <w:keepNext/>
              <w:jc w:val="center"/>
              <w:rPr>
                <w:color w:val="000000"/>
                <w:lang w:val="en-GB"/>
              </w:rPr>
            </w:pPr>
          </w:p>
        </w:tc>
      </w:tr>
      <w:tr w:rsidR="0023205F" w:rsidRPr="0023205F" w14:paraId="74C83546" w14:textId="77777777" w:rsidTr="0023205F">
        <w:tc>
          <w:tcPr>
            <w:tcW w:w="2325" w:type="dxa"/>
            <w:tcBorders>
              <w:top w:val="single" w:sz="4" w:space="0" w:color="auto"/>
              <w:left w:val="single" w:sz="4" w:space="0" w:color="auto"/>
              <w:bottom w:val="single" w:sz="4" w:space="0" w:color="auto"/>
              <w:right w:val="single" w:sz="4" w:space="0" w:color="auto"/>
            </w:tcBorders>
            <w:hideMark/>
          </w:tcPr>
          <w:p w14:paraId="39DBE90F" w14:textId="77777777" w:rsidR="0023205F" w:rsidRPr="0023205F" w:rsidRDefault="0023205F" w:rsidP="0023205F">
            <w:pPr>
              <w:keepNext/>
              <w:ind w:left="180"/>
              <w:rPr>
                <w:color w:val="000000"/>
              </w:rPr>
            </w:pPr>
            <w:r w:rsidRPr="0023205F">
              <w:rPr>
                <w:color w:val="000000"/>
              </w:rPr>
              <w:t>Klinische Remission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488BF1D" w14:textId="77777777" w:rsidR="0023205F" w:rsidRPr="0023205F" w:rsidRDefault="0023205F" w:rsidP="0023205F">
            <w:pPr>
              <w:keepNext/>
              <w:jc w:val="center"/>
              <w:rPr>
                <w:color w:val="000000"/>
              </w:rPr>
            </w:pPr>
            <w:r w:rsidRPr="0023205F">
              <w:rPr>
                <w:color w:val="000000"/>
              </w:rPr>
              <w:t>33,3 %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D188D22" w14:textId="77777777" w:rsidR="0023205F" w:rsidRPr="0023205F" w:rsidRDefault="0023205F" w:rsidP="0023205F">
            <w:pPr>
              <w:keepNext/>
              <w:jc w:val="center"/>
              <w:rPr>
                <w:color w:val="000000"/>
              </w:rPr>
            </w:pPr>
            <w:r w:rsidRPr="0023205F">
              <w:rPr>
                <w:color w:val="000000"/>
              </w:rPr>
              <w:t>23,2 %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1EB23C6" w14:textId="77777777" w:rsidR="0023205F" w:rsidRPr="0023205F" w:rsidRDefault="0023205F" w:rsidP="0023205F">
            <w:pPr>
              <w:keepNext/>
              <w:jc w:val="center"/>
              <w:rPr>
                <w:color w:val="000000"/>
              </w:rPr>
            </w:pPr>
            <w:r w:rsidRPr="0023205F">
              <w:rPr>
                <w:color w:val="000000"/>
              </w:rPr>
              <w:t>0,100</w:t>
            </w:r>
          </w:p>
        </w:tc>
      </w:tr>
      <w:tr w:rsidR="0023205F" w:rsidRPr="0023205F" w14:paraId="18EF20E4" w14:textId="77777777" w:rsidTr="0023205F">
        <w:tc>
          <w:tcPr>
            <w:tcW w:w="2325" w:type="dxa"/>
            <w:tcBorders>
              <w:top w:val="single" w:sz="4" w:space="0" w:color="auto"/>
              <w:left w:val="single" w:sz="4" w:space="0" w:color="auto"/>
              <w:bottom w:val="single" w:sz="4" w:space="0" w:color="auto"/>
              <w:right w:val="single" w:sz="4" w:space="0" w:color="auto"/>
            </w:tcBorders>
            <w:hideMark/>
          </w:tcPr>
          <w:p w14:paraId="3FB0B02C" w14:textId="77777777" w:rsidR="0023205F" w:rsidRPr="0023205F" w:rsidRDefault="0023205F" w:rsidP="0023205F">
            <w:pPr>
              <w:keepNext/>
              <w:ind w:left="180"/>
              <w:rPr>
                <w:color w:val="000000"/>
              </w:rPr>
            </w:pPr>
            <w:r w:rsidRPr="0023205F">
              <w:rPr>
                <w:color w:val="000000"/>
              </w:rPr>
              <w:t>Klinisches Ansprechen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86357A1" w14:textId="77777777" w:rsidR="0023205F" w:rsidRPr="0023205F" w:rsidRDefault="0023205F" w:rsidP="0023205F">
            <w:pPr>
              <w:keepNext/>
              <w:jc w:val="center"/>
              <w:rPr>
                <w:color w:val="000000"/>
              </w:rPr>
            </w:pPr>
            <w:r w:rsidRPr="0023205F">
              <w:rPr>
                <w:color w:val="000000"/>
              </w:rPr>
              <w:t>41,9 %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625BEEA" w14:textId="77777777" w:rsidR="0023205F" w:rsidRPr="0023205F" w:rsidRDefault="0023205F" w:rsidP="0023205F">
            <w:pPr>
              <w:keepNext/>
              <w:jc w:val="center"/>
              <w:rPr>
                <w:color w:val="000000"/>
              </w:rPr>
            </w:pPr>
            <w:r w:rsidRPr="0023205F">
              <w:rPr>
                <w:color w:val="000000"/>
              </w:rPr>
              <w:t>28,4 %</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119E190" w14:textId="77777777" w:rsidR="0023205F" w:rsidRPr="0023205F" w:rsidRDefault="0023205F" w:rsidP="0023205F">
            <w:pPr>
              <w:keepNext/>
              <w:jc w:val="center"/>
              <w:rPr>
                <w:color w:val="000000"/>
              </w:rPr>
            </w:pPr>
            <w:r w:rsidRPr="0023205F">
              <w:rPr>
                <w:color w:val="000000"/>
              </w:rPr>
              <w:t>0,038</w:t>
            </w:r>
          </w:p>
        </w:tc>
      </w:tr>
      <w:tr w:rsidR="0023205F" w:rsidRPr="0023205F" w14:paraId="6DE38E79" w14:textId="77777777" w:rsidTr="0023205F">
        <w:tc>
          <w:tcPr>
            <w:tcW w:w="9303" w:type="dxa"/>
            <w:gridSpan w:val="4"/>
            <w:tcBorders>
              <w:top w:val="single" w:sz="4" w:space="0" w:color="auto"/>
              <w:left w:val="nil"/>
              <w:bottom w:val="nil"/>
              <w:right w:val="nil"/>
            </w:tcBorders>
          </w:tcPr>
          <w:p w14:paraId="28CD7A8F" w14:textId="77777777" w:rsidR="0023205F" w:rsidRPr="00206AEA" w:rsidRDefault="0023205F" w:rsidP="0023205F">
            <w:pPr>
              <w:ind w:left="274" w:hanging="274"/>
              <w:rPr>
                <w:color w:val="000000"/>
                <w:sz w:val="20"/>
              </w:rPr>
            </w:pPr>
            <w:r w:rsidRPr="00206AEA">
              <w:rPr>
                <w:color w:val="000000"/>
                <w:sz w:val="20"/>
              </w:rPr>
              <w:t>* p-Wert für Vergleich von Standarddosis gegenüber Niedrigdosis</w:t>
            </w:r>
          </w:p>
        </w:tc>
      </w:tr>
    </w:tbl>
    <w:p w14:paraId="4DDD9F95" w14:textId="77777777" w:rsidR="0023205F" w:rsidRPr="0023205F" w:rsidRDefault="0023205F" w:rsidP="0023205F">
      <w:pPr>
        <w:rPr>
          <w:color w:val="000000"/>
        </w:rPr>
      </w:pPr>
    </w:p>
    <w:p w14:paraId="4A3FF90F" w14:textId="77777777" w:rsidR="0023205F" w:rsidRPr="0023205F" w:rsidRDefault="0023205F" w:rsidP="0023205F">
      <w:pPr>
        <w:keepNext/>
        <w:keepLines/>
        <w:rPr>
          <w:b/>
          <w:color w:val="000000"/>
        </w:rPr>
      </w:pPr>
      <w:r w:rsidRPr="0023205F">
        <w:rPr>
          <w:b/>
          <w:color w:val="000000"/>
        </w:rPr>
        <w:t>Tabelle </w:t>
      </w:r>
      <w:r w:rsidR="00472702">
        <w:rPr>
          <w:b/>
          <w:color w:val="000000"/>
        </w:rPr>
        <w:t>30</w:t>
      </w:r>
    </w:p>
    <w:p w14:paraId="13429DCD" w14:textId="77777777" w:rsidR="0023205F" w:rsidRPr="0023205F" w:rsidRDefault="0023205F" w:rsidP="0023205F">
      <w:pPr>
        <w:keepNext/>
        <w:keepLines/>
        <w:rPr>
          <w:b/>
          <w:color w:val="000000"/>
        </w:rPr>
      </w:pPr>
      <w:r w:rsidRPr="0023205F">
        <w:rPr>
          <w:b/>
          <w:color w:val="000000"/>
        </w:rPr>
        <w:t xml:space="preserve">Morbus-Crohn-Studie bei Kindern und Jugendlichen – Absetzen von </w:t>
      </w:r>
      <w:r w:rsidR="00167CCD">
        <w:rPr>
          <w:b/>
          <w:color w:val="000000"/>
        </w:rPr>
        <w:t>K</w:t>
      </w:r>
      <w:r w:rsidRPr="0023205F">
        <w:rPr>
          <w:b/>
          <w:color w:val="000000"/>
        </w:rPr>
        <w:t>ortiko</w:t>
      </w:r>
      <w:r w:rsidR="00167CCD">
        <w:rPr>
          <w:b/>
          <w:color w:val="000000"/>
        </w:rPr>
        <w:t>stero</w:t>
      </w:r>
      <w:r w:rsidRPr="0023205F">
        <w:rPr>
          <w:b/>
          <w:color w:val="000000"/>
        </w:rPr>
        <w:t>iden oder Immunsuppressiva und Remission von Fisteln</w:t>
      </w:r>
    </w:p>
    <w:p w14:paraId="7DAC83C8" w14:textId="77777777" w:rsidR="0023205F" w:rsidRPr="0023205F" w:rsidRDefault="0023205F" w:rsidP="0023205F">
      <w:pPr>
        <w:keepNext/>
        <w:keepLines/>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1705"/>
        <w:gridCol w:w="1675"/>
        <w:gridCol w:w="1656"/>
      </w:tblGrid>
      <w:tr w:rsidR="0023205F" w:rsidRPr="0023205F" w14:paraId="53CC811D" w14:textId="77777777" w:rsidTr="0023205F">
        <w:tc>
          <w:tcPr>
            <w:tcW w:w="4158" w:type="dxa"/>
            <w:tcBorders>
              <w:top w:val="single" w:sz="4" w:space="0" w:color="auto"/>
              <w:left w:val="single" w:sz="4" w:space="0" w:color="auto"/>
              <w:bottom w:val="single" w:sz="4" w:space="0" w:color="auto"/>
              <w:right w:val="single" w:sz="4" w:space="0" w:color="auto"/>
            </w:tcBorders>
          </w:tcPr>
          <w:p w14:paraId="5E488657" w14:textId="77777777" w:rsidR="0023205F" w:rsidRPr="0023205F" w:rsidRDefault="0023205F" w:rsidP="0023205F">
            <w:pPr>
              <w:keepNext/>
              <w:keepLines/>
              <w:rPr>
                <w:color w:val="000000"/>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1F56AD05" w14:textId="77777777" w:rsidR="0023205F" w:rsidRPr="0023205F" w:rsidRDefault="0023205F" w:rsidP="0023205F">
            <w:pPr>
              <w:keepNext/>
              <w:keepLines/>
              <w:jc w:val="center"/>
              <w:rPr>
                <w:b/>
                <w:color w:val="000000"/>
              </w:rPr>
            </w:pPr>
            <w:r w:rsidRPr="0023205F">
              <w:rPr>
                <w:b/>
                <w:color w:val="000000"/>
              </w:rPr>
              <w:t>Standarddosis</w:t>
            </w:r>
          </w:p>
          <w:p w14:paraId="5B38647E" w14:textId="77777777" w:rsidR="0023205F" w:rsidRPr="0023205F" w:rsidRDefault="0023205F" w:rsidP="0023205F">
            <w:pPr>
              <w:keepNext/>
              <w:keepLines/>
              <w:jc w:val="center"/>
              <w:rPr>
                <w:b/>
                <w:color w:val="000000"/>
              </w:rPr>
            </w:pPr>
            <w:r w:rsidRPr="0023205F">
              <w:rPr>
                <w:b/>
                <w:color w:val="000000"/>
              </w:rPr>
              <w:t>40/20 mg jede zweite Woche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D742126" w14:textId="77777777" w:rsidR="0023205F" w:rsidRPr="0023205F" w:rsidRDefault="0023205F" w:rsidP="0023205F">
            <w:pPr>
              <w:keepNext/>
              <w:keepLines/>
              <w:jc w:val="center"/>
              <w:rPr>
                <w:b/>
                <w:color w:val="000000"/>
              </w:rPr>
            </w:pPr>
            <w:r w:rsidRPr="0023205F">
              <w:rPr>
                <w:b/>
                <w:color w:val="000000"/>
              </w:rPr>
              <w:t>Niedrige Dosis</w:t>
            </w:r>
          </w:p>
          <w:p w14:paraId="0B286D73" w14:textId="77777777" w:rsidR="0023205F" w:rsidRPr="0023205F" w:rsidRDefault="0023205F" w:rsidP="0023205F">
            <w:pPr>
              <w:keepNext/>
              <w:keepLines/>
              <w:jc w:val="center"/>
              <w:rPr>
                <w:b/>
                <w:color w:val="000000"/>
              </w:rPr>
            </w:pPr>
            <w:r w:rsidRPr="0023205F">
              <w:rPr>
                <w:b/>
                <w:color w:val="000000"/>
              </w:rPr>
              <w:t>20/10 mg jede zweite Woche</w:t>
            </w:r>
          </w:p>
        </w:tc>
        <w:tc>
          <w:tcPr>
            <w:tcW w:w="1715" w:type="dxa"/>
            <w:tcBorders>
              <w:top w:val="single" w:sz="4" w:space="0" w:color="auto"/>
              <w:left w:val="single" w:sz="4" w:space="0" w:color="auto"/>
              <w:bottom w:val="single" w:sz="4" w:space="0" w:color="auto"/>
              <w:right w:val="single" w:sz="4" w:space="0" w:color="auto"/>
            </w:tcBorders>
            <w:hideMark/>
          </w:tcPr>
          <w:p w14:paraId="28FB828F" w14:textId="77777777" w:rsidR="0023205F" w:rsidRPr="0023205F" w:rsidRDefault="0023205F" w:rsidP="0023205F">
            <w:pPr>
              <w:keepNext/>
              <w:keepLines/>
              <w:jc w:val="center"/>
              <w:rPr>
                <w:b/>
                <w:color w:val="000000"/>
              </w:rPr>
            </w:pPr>
            <w:r w:rsidRPr="0023205F">
              <w:rPr>
                <w:b/>
                <w:color w:val="000000"/>
              </w:rPr>
              <w:t>p-Wert</w:t>
            </w:r>
            <w:r w:rsidRPr="0023205F">
              <w:rPr>
                <w:b/>
                <w:color w:val="000000"/>
                <w:vertAlign w:val="superscript"/>
              </w:rPr>
              <w:t>1</w:t>
            </w:r>
          </w:p>
        </w:tc>
      </w:tr>
      <w:tr w:rsidR="0023205F" w:rsidRPr="0023205F" w14:paraId="16B41ADB"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67821537" w14:textId="77777777" w:rsidR="0023205F" w:rsidRPr="0023205F" w:rsidRDefault="0023205F" w:rsidP="0023205F">
            <w:pPr>
              <w:keepNext/>
              <w:keepLines/>
              <w:rPr>
                <w:b/>
                <w:color w:val="000000"/>
              </w:rPr>
            </w:pPr>
            <w:r w:rsidRPr="0023205F">
              <w:rPr>
                <w:b/>
                <w:color w:val="000000"/>
              </w:rPr>
              <w:t xml:space="preserve">Abgesetzte </w:t>
            </w:r>
            <w:r w:rsidR="00167CCD">
              <w:rPr>
                <w:b/>
                <w:color w:val="000000"/>
              </w:rPr>
              <w:t>K</w:t>
            </w:r>
            <w:r w:rsidRPr="0023205F">
              <w:rPr>
                <w:b/>
                <w:color w:val="000000"/>
              </w:rPr>
              <w:t>ortiko</w:t>
            </w:r>
            <w:r w:rsidR="00167CCD">
              <w:rPr>
                <w:b/>
                <w:color w:val="000000"/>
              </w:rPr>
              <w:t>stero</w:t>
            </w:r>
            <w:r w:rsidRPr="0023205F">
              <w:rPr>
                <w:b/>
                <w:color w:val="000000"/>
              </w:rPr>
              <w:t>ide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474DD77" w14:textId="77777777" w:rsidR="0023205F" w:rsidRPr="0023205F" w:rsidRDefault="0023205F" w:rsidP="0023205F">
            <w:pPr>
              <w:keepNext/>
              <w:keepLines/>
              <w:jc w:val="center"/>
              <w:rPr>
                <w:b/>
                <w:color w:val="000000"/>
              </w:rPr>
            </w:pPr>
            <w:r w:rsidRPr="0023205F">
              <w:rPr>
                <w:b/>
                <w:color w:val="000000"/>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260C2B9" w14:textId="77777777" w:rsidR="0023205F" w:rsidRPr="0023205F" w:rsidRDefault="0023205F" w:rsidP="0023205F">
            <w:pPr>
              <w:keepNext/>
              <w:keepLines/>
              <w:jc w:val="center"/>
              <w:rPr>
                <w:b/>
                <w:color w:val="000000"/>
              </w:rPr>
            </w:pPr>
            <w:r w:rsidRPr="0023205F">
              <w:rPr>
                <w:b/>
                <w:color w:val="000000"/>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251AF84B" w14:textId="77777777" w:rsidR="0023205F" w:rsidRPr="0023205F" w:rsidRDefault="0023205F" w:rsidP="0023205F">
            <w:pPr>
              <w:keepNext/>
              <w:keepLines/>
              <w:jc w:val="center"/>
              <w:rPr>
                <w:b/>
                <w:color w:val="000000"/>
                <w:lang w:val="en-GB"/>
              </w:rPr>
            </w:pPr>
          </w:p>
        </w:tc>
      </w:tr>
      <w:tr w:rsidR="0023205F" w:rsidRPr="0023205F" w14:paraId="6FDEE35F"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16771396" w14:textId="77777777" w:rsidR="0023205F" w:rsidRPr="0023205F" w:rsidRDefault="0023205F" w:rsidP="0023205F">
            <w:pPr>
              <w:keepNext/>
              <w:keepLines/>
              <w:rPr>
                <w:color w:val="000000"/>
              </w:rPr>
            </w:pPr>
            <w:r w:rsidRPr="0023205F">
              <w:rPr>
                <w:color w:val="000000"/>
              </w:rPr>
              <w:t>Woche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13714AA" w14:textId="77777777" w:rsidR="0023205F" w:rsidRPr="0023205F" w:rsidRDefault="0023205F" w:rsidP="0023205F">
            <w:pPr>
              <w:keepNext/>
              <w:keepLines/>
              <w:jc w:val="center"/>
              <w:rPr>
                <w:color w:val="000000"/>
              </w:rPr>
            </w:pPr>
            <w:r w:rsidRPr="0023205F">
              <w:rPr>
                <w:color w:val="000000"/>
              </w:rPr>
              <w:t>84,8 %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20C048" w14:textId="77777777" w:rsidR="0023205F" w:rsidRPr="0023205F" w:rsidRDefault="0023205F" w:rsidP="0023205F">
            <w:pPr>
              <w:keepNext/>
              <w:keepLines/>
              <w:jc w:val="center"/>
              <w:rPr>
                <w:color w:val="000000"/>
              </w:rPr>
            </w:pPr>
            <w:r w:rsidRPr="0023205F">
              <w:rPr>
                <w:color w:val="000000"/>
              </w:rPr>
              <w:t>65,8 %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87D742E" w14:textId="77777777" w:rsidR="0023205F" w:rsidRPr="0023205F" w:rsidRDefault="0023205F" w:rsidP="0023205F">
            <w:pPr>
              <w:keepNext/>
              <w:keepLines/>
              <w:jc w:val="center"/>
              <w:rPr>
                <w:color w:val="000000"/>
              </w:rPr>
            </w:pPr>
            <w:r w:rsidRPr="0023205F">
              <w:rPr>
                <w:color w:val="000000"/>
              </w:rPr>
              <w:t>0,066</w:t>
            </w:r>
          </w:p>
        </w:tc>
      </w:tr>
      <w:tr w:rsidR="0023205F" w:rsidRPr="0023205F" w14:paraId="059A6DB8"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54C5AB79" w14:textId="77777777" w:rsidR="0023205F" w:rsidRPr="0023205F" w:rsidRDefault="0023205F" w:rsidP="0023205F">
            <w:pPr>
              <w:keepNext/>
              <w:keepLines/>
              <w:rPr>
                <w:color w:val="000000"/>
              </w:rPr>
            </w:pPr>
            <w:r w:rsidRPr="0023205F">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E501374" w14:textId="77777777" w:rsidR="0023205F" w:rsidRPr="0023205F" w:rsidRDefault="0023205F" w:rsidP="0023205F">
            <w:pPr>
              <w:keepNext/>
              <w:keepLines/>
              <w:jc w:val="center"/>
              <w:rPr>
                <w:color w:val="000000"/>
              </w:rPr>
            </w:pPr>
            <w:r w:rsidRPr="0023205F">
              <w:rPr>
                <w:color w:val="000000"/>
              </w:rPr>
              <w:t>69,7 %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1072275" w14:textId="77777777" w:rsidR="0023205F" w:rsidRPr="0023205F" w:rsidRDefault="0023205F" w:rsidP="0023205F">
            <w:pPr>
              <w:keepNext/>
              <w:keepLines/>
              <w:jc w:val="center"/>
              <w:rPr>
                <w:color w:val="000000"/>
              </w:rPr>
            </w:pPr>
            <w:r w:rsidRPr="0023205F">
              <w:rPr>
                <w:color w:val="000000"/>
              </w:rPr>
              <w:t>60,5 %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9C1A9C3" w14:textId="77777777" w:rsidR="0023205F" w:rsidRPr="0023205F" w:rsidRDefault="0023205F" w:rsidP="0023205F">
            <w:pPr>
              <w:keepNext/>
              <w:keepLines/>
              <w:jc w:val="center"/>
              <w:rPr>
                <w:color w:val="000000"/>
              </w:rPr>
            </w:pPr>
            <w:r w:rsidRPr="0023205F">
              <w:rPr>
                <w:color w:val="000000"/>
              </w:rPr>
              <w:t>0,420</w:t>
            </w:r>
          </w:p>
        </w:tc>
      </w:tr>
      <w:tr w:rsidR="0023205F" w:rsidRPr="0023205F" w14:paraId="6663C688"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106FD116" w14:textId="77777777" w:rsidR="0023205F" w:rsidRPr="0023205F" w:rsidRDefault="0023205F" w:rsidP="0023205F">
            <w:pPr>
              <w:keepNext/>
              <w:keepLines/>
              <w:rPr>
                <w:b/>
                <w:color w:val="000000"/>
              </w:rPr>
            </w:pPr>
            <w:r w:rsidRPr="0023205F">
              <w:rPr>
                <w:b/>
                <w:color w:val="000000"/>
              </w:rPr>
              <w:t>Absetzen von Immunsuppressiva</w:t>
            </w:r>
            <w:r w:rsidRPr="0023205F">
              <w:rPr>
                <w:b/>
                <w:color w:val="000000"/>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CB4F709" w14:textId="77777777" w:rsidR="0023205F" w:rsidRPr="0023205F" w:rsidRDefault="0023205F" w:rsidP="0023205F">
            <w:pPr>
              <w:keepNext/>
              <w:keepLines/>
              <w:jc w:val="center"/>
              <w:rPr>
                <w:b/>
                <w:color w:val="000000"/>
              </w:rPr>
            </w:pPr>
            <w:r w:rsidRPr="0023205F">
              <w:rPr>
                <w:b/>
                <w:color w:val="000000"/>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575D708" w14:textId="77777777" w:rsidR="0023205F" w:rsidRPr="0023205F" w:rsidRDefault="0023205F" w:rsidP="0023205F">
            <w:pPr>
              <w:keepNext/>
              <w:keepLines/>
              <w:jc w:val="center"/>
              <w:rPr>
                <w:b/>
                <w:color w:val="000000"/>
              </w:rPr>
            </w:pPr>
            <w:r w:rsidRPr="0023205F">
              <w:rPr>
                <w:b/>
                <w:color w:val="000000"/>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04C721AE" w14:textId="77777777" w:rsidR="0023205F" w:rsidRPr="0023205F" w:rsidRDefault="0023205F" w:rsidP="0023205F">
            <w:pPr>
              <w:keepNext/>
              <w:keepLines/>
              <w:jc w:val="center"/>
              <w:rPr>
                <w:b/>
                <w:color w:val="000000"/>
                <w:lang w:val="en-GB"/>
              </w:rPr>
            </w:pPr>
          </w:p>
        </w:tc>
      </w:tr>
      <w:tr w:rsidR="0023205F" w:rsidRPr="0023205F" w14:paraId="5C3B4D63"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1CC443B3" w14:textId="77777777" w:rsidR="0023205F" w:rsidRPr="0023205F" w:rsidRDefault="0023205F" w:rsidP="0023205F">
            <w:pPr>
              <w:keepNext/>
              <w:keepLines/>
              <w:rPr>
                <w:color w:val="000000"/>
              </w:rPr>
            </w:pPr>
            <w:r w:rsidRPr="0023205F">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065D9E8" w14:textId="77777777" w:rsidR="0023205F" w:rsidRPr="0023205F" w:rsidRDefault="0023205F" w:rsidP="0023205F">
            <w:pPr>
              <w:keepNext/>
              <w:keepLines/>
              <w:jc w:val="center"/>
              <w:rPr>
                <w:color w:val="000000"/>
              </w:rPr>
            </w:pPr>
            <w:r w:rsidRPr="0023205F">
              <w:rPr>
                <w:color w:val="000000"/>
              </w:rPr>
              <w:t>30,0 %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E6575BE" w14:textId="77777777" w:rsidR="0023205F" w:rsidRPr="0023205F" w:rsidRDefault="0023205F" w:rsidP="0023205F">
            <w:pPr>
              <w:keepNext/>
              <w:keepLines/>
              <w:jc w:val="center"/>
              <w:rPr>
                <w:color w:val="000000"/>
              </w:rPr>
            </w:pPr>
            <w:r w:rsidRPr="0023205F">
              <w:rPr>
                <w:color w:val="000000"/>
              </w:rPr>
              <w:t>29,8 %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562D969" w14:textId="77777777" w:rsidR="0023205F" w:rsidRPr="0023205F" w:rsidRDefault="0023205F" w:rsidP="0023205F">
            <w:pPr>
              <w:keepNext/>
              <w:keepLines/>
              <w:jc w:val="center"/>
              <w:rPr>
                <w:color w:val="000000"/>
              </w:rPr>
            </w:pPr>
            <w:r w:rsidRPr="0023205F">
              <w:rPr>
                <w:color w:val="000000"/>
              </w:rPr>
              <w:t>0,983</w:t>
            </w:r>
          </w:p>
        </w:tc>
      </w:tr>
      <w:tr w:rsidR="0023205F" w:rsidRPr="0023205F" w14:paraId="606DD441"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6A14AA4D" w14:textId="77777777" w:rsidR="0023205F" w:rsidRPr="0023205F" w:rsidRDefault="0023205F" w:rsidP="0023205F">
            <w:pPr>
              <w:keepNext/>
              <w:keepLines/>
              <w:rPr>
                <w:b/>
                <w:color w:val="000000"/>
              </w:rPr>
            </w:pPr>
            <w:r w:rsidRPr="0023205F">
              <w:rPr>
                <w:b/>
                <w:color w:val="000000"/>
              </w:rPr>
              <w:t>Fistelremission</w:t>
            </w:r>
            <w:r w:rsidRPr="0023205F">
              <w:rPr>
                <w:b/>
                <w:color w:val="000000"/>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5D635EC" w14:textId="77777777" w:rsidR="0023205F" w:rsidRPr="0023205F" w:rsidRDefault="0023205F" w:rsidP="0023205F">
            <w:pPr>
              <w:keepNext/>
              <w:keepLines/>
              <w:jc w:val="center"/>
              <w:rPr>
                <w:b/>
                <w:color w:val="000000"/>
              </w:rPr>
            </w:pPr>
            <w:r w:rsidRPr="0023205F">
              <w:rPr>
                <w:b/>
                <w:color w:val="000000"/>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5DF726D" w14:textId="77777777" w:rsidR="0023205F" w:rsidRPr="0023205F" w:rsidRDefault="0023205F" w:rsidP="0023205F">
            <w:pPr>
              <w:keepNext/>
              <w:keepLines/>
              <w:jc w:val="center"/>
              <w:rPr>
                <w:b/>
                <w:color w:val="000000"/>
              </w:rPr>
            </w:pPr>
            <w:r w:rsidRPr="0023205F">
              <w:rPr>
                <w:b/>
                <w:color w:val="000000"/>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1835BBAF" w14:textId="77777777" w:rsidR="0023205F" w:rsidRPr="0023205F" w:rsidRDefault="0023205F" w:rsidP="0023205F">
            <w:pPr>
              <w:keepNext/>
              <w:keepLines/>
              <w:jc w:val="center"/>
              <w:rPr>
                <w:b/>
                <w:color w:val="000000"/>
                <w:lang w:val="en-GB"/>
              </w:rPr>
            </w:pPr>
          </w:p>
        </w:tc>
      </w:tr>
      <w:tr w:rsidR="0023205F" w:rsidRPr="0023205F" w14:paraId="333B74A9"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7074BDD7" w14:textId="77777777" w:rsidR="0023205F" w:rsidRPr="0023205F" w:rsidRDefault="0023205F" w:rsidP="0023205F">
            <w:pPr>
              <w:rPr>
                <w:color w:val="000000"/>
              </w:rPr>
            </w:pPr>
            <w:r w:rsidRPr="0023205F">
              <w:rPr>
                <w:color w:val="000000"/>
              </w:rPr>
              <w:t>Woche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9A3E774" w14:textId="77777777" w:rsidR="0023205F" w:rsidRPr="0023205F" w:rsidRDefault="0023205F" w:rsidP="0023205F">
            <w:pPr>
              <w:jc w:val="center"/>
              <w:rPr>
                <w:color w:val="000000"/>
              </w:rPr>
            </w:pPr>
            <w:r w:rsidRPr="0023205F">
              <w:rPr>
                <w:color w:val="000000"/>
              </w:rPr>
              <w:t>46,7 %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FF31AD8" w14:textId="77777777" w:rsidR="0023205F" w:rsidRPr="0023205F" w:rsidRDefault="0023205F" w:rsidP="0023205F">
            <w:pPr>
              <w:jc w:val="center"/>
              <w:rPr>
                <w:color w:val="000000"/>
              </w:rPr>
            </w:pPr>
            <w:r w:rsidRPr="0023205F">
              <w:rPr>
                <w:color w:val="000000"/>
              </w:rPr>
              <w:t>38,1 %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C5991CF" w14:textId="77777777" w:rsidR="0023205F" w:rsidRPr="0023205F" w:rsidRDefault="0023205F" w:rsidP="0023205F">
            <w:pPr>
              <w:jc w:val="center"/>
              <w:rPr>
                <w:color w:val="000000"/>
              </w:rPr>
            </w:pPr>
            <w:r w:rsidRPr="0023205F">
              <w:rPr>
                <w:color w:val="000000"/>
              </w:rPr>
              <w:t>0,608</w:t>
            </w:r>
          </w:p>
        </w:tc>
      </w:tr>
      <w:tr w:rsidR="0023205F" w:rsidRPr="0023205F" w14:paraId="027E6775" w14:textId="77777777" w:rsidTr="0023205F">
        <w:tc>
          <w:tcPr>
            <w:tcW w:w="4158" w:type="dxa"/>
            <w:tcBorders>
              <w:top w:val="single" w:sz="4" w:space="0" w:color="auto"/>
              <w:left w:val="single" w:sz="4" w:space="0" w:color="auto"/>
              <w:bottom w:val="single" w:sz="4" w:space="0" w:color="auto"/>
              <w:right w:val="single" w:sz="4" w:space="0" w:color="auto"/>
            </w:tcBorders>
            <w:hideMark/>
          </w:tcPr>
          <w:p w14:paraId="0AF755A8" w14:textId="77777777" w:rsidR="0023205F" w:rsidRPr="0023205F" w:rsidRDefault="0023205F" w:rsidP="0023205F">
            <w:pPr>
              <w:rPr>
                <w:color w:val="000000"/>
              </w:rPr>
            </w:pPr>
            <w:r w:rsidRPr="0023205F">
              <w:rPr>
                <w:color w:val="000000"/>
              </w:rPr>
              <w:t>Woche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D9DD4D7" w14:textId="77777777" w:rsidR="0023205F" w:rsidRPr="0023205F" w:rsidRDefault="0023205F" w:rsidP="0023205F">
            <w:pPr>
              <w:jc w:val="center"/>
              <w:rPr>
                <w:color w:val="000000"/>
              </w:rPr>
            </w:pPr>
            <w:r w:rsidRPr="0023205F">
              <w:rPr>
                <w:color w:val="000000"/>
              </w:rPr>
              <w:t>40,0 %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AFB0888" w14:textId="77777777" w:rsidR="0023205F" w:rsidRPr="0023205F" w:rsidRDefault="0023205F" w:rsidP="0023205F">
            <w:pPr>
              <w:jc w:val="center"/>
              <w:rPr>
                <w:color w:val="000000"/>
              </w:rPr>
            </w:pPr>
            <w:r w:rsidRPr="0023205F">
              <w:rPr>
                <w:color w:val="000000"/>
              </w:rPr>
              <w:t>23,8 %</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B832DBC" w14:textId="77777777" w:rsidR="0023205F" w:rsidRPr="0023205F" w:rsidRDefault="0023205F" w:rsidP="0023205F">
            <w:pPr>
              <w:jc w:val="center"/>
              <w:rPr>
                <w:color w:val="000000"/>
              </w:rPr>
            </w:pPr>
            <w:r w:rsidRPr="0023205F">
              <w:rPr>
                <w:color w:val="000000"/>
              </w:rPr>
              <w:t>0,303</w:t>
            </w:r>
          </w:p>
        </w:tc>
      </w:tr>
      <w:tr w:rsidR="0023205F" w:rsidRPr="0023205F" w14:paraId="22D6E988" w14:textId="77777777" w:rsidTr="0023205F">
        <w:tc>
          <w:tcPr>
            <w:tcW w:w="9303" w:type="dxa"/>
            <w:gridSpan w:val="4"/>
            <w:tcBorders>
              <w:top w:val="single" w:sz="4" w:space="0" w:color="auto"/>
              <w:left w:val="nil"/>
              <w:bottom w:val="nil"/>
              <w:right w:val="nil"/>
            </w:tcBorders>
          </w:tcPr>
          <w:p w14:paraId="4653A508" w14:textId="77777777" w:rsidR="0023205F" w:rsidRPr="00206AEA" w:rsidRDefault="0023205F" w:rsidP="0023205F">
            <w:pPr>
              <w:ind w:left="270" w:hanging="270"/>
              <w:rPr>
                <w:color w:val="000000"/>
                <w:sz w:val="20"/>
              </w:rPr>
            </w:pPr>
            <w:r w:rsidRPr="00206AEA">
              <w:rPr>
                <w:color w:val="000000"/>
                <w:sz w:val="20"/>
                <w:vertAlign w:val="superscript"/>
              </w:rPr>
              <w:t>1</w:t>
            </w:r>
            <w:r w:rsidRPr="00206AEA">
              <w:rPr>
                <w:color w:val="000000"/>
                <w:sz w:val="20"/>
              </w:rPr>
              <w:tab/>
              <w:t xml:space="preserve">p-Wert für Vergleich von Standarddosis gegenüber Niedrigdosis </w:t>
            </w:r>
          </w:p>
          <w:p w14:paraId="11EF0039" w14:textId="77777777" w:rsidR="0023205F" w:rsidRPr="00206AEA" w:rsidRDefault="0023205F" w:rsidP="0023205F">
            <w:pPr>
              <w:ind w:left="270" w:hanging="270"/>
              <w:rPr>
                <w:color w:val="000000"/>
                <w:sz w:val="20"/>
              </w:rPr>
            </w:pPr>
            <w:r w:rsidRPr="00206AEA">
              <w:rPr>
                <w:color w:val="000000"/>
                <w:sz w:val="20"/>
                <w:vertAlign w:val="superscript"/>
              </w:rPr>
              <w:t>2</w:t>
            </w:r>
            <w:r w:rsidRPr="00206AEA">
              <w:rPr>
                <w:color w:val="000000"/>
                <w:sz w:val="20"/>
              </w:rPr>
              <w:tab/>
              <w:t xml:space="preserve">Behandlung mit Immunsuppressiva konnte nach Ermessen des Prüfers erst zu oder nach </w:t>
            </w:r>
            <w:r w:rsidRPr="0023205F">
              <w:rPr>
                <w:color w:val="000000"/>
              </w:rPr>
              <w:t>Woche 26</w:t>
            </w:r>
            <w:r w:rsidRPr="00206AEA">
              <w:rPr>
                <w:color w:val="000000"/>
                <w:sz w:val="20"/>
              </w:rPr>
              <w:t xml:space="preserve"> beendet werden, wenn der Patient das Kriterium für ein klinisches Ansprechen erfüllte</w:t>
            </w:r>
            <w:r w:rsidR="00167CCD" w:rsidRPr="00206AEA">
              <w:rPr>
                <w:color w:val="000000"/>
                <w:sz w:val="20"/>
              </w:rPr>
              <w:t>.</w:t>
            </w:r>
            <w:r w:rsidRPr="00206AEA">
              <w:rPr>
                <w:color w:val="000000"/>
                <w:sz w:val="20"/>
              </w:rPr>
              <w:t xml:space="preserve"> </w:t>
            </w:r>
          </w:p>
          <w:p w14:paraId="18E84CCC" w14:textId="77777777" w:rsidR="0023205F" w:rsidRPr="00206AEA" w:rsidRDefault="0023205F" w:rsidP="0023205F">
            <w:pPr>
              <w:ind w:left="270" w:hanging="270"/>
              <w:rPr>
                <w:color w:val="000000"/>
                <w:sz w:val="20"/>
              </w:rPr>
            </w:pPr>
            <w:r w:rsidRPr="00206AEA">
              <w:rPr>
                <w:color w:val="000000"/>
                <w:sz w:val="20"/>
                <w:vertAlign w:val="superscript"/>
              </w:rPr>
              <w:t>3</w:t>
            </w:r>
            <w:r w:rsidRPr="00206AEA">
              <w:rPr>
                <w:color w:val="000000"/>
                <w:sz w:val="20"/>
              </w:rPr>
              <w:tab/>
              <w:t>definiert als Verschluss aller zum Zeitpunkt des Studienbeginns drainierender Fisteln, nachgewiesen an mindestens zwei aufeinanderfolgenden Visiten im Studienverlauf</w:t>
            </w:r>
            <w:r w:rsidR="00167CCD" w:rsidRPr="00206AEA">
              <w:rPr>
                <w:color w:val="000000"/>
                <w:sz w:val="20"/>
              </w:rPr>
              <w:t>.</w:t>
            </w:r>
          </w:p>
        </w:tc>
      </w:tr>
    </w:tbl>
    <w:p w14:paraId="29C9BB75" w14:textId="77777777" w:rsidR="0023205F" w:rsidRPr="0023205F" w:rsidRDefault="0023205F" w:rsidP="0023205F">
      <w:pPr>
        <w:rPr>
          <w:color w:val="000000"/>
        </w:rPr>
      </w:pPr>
    </w:p>
    <w:p w14:paraId="3B29420F" w14:textId="77777777" w:rsidR="0023205F" w:rsidRPr="0023205F" w:rsidRDefault="0023205F" w:rsidP="0023205F">
      <w:pPr>
        <w:kinsoku w:val="0"/>
        <w:overflowPunct w:val="0"/>
        <w:rPr>
          <w:color w:val="000000"/>
        </w:rPr>
      </w:pPr>
      <w:r w:rsidRPr="0023205F">
        <w:rPr>
          <w:color w:val="000000"/>
        </w:rPr>
        <w:lastRenderedPageBreak/>
        <w:t>Statistisch signifikante Zunahmen (Verbesserungen) im Vergleich zum Studienbeginn wurden im Body-Mass-Index und der Körpergröße zu Woche 26 und Woche 52 für beide Behandlungsgruppen beobachtet.</w:t>
      </w:r>
    </w:p>
    <w:p w14:paraId="38D80906" w14:textId="77777777" w:rsidR="0023205F" w:rsidRPr="0023205F" w:rsidRDefault="0023205F" w:rsidP="0023205F">
      <w:pPr>
        <w:kinsoku w:val="0"/>
        <w:overflowPunct w:val="0"/>
        <w:rPr>
          <w:color w:val="000000"/>
        </w:rPr>
      </w:pPr>
    </w:p>
    <w:p w14:paraId="52DF0145" w14:textId="77777777" w:rsidR="0023205F" w:rsidRPr="0023205F" w:rsidRDefault="0023205F" w:rsidP="0023205F">
      <w:pPr>
        <w:kinsoku w:val="0"/>
        <w:overflowPunct w:val="0"/>
        <w:rPr>
          <w:color w:val="000000"/>
        </w:rPr>
      </w:pPr>
      <w:r w:rsidRPr="0023205F">
        <w:rPr>
          <w:color w:val="000000"/>
        </w:rPr>
        <w:t>Statistisch und klinisch signifikante Verbesserungen im Vergleich zum Studienbeginn wurden auch in beiden Behandlungsgruppen für die Parameter zur Lebensqualität (einschließlich IMPACT III) beobachtet.</w:t>
      </w:r>
    </w:p>
    <w:p w14:paraId="5040A8F4" w14:textId="77777777" w:rsidR="0023205F" w:rsidRPr="0023205F" w:rsidRDefault="0023205F" w:rsidP="0023205F">
      <w:pPr>
        <w:kinsoku w:val="0"/>
        <w:overflowPunct w:val="0"/>
        <w:rPr>
          <w:color w:val="000000"/>
          <w:szCs w:val="21"/>
        </w:rPr>
      </w:pPr>
    </w:p>
    <w:p w14:paraId="5B9E8044" w14:textId="77777777" w:rsidR="0023205F" w:rsidRPr="0023205F" w:rsidRDefault="0023205F" w:rsidP="0023205F">
      <w:pPr>
        <w:kinsoku w:val="0"/>
        <w:overflowPunct w:val="0"/>
        <w:rPr>
          <w:color w:val="000000"/>
        </w:rPr>
      </w:pPr>
      <w:r w:rsidRPr="0023205F">
        <w:rPr>
          <w:color w:val="000000"/>
        </w:rPr>
        <w:t xml:space="preserve">Einhundert Patienten (n = 100) der Studie zu pädiatrischem Morbus Crohn setzten diese in einer offenen </w:t>
      </w:r>
      <w:r w:rsidR="00167CCD">
        <w:rPr>
          <w:color w:val="000000"/>
        </w:rPr>
        <w:t>Fortsetzungsphase</w:t>
      </w:r>
      <w:r w:rsidRPr="0023205F">
        <w:rPr>
          <w:color w:val="000000"/>
        </w:rPr>
        <w:t xml:space="preserve"> zur Langzeitanwendung fort. Nach fünf Jahren unter Adalimumab-Therapie wiesen 74,0 % (37/50) der 50 in der Studie verbliebenen Patienten weiterhin eine klinische Remission und 92,0 % (46/50) ein klinisches Ansprechen nach PCDAI auf.</w:t>
      </w:r>
    </w:p>
    <w:p w14:paraId="6AAB928F" w14:textId="77777777" w:rsidR="0023205F" w:rsidRDefault="0023205F" w:rsidP="0023205F">
      <w:pPr>
        <w:kinsoku w:val="0"/>
        <w:overflowPunct w:val="0"/>
        <w:rPr>
          <w:color w:val="000000"/>
        </w:rPr>
      </w:pPr>
    </w:p>
    <w:p w14:paraId="53225A54" w14:textId="77777777" w:rsidR="00472702" w:rsidRPr="00472702" w:rsidRDefault="00472702" w:rsidP="00472702">
      <w:pPr>
        <w:rPr>
          <w:i/>
          <w:iCs/>
          <w:color w:val="000000"/>
        </w:rPr>
      </w:pPr>
      <w:r w:rsidRPr="00472702">
        <w:rPr>
          <w:i/>
          <w:iCs/>
          <w:color w:val="000000"/>
        </w:rPr>
        <w:t>Colitis ulcerosa bei Kindern und Jugendlichen</w:t>
      </w:r>
    </w:p>
    <w:p w14:paraId="67F0354F" w14:textId="77777777" w:rsidR="00472702" w:rsidRPr="00472702" w:rsidRDefault="00472702" w:rsidP="00472702">
      <w:pPr>
        <w:kinsoku w:val="0"/>
        <w:overflowPunct w:val="0"/>
        <w:rPr>
          <w:color w:val="000000"/>
        </w:rPr>
      </w:pPr>
    </w:p>
    <w:p w14:paraId="053A0E04" w14:textId="77777777" w:rsidR="00472702" w:rsidRPr="00472702" w:rsidRDefault="00472702" w:rsidP="00472702">
      <w:pPr>
        <w:kinsoku w:val="0"/>
        <w:overflowPunct w:val="0"/>
        <w:rPr>
          <w:color w:val="000000"/>
        </w:rPr>
      </w:pPr>
      <w:r w:rsidRPr="00472702">
        <w:rPr>
          <w:color w:val="000000"/>
        </w:rPr>
        <w:t>Die Sicherheit und Wirksamkeit von Adalimumab wurden in einer multizentrischen, randomisierten doppelblinden Studie bei 93 Kindern und Jugendlichen im Alter von 5 bis 17 Jahren mit mittelschwerer bis schwerer Colitis ulcerosa (Mayo-Score 6 bis 12 mit Endoskopie-Subscore 2 bis 3, bestätigt durch zentral ausgewertete endoskopische Aufnahmen) und unzureichendem Ansprechen auf oder Unverträglichkeit gegenüber konventionellen Therapien untersucht. Bei etwa 16 % der Patienten der Studie hatte zuvor eine Anti-TNF-Behandlung versagt. Bei Patienten, die bei Aufnahme in die Studie Kortikosteroide erhielten, war ein Ausschleichen nach Woche 4 erlaubt.</w:t>
      </w:r>
    </w:p>
    <w:p w14:paraId="1F385BAA" w14:textId="77777777" w:rsidR="00472702" w:rsidRPr="00472702" w:rsidRDefault="00472702" w:rsidP="00472702">
      <w:pPr>
        <w:kinsoku w:val="0"/>
        <w:overflowPunct w:val="0"/>
        <w:rPr>
          <w:color w:val="000000"/>
        </w:rPr>
      </w:pPr>
    </w:p>
    <w:p w14:paraId="502142AD" w14:textId="77777777" w:rsidR="00472702" w:rsidRPr="00472702" w:rsidRDefault="00472702" w:rsidP="00472702">
      <w:pPr>
        <w:kinsoku w:val="0"/>
        <w:overflowPunct w:val="0"/>
        <w:rPr>
          <w:color w:val="000000"/>
        </w:rPr>
      </w:pPr>
      <w:r w:rsidRPr="00472702">
        <w:rPr>
          <w:color w:val="000000"/>
        </w:rPr>
        <w:t>In der Induktionsphase der Studie wurden 77 Patienten im Verhältnis 3:2 randomisiert und erhielten eine doppelblinde Behandlung mit Adalimumab: eine Induktionsdosis von 2,4 mg/kg (maximal 160 mg) in Woche 0 und Woche 1 und 1,2 mg/kg (maximal 80 mg) in Woche 2 bzw. 2,4 mg/kg (maximal 160 mg) in Woche 0, Placebo in Woche 1 und 1,2 mg/kg (maximal 80 mg) in Woche 2. Beide Behandlungsarme erhielten 0,6 mg/kg (maximal 40 mg) in Woche 4 und Woche 6. Nach einer Änderung des Studiendesigns erhielten die verbleibenden 16 Patienten, die in die Induktionsphase aufgenommen wurden, eine offene Behandlung mit Adalimumab in der Induktionsdosis von 2,4 mg/kg (maximal 160 mg) in Woche 0 und Woche 1 und 1,2 mg/kg (maximal 80 mg) in Woche 2.</w:t>
      </w:r>
    </w:p>
    <w:p w14:paraId="2707D059" w14:textId="77777777" w:rsidR="00472702" w:rsidRPr="00472702" w:rsidRDefault="00472702" w:rsidP="00472702">
      <w:pPr>
        <w:kinsoku w:val="0"/>
        <w:overflowPunct w:val="0"/>
        <w:rPr>
          <w:color w:val="000000"/>
        </w:rPr>
      </w:pPr>
    </w:p>
    <w:p w14:paraId="71D0B694" w14:textId="77777777" w:rsidR="00472702" w:rsidRPr="00472702" w:rsidRDefault="00472702" w:rsidP="00472702">
      <w:pPr>
        <w:kinsoku w:val="0"/>
        <w:overflowPunct w:val="0"/>
        <w:rPr>
          <w:color w:val="000000"/>
        </w:rPr>
      </w:pPr>
      <w:r w:rsidRPr="00472702">
        <w:rPr>
          <w:color w:val="000000"/>
        </w:rPr>
        <w:t>In Woche 8 wurden 62 Patienten, die nach Partial-Mayo-Score (PMS, definiert als Abnahme um ≥ 2 Punkte und ≥ 30 % gegenüber Baseline) ein klinisches Ansprechen aufwiesen, im Verhältnis 1:1 randomisiert und erhielten eine doppelblinde Erhaltungstherapie mit Adalimumab in einer Dosis von 0,6 mg/kg (maximal 40 mg) wöchentlich oder jede zweite Woche. Vor der Änderung des Studiendesigns wurden 12 weitere Patienten, die nach PMS ein klinisches Ansprechen aufwiesen, randomisiert und erhielten Placebo, wurden aber nicht in die konfirmatorische Auswertung zur Wirksamkeit einbezogen.</w:t>
      </w:r>
    </w:p>
    <w:p w14:paraId="6EF93A35" w14:textId="77777777" w:rsidR="00472702" w:rsidRPr="00472702" w:rsidRDefault="00472702" w:rsidP="00472702">
      <w:pPr>
        <w:kinsoku w:val="0"/>
        <w:overflowPunct w:val="0"/>
        <w:rPr>
          <w:color w:val="000000"/>
        </w:rPr>
      </w:pPr>
    </w:p>
    <w:p w14:paraId="6A3AF990" w14:textId="77777777" w:rsidR="00472702" w:rsidRPr="00472702" w:rsidRDefault="00472702" w:rsidP="00472702">
      <w:pPr>
        <w:kinsoku w:val="0"/>
        <w:overflowPunct w:val="0"/>
        <w:rPr>
          <w:color w:val="000000"/>
        </w:rPr>
      </w:pPr>
      <w:r w:rsidRPr="00472702">
        <w:rPr>
          <w:color w:val="000000"/>
        </w:rPr>
        <w:t>Ein Krankheitsschub wurde definiert als Zunahme des PMS um mindestens 3 Punkte (bei Patienten mit einem PMS von 0–2 in Woche 8), mindestens 2 Punkte (bei Patienten mit einem PMS von 3–4 in Woche 8) oder mindestens 1 Punkt (bei Patienten mit einem PMS von 5–6 in Woche 8).</w:t>
      </w:r>
    </w:p>
    <w:p w14:paraId="73850252" w14:textId="77777777" w:rsidR="00472702" w:rsidRPr="00472702" w:rsidRDefault="00472702" w:rsidP="00472702">
      <w:pPr>
        <w:kinsoku w:val="0"/>
        <w:overflowPunct w:val="0"/>
        <w:rPr>
          <w:color w:val="000000"/>
        </w:rPr>
      </w:pPr>
    </w:p>
    <w:p w14:paraId="50B6EB0A" w14:textId="77777777" w:rsidR="00472702" w:rsidRPr="00472702" w:rsidRDefault="00472702" w:rsidP="00472702">
      <w:pPr>
        <w:kinsoku w:val="0"/>
        <w:overflowPunct w:val="0"/>
        <w:rPr>
          <w:color w:val="000000"/>
        </w:rPr>
      </w:pPr>
      <w:r w:rsidRPr="00472702">
        <w:rPr>
          <w:color w:val="000000"/>
        </w:rPr>
        <w:t>Patienten, die in oder nach Woche 12 die Kriterien für einen Krankheitsschub erfüllten, wurden randomisiert und erhielten entweder eine erneute Induktionsdosis von 2,4 mg/kg (maximal 160 mg) oder eine Dosis von 0,6 mg/kg (maximal 40 mg) und führten anschließend die Behandlung in ihrer jeweiligen Erhaltungsdosis fort.</w:t>
      </w:r>
    </w:p>
    <w:p w14:paraId="1463C42A" w14:textId="77777777" w:rsidR="00472702" w:rsidRPr="00472702" w:rsidRDefault="00472702" w:rsidP="00472702">
      <w:pPr>
        <w:kinsoku w:val="0"/>
        <w:overflowPunct w:val="0"/>
        <w:rPr>
          <w:color w:val="000000"/>
        </w:rPr>
      </w:pPr>
    </w:p>
    <w:p w14:paraId="52693774" w14:textId="77777777" w:rsidR="00472702" w:rsidRPr="00472702" w:rsidRDefault="00472702" w:rsidP="00472702">
      <w:pPr>
        <w:kinsoku w:val="0"/>
        <w:overflowPunct w:val="0"/>
        <w:rPr>
          <w:i/>
          <w:iCs/>
          <w:color w:val="000000"/>
          <w:u w:val="single"/>
        </w:rPr>
      </w:pPr>
      <w:r w:rsidRPr="00472702">
        <w:rPr>
          <w:i/>
          <w:iCs/>
          <w:color w:val="000000"/>
          <w:u w:val="single"/>
        </w:rPr>
        <w:t>Ergebnisse zur Wirksamkeit</w:t>
      </w:r>
    </w:p>
    <w:p w14:paraId="29813FD3" w14:textId="77777777" w:rsidR="00472702" w:rsidRPr="00472702" w:rsidRDefault="00472702" w:rsidP="00472702">
      <w:pPr>
        <w:kinsoku w:val="0"/>
        <w:overflowPunct w:val="0"/>
        <w:rPr>
          <w:color w:val="000000"/>
        </w:rPr>
      </w:pPr>
    </w:p>
    <w:p w14:paraId="5E7A3D98" w14:textId="77777777" w:rsidR="00472702" w:rsidRPr="00472702" w:rsidRDefault="00472702" w:rsidP="00472702">
      <w:pPr>
        <w:kinsoku w:val="0"/>
        <w:overflowPunct w:val="0"/>
        <w:rPr>
          <w:color w:val="000000"/>
        </w:rPr>
      </w:pPr>
      <w:r w:rsidRPr="00472702">
        <w:rPr>
          <w:color w:val="000000"/>
        </w:rPr>
        <w:t>Die koprimären Endpunkte der Studie waren die klinische Remission nach PMS (definiert als PMS ≤ 2 und kein einzelner Subscore &gt; 1) in Woche 8 und die klinische Remission nach vollständigem Mayo-Score (Full Mayo Score, FMS, definiert als Mayo-Score von ≤ 2 und kein einzelner Subscore &gt; 1) in Woche 52 bei Patienten, die in Woche 8 ein klinisches Ansprechen nach PMS erreichten.</w:t>
      </w:r>
    </w:p>
    <w:p w14:paraId="1299D60D" w14:textId="77777777" w:rsidR="00472702" w:rsidRPr="00472702" w:rsidRDefault="00472702" w:rsidP="00472702">
      <w:pPr>
        <w:kinsoku w:val="0"/>
        <w:overflowPunct w:val="0"/>
        <w:rPr>
          <w:color w:val="000000"/>
        </w:rPr>
      </w:pPr>
    </w:p>
    <w:p w14:paraId="32B55E6E" w14:textId="77777777" w:rsidR="00472702" w:rsidRPr="00472702" w:rsidRDefault="00472702" w:rsidP="00472702">
      <w:pPr>
        <w:kinsoku w:val="0"/>
        <w:overflowPunct w:val="0"/>
        <w:rPr>
          <w:color w:val="000000"/>
        </w:rPr>
      </w:pPr>
      <w:r w:rsidRPr="00472702">
        <w:rPr>
          <w:color w:val="000000"/>
        </w:rPr>
        <w:lastRenderedPageBreak/>
        <w:t>Die Raten der klinischen Remission nach PMS in Woche 8 für Patienten in jedem der Behandlungsarme mit doppelblinder Adalimumab-Induktionstherapie sind in Tabelle </w:t>
      </w:r>
      <w:r>
        <w:rPr>
          <w:color w:val="000000"/>
        </w:rPr>
        <w:t>31</w:t>
      </w:r>
      <w:r w:rsidRPr="00472702">
        <w:rPr>
          <w:color w:val="000000"/>
        </w:rPr>
        <w:t xml:space="preserve"> dargestellt.</w:t>
      </w:r>
    </w:p>
    <w:p w14:paraId="72F47428" w14:textId="77777777" w:rsidR="00472702" w:rsidRPr="00472702" w:rsidRDefault="00472702" w:rsidP="00472702">
      <w:pPr>
        <w:kinsoku w:val="0"/>
        <w:overflowPunct w:val="0"/>
        <w:rPr>
          <w:color w:val="000000"/>
        </w:rPr>
      </w:pPr>
    </w:p>
    <w:p w14:paraId="27190656" w14:textId="77777777" w:rsidR="00472702" w:rsidRPr="00C325BF" w:rsidRDefault="00472702" w:rsidP="00534861">
      <w:pPr>
        <w:keepNext/>
        <w:rPr>
          <w:b/>
        </w:rPr>
      </w:pPr>
      <w:r w:rsidRPr="00C325BF">
        <w:rPr>
          <w:b/>
        </w:rPr>
        <w:t>Tabelle 31</w:t>
      </w:r>
    </w:p>
    <w:p w14:paraId="0614E8FD" w14:textId="77777777" w:rsidR="00472702" w:rsidRPr="00C325BF" w:rsidRDefault="00472702" w:rsidP="005966B6">
      <w:pPr>
        <w:keepNext/>
        <w:rPr>
          <w:b/>
          <w:bCs/>
        </w:rPr>
      </w:pPr>
      <w:r w:rsidRPr="00C325BF">
        <w:rPr>
          <w:b/>
        </w:rPr>
        <w:t>Klinische Remission nach PMS in Woche 8</w:t>
      </w:r>
    </w:p>
    <w:p w14:paraId="6B3AD9EB" w14:textId="77777777" w:rsidR="00472702" w:rsidRPr="00C325BF" w:rsidRDefault="00472702" w:rsidP="00C106F6">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04"/>
        <w:gridCol w:w="3037"/>
      </w:tblGrid>
      <w:tr w:rsidR="00472702" w:rsidRPr="00472702" w14:paraId="1427CC8F" w14:textId="77777777" w:rsidTr="00BA625C">
        <w:trPr>
          <w:cantSplit/>
          <w:tblHeader/>
        </w:trPr>
        <w:tc>
          <w:tcPr>
            <w:tcW w:w="3118" w:type="dxa"/>
            <w:tcBorders>
              <w:top w:val="single" w:sz="4" w:space="0" w:color="auto"/>
              <w:left w:val="single" w:sz="4" w:space="0" w:color="auto"/>
              <w:bottom w:val="single" w:sz="4" w:space="0" w:color="auto"/>
              <w:right w:val="single" w:sz="4" w:space="0" w:color="auto"/>
            </w:tcBorders>
          </w:tcPr>
          <w:p w14:paraId="4BC70C6C" w14:textId="77777777" w:rsidR="00472702" w:rsidRPr="00C325BF" w:rsidRDefault="00472702" w:rsidP="00323471">
            <w:pPr>
              <w:keepNext/>
              <w:jc w:val="center"/>
              <w:rPr>
                <w:b/>
              </w:rPr>
            </w:pPr>
          </w:p>
        </w:tc>
        <w:tc>
          <w:tcPr>
            <w:tcW w:w="3077" w:type="dxa"/>
            <w:tcBorders>
              <w:top w:val="single" w:sz="4" w:space="0" w:color="auto"/>
              <w:left w:val="single" w:sz="4" w:space="0" w:color="auto"/>
              <w:bottom w:val="single" w:sz="4" w:space="0" w:color="auto"/>
              <w:right w:val="single" w:sz="4" w:space="0" w:color="auto"/>
            </w:tcBorders>
            <w:hideMark/>
          </w:tcPr>
          <w:p w14:paraId="2E347569" w14:textId="77777777" w:rsidR="00472702" w:rsidRPr="00C325BF" w:rsidRDefault="00472702" w:rsidP="00FF4E61">
            <w:pPr>
              <w:keepNext/>
              <w:jc w:val="center"/>
              <w:rPr>
                <w:b/>
              </w:rPr>
            </w:pPr>
            <w:r w:rsidRPr="00C325BF">
              <w:rPr>
                <w:b/>
              </w:rPr>
              <w:t>Adalimumab</w:t>
            </w:r>
            <w:r w:rsidRPr="00C325BF">
              <w:rPr>
                <w:b/>
                <w:vertAlign w:val="superscript"/>
              </w:rPr>
              <w:t>a</w:t>
            </w:r>
          </w:p>
          <w:p w14:paraId="2D88FF62" w14:textId="77777777" w:rsidR="00472702" w:rsidRPr="00C325BF" w:rsidRDefault="00472702" w:rsidP="00D45061">
            <w:pPr>
              <w:keepNext/>
              <w:jc w:val="center"/>
              <w:rPr>
                <w:b/>
              </w:rPr>
            </w:pPr>
            <w:r w:rsidRPr="00C325BF">
              <w:rPr>
                <w:b/>
              </w:rPr>
              <w:t>Maximal 160 mg in Woche 0/ Placebo in Woche 1</w:t>
            </w:r>
          </w:p>
          <w:p w14:paraId="7BBA1BF4" w14:textId="77777777" w:rsidR="00472702" w:rsidRPr="00472702" w:rsidRDefault="00472702" w:rsidP="00D45061">
            <w:pPr>
              <w:keepNext/>
              <w:jc w:val="center"/>
              <w:rPr>
                <w:b/>
                <w:lang w:val="en-GB"/>
              </w:rPr>
            </w:pPr>
            <w:r w:rsidRPr="00472702">
              <w:rPr>
                <w:lang w:val="en-GB"/>
              </w:rPr>
              <w:t>n </w:t>
            </w:r>
            <w:r w:rsidRPr="00472702">
              <w:rPr>
                <w:b/>
                <w:lang w:val="en-GB"/>
              </w:rPr>
              <w:t>=</w:t>
            </w:r>
            <w:r w:rsidRPr="00472702">
              <w:rPr>
                <w:lang w:val="en-GB"/>
              </w:rPr>
              <w:t> </w:t>
            </w:r>
            <w:r w:rsidRPr="00472702">
              <w:rPr>
                <w:b/>
                <w:lang w:val="en-GB"/>
              </w:rPr>
              <w:t>30</w:t>
            </w:r>
          </w:p>
        </w:tc>
        <w:tc>
          <w:tcPr>
            <w:tcW w:w="3108" w:type="dxa"/>
            <w:tcBorders>
              <w:top w:val="single" w:sz="4" w:space="0" w:color="auto"/>
              <w:left w:val="single" w:sz="4" w:space="0" w:color="auto"/>
              <w:bottom w:val="single" w:sz="4" w:space="0" w:color="auto"/>
              <w:right w:val="single" w:sz="4" w:space="0" w:color="auto"/>
            </w:tcBorders>
            <w:hideMark/>
          </w:tcPr>
          <w:p w14:paraId="2DCF592D" w14:textId="77777777" w:rsidR="00472702" w:rsidRPr="00C325BF" w:rsidRDefault="00472702" w:rsidP="00D45061">
            <w:pPr>
              <w:keepNext/>
              <w:jc w:val="center"/>
              <w:rPr>
                <w:b/>
              </w:rPr>
            </w:pPr>
            <w:r w:rsidRPr="00C325BF">
              <w:rPr>
                <w:b/>
              </w:rPr>
              <w:t>Adalimumab</w:t>
            </w:r>
            <w:r w:rsidRPr="00C325BF">
              <w:rPr>
                <w:b/>
                <w:vertAlign w:val="superscript"/>
              </w:rPr>
              <w:t>b,c</w:t>
            </w:r>
          </w:p>
          <w:p w14:paraId="069CDECE" w14:textId="77777777" w:rsidR="00472702" w:rsidRPr="00C325BF" w:rsidRDefault="00472702" w:rsidP="00D45061">
            <w:pPr>
              <w:keepNext/>
              <w:jc w:val="center"/>
              <w:rPr>
                <w:b/>
              </w:rPr>
            </w:pPr>
            <w:r w:rsidRPr="00C325BF">
              <w:rPr>
                <w:b/>
              </w:rPr>
              <w:t>Maximal 160 mg in Woche 0 und Woche 1</w:t>
            </w:r>
          </w:p>
          <w:p w14:paraId="4B1C34F1" w14:textId="77777777" w:rsidR="00472702" w:rsidRPr="00472702" w:rsidRDefault="00472702" w:rsidP="00D45061">
            <w:pPr>
              <w:keepNext/>
              <w:jc w:val="center"/>
              <w:rPr>
                <w:b/>
                <w:lang w:val="en-GB"/>
              </w:rPr>
            </w:pPr>
            <w:r w:rsidRPr="00472702">
              <w:rPr>
                <w:b/>
                <w:lang w:val="en-GB"/>
              </w:rPr>
              <w:t>n</w:t>
            </w:r>
            <w:r w:rsidRPr="00472702">
              <w:rPr>
                <w:lang w:val="en-GB"/>
              </w:rPr>
              <w:t> </w:t>
            </w:r>
            <w:r w:rsidRPr="00472702">
              <w:rPr>
                <w:b/>
                <w:lang w:val="en-GB"/>
              </w:rPr>
              <w:t>=</w:t>
            </w:r>
            <w:r w:rsidRPr="00472702">
              <w:rPr>
                <w:lang w:val="en-GB"/>
              </w:rPr>
              <w:t> </w:t>
            </w:r>
            <w:r w:rsidRPr="00472702">
              <w:rPr>
                <w:b/>
                <w:bCs/>
                <w:lang w:val="en-GB"/>
              </w:rPr>
              <w:t>47</w:t>
            </w:r>
          </w:p>
        </w:tc>
      </w:tr>
      <w:tr w:rsidR="00472702" w:rsidRPr="00472702" w14:paraId="7C3D146C" w14:textId="77777777" w:rsidTr="00BA625C">
        <w:trPr>
          <w:cantSplit/>
        </w:trPr>
        <w:tc>
          <w:tcPr>
            <w:tcW w:w="3118" w:type="dxa"/>
            <w:tcBorders>
              <w:top w:val="single" w:sz="4" w:space="0" w:color="auto"/>
              <w:left w:val="single" w:sz="4" w:space="0" w:color="auto"/>
              <w:bottom w:val="single" w:sz="4" w:space="0" w:color="auto"/>
              <w:right w:val="single" w:sz="4" w:space="0" w:color="auto"/>
            </w:tcBorders>
            <w:hideMark/>
          </w:tcPr>
          <w:p w14:paraId="55DF369B" w14:textId="77777777" w:rsidR="00472702" w:rsidRPr="00472702" w:rsidRDefault="00472702" w:rsidP="008419B6">
            <w:pPr>
              <w:keepNext/>
              <w:rPr>
                <w:lang w:val="en-GB"/>
              </w:rPr>
            </w:pPr>
            <w:proofErr w:type="spellStart"/>
            <w:r w:rsidRPr="00472702">
              <w:rPr>
                <w:lang w:val="en-GB"/>
              </w:rPr>
              <w:t>Klinische</w:t>
            </w:r>
            <w:proofErr w:type="spellEnd"/>
            <w:r w:rsidRPr="00472702">
              <w:rPr>
                <w:lang w:val="en-GB"/>
              </w:rPr>
              <w:t xml:space="preserve"> Remission</w:t>
            </w:r>
          </w:p>
        </w:tc>
        <w:tc>
          <w:tcPr>
            <w:tcW w:w="3077" w:type="dxa"/>
            <w:tcBorders>
              <w:top w:val="single" w:sz="4" w:space="0" w:color="auto"/>
              <w:left w:val="single" w:sz="4" w:space="0" w:color="auto"/>
              <w:bottom w:val="single" w:sz="4" w:space="0" w:color="auto"/>
              <w:right w:val="single" w:sz="4" w:space="0" w:color="auto"/>
            </w:tcBorders>
            <w:hideMark/>
          </w:tcPr>
          <w:p w14:paraId="6F3EBC09" w14:textId="77777777" w:rsidR="00472702" w:rsidRPr="00472702" w:rsidRDefault="00472702" w:rsidP="008419B6">
            <w:pPr>
              <w:keepNext/>
              <w:jc w:val="center"/>
              <w:rPr>
                <w:lang w:val="en-GB"/>
              </w:rPr>
            </w:pPr>
            <w:r w:rsidRPr="00472702">
              <w:rPr>
                <w:lang w:val="en-GB"/>
              </w:rPr>
              <w:t>13/30 (43,3 %)</w:t>
            </w:r>
          </w:p>
        </w:tc>
        <w:tc>
          <w:tcPr>
            <w:tcW w:w="3108" w:type="dxa"/>
            <w:tcBorders>
              <w:top w:val="single" w:sz="4" w:space="0" w:color="auto"/>
              <w:left w:val="single" w:sz="4" w:space="0" w:color="auto"/>
              <w:bottom w:val="single" w:sz="4" w:space="0" w:color="auto"/>
              <w:right w:val="single" w:sz="4" w:space="0" w:color="auto"/>
            </w:tcBorders>
            <w:hideMark/>
          </w:tcPr>
          <w:p w14:paraId="54C09C68" w14:textId="77777777" w:rsidR="00472702" w:rsidRPr="00472702" w:rsidRDefault="00472702" w:rsidP="008419B6">
            <w:pPr>
              <w:keepNext/>
              <w:jc w:val="center"/>
              <w:rPr>
                <w:lang w:val="en-GB"/>
              </w:rPr>
            </w:pPr>
            <w:r w:rsidRPr="00472702">
              <w:rPr>
                <w:lang w:val="en-GB"/>
              </w:rPr>
              <w:t>28/47 (59,6 %)</w:t>
            </w:r>
          </w:p>
        </w:tc>
      </w:tr>
      <w:tr w:rsidR="00472702" w:rsidRPr="00D556E1" w14:paraId="67536A8D" w14:textId="77777777" w:rsidTr="00BA625C">
        <w:trPr>
          <w:cantSplit/>
        </w:trPr>
        <w:tc>
          <w:tcPr>
            <w:tcW w:w="9303" w:type="dxa"/>
            <w:gridSpan w:val="3"/>
            <w:tcBorders>
              <w:top w:val="single" w:sz="4" w:space="0" w:color="auto"/>
              <w:left w:val="nil"/>
              <w:bottom w:val="nil"/>
              <w:right w:val="nil"/>
            </w:tcBorders>
          </w:tcPr>
          <w:p w14:paraId="4E4580D9" w14:textId="77777777" w:rsidR="00472702" w:rsidRPr="00206AEA" w:rsidRDefault="00472702" w:rsidP="008419B6">
            <w:pPr>
              <w:keepNext/>
              <w:autoSpaceDE w:val="0"/>
              <w:autoSpaceDN w:val="0"/>
              <w:adjustRightInd w:val="0"/>
              <w:ind w:left="270" w:hanging="270"/>
              <w:rPr>
                <w:sz w:val="20"/>
                <w:szCs w:val="20"/>
              </w:rPr>
            </w:pPr>
            <w:r w:rsidRPr="00206AEA">
              <w:rPr>
                <w:sz w:val="20"/>
                <w:szCs w:val="20"/>
                <w:vertAlign w:val="superscript"/>
              </w:rPr>
              <w:t>a</w:t>
            </w:r>
            <w:r w:rsidRPr="00206AEA">
              <w:rPr>
                <w:sz w:val="20"/>
                <w:szCs w:val="20"/>
              </w:rPr>
              <w:t xml:space="preserve"> </w:t>
            </w:r>
            <w:r w:rsidRPr="00206AEA">
              <w:rPr>
                <w:sz w:val="20"/>
                <w:szCs w:val="20"/>
              </w:rPr>
              <w:tab/>
              <w:t>Adalimumab 2,4</w:t>
            </w:r>
            <w:r w:rsidRPr="00D556E1">
              <w:rPr>
                <w:iCs/>
              </w:rPr>
              <w:t> </w:t>
            </w:r>
            <w:r w:rsidRPr="00206AEA">
              <w:rPr>
                <w:sz w:val="20"/>
                <w:szCs w:val="20"/>
              </w:rPr>
              <w:t>mg/kg (maximal 160</w:t>
            </w:r>
            <w:r w:rsidRPr="00D556E1">
              <w:rPr>
                <w:iCs/>
              </w:rPr>
              <w:t> </w:t>
            </w:r>
            <w:r w:rsidRPr="00206AEA">
              <w:rPr>
                <w:sz w:val="20"/>
                <w:szCs w:val="20"/>
              </w:rPr>
              <w:t>mg) in Woche 0, Placebo in Woche 1 und 1,2 mg/kg (maximal 80 mg) in Woche 2</w:t>
            </w:r>
          </w:p>
          <w:p w14:paraId="5B6CEA5C" w14:textId="77777777" w:rsidR="00472702" w:rsidRPr="00206AEA" w:rsidRDefault="00472702" w:rsidP="008419B6">
            <w:pPr>
              <w:keepNext/>
              <w:autoSpaceDE w:val="0"/>
              <w:autoSpaceDN w:val="0"/>
              <w:adjustRightInd w:val="0"/>
              <w:ind w:left="270" w:hanging="270"/>
              <w:rPr>
                <w:sz w:val="20"/>
                <w:szCs w:val="20"/>
              </w:rPr>
            </w:pPr>
            <w:r w:rsidRPr="00206AEA">
              <w:rPr>
                <w:sz w:val="20"/>
                <w:szCs w:val="20"/>
                <w:vertAlign w:val="superscript"/>
              </w:rPr>
              <w:t>b</w:t>
            </w:r>
            <w:r w:rsidRPr="00206AEA">
              <w:rPr>
                <w:sz w:val="20"/>
                <w:szCs w:val="20"/>
              </w:rPr>
              <w:t xml:space="preserve"> </w:t>
            </w:r>
            <w:r w:rsidRPr="00206AEA">
              <w:rPr>
                <w:sz w:val="20"/>
                <w:szCs w:val="20"/>
              </w:rPr>
              <w:tab/>
              <w:t>Adalimumab 2,4 mg/kg (maximal 160 mg) in</w:t>
            </w:r>
            <w:r w:rsidR="000D3832" w:rsidRPr="00206AEA">
              <w:rPr>
                <w:sz w:val="20"/>
                <w:szCs w:val="20"/>
              </w:rPr>
              <w:t xml:space="preserve"> </w:t>
            </w:r>
            <w:r w:rsidRPr="00206AEA">
              <w:rPr>
                <w:sz w:val="20"/>
                <w:szCs w:val="20"/>
              </w:rPr>
              <w:t>Woche 0 und Woche 1 und 1,2 mg/kg (maximal 80 mg) in Woche 2</w:t>
            </w:r>
          </w:p>
          <w:p w14:paraId="7C67A9FA" w14:textId="77777777" w:rsidR="00472702" w:rsidRPr="00206AEA" w:rsidRDefault="00472702" w:rsidP="008419B6">
            <w:pPr>
              <w:keepNext/>
              <w:autoSpaceDE w:val="0"/>
              <w:autoSpaceDN w:val="0"/>
              <w:adjustRightInd w:val="0"/>
              <w:ind w:left="270" w:hanging="270"/>
              <w:rPr>
                <w:sz w:val="20"/>
                <w:szCs w:val="20"/>
              </w:rPr>
            </w:pPr>
            <w:r w:rsidRPr="00206AEA">
              <w:rPr>
                <w:sz w:val="20"/>
                <w:szCs w:val="20"/>
                <w:vertAlign w:val="superscript"/>
              </w:rPr>
              <w:t>c</w:t>
            </w:r>
            <w:r w:rsidRPr="00206AEA">
              <w:rPr>
                <w:sz w:val="20"/>
                <w:szCs w:val="20"/>
              </w:rPr>
              <w:t xml:space="preserve"> </w:t>
            </w:r>
            <w:r w:rsidRPr="00206AEA">
              <w:rPr>
                <w:sz w:val="20"/>
                <w:szCs w:val="20"/>
              </w:rPr>
              <w:tab/>
              <w:t>Ohne Patienten unter offener Adalimumab-Induktionsdosis von 2,4 mg/kg (maximal 160 mg) in Woche 0 und Woche 1 und 1,2 mg/kg (maximal 80 mg) in Woche 2</w:t>
            </w:r>
          </w:p>
          <w:p w14:paraId="2FF0E4DE" w14:textId="77777777" w:rsidR="00472702" w:rsidRPr="00206AEA" w:rsidRDefault="00472702" w:rsidP="008419B6">
            <w:pPr>
              <w:keepNext/>
              <w:autoSpaceDE w:val="0"/>
              <w:autoSpaceDN w:val="0"/>
              <w:adjustRightInd w:val="0"/>
              <w:rPr>
                <w:sz w:val="20"/>
                <w:szCs w:val="20"/>
              </w:rPr>
            </w:pPr>
            <w:r w:rsidRPr="00206AEA">
              <w:rPr>
                <w:sz w:val="20"/>
                <w:szCs w:val="20"/>
              </w:rPr>
              <w:t>Hinweis 1: Beide Behandlungsarme mit Induktionsphase erhielten 0,6 mg/kg (maximal 40 mg) in Woche 4 und Woche 6.</w:t>
            </w:r>
          </w:p>
          <w:p w14:paraId="4788D4AA" w14:textId="77777777" w:rsidR="00472702" w:rsidRPr="00206AEA" w:rsidRDefault="00472702" w:rsidP="008419B6">
            <w:pPr>
              <w:keepNext/>
              <w:autoSpaceDE w:val="0"/>
              <w:autoSpaceDN w:val="0"/>
              <w:adjustRightInd w:val="0"/>
              <w:rPr>
                <w:sz w:val="20"/>
                <w:szCs w:val="20"/>
              </w:rPr>
            </w:pPr>
            <w:r w:rsidRPr="00206AEA">
              <w:rPr>
                <w:sz w:val="20"/>
                <w:szCs w:val="20"/>
              </w:rPr>
              <w:t>Hinweis 2: Patienten mit fehlenden Werten in Woche 8 wurden als Patienten gewertet,</w:t>
            </w:r>
            <w:r w:rsidR="000D3832" w:rsidRPr="00206AEA">
              <w:rPr>
                <w:sz w:val="20"/>
                <w:szCs w:val="20"/>
              </w:rPr>
              <w:t xml:space="preserve"> </w:t>
            </w:r>
            <w:r w:rsidRPr="00206AEA">
              <w:rPr>
                <w:sz w:val="20"/>
                <w:szCs w:val="20"/>
              </w:rPr>
              <w:t>die den Endpunkt nicht erreichten.</w:t>
            </w:r>
          </w:p>
        </w:tc>
      </w:tr>
    </w:tbl>
    <w:p w14:paraId="062B998A" w14:textId="77777777" w:rsidR="00472702" w:rsidRPr="00D556E1" w:rsidRDefault="00472702" w:rsidP="00472702">
      <w:pPr>
        <w:kinsoku w:val="0"/>
        <w:overflowPunct w:val="0"/>
        <w:rPr>
          <w:color w:val="000000"/>
        </w:rPr>
      </w:pPr>
    </w:p>
    <w:p w14:paraId="51ADEF57" w14:textId="77777777" w:rsidR="00472702" w:rsidRPr="00472702" w:rsidRDefault="00472702" w:rsidP="00472702">
      <w:pPr>
        <w:kinsoku w:val="0"/>
        <w:overflowPunct w:val="0"/>
        <w:rPr>
          <w:color w:val="000000"/>
        </w:rPr>
      </w:pPr>
      <w:r w:rsidRPr="00D556E1">
        <w:rPr>
          <w:color w:val="000000"/>
        </w:rPr>
        <w:t>In Woche 52 wurden bei den Patienten, die Adalimumab doppelblind in der Erhaltungsdosis von maximal 40 mg (0,6 mg</w:t>
      </w:r>
      <w:r w:rsidRPr="00472702">
        <w:rPr>
          <w:color w:val="000000"/>
        </w:rPr>
        <w:t>/kg) jede zweite Woche bzw. maximal 40 mg (0,6 mg/kg) wöchentlich erhielten, die klinische Remission nach FMS bei Respondern in Woche 8, das klinische Ansprechen nach FMS (definiert als Abnahme des Mayo-Score um ≥ 3 Punkte und ≥ 30 % gegenüber Baseline) bei Respondern in Woche 8, die Mukosaheilung</w:t>
      </w:r>
      <w:r w:rsidR="000D3832">
        <w:rPr>
          <w:color w:val="000000"/>
        </w:rPr>
        <w:t xml:space="preserve"> </w:t>
      </w:r>
      <w:r w:rsidRPr="00472702">
        <w:rPr>
          <w:color w:val="000000"/>
        </w:rPr>
        <w:t>(definiert als endoskopischer Mayo-Subscore von ≤ 1) bei Respondern in Woche 8, die klinische Remission nach FMS bei Patienten in Remission in Woche 8 sowie der Anteil der Studienteilnehmer in kortikosteroidfreier Remission nach FMS bei Respondern in Woche 8 beurteilt (Tabelle </w:t>
      </w:r>
      <w:r w:rsidR="00534861">
        <w:rPr>
          <w:color w:val="000000"/>
        </w:rPr>
        <w:t>32</w:t>
      </w:r>
      <w:r w:rsidRPr="00472702">
        <w:rPr>
          <w:color w:val="000000"/>
        </w:rPr>
        <w:t>).</w:t>
      </w:r>
    </w:p>
    <w:p w14:paraId="18C3BCE4" w14:textId="77777777" w:rsidR="00472702" w:rsidRPr="00472702" w:rsidRDefault="00472702" w:rsidP="00472702">
      <w:pPr>
        <w:kinsoku w:val="0"/>
        <w:overflowPunct w:val="0"/>
        <w:rPr>
          <w:color w:val="000000"/>
        </w:rPr>
      </w:pPr>
    </w:p>
    <w:p w14:paraId="283239F7" w14:textId="77777777" w:rsidR="00534861" w:rsidRPr="00C325BF" w:rsidRDefault="00472702" w:rsidP="00472702">
      <w:pPr>
        <w:kinsoku w:val="0"/>
        <w:overflowPunct w:val="0"/>
        <w:rPr>
          <w:b/>
          <w:color w:val="000000"/>
        </w:rPr>
      </w:pPr>
      <w:r w:rsidRPr="00C325BF">
        <w:rPr>
          <w:b/>
          <w:color w:val="000000"/>
        </w:rPr>
        <w:t>Tabelle </w:t>
      </w:r>
      <w:r w:rsidR="00534861" w:rsidRPr="00C325BF">
        <w:rPr>
          <w:b/>
          <w:color w:val="000000"/>
        </w:rPr>
        <w:t>32</w:t>
      </w:r>
    </w:p>
    <w:p w14:paraId="29E688FB" w14:textId="77777777" w:rsidR="00472702" w:rsidRPr="00C325BF" w:rsidRDefault="00472702" w:rsidP="00472702">
      <w:pPr>
        <w:kinsoku w:val="0"/>
        <w:overflowPunct w:val="0"/>
        <w:rPr>
          <w:b/>
          <w:bCs/>
          <w:color w:val="000000"/>
        </w:rPr>
      </w:pPr>
      <w:r w:rsidRPr="00C325BF">
        <w:rPr>
          <w:b/>
          <w:color w:val="000000"/>
        </w:rPr>
        <w:t>Ergebnisse zur Wirksamkeit in Woche 52</w:t>
      </w:r>
    </w:p>
    <w:p w14:paraId="0C21CD45" w14:textId="77777777" w:rsidR="00472702" w:rsidRPr="00C325BF" w:rsidRDefault="00472702" w:rsidP="00472702">
      <w:pPr>
        <w:kinsoku w:val="0"/>
        <w:overflowPunct w:val="0"/>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992"/>
        <w:gridCol w:w="3022"/>
      </w:tblGrid>
      <w:tr w:rsidR="00472702" w:rsidRPr="00472702" w14:paraId="46E0C301" w14:textId="77777777" w:rsidTr="00BA625C">
        <w:trPr>
          <w:cantSplit/>
          <w:tblHeader/>
        </w:trPr>
        <w:tc>
          <w:tcPr>
            <w:tcW w:w="3118" w:type="dxa"/>
            <w:tcBorders>
              <w:top w:val="single" w:sz="4" w:space="0" w:color="auto"/>
              <w:left w:val="single" w:sz="4" w:space="0" w:color="auto"/>
              <w:bottom w:val="single" w:sz="4" w:space="0" w:color="auto"/>
              <w:right w:val="single" w:sz="4" w:space="0" w:color="auto"/>
            </w:tcBorders>
          </w:tcPr>
          <w:p w14:paraId="07CC7981" w14:textId="77777777" w:rsidR="00472702" w:rsidRPr="00C325BF" w:rsidRDefault="00472702" w:rsidP="00472702">
            <w:pPr>
              <w:kinsoku w:val="0"/>
              <w:overflowPunct w:val="0"/>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4A5E0E7F" w14:textId="77777777" w:rsidR="00472702" w:rsidRPr="00C325BF" w:rsidRDefault="00472702" w:rsidP="00472702">
            <w:pPr>
              <w:kinsoku w:val="0"/>
              <w:overflowPunct w:val="0"/>
              <w:jc w:val="center"/>
              <w:rPr>
                <w:b/>
                <w:color w:val="000000"/>
              </w:rPr>
            </w:pPr>
            <w:r w:rsidRPr="00C325BF">
              <w:rPr>
                <w:b/>
                <w:color w:val="000000"/>
              </w:rPr>
              <w:t>Adalimumab</w:t>
            </w:r>
            <w:r w:rsidRPr="00C325BF">
              <w:rPr>
                <w:b/>
                <w:color w:val="000000"/>
                <w:vertAlign w:val="superscript"/>
              </w:rPr>
              <w:t>a</w:t>
            </w:r>
          </w:p>
          <w:p w14:paraId="155F06AA" w14:textId="77777777" w:rsidR="00472702" w:rsidRPr="00C325BF" w:rsidRDefault="00472702" w:rsidP="00472702">
            <w:pPr>
              <w:kinsoku w:val="0"/>
              <w:overflowPunct w:val="0"/>
              <w:jc w:val="center"/>
              <w:rPr>
                <w:b/>
                <w:color w:val="000000"/>
              </w:rPr>
            </w:pPr>
            <w:r w:rsidRPr="00C325BF">
              <w:rPr>
                <w:b/>
                <w:color w:val="000000"/>
              </w:rPr>
              <w:t>Maximal 40</w:t>
            </w:r>
            <w:r w:rsidRPr="00C325BF">
              <w:rPr>
                <w:color w:val="000000"/>
              </w:rPr>
              <w:t> </w:t>
            </w:r>
            <w:r w:rsidRPr="00C325BF">
              <w:rPr>
                <w:b/>
                <w:color w:val="000000"/>
              </w:rPr>
              <w:t>mg jede zweite Woche</w:t>
            </w:r>
          </w:p>
          <w:p w14:paraId="798F6A24" w14:textId="77777777" w:rsidR="00472702" w:rsidRPr="00472702" w:rsidRDefault="00472702" w:rsidP="00472702">
            <w:pPr>
              <w:kinsoku w:val="0"/>
              <w:overflowPunct w:val="0"/>
              <w:jc w:val="center"/>
              <w:rPr>
                <w:b/>
                <w:color w:val="000000"/>
                <w:lang w:val="en-GB"/>
              </w:rPr>
            </w:pPr>
            <w:r w:rsidRPr="00472702">
              <w:rPr>
                <w:color w:val="000000"/>
                <w:lang w:val="en-GB"/>
              </w:rPr>
              <w:t>n </w:t>
            </w:r>
            <w:r w:rsidRPr="00472702">
              <w:rPr>
                <w:b/>
                <w:color w:val="000000"/>
                <w:lang w:val="en-GB"/>
              </w:rPr>
              <w:t>=</w:t>
            </w:r>
            <w:r w:rsidRPr="00472702">
              <w:rPr>
                <w:color w:val="000000"/>
                <w:lang w:val="en-GB"/>
              </w:rPr>
              <w:t> </w:t>
            </w:r>
            <w:r w:rsidRPr="00472702">
              <w:rPr>
                <w:b/>
                <w:color w:val="000000"/>
                <w:lang w:val="en-GB"/>
              </w:rPr>
              <w:t>31</w:t>
            </w:r>
          </w:p>
        </w:tc>
        <w:tc>
          <w:tcPr>
            <w:tcW w:w="3108" w:type="dxa"/>
            <w:tcBorders>
              <w:top w:val="single" w:sz="4" w:space="0" w:color="auto"/>
              <w:left w:val="single" w:sz="4" w:space="0" w:color="auto"/>
              <w:bottom w:val="single" w:sz="4" w:space="0" w:color="auto"/>
              <w:right w:val="single" w:sz="4" w:space="0" w:color="auto"/>
            </w:tcBorders>
            <w:hideMark/>
          </w:tcPr>
          <w:p w14:paraId="0DE7E4BC" w14:textId="77777777" w:rsidR="00472702" w:rsidRPr="00C325BF" w:rsidRDefault="00472702" w:rsidP="00472702">
            <w:pPr>
              <w:kinsoku w:val="0"/>
              <w:overflowPunct w:val="0"/>
              <w:jc w:val="center"/>
              <w:rPr>
                <w:b/>
                <w:color w:val="000000"/>
                <w:vertAlign w:val="superscript"/>
              </w:rPr>
            </w:pPr>
            <w:r w:rsidRPr="00C325BF">
              <w:rPr>
                <w:b/>
                <w:color w:val="000000"/>
              </w:rPr>
              <w:t>Adalimumab</w:t>
            </w:r>
            <w:r w:rsidRPr="00C325BF">
              <w:rPr>
                <w:b/>
                <w:color w:val="000000"/>
                <w:vertAlign w:val="superscript"/>
              </w:rPr>
              <w:t>b</w:t>
            </w:r>
          </w:p>
          <w:p w14:paraId="143ECB4E" w14:textId="77777777" w:rsidR="00472702" w:rsidRPr="00C325BF" w:rsidRDefault="00472702" w:rsidP="00472702">
            <w:pPr>
              <w:kinsoku w:val="0"/>
              <w:overflowPunct w:val="0"/>
              <w:jc w:val="center"/>
              <w:rPr>
                <w:b/>
                <w:color w:val="000000"/>
              </w:rPr>
            </w:pPr>
            <w:r w:rsidRPr="00C325BF">
              <w:rPr>
                <w:b/>
                <w:color w:val="000000"/>
              </w:rPr>
              <w:t>Maximal 40</w:t>
            </w:r>
            <w:r w:rsidRPr="00C325BF">
              <w:rPr>
                <w:color w:val="000000"/>
              </w:rPr>
              <w:t> </w:t>
            </w:r>
            <w:r w:rsidRPr="00C325BF">
              <w:rPr>
                <w:b/>
                <w:color w:val="000000"/>
              </w:rPr>
              <w:t xml:space="preserve">mg </w:t>
            </w:r>
            <w:r w:rsidR="004D4E04" w:rsidRPr="00C325BF">
              <w:rPr>
                <w:b/>
                <w:color w:val="000000"/>
              </w:rPr>
              <w:t>wöchentlich</w:t>
            </w:r>
          </w:p>
          <w:p w14:paraId="480A1BFE" w14:textId="77777777" w:rsidR="00472702" w:rsidRPr="00C325BF" w:rsidRDefault="00472702" w:rsidP="00472702">
            <w:pPr>
              <w:kinsoku w:val="0"/>
              <w:overflowPunct w:val="0"/>
              <w:jc w:val="center"/>
              <w:rPr>
                <w:b/>
                <w:color w:val="000000"/>
              </w:rPr>
            </w:pPr>
            <w:r w:rsidRPr="00C325BF">
              <w:rPr>
                <w:b/>
                <w:color w:val="000000"/>
              </w:rPr>
              <w:t>n</w:t>
            </w:r>
            <w:r w:rsidRPr="00C325BF">
              <w:rPr>
                <w:color w:val="000000"/>
              </w:rPr>
              <w:t> </w:t>
            </w:r>
            <w:r w:rsidRPr="00C325BF">
              <w:rPr>
                <w:b/>
                <w:color w:val="000000"/>
              </w:rPr>
              <w:t>=</w:t>
            </w:r>
            <w:r w:rsidRPr="00C325BF">
              <w:rPr>
                <w:color w:val="000000"/>
              </w:rPr>
              <w:t> </w:t>
            </w:r>
            <w:r w:rsidRPr="00C325BF">
              <w:rPr>
                <w:b/>
                <w:bCs/>
                <w:color w:val="000000"/>
              </w:rPr>
              <w:t>31</w:t>
            </w:r>
          </w:p>
        </w:tc>
      </w:tr>
      <w:tr w:rsidR="00472702" w:rsidRPr="00472702" w14:paraId="3D552715" w14:textId="77777777" w:rsidTr="00BA625C">
        <w:trPr>
          <w:cantSplit/>
        </w:trPr>
        <w:tc>
          <w:tcPr>
            <w:tcW w:w="3118" w:type="dxa"/>
            <w:tcBorders>
              <w:top w:val="single" w:sz="4" w:space="0" w:color="auto"/>
              <w:left w:val="single" w:sz="4" w:space="0" w:color="auto"/>
              <w:bottom w:val="single" w:sz="4" w:space="0" w:color="auto"/>
              <w:right w:val="single" w:sz="4" w:space="0" w:color="auto"/>
            </w:tcBorders>
            <w:hideMark/>
          </w:tcPr>
          <w:p w14:paraId="37A5CE23" w14:textId="77777777" w:rsidR="00472702" w:rsidRPr="00C325BF" w:rsidRDefault="00472702" w:rsidP="00472702">
            <w:pPr>
              <w:kinsoku w:val="0"/>
              <w:overflowPunct w:val="0"/>
              <w:rPr>
                <w:color w:val="000000"/>
              </w:rPr>
            </w:pPr>
            <w:r w:rsidRPr="00C325BF">
              <w:rPr>
                <w:color w:val="000000"/>
              </w:rPr>
              <w:t>Klinische Remission bei PMS-Respondern in Woche 8</w:t>
            </w:r>
          </w:p>
        </w:tc>
        <w:tc>
          <w:tcPr>
            <w:tcW w:w="3077" w:type="dxa"/>
            <w:tcBorders>
              <w:top w:val="single" w:sz="4" w:space="0" w:color="auto"/>
              <w:left w:val="single" w:sz="4" w:space="0" w:color="auto"/>
              <w:bottom w:val="single" w:sz="4" w:space="0" w:color="auto"/>
              <w:right w:val="single" w:sz="4" w:space="0" w:color="auto"/>
            </w:tcBorders>
            <w:hideMark/>
          </w:tcPr>
          <w:p w14:paraId="6EE1E735" w14:textId="77777777" w:rsidR="00472702" w:rsidRPr="00472702" w:rsidRDefault="00472702" w:rsidP="00472702">
            <w:pPr>
              <w:kinsoku w:val="0"/>
              <w:overflowPunct w:val="0"/>
              <w:jc w:val="center"/>
              <w:rPr>
                <w:color w:val="000000"/>
                <w:lang w:val="en-GB"/>
              </w:rPr>
            </w:pPr>
            <w:r w:rsidRPr="00472702">
              <w:rPr>
                <w:color w:val="000000"/>
                <w:lang w:val="en-GB"/>
              </w:rPr>
              <w:t>9/31 (29,0 %)</w:t>
            </w:r>
          </w:p>
        </w:tc>
        <w:tc>
          <w:tcPr>
            <w:tcW w:w="3108" w:type="dxa"/>
            <w:tcBorders>
              <w:top w:val="single" w:sz="4" w:space="0" w:color="auto"/>
              <w:left w:val="single" w:sz="4" w:space="0" w:color="auto"/>
              <w:bottom w:val="single" w:sz="4" w:space="0" w:color="auto"/>
              <w:right w:val="single" w:sz="4" w:space="0" w:color="auto"/>
            </w:tcBorders>
            <w:hideMark/>
          </w:tcPr>
          <w:p w14:paraId="6B6FDBEE" w14:textId="77777777" w:rsidR="00472702" w:rsidRPr="00472702" w:rsidRDefault="00472702" w:rsidP="00472702">
            <w:pPr>
              <w:kinsoku w:val="0"/>
              <w:overflowPunct w:val="0"/>
              <w:jc w:val="center"/>
              <w:rPr>
                <w:color w:val="000000"/>
                <w:lang w:val="en-GB"/>
              </w:rPr>
            </w:pPr>
            <w:r w:rsidRPr="00472702">
              <w:rPr>
                <w:color w:val="000000"/>
                <w:lang w:val="en-GB"/>
              </w:rPr>
              <w:t>14/31 (45,2 %)</w:t>
            </w:r>
          </w:p>
        </w:tc>
      </w:tr>
      <w:tr w:rsidR="00472702" w:rsidRPr="00472702" w14:paraId="0ED77542" w14:textId="77777777" w:rsidTr="00BA625C">
        <w:trPr>
          <w:cantSplit/>
        </w:trPr>
        <w:tc>
          <w:tcPr>
            <w:tcW w:w="3118" w:type="dxa"/>
            <w:tcBorders>
              <w:top w:val="single" w:sz="4" w:space="0" w:color="auto"/>
              <w:left w:val="single" w:sz="4" w:space="0" w:color="auto"/>
              <w:bottom w:val="single" w:sz="4" w:space="0" w:color="auto"/>
              <w:right w:val="single" w:sz="4" w:space="0" w:color="auto"/>
            </w:tcBorders>
          </w:tcPr>
          <w:p w14:paraId="06C92095" w14:textId="77777777" w:rsidR="00472702" w:rsidRPr="00C325BF" w:rsidRDefault="00472702" w:rsidP="00472702">
            <w:pPr>
              <w:kinsoku w:val="0"/>
              <w:overflowPunct w:val="0"/>
              <w:rPr>
                <w:color w:val="000000"/>
              </w:rPr>
            </w:pPr>
            <w:r w:rsidRPr="00C325BF">
              <w:rPr>
                <w:color w:val="000000"/>
              </w:rPr>
              <w:t>Klinische</w:t>
            </w:r>
            <w:r w:rsidR="000D3832" w:rsidRPr="00C325BF">
              <w:rPr>
                <w:color w:val="000000"/>
              </w:rPr>
              <w:t>s</w:t>
            </w:r>
            <w:r w:rsidRPr="00C325BF">
              <w:rPr>
                <w:color w:val="000000"/>
              </w:rPr>
              <w:t xml:space="preserve"> </w:t>
            </w:r>
            <w:r w:rsidR="000D3832" w:rsidRPr="00C325BF">
              <w:rPr>
                <w:color w:val="000000"/>
              </w:rPr>
              <w:t>Ansprechen</w:t>
            </w:r>
            <w:r w:rsidRPr="00C325BF">
              <w:rPr>
                <w:color w:val="000000"/>
              </w:rPr>
              <w:t xml:space="preserve"> bei PMS-Respondern in Woche 8</w:t>
            </w:r>
          </w:p>
        </w:tc>
        <w:tc>
          <w:tcPr>
            <w:tcW w:w="3077" w:type="dxa"/>
            <w:tcBorders>
              <w:top w:val="single" w:sz="4" w:space="0" w:color="auto"/>
              <w:left w:val="single" w:sz="4" w:space="0" w:color="auto"/>
              <w:bottom w:val="single" w:sz="4" w:space="0" w:color="auto"/>
              <w:right w:val="single" w:sz="4" w:space="0" w:color="auto"/>
            </w:tcBorders>
          </w:tcPr>
          <w:p w14:paraId="6CF3A056" w14:textId="77777777" w:rsidR="00472702" w:rsidRPr="00472702" w:rsidRDefault="00472702" w:rsidP="00472702">
            <w:pPr>
              <w:kinsoku w:val="0"/>
              <w:overflowPunct w:val="0"/>
              <w:jc w:val="center"/>
              <w:rPr>
                <w:color w:val="000000"/>
                <w:lang w:val="en-GB"/>
              </w:rPr>
            </w:pPr>
            <w:r w:rsidRPr="00472702">
              <w:rPr>
                <w:color w:val="000000"/>
                <w:lang w:val="en-US"/>
              </w:rPr>
              <w:t>19/31 (61,3 %)</w:t>
            </w:r>
          </w:p>
        </w:tc>
        <w:tc>
          <w:tcPr>
            <w:tcW w:w="3108" w:type="dxa"/>
            <w:tcBorders>
              <w:top w:val="single" w:sz="4" w:space="0" w:color="auto"/>
              <w:left w:val="single" w:sz="4" w:space="0" w:color="auto"/>
              <w:bottom w:val="single" w:sz="4" w:space="0" w:color="auto"/>
              <w:right w:val="single" w:sz="4" w:space="0" w:color="auto"/>
            </w:tcBorders>
          </w:tcPr>
          <w:p w14:paraId="595AE386" w14:textId="77777777" w:rsidR="00472702" w:rsidRPr="00472702" w:rsidRDefault="00472702" w:rsidP="00472702">
            <w:pPr>
              <w:kinsoku w:val="0"/>
              <w:overflowPunct w:val="0"/>
              <w:jc w:val="center"/>
              <w:rPr>
                <w:color w:val="000000"/>
                <w:lang w:val="en-GB"/>
              </w:rPr>
            </w:pPr>
            <w:r w:rsidRPr="00472702">
              <w:rPr>
                <w:color w:val="000000"/>
                <w:lang w:val="en-US"/>
              </w:rPr>
              <w:t>21/31 (67,7 %)</w:t>
            </w:r>
          </w:p>
        </w:tc>
      </w:tr>
      <w:tr w:rsidR="00472702" w:rsidRPr="00472702" w14:paraId="431A3EA4" w14:textId="77777777" w:rsidTr="00BA625C">
        <w:trPr>
          <w:cantSplit/>
        </w:trPr>
        <w:tc>
          <w:tcPr>
            <w:tcW w:w="3118" w:type="dxa"/>
            <w:tcBorders>
              <w:top w:val="single" w:sz="4" w:space="0" w:color="auto"/>
              <w:left w:val="single" w:sz="4" w:space="0" w:color="auto"/>
              <w:bottom w:val="single" w:sz="4" w:space="0" w:color="auto"/>
              <w:right w:val="single" w:sz="4" w:space="0" w:color="auto"/>
            </w:tcBorders>
          </w:tcPr>
          <w:p w14:paraId="7ABA15D4" w14:textId="77777777" w:rsidR="00472702" w:rsidRPr="00C325BF" w:rsidRDefault="00472702" w:rsidP="00472702">
            <w:pPr>
              <w:kinsoku w:val="0"/>
              <w:overflowPunct w:val="0"/>
              <w:rPr>
                <w:color w:val="000000"/>
              </w:rPr>
            </w:pPr>
            <w:r w:rsidRPr="00C325BF">
              <w:rPr>
                <w:color w:val="000000"/>
              </w:rPr>
              <w:t>Mukosaheilung bei PMS-Respondern in Woche 8</w:t>
            </w:r>
          </w:p>
        </w:tc>
        <w:tc>
          <w:tcPr>
            <w:tcW w:w="3077" w:type="dxa"/>
            <w:tcBorders>
              <w:top w:val="single" w:sz="4" w:space="0" w:color="auto"/>
              <w:left w:val="single" w:sz="4" w:space="0" w:color="auto"/>
              <w:bottom w:val="single" w:sz="4" w:space="0" w:color="auto"/>
              <w:right w:val="single" w:sz="4" w:space="0" w:color="auto"/>
            </w:tcBorders>
          </w:tcPr>
          <w:p w14:paraId="4FE45057" w14:textId="77777777" w:rsidR="00472702" w:rsidRPr="00472702" w:rsidRDefault="00472702" w:rsidP="00472702">
            <w:pPr>
              <w:kinsoku w:val="0"/>
              <w:overflowPunct w:val="0"/>
              <w:jc w:val="center"/>
              <w:rPr>
                <w:color w:val="000000"/>
                <w:lang w:val="en-GB"/>
              </w:rPr>
            </w:pPr>
            <w:r w:rsidRPr="00472702">
              <w:rPr>
                <w:color w:val="000000"/>
                <w:lang w:val="en-US"/>
              </w:rPr>
              <w:t>12/31 (38,7 %)</w:t>
            </w:r>
          </w:p>
        </w:tc>
        <w:tc>
          <w:tcPr>
            <w:tcW w:w="3108" w:type="dxa"/>
            <w:tcBorders>
              <w:top w:val="single" w:sz="4" w:space="0" w:color="auto"/>
              <w:left w:val="single" w:sz="4" w:space="0" w:color="auto"/>
              <w:bottom w:val="single" w:sz="4" w:space="0" w:color="auto"/>
              <w:right w:val="single" w:sz="4" w:space="0" w:color="auto"/>
            </w:tcBorders>
          </w:tcPr>
          <w:p w14:paraId="04EAE9DC" w14:textId="77777777" w:rsidR="00472702" w:rsidRPr="00472702" w:rsidRDefault="00472702" w:rsidP="00472702">
            <w:pPr>
              <w:kinsoku w:val="0"/>
              <w:overflowPunct w:val="0"/>
              <w:jc w:val="center"/>
              <w:rPr>
                <w:color w:val="000000"/>
                <w:lang w:val="en-GB"/>
              </w:rPr>
            </w:pPr>
            <w:r w:rsidRPr="00472702">
              <w:rPr>
                <w:color w:val="000000"/>
                <w:lang w:val="en-US"/>
              </w:rPr>
              <w:t>16/31 (51,6 %)</w:t>
            </w:r>
          </w:p>
        </w:tc>
      </w:tr>
      <w:tr w:rsidR="00472702" w:rsidRPr="00472702" w14:paraId="2C019985" w14:textId="77777777" w:rsidTr="00BA625C">
        <w:trPr>
          <w:cantSplit/>
        </w:trPr>
        <w:tc>
          <w:tcPr>
            <w:tcW w:w="3118" w:type="dxa"/>
            <w:tcBorders>
              <w:top w:val="single" w:sz="4" w:space="0" w:color="auto"/>
              <w:left w:val="single" w:sz="4" w:space="0" w:color="auto"/>
              <w:bottom w:val="single" w:sz="4" w:space="0" w:color="auto"/>
              <w:right w:val="single" w:sz="4" w:space="0" w:color="auto"/>
            </w:tcBorders>
          </w:tcPr>
          <w:p w14:paraId="60E1E960" w14:textId="77777777" w:rsidR="00472702" w:rsidRPr="00C325BF" w:rsidRDefault="00472702" w:rsidP="00472702">
            <w:pPr>
              <w:kinsoku w:val="0"/>
              <w:overflowPunct w:val="0"/>
              <w:rPr>
                <w:color w:val="000000"/>
              </w:rPr>
            </w:pPr>
            <w:r w:rsidRPr="00C325BF">
              <w:rPr>
                <w:color w:val="000000"/>
              </w:rPr>
              <w:t>Klinische Remission bei Patienten in PMS-Remission in Woche 8</w:t>
            </w:r>
          </w:p>
        </w:tc>
        <w:tc>
          <w:tcPr>
            <w:tcW w:w="3077" w:type="dxa"/>
            <w:tcBorders>
              <w:top w:val="single" w:sz="4" w:space="0" w:color="auto"/>
              <w:left w:val="single" w:sz="4" w:space="0" w:color="auto"/>
              <w:bottom w:val="single" w:sz="4" w:space="0" w:color="auto"/>
              <w:right w:val="single" w:sz="4" w:space="0" w:color="auto"/>
            </w:tcBorders>
          </w:tcPr>
          <w:p w14:paraId="55C2F2DF" w14:textId="77777777" w:rsidR="00472702" w:rsidRPr="00472702" w:rsidRDefault="00472702" w:rsidP="00472702">
            <w:pPr>
              <w:kinsoku w:val="0"/>
              <w:overflowPunct w:val="0"/>
              <w:jc w:val="center"/>
              <w:rPr>
                <w:color w:val="000000"/>
                <w:lang w:val="en-GB"/>
              </w:rPr>
            </w:pPr>
            <w:r w:rsidRPr="00472702">
              <w:rPr>
                <w:color w:val="000000"/>
                <w:lang w:val="en-US"/>
              </w:rPr>
              <w:t>9/21 (42,9 %)</w:t>
            </w:r>
          </w:p>
        </w:tc>
        <w:tc>
          <w:tcPr>
            <w:tcW w:w="3108" w:type="dxa"/>
            <w:tcBorders>
              <w:top w:val="single" w:sz="4" w:space="0" w:color="auto"/>
              <w:left w:val="single" w:sz="4" w:space="0" w:color="auto"/>
              <w:bottom w:val="single" w:sz="4" w:space="0" w:color="auto"/>
              <w:right w:val="single" w:sz="4" w:space="0" w:color="auto"/>
            </w:tcBorders>
          </w:tcPr>
          <w:p w14:paraId="32EC3D8A" w14:textId="77777777" w:rsidR="00472702" w:rsidRPr="00472702" w:rsidRDefault="00472702" w:rsidP="00472702">
            <w:pPr>
              <w:kinsoku w:val="0"/>
              <w:overflowPunct w:val="0"/>
              <w:jc w:val="center"/>
              <w:rPr>
                <w:color w:val="000000"/>
                <w:lang w:val="en-GB"/>
              </w:rPr>
            </w:pPr>
            <w:r w:rsidRPr="00472702">
              <w:rPr>
                <w:color w:val="000000"/>
                <w:lang w:val="en-US"/>
              </w:rPr>
              <w:t>10/22 (45,5 %)</w:t>
            </w:r>
          </w:p>
        </w:tc>
      </w:tr>
      <w:tr w:rsidR="00472702" w:rsidRPr="00472702" w14:paraId="14E2A67E" w14:textId="77777777" w:rsidTr="00BA625C">
        <w:trPr>
          <w:cantSplit/>
        </w:trPr>
        <w:tc>
          <w:tcPr>
            <w:tcW w:w="3118" w:type="dxa"/>
            <w:tcBorders>
              <w:top w:val="single" w:sz="4" w:space="0" w:color="auto"/>
              <w:left w:val="single" w:sz="4" w:space="0" w:color="auto"/>
              <w:bottom w:val="single" w:sz="4" w:space="0" w:color="auto"/>
              <w:right w:val="single" w:sz="4" w:space="0" w:color="auto"/>
            </w:tcBorders>
          </w:tcPr>
          <w:p w14:paraId="546B5A9B" w14:textId="77777777" w:rsidR="00472702" w:rsidRPr="00C325BF" w:rsidRDefault="00472702" w:rsidP="00472702">
            <w:pPr>
              <w:kinsoku w:val="0"/>
              <w:overflowPunct w:val="0"/>
              <w:rPr>
                <w:color w:val="000000"/>
              </w:rPr>
            </w:pPr>
            <w:r w:rsidRPr="00C325BF">
              <w:rPr>
                <w:color w:val="000000"/>
              </w:rPr>
              <w:t>Kortikosteroidfreie Remission bei PMS-Respondern in Woche 8</w:t>
            </w:r>
          </w:p>
        </w:tc>
        <w:tc>
          <w:tcPr>
            <w:tcW w:w="3077" w:type="dxa"/>
            <w:tcBorders>
              <w:top w:val="single" w:sz="4" w:space="0" w:color="auto"/>
              <w:left w:val="single" w:sz="4" w:space="0" w:color="auto"/>
              <w:bottom w:val="single" w:sz="4" w:space="0" w:color="auto"/>
              <w:right w:val="single" w:sz="4" w:space="0" w:color="auto"/>
            </w:tcBorders>
          </w:tcPr>
          <w:p w14:paraId="357FDD9A" w14:textId="77777777" w:rsidR="00472702" w:rsidRPr="00472702" w:rsidRDefault="00472702" w:rsidP="00472702">
            <w:pPr>
              <w:kinsoku w:val="0"/>
              <w:overflowPunct w:val="0"/>
              <w:jc w:val="center"/>
              <w:rPr>
                <w:color w:val="000000"/>
                <w:lang w:val="en-GB"/>
              </w:rPr>
            </w:pPr>
            <w:r w:rsidRPr="00472702">
              <w:rPr>
                <w:color w:val="000000"/>
                <w:lang w:val="en-US"/>
              </w:rPr>
              <w:t>4/13 (30,8 %)</w:t>
            </w:r>
          </w:p>
        </w:tc>
        <w:tc>
          <w:tcPr>
            <w:tcW w:w="3108" w:type="dxa"/>
            <w:tcBorders>
              <w:top w:val="single" w:sz="4" w:space="0" w:color="auto"/>
              <w:left w:val="single" w:sz="4" w:space="0" w:color="auto"/>
              <w:bottom w:val="single" w:sz="4" w:space="0" w:color="auto"/>
              <w:right w:val="single" w:sz="4" w:space="0" w:color="auto"/>
            </w:tcBorders>
          </w:tcPr>
          <w:p w14:paraId="05652900" w14:textId="77777777" w:rsidR="00472702" w:rsidRPr="00472702" w:rsidRDefault="00472702" w:rsidP="00472702">
            <w:pPr>
              <w:kinsoku w:val="0"/>
              <w:overflowPunct w:val="0"/>
              <w:jc w:val="center"/>
              <w:rPr>
                <w:color w:val="000000"/>
                <w:lang w:val="en-GB"/>
              </w:rPr>
            </w:pPr>
            <w:r w:rsidRPr="00472702">
              <w:rPr>
                <w:color w:val="000000"/>
                <w:lang w:val="en-US"/>
              </w:rPr>
              <w:t>5/16 (31,3 %)</w:t>
            </w:r>
          </w:p>
        </w:tc>
      </w:tr>
    </w:tbl>
    <w:p w14:paraId="5619D9CF" w14:textId="77777777" w:rsidR="00472702" w:rsidRPr="00206AEA" w:rsidRDefault="00472702" w:rsidP="00472702">
      <w:pPr>
        <w:kinsoku w:val="0"/>
        <w:overflowPunct w:val="0"/>
        <w:rPr>
          <w:color w:val="000000"/>
          <w:sz w:val="20"/>
          <w:szCs w:val="20"/>
        </w:rPr>
      </w:pPr>
      <w:r w:rsidRPr="00C325BF">
        <w:rPr>
          <w:color w:val="000000"/>
          <w:vertAlign w:val="superscript"/>
        </w:rPr>
        <w:t>a</w:t>
      </w:r>
      <w:r w:rsidRPr="00C325BF">
        <w:rPr>
          <w:color w:val="000000"/>
        </w:rPr>
        <w:tab/>
      </w:r>
      <w:r w:rsidRPr="00206AEA">
        <w:rPr>
          <w:color w:val="000000"/>
          <w:sz w:val="20"/>
          <w:szCs w:val="20"/>
        </w:rPr>
        <w:t>Adalimumab 0,6 mg/kg (maximal 40 mg) jede zweite Woche</w:t>
      </w:r>
    </w:p>
    <w:p w14:paraId="38C5B038" w14:textId="77777777" w:rsidR="00472702" w:rsidRPr="00C325BF" w:rsidRDefault="00472702" w:rsidP="00472702">
      <w:pPr>
        <w:kinsoku w:val="0"/>
        <w:overflowPunct w:val="0"/>
        <w:rPr>
          <w:color w:val="000000"/>
        </w:rPr>
      </w:pPr>
      <w:r w:rsidRPr="00C325BF">
        <w:rPr>
          <w:color w:val="000000"/>
          <w:vertAlign w:val="superscript"/>
        </w:rPr>
        <w:t>b</w:t>
      </w:r>
      <w:r w:rsidRPr="00C325BF">
        <w:rPr>
          <w:color w:val="000000"/>
        </w:rPr>
        <w:tab/>
      </w:r>
      <w:r w:rsidRPr="00206AEA">
        <w:rPr>
          <w:color w:val="000000"/>
          <w:sz w:val="20"/>
          <w:szCs w:val="20"/>
        </w:rPr>
        <w:t>Adalimumab 0,6 mg/kg (maximal 40 mg) wöchentlich</w:t>
      </w:r>
    </w:p>
    <w:p w14:paraId="13061BE7" w14:textId="77777777" w:rsidR="00472702" w:rsidRPr="00206AEA" w:rsidRDefault="00472702" w:rsidP="00472702">
      <w:pPr>
        <w:kinsoku w:val="0"/>
        <w:overflowPunct w:val="0"/>
        <w:rPr>
          <w:color w:val="000000"/>
          <w:sz w:val="20"/>
          <w:szCs w:val="20"/>
        </w:rPr>
      </w:pPr>
      <w:r w:rsidRPr="00C325BF">
        <w:rPr>
          <w:color w:val="000000"/>
          <w:vertAlign w:val="superscript"/>
        </w:rPr>
        <w:t>c</w:t>
      </w:r>
      <w:r w:rsidRPr="00C325BF">
        <w:rPr>
          <w:color w:val="000000"/>
        </w:rPr>
        <w:tab/>
      </w:r>
      <w:r w:rsidRPr="00206AEA">
        <w:rPr>
          <w:color w:val="000000"/>
          <w:sz w:val="20"/>
          <w:szCs w:val="20"/>
        </w:rPr>
        <w:t>Bei Patienten, die bei Baseline begleitend Kortikosteroide erhielten</w:t>
      </w:r>
    </w:p>
    <w:p w14:paraId="6C69324D" w14:textId="77777777" w:rsidR="00472702" w:rsidRPr="00206AEA" w:rsidRDefault="00472702" w:rsidP="00472702">
      <w:pPr>
        <w:kinsoku w:val="0"/>
        <w:overflowPunct w:val="0"/>
        <w:rPr>
          <w:color w:val="000000"/>
          <w:sz w:val="20"/>
          <w:szCs w:val="20"/>
        </w:rPr>
      </w:pPr>
      <w:r w:rsidRPr="00206AEA">
        <w:rPr>
          <w:color w:val="000000"/>
          <w:sz w:val="20"/>
          <w:szCs w:val="20"/>
        </w:rPr>
        <w:t>Hinweis: Patienten mit fehlenden Werten in Woche 52 oder die randomisiert einer erneuten Induktionstherapie oder der Erhaltungstherapie zugeteilt wurden, wurden hinsichtlich der Endpunkte in Woche 52 als Non-Responder gewertet.</w:t>
      </w:r>
    </w:p>
    <w:p w14:paraId="1ABB9575" w14:textId="77777777" w:rsidR="00472702" w:rsidRPr="00472702" w:rsidRDefault="00472702" w:rsidP="00472702">
      <w:pPr>
        <w:kinsoku w:val="0"/>
        <w:overflowPunct w:val="0"/>
        <w:rPr>
          <w:color w:val="000000"/>
        </w:rPr>
      </w:pPr>
    </w:p>
    <w:p w14:paraId="2961691F" w14:textId="77777777" w:rsidR="00472702" w:rsidRPr="00472702" w:rsidRDefault="00472702" w:rsidP="00472702">
      <w:pPr>
        <w:kinsoku w:val="0"/>
        <w:overflowPunct w:val="0"/>
        <w:rPr>
          <w:color w:val="000000"/>
        </w:rPr>
      </w:pPr>
      <w:r w:rsidRPr="00472702">
        <w:rPr>
          <w:color w:val="000000"/>
        </w:rPr>
        <w:lastRenderedPageBreak/>
        <w:t>Weitere explorative Wirksamkeitsendpunkte umfassten das klinische Ansprechen nach Paediatric Ulcerative Colitis Activity Index (PUCAI) (definiert als Abnahme des PUCAI um ≥ 20 Punkte gegenüber Baseline) und die klinische Remission nach PUCAI (definiert als PUCAI &lt; 10) in Woche 8 und Woche 52 (Tabelle </w:t>
      </w:r>
      <w:r w:rsidR="00534861">
        <w:rPr>
          <w:color w:val="000000"/>
        </w:rPr>
        <w:t>33</w:t>
      </w:r>
      <w:r w:rsidRPr="00472702">
        <w:rPr>
          <w:color w:val="000000"/>
        </w:rPr>
        <w:t>).</w:t>
      </w:r>
    </w:p>
    <w:p w14:paraId="190A85E8" w14:textId="77777777" w:rsidR="00472702" w:rsidRPr="00472702" w:rsidRDefault="00472702" w:rsidP="00472702">
      <w:pPr>
        <w:kinsoku w:val="0"/>
        <w:overflowPunct w:val="0"/>
        <w:rPr>
          <w:color w:val="000000"/>
        </w:rPr>
      </w:pPr>
    </w:p>
    <w:p w14:paraId="43BFDF3C" w14:textId="77777777" w:rsidR="00534861" w:rsidRPr="00C325BF" w:rsidRDefault="00472702" w:rsidP="00472702">
      <w:pPr>
        <w:keepNext/>
        <w:rPr>
          <w:b/>
        </w:rPr>
      </w:pPr>
      <w:r w:rsidRPr="00C325BF">
        <w:rPr>
          <w:b/>
        </w:rPr>
        <w:t>Tabelle </w:t>
      </w:r>
      <w:r w:rsidR="00534861" w:rsidRPr="00C325BF">
        <w:rPr>
          <w:b/>
        </w:rPr>
        <w:t>33</w:t>
      </w:r>
    </w:p>
    <w:p w14:paraId="32E3E55A" w14:textId="77777777" w:rsidR="00472702" w:rsidRPr="00C325BF" w:rsidRDefault="00472702" w:rsidP="00472702">
      <w:pPr>
        <w:keepNext/>
        <w:rPr>
          <w:b/>
          <w:bCs/>
        </w:rPr>
      </w:pPr>
      <w:r w:rsidRPr="00C325BF">
        <w:rPr>
          <w:b/>
        </w:rPr>
        <w:t>Ergebnisse zu den explorativen Endpunkten nach PUCAI</w:t>
      </w:r>
    </w:p>
    <w:p w14:paraId="6BE27E64" w14:textId="77777777" w:rsidR="00472702" w:rsidRPr="00C325BF" w:rsidRDefault="00472702" w:rsidP="00472702">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01"/>
        <w:gridCol w:w="3035"/>
      </w:tblGrid>
      <w:tr w:rsidR="00472702" w:rsidRPr="00472702" w14:paraId="7B09B09C" w14:textId="77777777" w:rsidTr="00BA625C">
        <w:trPr>
          <w:cantSplit/>
        </w:trPr>
        <w:tc>
          <w:tcPr>
            <w:tcW w:w="3114" w:type="dxa"/>
            <w:vMerge w:val="restart"/>
            <w:tcBorders>
              <w:top w:val="single" w:sz="4" w:space="0" w:color="auto"/>
              <w:left w:val="single" w:sz="4" w:space="0" w:color="auto"/>
              <w:right w:val="single" w:sz="4" w:space="0" w:color="auto"/>
            </w:tcBorders>
          </w:tcPr>
          <w:p w14:paraId="6B17B438" w14:textId="77777777" w:rsidR="00472702" w:rsidRPr="00C325BF" w:rsidRDefault="00472702" w:rsidP="00472702">
            <w:pPr>
              <w:keepNext/>
              <w:jc w:val="center"/>
              <w:rPr>
                <w:b/>
              </w:rPr>
            </w:pPr>
          </w:p>
        </w:tc>
        <w:tc>
          <w:tcPr>
            <w:tcW w:w="6177" w:type="dxa"/>
            <w:gridSpan w:val="2"/>
            <w:tcBorders>
              <w:top w:val="single" w:sz="4" w:space="0" w:color="auto"/>
              <w:left w:val="single" w:sz="4" w:space="0" w:color="auto"/>
              <w:bottom w:val="single" w:sz="4" w:space="0" w:color="auto"/>
              <w:right w:val="single" w:sz="4" w:space="0" w:color="auto"/>
            </w:tcBorders>
          </w:tcPr>
          <w:p w14:paraId="0769A5C8" w14:textId="77777777" w:rsidR="00472702" w:rsidRPr="00472702" w:rsidRDefault="00472702" w:rsidP="00472702">
            <w:pPr>
              <w:keepNext/>
              <w:jc w:val="center"/>
              <w:rPr>
                <w:b/>
                <w:lang w:val="en-GB"/>
              </w:rPr>
            </w:pPr>
            <w:proofErr w:type="spellStart"/>
            <w:r w:rsidRPr="00472702">
              <w:rPr>
                <w:b/>
                <w:lang w:val="en-GB"/>
              </w:rPr>
              <w:t>Woche</w:t>
            </w:r>
            <w:proofErr w:type="spellEnd"/>
            <w:r w:rsidRPr="00206AEA">
              <w:t> </w:t>
            </w:r>
            <w:r w:rsidRPr="00472702">
              <w:rPr>
                <w:b/>
                <w:lang w:val="en-GB"/>
              </w:rPr>
              <w:t>8</w:t>
            </w:r>
          </w:p>
        </w:tc>
      </w:tr>
      <w:tr w:rsidR="00472702" w:rsidRPr="00472702" w14:paraId="48CEAD12" w14:textId="77777777" w:rsidTr="00BA625C">
        <w:trPr>
          <w:cantSplit/>
        </w:trPr>
        <w:tc>
          <w:tcPr>
            <w:tcW w:w="3114" w:type="dxa"/>
            <w:vMerge/>
            <w:tcBorders>
              <w:left w:val="single" w:sz="4" w:space="0" w:color="auto"/>
              <w:bottom w:val="single" w:sz="4" w:space="0" w:color="auto"/>
              <w:right w:val="single" w:sz="4" w:space="0" w:color="auto"/>
            </w:tcBorders>
          </w:tcPr>
          <w:p w14:paraId="3DC95166" w14:textId="77777777" w:rsidR="00472702" w:rsidRPr="00472702" w:rsidRDefault="00472702" w:rsidP="00472702">
            <w:pPr>
              <w:keepNext/>
              <w:jc w:val="center"/>
              <w:rPr>
                <w:b/>
                <w:lang w:val="en-GB"/>
              </w:rPr>
            </w:pPr>
          </w:p>
        </w:tc>
        <w:tc>
          <w:tcPr>
            <w:tcW w:w="3073" w:type="dxa"/>
            <w:tcBorders>
              <w:top w:val="single" w:sz="4" w:space="0" w:color="auto"/>
              <w:left w:val="single" w:sz="4" w:space="0" w:color="auto"/>
              <w:bottom w:val="single" w:sz="4" w:space="0" w:color="auto"/>
              <w:right w:val="single" w:sz="4" w:space="0" w:color="auto"/>
            </w:tcBorders>
            <w:hideMark/>
          </w:tcPr>
          <w:p w14:paraId="6F44924A" w14:textId="77777777" w:rsidR="00472702" w:rsidRPr="00C325BF" w:rsidRDefault="00472702" w:rsidP="00472702">
            <w:pPr>
              <w:keepNext/>
              <w:jc w:val="center"/>
              <w:rPr>
                <w:b/>
              </w:rPr>
            </w:pPr>
            <w:r w:rsidRPr="00C325BF">
              <w:rPr>
                <w:b/>
              </w:rPr>
              <w:t>Adalimumab</w:t>
            </w:r>
            <w:r w:rsidRPr="00C325BF">
              <w:rPr>
                <w:b/>
                <w:vertAlign w:val="superscript"/>
              </w:rPr>
              <w:t>a</w:t>
            </w:r>
          </w:p>
          <w:p w14:paraId="34AD11BA" w14:textId="77777777" w:rsidR="00472702" w:rsidRPr="00C325BF" w:rsidRDefault="00472702" w:rsidP="00472702">
            <w:pPr>
              <w:keepNext/>
              <w:jc w:val="center"/>
              <w:rPr>
                <w:b/>
              </w:rPr>
            </w:pPr>
            <w:r w:rsidRPr="00C325BF">
              <w:rPr>
                <w:b/>
              </w:rPr>
              <w:t>Maximal 160</w:t>
            </w:r>
            <w:r w:rsidRPr="00206AEA">
              <w:t> </w:t>
            </w:r>
            <w:r w:rsidRPr="00C325BF">
              <w:rPr>
                <w:b/>
              </w:rPr>
              <w:t>mg in Woche</w:t>
            </w:r>
            <w:r w:rsidRPr="00206AEA">
              <w:t> </w:t>
            </w:r>
            <w:r w:rsidRPr="00C325BF">
              <w:rPr>
                <w:b/>
              </w:rPr>
              <w:t>0 / Placebo in Woche</w:t>
            </w:r>
            <w:r w:rsidRPr="00206AEA">
              <w:t> </w:t>
            </w:r>
            <w:r w:rsidRPr="00C325BF">
              <w:rPr>
                <w:b/>
              </w:rPr>
              <w:t>1</w:t>
            </w:r>
          </w:p>
          <w:p w14:paraId="6E8DD553" w14:textId="77777777" w:rsidR="00472702" w:rsidRPr="00472702" w:rsidRDefault="00472702" w:rsidP="00472702">
            <w:pPr>
              <w:keepNext/>
              <w:jc w:val="center"/>
              <w:rPr>
                <w:b/>
                <w:lang w:val="en-GB"/>
              </w:rPr>
            </w:pPr>
            <w:r w:rsidRPr="00472702">
              <w:rPr>
                <w:b/>
                <w:lang w:val="en-GB"/>
              </w:rPr>
              <w:t>n</w:t>
            </w:r>
            <w:r w:rsidRPr="00472702">
              <w:rPr>
                <w:lang w:val="en-GB"/>
              </w:rPr>
              <w:t> </w:t>
            </w:r>
            <w:r w:rsidRPr="00472702">
              <w:rPr>
                <w:b/>
                <w:lang w:val="en-GB"/>
              </w:rPr>
              <w:t>=</w:t>
            </w:r>
            <w:r w:rsidRPr="00472702">
              <w:rPr>
                <w:lang w:val="en-GB"/>
              </w:rPr>
              <w:t> </w:t>
            </w:r>
            <w:r w:rsidRPr="00472702">
              <w:rPr>
                <w:b/>
                <w:lang w:val="en-GB"/>
              </w:rPr>
              <w:t>30</w:t>
            </w:r>
          </w:p>
        </w:tc>
        <w:tc>
          <w:tcPr>
            <w:tcW w:w="3104" w:type="dxa"/>
            <w:tcBorders>
              <w:top w:val="single" w:sz="4" w:space="0" w:color="auto"/>
              <w:left w:val="single" w:sz="4" w:space="0" w:color="auto"/>
              <w:bottom w:val="single" w:sz="4" w:space="0" w:color="auto"/>
              <w:right w:val="single" w:sz="4" w:space="0" w:color="auto"/>
            </w:tcBorders>
            <w:hideMark/>
          </w:tcPr>
          <w:p w14:paraId="523DB94D" w14:textId="77777777" w:rsidR="00472702" w:rsidRPr="00C325BF" w:rsidRDefault="00472702" w:rsidP="00472702">
            <w:pPr>
              <w:keepNext/>
              <w:jc w:val="center"/>
              <w:rPr>
                <w:b/>
              </w:rPr>
            </w:pPr>
            <w:r w:rsidRPr="00C325BF">
              <w:rPr>
                <w:b/>
              </w:rPr>
              <w:t>Adalimumab</w:t>
            </w:r>
            <w:r w:rsidRPr="00C325BF">
              <w:rPr>
                <w:b/>
                <w:vertAlign w:val="superscript"/>
              </w:rPr>
              <w:t>b,c</w:t>
            </w:r>
          </w:p>
          <w:p w14:paraId="24FAAB65" w14:textId="77777777" w:rsidR="00472702" w:rsidRPr="00C325BF" w:rsidRDefault="00472702" w:rsidP="00472702">
            <w:pPr>
              <w:keepNext/>
              <w:jc w:val="center"/>
              <w:rPr>
                <w:b/>
              </w:rPr>
            </w:pPr>
            <w:r w:rsidRPr="00C325BF">
              <w:rPr>
                <w:b/>
              </w:rPr>
              <w:t>Maximal 160</w:t>
            </w:r>
            <w:r w:rsidRPr="00206AEA">
              <w:t> </w:t>
            </w:r>
            <w:r w:rsidRPr="00C325BF">
              <w:rPr>
                <w:b/>
              </w:rPr>
              <w:t>mg in Woche</w:t>
            </w:r>
            <w:r w:rsidRPr="00206AEA">
              <w:t> </w:t>
            </w:r>
            <w:r w:rsidRPr="00C325BF">
              <w:rPr>
                <w:b/>
              </w:rPr>
              <w:t>0 und Woche</w:t>
            </w:r>
            <w:r w:rsidRPr="00206AEA">
              <w:t> </w:t>
            </w:r>
            <w:r w:rsidRPr="00C325BF">
              <w:rPr>
                <w:b/>
              </w:rPr>
              <w:t>1</w:t>
            </w:r>
          </w:p>
          <w:p w14:paraId="3F8E1529" w14:textId="77777777" w:rsidR="00472702" w:rsidRPr="00472702" w:rsidRDefault="00472702" w:rsidP="00472702">
            <w:pPr>
              <w:keepNext/>
              <w:jc w:val="center"/>
              <w:rPr>
                <w:b/>
                <w:lang w:val="en-GB"/>
              </w:rPr>
            </w:pPr>
            <w:r w:rsidRPr="00472702">
              <w:rPr>
                <w:b/>
                <w:lang w:val="en-GB"/>
              </w:rPr>
              <w:t>n</w:t>
            </w:r>
            <w:r w:rsidRPr="00472702">
              <w:rPr>
                <w:lang w:val="en-GB"/>
              </w:rPr>
              <w:t> </w:t>
            </w:r>
            <w:r w:rsidRPr="00472702">
              <w:rPr>
                <w:b/>
                <w:lang w:val="en-GB"/>
              </w:rPr>
              <w:t>=</w:t>
            </w:r>
            <w:r w:rsidRPr="00472702">
              <w:rPr>
                <w:lang w:val="en-GB"/>
              </w:rPr>
              <w:t> </w:t>
            </w:r>
            <w:r w:rsidRPr="00472702">
              <w:rPr>
                <w:b/>
                <w:bCs/>
                <w:lang w:val="en-GB"/>
              </w:rPr>
              <w:t>47</w:t>
            </w:r>
          </w:p>
        </w:tc>
      </w:tr>
      <w:tr w:rsidR="00472702" w:rsidRPr="00472702" w14:paraId="449F1ADD" w14:textId="77777777" w:rsidTr="00BA625C">
        <w:trPr>
          <w:cantSplit/>
        </w:trPr>
        <w:tc>
          <w:tcPr>
            <w:tcW w:w="3114" w:type="dxa"/>
            <w:tcBorders>
              <w:top w:val="single" w:sz="4" w:space="0" w:color="auto"/>
              <w:left w:val="single" w:sz="4" w:space="0" w:color="auto"/>
              <w:bottom w:val="single" w:sz="4" w:space="0" w:color="auto"/>
              <w:right w:val="single" w:sz="4" w:space="0" w:color="auto"/>
            </w:tcBorders>
            <w:hideMark/>
          </w:tcPr>
          <w:p w14:paraId="3BD269F3" w14:textId="77777777" w:rsidR="00472702" w:rsidRPr="00472702" w:rsidRDefault="00472702" w:rsidP="00472702">
            <w:pPr>
              <w:rPr>
                <w:lang w:val="en-GB"/>
              </w:rPr>
            </w:pPr>
            <w:proofErr w:type="spellStart"/>
            <w:r w:rsidRPr="00472702">
              <w:rPr>
                <w:lang w:val="en-GB"/>
              </w:rPr>
              <w:t>Klinische</w:t>
            </w:r>
            <w:proofErr w:type="spellEnd"/>
            <w:r w:rsidRPr="00472702">
              <w:rPr>
                <w:lang w:val="en-GB"/>
              </w:rPr>
              <w:t xml:space="preserve"> Remission </w:t>
            </w:r>
            <w:proofErr w:type="spellStart"/>
            <w:r w:rsidRPr="00472702">
              <w:rPr>
                <w:lang w:val="en-GB"/>
              </w:rPr>
              <w:t>nach</w:t>
            </w:r>
            <w:proofErr w:type="spellEnd"/>
            <w:r w:rsidRPr="00472702">
              <w:rPr>
                <w:lang w:val="en-GB"/>
              </w:rPr>
              <w:t xml:space="preserve"> PUCAI</w:t>
            </w:r>
          </w:p>
        </w:tc>
        <w:tc>
          <w:tcPr>
            <w:tcW w:w="3073" w:type="dxa"/>
            <w:tcBorders>
              <w:top w:val="single" w:sz="4" w:space="0" w:color="auto"/>
              <w:left w:val="single" w:sz="4" w:space="0" w:color="auto"/>
              <w:bottom w:val="single" w:sz="4" w:space="0" w:color="auto"/>
              <w:right w:val="single" w:sz="4" w:space="0" w:color="auto"/>
            </w:tcBorders>
            <w:hideMark/>
          </w:tcPr>
          <w:p w14:paraId="12376406" w14:textId="77777777" w:rsidR="00472702" w:rsidRPr="00472702" w:rsidRDefault="00472702" w:rsidP="00472702">
            <w:pPr>
              <w:jc w:val="center"/>
              <w:rPr>
                <w:lang w:val="en-GB"/>
              </w:rPr>
            </w:pPr>
            <w:r w:rsidRPr="00472702">
              <w:t>10/30 (33,3 %)</w:t>
            </w:r>
          </w:p>
        </w:tc>
        <w:tc>
          <w:tcPr>
            <w:tcW w:w="3104" w:type="dxa"/>
            <w:tcBorders>
              <w:top w:val="single" w:sz="4" w:space="0" w:color="auto"/>
              <w:left w:val="single" w:sz="4" w:space="0" w:color="auto"/>
              <w:bottom w:val="single" w:sz="4" w:space="0" w:color="auto"/>
              <w:right w:val="single" w:sz="4" w:space="0" w:color="auto"/>
            </w:tcBorders>
            <w:hideMark/>
          </w:tcPr>
          <w:p w14:paraId="7204FE5D" w14:textId="77777777" w:rsidR="00472702" w:rsidRPr="00472702" w:rsidRDefault="00472702" w:rsidP="00472702">
            <w:pPr>
              <w:jc w:val="center"/>
              <w:rPr>
                <w:lang w:val="en-GB"/>
              </w:rPr>
            </w:pPr>
            <w:r w:rsidRPr="00472702">
              <w:t>22/47 (46,8 %)</w:t>
            </w:r>
          </w:p>
        </w:tc>
      </w:tr>
      <w:tr w:rsidR="00472702" w:rsidRPr="00472702" w14:paraId="4F03F1E0" w14:textId="77777777" w:rsidTr="00BA625C">
        <w:trPr>
          <w:cantSplit/>
        </w:trPr>
        <w:tc>
          <w:tcPr>
            <w:tcW w:w="3114" w:type="dxa"/>
            <w:tcBorders>
              <w:top w:val="single" w:sz="4" w:space="0" w:color="auto"/>
              <w:left w:val="single" w:sz="4" w:space="0" w:color="auto"/>
              <w:bottom w:val="single" w:sz="4" w:space="0" w:color="auto"/>
              <w:right w:val="single" w:sz="4" w:space="0" w:color="auto"/>
            </w:tcBorders>
          </w:tcPr>
          <w:p w14:paraId="26D66B7A" w14:textId="77777777" w:rsidR="00472702" w:rsidRPr="00472702" w:rsidRDefault="00472702" w:rsidP="00472702">
            <w:pPr>
              <w:rPr>
                <w:lang w:val="en-GB"/>
              </w:rPr>
            </w:pPr>
            <w:proofErr w:type="spellStart"/>
            <w:r w:rsidRPr="00472702">
              <w:rPr>
                <w:lang w:val="en-GB"/>
              </w:rPr>
              <w:t>Klinische</w:t>
            </w:r>
            <w:r w:rsidR="00030ADB">
              <w:rPr>
                <w:lang w:val="en-GB"/>
              </w:rPr>
              <w:t>s</w:t>
            </w:r>
            <w:proofErr w:type="spellEnd"/>
            <w:r w:rsidRPr="00472702">
              <w:rPr>
                <w:lang w:val="en-GB"/>
              </w:rPr>
              <w:t xml:space="preserve"> </w:t>
            </w:r>
            <w:proofErr w:type="spellStart"/>
            <w:r w:rsidR="00030ADB">
              <w:rPr>
                <w:lang w:val="en-GB"/>
              </w:rPr>
              <w:t>Ansprechen</w:t>
            </w:r>
            <w:proofErr w:type="spellEnd"/>
            <w:r w:rsidRPr="00472702">
              <w:rPr>
                <w:lang w:val="en-GB"/>
              </w:rPr>
              <w:t xml:space="preserve"> </w:t>
            </w:r>
            <w:proofErr w:type="spellStart"/>
            <w:r w:rsidRPr="00472702">
              <w:rPr>
                <w:lang w:val="en-GB"/>
              </w:rPr>
              <w:t>nach</w:t>
            </w:r>
            <w:proofErr w:type="spellEnd"/>
            <w:r w:rsidRPr="00472702">
              <w:rPr>
                <w:lang w:val="en-GB"/>
              </w:rPr>
              <w:t xml:space="preserve"> PUCAI</w:t>
            </w:r>
          </w:p>
        </w:tc>
        <w:tc>
          <w:tcPr>
            <w:tcW w:w="3073" w:type="dxa"/>
            <w:tcBorders>
              <w:top w:val="single" w:sz="4" w:space="0" w:color="auto"/>
              <w:left w:val="single" w:sz="4" w:space="0" w:color="auto"/>
              <w:bottom w:val="single" w:sz="4" w:space="0" w:color="auto"/>
              <w:right w:val="single" w:sz="4" w:space="0" w:color="auto"/>
            </w:tcBorders>
          </w:tcPr>
          <w:p w14:paraId="0AE5DCF9" w14:textId="77777777" w:rsidR="00472702" w:rsidRPr="00472702" w:rsidRDefault="00472702" w:rsidP="00472702">
            <w:pPr>
              <w:jc w:val="center"/>
              <w:rPr>
                <w:lang w:val="en-GB"/>
              </w:rPr>
            </w:pPr>
            <w:r w:rsidRPr="00472702">
              <w:t>15/30 (50,0 %)</w:t>
            </w:r>
          </w:p>
        </w:tc>
        <w:tc>
          <w:tcPr>
            <w:tcW w:w="3104" w:type="dxa"/>
            <w:tcBorders>
              <w:top w:val="single" w:sz="4" w:space="0" w:color="auto"/>
              <w:left w:val="single" w:sz="4" w:space="0" w:color="auto"/>
              <w:bottom w:val="single" w:sz="4" w:space="0" w:color="auto"/>
              <w:right w:val="single" w:sz="4" w:space="0" w:color="auto"/>
            </w:tcBorders>
          </w:tcPr>
          <w:p w14:paraId="2F5AF208" w14:textId="77777777" w:rsidR="00472702" w:rsidRPr="00472702" w:rsidRDefault="00472702" w:rsidP="00472702">
            <w:pPr>
              <w:jc w:val="center"/>
              <w:rPr>
                <w:lang w:val="en-GB"/>
              </w:rPr>
            </w:pPr>
            <w:r w:rsidRPr="00472702">
              <w:t>32/47 (68,1 %)</w:t>
            </w:r>
          </w:p>
        </w:tc>
      </w:tr>
      <w:tr w:rsidR="00472702" w:rsidRPr="00472702" w14:paraId="7712E826" w14:textId="77777777" w:rsidTr="00BA625C">
        <w:trPr>
          <w:cantSplit/>
        </w:trPr>
        <w:tc>
          <w:tcPr>
            <w:tcW w:w="3114" w:type="dxa"/>
            <w:vMerge w:val="restart"/>
            <w:tcBorders>
              <w:top w:val="single" w:sz="4" w:space="0" w:color="auto"/>
              <w:left w:val="single" w:sz="4" w:space="0" w:color="auto"/>
              <w:right w:val="single" w:sz="4" w:space="0" w:color="auto"/>
            </w:tcBorders>
          </w:tcPr>
          <w:p w14:paraId="6562F776" w14:textId="77777777" w:rsidR="00472702" w:rsidRPr="00472702" w:rsidRDefault="00472702" w:rsidP="00472702">
            <w:pPr>
              <w:keepNext/>
              <w:rPr>
                <w:lang w:val="en-GB"/>
              </w:rPr>
            </w:pPr>
          </w:p>
        </w:tc>
        <w:tc>
          <w:tcPr>
            <w:tcW w:w="6177" w:type="dxa"/>
            <w:gridSpan w:val="2"/>
            <w:tcBorders>
              <w:top w:val="single" w:sz="4" w:space="0" w:color="auto"/>
              <w:left w:val="single" w:sz="4" w:space="0" w:color="auto"/>
              <w:bottom w:val="single" w:sz="4" w:space="0" w:color="auto"/>
              <w:right w:val="single" w:sz="4" w:space="0" w:color="auto"/>
            </w:tcBorders>
          </w:tcPr>
          <w:p w14:paraId="20BC68F3" w14:textId="77777777" w:rsidR="00472702" w:rsidRPr="00472702" w:rsidRDefault="00472702" w:rsidP="00472702">
            <w:pPr>
              <w:keepNext/>
              <w:jc w:val="center"/>
              <w:rPr>
                <w:b/>
                <w:bCs/>
                <w:lang w:val="en-GB"/>
              </w:rPr>
            </w:pPr>
            <w:r w:rsidRPr="00472702">
              <w:rPr>
                <w:b/>
                <w:bCs/>
              </w:rPr>
              <w:t>Woche</w:t>
            </w:r>
            <w:r w:rsidRPr="00206AEA">
              <w:t> </w:t>
            </w:r>
            <w:r w:rsidRPr="00472702">
              <w:rPr>
                <w:b/>
                <w:bCs/>
              </w:rPr>
              <w:t>52</w:t>
            </w:r>
          </w:p>
        </w:tc>
      </w:tr>
      <w:tr w:rsidR="00472702" w:rsidRPr="00472702" w14:paraId="03A754A6" w14:textId="77777777" w:rsidTr="00BA625C">
        <w:trPr>
          <w:cantSplit/>
        </w:trPr>
        <w:tc>
          <w:tcPr>
            <w:tcW w:w="3114" w:type="dxa"/>
            <w:vMerge/>
            <w:tcBorders>
              <w:left w:val="single" w:sz="4" w:space="0" w:color="auto"/>
              <w:bottom w:val="single" w:sz="4" w:space="0" w:color="auto"/>
              <w:right w:val="single" w:sz="4" w:space="0" w:color="auto"/>
            </w:tcBorders>
          </w:tcPr>
          <w:p w14:paraId="2B60EAA6" w14:textId="77777777" w:rsidR="00472702" w:rsidRPr="00472702" w:rsidRDefault="00472702" w:rsidP="00472702">
            <w:pPr>
              <w:rPr>
                <w:lang w:val="en-GB"/>
              </w:rPr>
            </w:pPr>
          </w:p>
        </w:tc>
        <w:tc>
          <w:tcPr>
            <w:tcW w:w="3073" w:type="dxa"/>
            <w:tcBorders>
              <w:top w:val="single" w:sz="4" w:space="0" w:color="auto"/>
              <w:left w:val="single" w:sz="4" w:space="0" w:color="auto"/>
              <w:bottom w:val="single" w:sz="4" w:space="0" w:color="auto"/>
              <w:right w:val="single" w:sz="4" w:space="0" w:color="auto"/>
            </w:tcBorders>
          </w:tcPr>
          <w:p w14:paraId="4016AB0F" w14:textId="77777777" w:rsidR="00472702" w:rsidRPr="00C325BF" w:rsidRDefault="00472702" w:rsidP="00472702">
            <w:pPr>
              <w:keepNext/>
              <w:jc w:val="center"/>
              <w:rPr>
                <w:b/>
              </w:rPr>
            </w:pPr>
            <w:r w:rsidRPr="00C325BF">
              <w:rPr>
                <w:b/>
              </w:rPr>
              <w:t>Adalimumab</w:t>
            </w:r>
            <w:r w:rsidRPr="00C325BF">
              <w:rPr>
                <w:b/>
                <w:vertAlign w:val="superscript"/>
              </w:rPr>
              <w:t>d</w:t>
            </w:r>
          </w:p>
          <w:p w14:paraId="40AD469A" w14:textId="77777777" w:rsidR="00472702" w:rsidRPr="00C325BF" w:rsidRDefault="00472702" w:rsidP="00472702">
            <w:pPr>
              <w:keepNext/>
              <w:jc w:val="center"/>
              <w:rPr>
                <w:b/>
              </w:rPr>
            </w:pPr>
            <w:r w:rsidRPr="00C325BF">
              <w:rPr>
                <w:b/>
              </w:rPr>
              <w:t>Maximal 40</w:t>
            </w:r>
            <w:r w:rsidRPr="00206AEA">
              <w:t> </w:t>
            </w:r>
            <w:r w:rsidRPr="00C325BF">
              <w:rPr>
                <w:b/>
              </w:rPr>
              <w:t>mg jede zweite Woche</w:t>
            </w:r>
          </w:p>
          <w:p w14:paraId="527A47DA" w14:textId="77777777" w:rsidR="00472702" w:rsidRPr="00472702" w:rsidRDefault="00472702" w:rsidP="00472702">
            <w:pPr>
              <w:jc w:val="center"/>
            </w:pPr>
            <w:r w:rsidRPr="00472702">
              <w:rPr>
                <w:b/>
                <w:lang w:val="en-GB"/>
              </w:rPr>
              <w:t>n</w:t>
            </w:r>
            <w:r w:rsidRPr="00472702">
              <w:rPr>
                <w:lang w:val="en-GB"/>
              </w:rPr>
              <w:t> </w:t>
            </w:r>
            <w:r w:rsidRPr="00472702">
              <w:rPr>
                <w:b/>
                <w:lang w:val="en-GB"/>
              </w:rPr>
              <w:t>=</w:t>
            </w:r>
            <w:r w:rsidRPr="00472702">
              <w:rPr>
                <w:lang w:val="en-GB"/>
              </w:rPr>
              <w:t> </w:t>
            </w:r>
            <w:r w:rsidRPr="00472702">
              <w:rPr>
                <w:b/>
                <w:lang w:val="en-GB"/>
              </w:rPr>
              <w:t>31</w:t>
            </w:r>
          </w:p>
        </w:tc>
        <w:tc>
          <w:tcPr>
            <w:tcW w:w="3104" w:type="dxa"/>
            <w:tcBorders>
              <w:top w:val="single" w:sz="4" w:space="0" w:color="auto"/>
              <w:left w:val="single" w:sz="4" w:space="0" w:color="auto"/>
              <w:bottom w:val="single" w:sz="4" w:space="0" w:color="auto"/>
              <w:right w:val="single" w:sz="4" w:space="0" w:color="auto"/>
            </w:tcBorders>
          </w:tcPr>
          <w:p w14:paraId="38236218" w14:textId="77777777" w:rsidR="00472702" w:rsidRPr="00C325BF" w:rsidRDefault="00472702" w:rsidP="00472702">
            <w:pPr>
              <w:keepNext/>
              <w:jc w:val="center"/>
              <w:rPr>
                <w:b/>
                <w:vertAlign w:val="superscript"/>
              </w:rPr>
            </w:pPr>
            <w:r w:rsidRPr="00C325BF">
              <w:rPr>
                <w:b/>
              </w:rPr>
              <w:t>Adalimumab</w:t>
            </w:r>
            <w:r w:rsidRPr="00C325BF">
              <w:rPr>
                <w:b/>
                <w:vertAlign w:val="superscript"/>
              </w:rPr>
              <w:t>e</w:t>
            </w:r>
          </w:p>
          <w:p w14:paraId="4076FBC6" w14:textId="77777777" w:rsidR="00472702" w:rsidRPr="00C325BF" w:rsidRDefault="00472702" w:rsidP="00472702">
            <w:pPr>
              <w:keepNext/>
              <w:jc w:val="center"/>
              <w:rPr>
                <w:b/>
              </w:rPr>
            </w:pPr>
            <w:r w:rsidRPr="00C325BF">
              <w:rPr>
                <w:b/>
              </w:rPr>
              <w:t>Maximal 40</w:t>
            </w:r>
            <w:r w:rsidRPr="00206AEA">
              <w:t> </w:t>
            </w:r>
            <w:r w:rsidRPr="00C325BF">
              <w:rPr>
                <w:b/>
              </w:rPr>
              <w:t>mg wöchentlich</w:t>
            </w:r>
          </w:p>
          <w:p w14:paraId="2FA5B897" w14:textId="77777777" w:rsidR="00472702" w:rsidRPr="00472702" w:rsidRDefault="00472702" w:rsidP="00472702">
            <w:pPr>
              <w:jc w:val="center"/>
            </w:pPr>
            <w:r w:rsidRPr="00C325BF">
              <w:rPr>
                <w:b/>
              </w:rPr>
              <w:t>n</w:t>
            </w:r>
            <w:r w:rsidRPr="00C325BF">
              <w:t> </w:t>
            </w:r>
            <w:r w:rsidRPr="00C325BF">
              <w:rPr>
                <w:b/>
              </w:rPr>
              <w:t>=</w:t>
            </w:r>
            <w:r w:rsidRPr="00C325BF">
              <w:t> </w:t>
            </w:r>
            <w:r w:rsidRPr="00C325BF">
              <w:rPr>
                <w:b/>
                <w:bCs/>
              </w:rPr>
              <w:t>31</w:t>
            </w:r>
          </w:p>
        </w:tc>
      </w:tr>
      <w:tr w:rsidR="00472702" w:rsidRPr="00472702" w14:paraId="79CA4F9C" w14:textId="77777777" w:rsidTr="00BA625C">
        <w:trPr>
          <w:cantSplit/>
        </w:trPr>
        <w:tc>
          <w:tcPr>
            <w:tcW w:w="3114" w:type="dxa"/>
            <w:tcBorders>
              <w:top w:val="single" w:sz="4" w:space="0" w:color="auto"/>
              <w:left w:val="single" w:sz="4" w:space="0" w:color="auto"/>
              <w:bottom w:val="single" w:sz="4" w:space="0" w:color="auto"/>
              <w:right w:val="single" w:sz="4" w:space="0" w:color="auto"/>
            </w:tcBorders>
          </w:tcPr>
          <w:p w14:paraId="456704F9" w14:textId="77777777" w:rsidR="00472702" w:rsidRPr="00C325BF" w:rsidRDefault="00472702" w:rsidP="00472702">
            <w:r w:rsidRPr="00C325BF">
              <w:t>Klinische Remission nach PUCAI bei PMS-Respondern in Woche 8</w:t>
            </w:r>
          </w:p>
        </w:tc>
        <w:tc>
          <w:tcPr>
            <w:tcW w:w="3073" w:type="dxa"/>
            <w:tcBorders>
              <w:top w:val="single" w:sz="4" w:space="0" w:color="auto"/>
              <w:left w:val="single" w:sz="4" w:space="0" w:color="auto"/>
              <w:bottom w:val="single" w:sz="4" w:space="0" w:color="auto"/>
              <w:right w:val="single" w:sz="4" w:space="0" w:color="auto"/>
            </w:tcBorders>
          </w:tcPr>
          <w:p w14:paraId="1C36A5CB" w14:textId="77777777" w:rsidR="00472702" w:rsidRPr="00472702" w:rsidRDefault="00472702" w:rsidP="00472702">
            <w:pPr>
              <w:jc w:val="center"/>
              <w:rPr>
                <w:lang w:val="en-GB"/>
              </w:rPr>
            </w:pPr>
            <w:r w:rsidRPr="00472702">
              <w:t>14/31 (45,2 %)</w:t>
            </w:r>
          </w:p>
        </w:tc>
        <w:tc>
          <w:tcPr>
            <w:tcW w:w="3104" w:type="dxa"/>
            <w:tcBorders>
              <w:top w:val="single" w:sz="4" w:space="0" w:color="auto"/>
              <w:left w:val="single" w:sz="4" w:space="0" w:color="auto"/>
              <w:bottom w:val="single" w:sz="4" w:space="0" w:color="auto"/>
              <w:right w:val="single" w:sz="4" w:space="0" w:color="auto"/>
            </w:tcBorders>
          </w:tcPr>
          <w:p w14:paraId="77830E58" w14:textId="77777777" w:rsidR="00472702" w:rsidRPr="00472702" w:rsidRDefault="00472702" w:rsidP="00472702">
            <w:pPr>
              <w:jc w:val="center"/>
              <w:rPr>
                <w:lang w:val="en-GB"/>
              </w:rPr>
            </w:pPr>
            <w:r w:rsidRPr="00472702">
              <w:t>18/31 (58,1 %)</w:t>
            </w:r>
          </w:p>
        </w:tc>
      </w:tr>
      <w:tr w:rsidR="00472702" w:rsidRPr="00472702" w14:paraId="20F00735" w14:textId="77777777" w:rsidTr="00BA625C">
        <w:trPr>
          <w:cantSplit/>
        </w:trPr>
        <w:tc>
          <w:tcPr>
            <w:tcW w:w="3114" w:type="dxa"/>
            <w:tcBorders>
              <w:top w:val="single" w:sz="4" w:space="0" w:color="auto"/>
              <w:left w:val="single" w:sz="4" w:space="0" w:color="auto"/>
              <w:bottom w:val="single" w:sz="4" w:space="0" w:color="auto"/>
              <w:right w:val="single" w:sz="4" w:space="0" w:color="auto"/>
            </w:tcBorders>
          </w:tcPr>
          <w:p w14:paraId="615D076F" w14:textId="77777777" w:rsidR="00472702" w:rsidRPr="00C325BF" w:rsidRDefault="00472702" w:rsidP="00472702">
            <w:r w:rsidRPr="00C325BF">
              <w:t>Klinisches Ansprechen nach PUCAI bei PMS-Respondern in Woche 8</w:t>
            </w:r>
          </w:p>
        </w:tc>
        <w:tc>
          <w:tcPr>
            <w:tcW w:w="3073" w:type="dxa"/>
            <w:tcBorders>
              <w:top w:val="single" w:sz="4" w:space="0" w:color="auto"/>
              <w:left w:val="single" w:sz="4" w:space="0" w:color="auto"/>
              <w:bottom w:val="single" w:sz="4" w:space="0" w:color="auto"/>
              <w:right w:val="single" w:sz="4" w:space="0" w:color="auto"/>
            </w:tcBorders>
          </w:tcPr>
          <w:p w14:paraId="48F31F97" w14:textId="77777777" w:rsidR="00472702" w:rsidRPr="00472702" w:rsidRDefault="00472702" w:rsidP="00472702">
            <w:pPr>
              <w:jc w:val="center"/>
              <w:rPr>
                <w:lang w:val="en-GB"/>
              </w:rPr>
            </w:pPr>
            <w:r w:rsidRPr="00472702">
              <w:t>18/31 (58,1 %)</w:t>
            </w:r>
          </w:p>
        </w:tc>
        <w:tc>
          <w:tcPr>
            <w:tcW w:w="3104" w:type="dxa"/>
            <w:tcBorders>
              <w:top w:val="single" w:sz="4" w:space="0" w:color="auto"/>
              <w:left w:val="single" w:sz="4" w:space="0" w:color="auto"/>
              <w:bottom w:val="single" w:sz="4" w:space="0" w:color="auto"/>
              <w:right w:val="single" w:sz="4" w:space="0" w:color="auto"/>
            </w:tcBorders>
          </w:tcPr>
          <w:p w14:paraId="320FBDC5" w14:textId="77777777" w:rsidR="00472702" w:rsidRPr="00472702" w:rsidRDefault="00472702" w:rsidP="00472702">
            <w:pPr>
              <w:jc w:val="center"/>
              <w:rPr>
                <w:lang w:val="en-GB"/>
              </w:rPr>
            </w:pPr>
            <w:r w:rsidRPr="00472702">
              <w:t>16/31 (51,6 %)</w:t>
            </w:r>
          </w:p>
        </w:tc>
      </w:tr>
    </w:tbl>
    <w:p w14:paraId="33515186" w14:textId="77777777" w:rsidR="00472702" w:rsidRPr="00206AEA" w:rsidRDefault="00E0271F" w:rsidP="00472702">
      <w:pPr>
        <w:autoSpaceDE w:val="0"/>
        <w:autoSpaceDN w:val="0"/>
        <w:adjustRightInd w:val="0"/>
        <w:ind w:left="270" w:hanging="270"/>
        <w:rPr>
          <w:sz w:val="20"/>
          <w:szCs w:val="20"/>
        </w:rPr>
      </w:pPr>
      <w:r w:rsidRPr="00206AEA">
        <w:rPr>
          <w:sz w:val="20"/>
          <w:szCs w:val="20"/>
          <w:vertAlign w:val="superscript"/>
        </w:rPr>
        <w:t>a</w:t>
      </w:r>
      <w:r w:rsidR="00472702" w:rsidRPr="00206AEA">
        <w:rPr>
          <w:sz w:val="20"/>
          <w:szCs w:val="20"/>
        </w:rPr>
        <w:tab/>
        <w:t>Adalimumab 2,4 mg/kg (maximal 160 mg) in Woche 0, Placebo in Woche 1 und 1,2 mg/kg (maximal 80 mg) in Woche 2</w:t>
      </w:r>
    </w:p>
    <w:p w14:paraId="51B15047" w14:textId="77777777" w:rsidR="00472702" w:rsidRPr="00206AEA" w:rsidRDefault="00472702" w:rsidP="00472702">
      <w:pPr>
        <w:autoSpaceDE w:val="0"/>
        <w:autoSpaceDN w:val="0"/>
        <w:adjustRightInd w:val="0"/>
        <w:ind w:left="270" w:hanging="270"/>
        <w:rPr>
          <w:sz w:val="20"/>
          <w:szCs w:val="20"/>
        </w:rPr>
      </w:pPr>
      <w:r w:rsidRPr="00206AEA">
        <w:rPr>
          <w:sz w:val="20"/>
          <w:szCs w:val="20"/>
          <w:vertAlign w:val="superscript"/>
        </w:rPr>
        <w:t>b</w:t>
      </w:r>
      <w:r w:rsidRPr="00206AEA">
        <w:rPr>
          <w:sz w:val="20"/>
          <w:szCs w:val="20"/>
        </w:rPr>
        <w:tab/>
        <w:t>Adalimumab 2,4 mg/kg (maximal 160 mg) in Woche 0 und Woche 1 und 1,2 mg/kg (maximal 80 mg) in Woche 2</w:t>
      </w:r>
    </w:p>
    <w:p w14:paraId="1A61A264" w14:textId="77777777" w:rsidR="00472702" w:rsidRPr="00206AEA" w:rsidRDefault="00472702" w:rsidP="00472702">
      <w:pPr>
        <w:autoSpaceDE w:val="0"/>
        <w:autoSpaceDN w:val="0"/>
        <w:adjustRightInd w:val="0"/>
        <w:ind w:left="270" w:hanging="270"/>
        <w:rPr>
          <w:sz w:val="20"/>
          <w:szCs w:val="20"/>
        </w:rPr>
      </w:pPr>
      <w:r w:rsidRPr="00206AEA">
        <w:rPr>
          <w:sz w:val="20"/>
          <w:szCs w:val="20"/>
          <w:vertAlign w:val="superscript"/>
        </w:rPr>
        <w:t>c</w:t>
      </w:r>
      <w:r w:rsidRPr="00206AEA">
        <w:rPr>
          <w:sz w:val="20"/>
          <w:szCs w:val="20"/>
        </w:rPr>
        <w:tab/>
        <w:t>Ohne Patienten unter offener Adalimumab-Induktionsdosis von 2,4 mg/kg (maximal 160 mg) in Woche 0 und Woche 1 und 1,2 mg/kg (maximal 80 mg) in Woche 2</w:t>
      </w:r>
    </w:p>
    <w:p w14:paraId="2E9F8DB4" w14:textId="77777777" w:rsidR="00472702" w:rsidRPr="00206AEA" w:rsidRDefault="00472702" w:rsidP="00472702">
      <w:pPr>
        <w:kinsoku w:val="0"/>
        <w:overflowPunct w:val="0"/>
        <w:ind w:left="284" w:hanging="284"/>
        <w:rPr>
          <w:color w:val="000000"/>
          <w:sz w:val="20"/>
          <w:szCs w:val="20"/>
        </w:rPr>
      </w:pPr>
      <w:r w:rsidRPr="00206AEA">
        <w:rPr>
          <w:sz w:val="20"/>
          <w:szCs w:val="20"/>
          <w:vertAlign w:val="superscript"/>
        </w:rPr>
        <w:t>d</w:t>
      </w:r>
      <w:r w:rsidRPr="00206AEA">
        <w:rPr>
          <w:sz w:val="20"/>
          <w:szCs w:val="20"/>
        </w:rPr>
        <w:tab/>
        <w:t>Adalimumab 0,6 mg/kg (maximal 40 mg) jede zweite Woche</w:t>
      </w:r>
    </w:p>
    <w:p w14:paraId="3A0BEEC9" w14:textId="77777777" w:rsidR="00472702" w:rsidRPr="00206AEA" w:rsidRDefault="00472702" w:rsidP="00472702">
      <w:pPr>
        <w:autoSpaceDE w:val="0"/>
        <w:autoSpaceDN w:val="0"/>
        <w:adjustRightInd w:val="0"/>
        <w:ind w:left="270" w:hanging="270"/>
        <w:rPr>
          <w:sz w:val="20"/>
          <w:szCs w:val="20"/>
        </w:rPr>
      </w:pPr>
      <w:r w:rsidRPr="00206AEA">
        <w:rPr>
          <w:sz w:val="20"/>
          <w:szCs w:val="20"/>
          <w:vertAlign w:val="superscript"/>
        </w:rPr>
        <w:t>e</w:t>
      </w:r>
      <w:r w:rsidRPr="00206AEA">
        <w:rPr>
          <w:sz w:val="20"/>
          <w:szCs w:val="20"/>
        </w:rPr>
        <w:tab/>
      </w:r>
      <w:r w:rsidRPr="00206AEA">
        <w:rPr>
          <w:color w:val="000000"/>
          <w:sz w:val="20"/>
          <w:szCs w:val="20"/>
        </w:rPr>
        <w:t>Adalimumab 0,6 mg/kg (maximal 40 mg) wöchentlich</w:t>
      </w:r>
    </w:p>
    <w:p w14:paraId="76D457ED" w14:textId="77777777" w:rsidR="00472702" w:rsidRPr="00206AEA" w:rsidRDefault="00472702" w:rsidP="00472702">
      <w:pPr>
        <w:autoSpaceDE w:val="0"/>
        <w:autoSpaceDN w:val="0"/>
        <w:adjustRightInd w:val="0"/>
        <w:rPr>
          <w:sz w:val="20"/>
          <w:szCs w:val="20"/>
        </w:rPr>
      </w:pPr>
      <w:r w:rsidRPr="00206AEA">
        <w:rPr>
          <w:sz w:val="20"/>
          <w:szCs w:val="20"/>
        </w:rPr>
        <w:t>Hinweis 1: Beide Behandlungsarme mit Induktionsphase erhielten 0,6 mg/kg (maximal 40 mg) in Woche 4 und Woche 6.</w:t>
      </w:r>
    </w:p>
    <w:p w14:paraId="4B3E272B" w14:textId="77777777" w:rsidR="00472702" w:rsidRPr="00206AEA" w:rsidRDefault="00472702" w:rsidP="00472702">
      <w:pPr>
        <w:autoSpaceDE w:val="0"/>
        <w:autoSpaceDN w:val="0"/>
        <w:adjustRightInd w:val="0"/>
        <w:rPr>
          <w:sz w:val="20"/>
          <w:szCs w:val="20"/>
        </w:rPr>
      </w:pPr>
      <w:r w:rsidRPr="00206AEA">
        <w:rPr>
          <w:sz w:val="20"/>
          <w:szCs w:val="20"/>
        </w:rPr>
        <w:t>Hinweis 2: Patienten mit fehlenden Werten in Woche 8 wurden als Patienten gewertet,</w:t>
      </w:r>
      <w:r w:rsidR="00FB50F6" w:rsidRPr="00206AEA">
        <w:rPr>
          <w:sz w:val="20"/>
          <w:szCs w:val="20"/>
        </w:rPr>
        <w:t xml:space="preserve"> </w:t>
      </w:r>
      <w:r w:rsidRPr="00206AEA">
        <w:rPr>
          <w:sz w:val="20"/>
          <w:szCs w:val="20"/>
        </w:rPr>
        <w:t>die den Endpunkt nicht erreichten.</w:t>
      </w:r>
    </w:p>
    <w:p w14:paraId="2A717111" w14:textId="77777777" w:rsidR="00472702" w:rsidRPr="00D556E1" w:rsidRDefault="00472702" w:rsidP="00472702">
      <w:pPr>
        <w:autoSpaceDE w:val="0"/>
        <w:autoSpaceDN w:val="0"/>
        <w:adjustRightInd w:val="0"/>
        <w:rPr>
          <w:color w:val="000000"/>
        </w:rPr>
      </w:pPr>
      <w:r w:rsidRPr="00206AEA">
        <w:rPr>
          <w:sz w:val="20"/>
          <w:szCs w:val="20"/>
        </w:rPr>
        <w:t>Hinweis 3: Patienten mit fehlenden Werten in Woche 52 oder die randomisiert einer erneuten Induktionstherapie oder der Erhaltungstherapie zugeteilt wurden, wurden hinsichtlich der Endpunkte in Woche 52 als Non-Responder gewertet.</w:t>
      </w:r>
    </w:p>
    <w:p w14:paraId="5D0B67D9" w14:textId="77777777" w:rsidR="00472702" w:rsidRPr="00D556E1" w:rsidRDefault="00472702" w:rsidP="00472702">
      <w:pPr>
        <w:kinsoku w:val="0"/>
        <w:overflowPunct w:val="0"/>
        <w:rPr>
          <w:color w:val="000000"/>
        </w:rPr>
      </w:pPr>
    </w:p>
    <w:p w14:paraId="199BE566" w14:textId="77777777" w:rsidR="00472702" w:rsidRPr="00472702" w:rsidRDefault="00472702" w:rsidP="00472702">
      <w:pPr>
        <w:kinsoku w:val="0"/>
        <w:overflowPunct w:val="0"/>
        <w:rPr>
          <w:color w:val="000000"/>
        </w:rPr>
      </w:pPr>
      <w:r w:rsidRPr="00D556E1">
        <w:rPr>
          <w:color w:val="000000"/>
        </w:rPr>
        <w:t>Von den mit Adalimumab</w:t>
      </w:r>
      <w:r w:rsidRPr="00472702">
        <w:rPr>
          <w:color w:val="000000"/>
        </w:rPr>
        <w:t xml:space="preserve"> behandelten Patienten, die während der Erhaltungsphase eine erneute Induktionstherapie erhielten, erreichten 2 von 6 (33 %) in Woche 52 ein klinisches Ansprechen nach FMS.</w:t>
      </w:r>
    </w:p>
    <w:p w14:paraId="0CBC2D4F" w14:textId="77777777" w:rsidR="00472702" w:rsidRPr="00472702" w:rsidRDefault="00472702" w:rsidP="00472702">
      <w:pPr>
        <w:kinsoku w:val="0"/>
        <w:overflowPunct w:val="0"/>
        <w:rPr>
          <w:color w:val="000000"/>
        </w:rPr>
      </w:pPr>
    </w:p>
    <w:p w14:paraId="2A22EC78" w14:textId="77777777" w:rsidR="00472702" w:rsidRPr="00472702" w:rsidRDefault="00472702" w:rsidP="00472702">
      <w:pPr>
        <w:kinsoku w:val="0"/>
        <w:overflowPunct w:val="0"/>
        <w:rPr>
          <w:i/>
          <w:iCs/>
          <w:color w:val="000000"/>
        </w:rPr>
      </w:pPr>
      <w:r w:rsidRPr="00472702">
        <w:rPr>
          <w:i/>
          <w:iCs/>
          <w:color w:val="000000"/>
        </w:rPr>
        <w:t>Lebensqualität</w:t>
      </w:r>
    </w:p>
    <w:p w14:paraId="18D676FC" w14:textId="77777777" w:rsidR="00472702" w:rsidRPr="00472702" w:rsidRDefault="00472702" w:rsidP="00472702">
      <w:pPr>
        <w:kinsoku w:val="0"/>
        <w:overflowPunct w:val="0"/>
        <w:rPr>
          <w:color w:val="000000"/>
        </w:rPr>
      </w:pPr>
    </w:p>
    <w:p w14:paraId="769F6EA5" w14:textId="77777777" w:rsidR="00534861" w:rsidRDefault="00472702" w:rsidP="00472702">
      <w:pPr>
        <w:kinsoku w:val="0"/>
        <w:overflowPunct w:val="0"/>
        <w:rPr>
          <w:color w:val="000000"/>
        </w:rPr>
      </w:pPr>
      <w:r w:rsidRPr="00472702">
        <w:rPr>
          <w:color w:val="000000"/>
        </w:rPr>
        <w:t>In den mit Adalimumab behandelten Behandlungsarmen wurden bei den Scores zu IMPACT-III und WPAI (Work Productivity and Activity Impairment) der betreuenden Personen klinisch bedeutsame Verbesserungen gegenüber Baseline beobachtet.</w:t>
      </w:r>
    </w:p>
    <w:p w14:paraId="5D64AC9F" w14:textId="77777777" w:rsidR="00534861" w:rsidRDefault="00534861" w:rsidP="00472702">
      <w:pPr>
        <w:kinsoku w:val="0"/>
        <w:overflowPunct w:val="0"/>
        <w:rPr>
          <w:color w:val="000000"/>
        </w:rPr>
      </w:pPr>
    </w:p>
    <w:p w14:paraId="7A3F3330" w14:textId="77777777" w:rsidR="00472702" w:rsidRPr="00472702" w:rsidRDefault="00472702" w:rsidP="00472702">
      <w:pPr>
        <w:kinsoku w:val="0"/>
        <w:overflowPunct w:val="0"/>
        <w:rPr>
          <w:color w:val="000000"/>
        </w:rPr>
      </w:pPr>
      <w:r w:rsidRPr="00472702">
        <w:rPr>
          <w:color w:val="000000"/>
        </w:rPr>
        <w:t xml:space="preserve">Klinisch bedeutsame Zunahmen (Verbesserungen) der Wachstumsgeschwindigkeit (Körperlänge) gegenüber Baseline wurden in den Behandlungsarmen beobachtet, die Adalimumab erhielten, und klinisch bedeutsame Zunahmen (Verbesserungen) des Body-Mass-Index gegenüber Baseline wurden </w:t>
      </w:r>
      <w:r w:rsidRPr="00472702">
        <w:rPr>
          <w:color w:val="000000"/>
        </w:rPr>
        <w:lastRenderedPageBreak/>
        <w:t>bei Studienteilnehmern unter der hohen Erhaltungsdosis von maximal 40 mg (0,6 mg/kg) wöchentlich beobachtet.</w:t>
      </w:r>
    </w:p>
    <w:p w14:paraId="659BBA10" w14:textId="77777777" w:rsidR="00472702" w:rsidRDefault="00472702" w:rsidP="0023205F">
      <w:pPr>
        <w:kinsoku w:val="0"/>
        <w:overflowPunct w:val="0"/>
        <w:rPr>
          <w:color w:val="000000"/>
        </w:rPr>
      </w:pPr>
    </w:p>
    <w:p w14:paraId="223DDAF2" w14:textId="77777777" w:rsidR="0023205F" w:rsidRPr="0023205F" w:rsidRDefault="0023205F" w:rsidP="0023205F">
      <w:pPr>
        <w:keepNext/>
        <w:kinsoku w:val="0"/>
        <w:overflowPunct w:val="0"/>
        <w:rPr>
          <w:color w:val="000000"/>
        </w:rPr>
      </w:pPr>
      <w:r w:rsidRPr="0023205F">
        <w:rPr>
          <w:i/>
          <w:iCs/>
          <w:color w:val="000000"/>
        </w:rPr>
        <w:t>Uveitis bei Kindern und Jugendlichen</w:t>
      </w:r>
    </w:p>
    <w:p w14:paraId="3A05354E" w14:textId="77777777" w:rsidR="0023205F" w:rsidRPr="0023205F" w:rsidRDefault="0023205F" w:rsidP="0023205F">
      <w:pPr>
        <w:keepNext/>
        <w:kinsoku w:val="0"/>
        <w:overflowPunct w:val="0"/>
        <w:rPr>
          <w:i/>
          <w:iCs/>
          <w:color w:val="000000"/>
          <w:szCs w:val="21"/>
        </w:rPr>
      </w:pPr>
    </w:p>
    <w:p w14:paraId="74DABE6F" w14:textId="77777777" w:rsidR="0023205F" w:rsidRPr="0023205F" w:rsidRDefault="0023205F" w:rsidP="0023205F">
      <w:pPr>
        <w:kinsoku w:val="0"/>
        <w:overflowPunct w:val="0"/>
        <w:rPr>
          <w:color w:val="000000"/>
        </w:rPr>
      </w:pPr>
      <w:r w:rsidRPr="0023205F">
        <w:rPr>
          <w:color w:val="000000"/>
        </w:rPr>
        <w:t>Die Sicherheit und Wirksamkeit von Adalimumab wurden in einer randomisierten, doppelmaskierten, kontrollierten Studie mit 90 Kindern und Jugendlichen im Alter von 2 bis &lt; 18 Jahren mit aktiver JIA-assoziierter nicht infektiöser Uveitis anterior untersucht, die mindestens 12 Wochen lang nicht auf die Behandlung mit Methotrexat angesprochen hatten. Die Patienten erhielten alle zwei Wochen entweder Placebo oder 20 mg Adalimumab (sofern &lt; 30 kg) oder 40 mg Adalimumab (sofern ≥ 30 kg) jeweils in Kombination mit ihrer Ausgangsdosis Methotrexat.</w:t>
      </w:r>
    </w:p>
    <w:p w14:paraId="06C8A502" w14:textId="77777777" w:rsidR="0023205F" w:rsidRPr="0023205F" w:rsidRDefault="0023205F" w:rsidP="0023205F">
      <w:pPr>
        <w:kinsoku w:val="0"/>
        <w:overflowPunct w:val="0"/>
        <w:rPr>
          <w:color w:val="000000"/>
        </w:rPr>
      </w:pPr>
    </w:p>
    <w:p w14:paraId="5A6EFACB" w14:textId="77777777" w:rsidR="0023205F" w:rsidRPr="0023205F" w:rsidRDefault="0023205F" w:rsidP="0023205F">
      <w:pPr>
        <w:kinsoku w:val="0"/>
        <w:overflowPunct w:val="0"/>
        <w:rPr>
          <w:color w:val="000000"/>
        </w:rPr>
      </w:pPr>
      <w:r w:rsidRPr="0023205F">
        <w:rPr>
          <w:color w:val="000000"/>
        </w:rPr>
        <w:t>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w:t>
      </w:r>
    </w:p>
    <w:p w14:paraId="6E981902" w14:textId="77777777" w:rsidR="0023205F" w:rsidRPr="0023205F" w:rsidRDefault="0023205F" w:rsidP="0023205F">
      <w:pPr>
        <w:kinsoku w:val="0"/>
        <w:overflowPunct w:val="0"/>
        <w:rPr>
          <w:color w:val="000000"/>
        </w:rPr>
      </w:pPr>
    </w:p>
    <w:p w14:paraId="5C0444B5" w14:textId="77777777" w:rsidR="0023205F" w:rsidRPr="0023205F" w:rsidRDefault="0023205F" w:rsidP="0023205F">
      <w:pPr>
        <w:keepNext/>
        <w:kinsoku w:val="0"/>
        <w:overflowPunct w:val="0"/>
        <w:rPr>
          <w:color w:val="000000"/>
        </w:rPr>
      </w:pPr>
      <w:r w:rsidRPr="0023205F">
        <w:rPr>
          <w:i/>
          <w:iCs/>
          <w:color w:val="000000"/>
          <w:u w:val="single"/>
        </w:rPr>
        <w:t>Klinisches Ansprechen</w:t>
      </w:r>
    </w:p>
    <w:p w14:paraId="2ACCABA5" w14:textId="77777777" w:rsidR="0023205F" w:rsidRPr="0023205F" w:rsidRDefault="0023205F" w:rsidP="0023205F">
      <w:pPr>
        <w:keepNext/>
        <w:kinsoku w:val="0"/>
        <w:overflowPunct w:val="0"/>
        <w:rPr>
          <w:i/>
          <w:iCs/>
          <w:color w:val="000000"/>
        </w:rPr>
      </w:pPr>
    </w:p>
    <w:p w14:paraId="08E1B542" w14:textId="77777777" w:rsidR="0023205F" w:rsidRPr="0023205F" w:rsidRDefault="0023205F" w:rsidP="0023205F">
      <w:pPr>
        <w:kinsoku w:val="0"/>
        <w:overflowPunct w:val="0"/>
        <w:rPr>
          <w:color w:val="000000"/>
        </w:rPr>
      </w:pPr>
      <w:r w:rsidRPr="0023205F">
        <w:rPr>
          <w:color w:val="000000"/>
        </w:rPr>
        <w:t>Adalimumab verzögerte signifikant die Zeit bis zum Behandlungsversagen im Vergleich zu Placebo (siehe Abbildung </w:t>
      </w:r>
      <w:r w:rsidR="00534861">
        <w:rPr>
          <w:color w:val="000000"/>
        </w:rPr>
        <w:t>3</w:t>
      </w:r>
      <w:r w:rsidRPr="0023205F">
        <w:rPr>
          <w:color w:val="000000"/>
        </w:rPr>
        <w:t>, p &lt; 0,0001 beim Log-Rank-Test). Die mittlere Zeit bis zum Behandlungsversagen lag bei 24,1 Wochen für Patienten, die mit Placebo behandelt wurden, während die mittlere Zeit für das Behandlungsversagen für mit Adalimumab behandelte Patienten nicht abschätzbar war, da weniger als die Hälfte dieser Patienten ein Behandlungsversagen erfahren haben. Adalimumab verminderte signifikant das Risiko eines Behandlungsversagens um 75 % im Vergleich zu Placebo, wie die Hazard Ratio (HR = 0,25 [95 % CI: 0,12; 0,49]) zeigt.</w:t>
      </w:r>
    </w:p>
    <w:p w14:paraId="55F3500F" w14:textId="77777777" w:rsidR="0023205F" w:rsidRPr="0023205F" w:rsidRDefault="0023205F" w:rsidP="0023205F">
      <w:pPr>
        <w:rPr>
          <w:color w:val="000000"/>
        </w:rPr>
      </w:pPr>
    </w:p>
    <w:bookmarkEnd w:id="3"/>
    <w:p w14:paraId="72533A4B" w14:textId="77777777" w:rsidR="0023205F" w:rsidRPr="0023205F" w:rsidRDefault="0023205F" w:rsidP="0023205F">
      <w:pPr>
        <w:keepNext/>
        <w:rPr>
          <w:color w:val="000000"/>
        </w:rPr>
      </w:pPr>
      <w:r w:rsidRPr="0023205F">
        <w:rPr>
          <w:b/>
          <w:color w:val="000000"/>
        </w:rPr>
        <w:lastRenderedPageBreak/>
        <w:t xml:space="preserve">Abb. </w:t>
      </w:r>
      <w:r w:rsidR="00534861">
        <w:rPr>
          <w:b/>
          <w:color w:val="000000"/>
        </w:rPr>
        <w:t>3</w:t>
      </w:r>
      <w:r w:rsidRPr="0023205F">
        <w:rPr>
          <w:b/>
          <w:color w:val="000000"/>
        </w:rPr>
        <w:t>. Kaplan-Meier-Kurven zur Darstellung der Dauer bis zum Behandlungsversagen in der pädiatrischen Uveitis-Studie</w:t>
      </w:r>
    </w:p>
    <w:p w14:paraId="7DF05032" w14:textId="389B5C09" w:rsidR="0023205F" w:rsidRPr="0023205F" w:rsidRDefault="00032CD3" w:rsidP="0023205F">
      <w:pPr>
        <w:keepNext/>
        <w:rPr>
          <w:color w:val="000000"/>
        </w:rPr>
      </w:pPr>
      <w:r>
        <w:rPr>
          <w:noProof/>
        </w:rPr>
        <mc:AlternateContent>
          <mc:Choice Requires="wps">
            <w:drawing>
              <wp:anchor distT="0" distB="0" distL="114300" distR="114300" simplePos="0" relativeHeight="251658338" behindDoc="0" locked="0" layoutInCell="1" allowOverlap="1" wp14:anchorId="39C81528" wp14:editId="1B2369B7">
                <wp:simplePos x="0" y="0"/>
                <wp:positionH relativeFrom="column">
                  <wp:posOffset>323850</wp:posOffset>
                </wp:positionH>
                <wp:positionV relativeFrom="paragraph">
                  <wp:posOffset>4418965</wp:posOffset>
                </wp:positionV>
                <wp:extent cx="1793875" cy="201930"/>
                <wp:effectExtent l="0" t="0" r="0" b="0"/>
                <wp:wrapNone/>
                <wp:docPr id="135"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875" cy="201930"/>
                        </a:xfrm>
                        <a:prstGeom prst="rect">
                          <a:avLst/>
                        </a:prstGeom>
                        <a:solidFill>
                          <a:srgbClr val="FFFFFF"/>
                        </a:solidFill>
                        <a:ln>
                          <a:noFill/>
                        </a:ln>
                      </wps:spPr>
                      <wps:txbx>
                        <w:txbxContent>
                          <w:p w14:paraId="65CEB830" w14:textId="77777777" w:rsidR="008F3710" w:rsidRPr="007C4B2C" w:rsidRDefault="008F3710" w:rsidP="0023205F">
                            <w:pPr>
                              <w:rPr>
                                <w:sz w:val="18"/>
                                <w:szCs w:val="18"/>
                              </w:rPr>
                            </w:pPr>
                            <w:r>
                              <w:rPr>
                                <w:sz w:val="18"/>
                                <w:szCs w:val="18"/>
                              </w:rPr>
                              <w:t>Behandlung</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81528" id="Textfeld 8" o:spid="_x0000_s1064" type="#_x0000_t202" style="position:absolute;margin-left:25.5pt;margin-top:347.95pt;width:141.25pt;height:15.9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" stroked="f">
                <v:textbox>
                  <w:txbxContent>
                    <w:p w14:paraId="65CEB830" w14:textId="77777777" w:rsidR="008F3710" w:rsidRPr="007C4B2C" w:rsidRDefault="008F3710" w:rsidP="0023205F">
                      <w:pPr>
                        <w:rPr>
                          <w:sz w:val="18"/>
                          <w:szCs w:val="18"/>
                        </w:rPr>
                      </w:pPr>
                      <w:r>
                        <w:rPr>
                          <w:sz w:val="18"/>
                          <w:szCs w:val="18"/>
                        </w:rPr>
                        <w:t>Behandlung</w:t>
                      </w:r>
                      <w:r>
                        <w:rPr>
                          <w:sz w:val="18"/>
                          <w:szCs w:val="18"/>
                        </w:rPr>
                        <w:tab/>
                      </w:r>
                      <w:r>
                        <w:rPr>
                          <w:sz w:val="18"/>
                          <w:szCs w:val="18"/>
                        </w:rPr>
                        <w:tab/>
                      </w:r>
                      <w:r>
                        <w:rPr>
                          <w:sz w:val="18"/>
                          <w:szCs w:val="18"/>
                        </w:rPr>
                        <w:tab/>
                      </w:r>
                    </w:p>
                  </w:txbxContent>
                </v:textbox>
              </v:shape>
            </w:pict>
          </mc:Fallback>
        </mc:AlternateContent>
      </w:r>
      <w:r>
        <w:rPr>
          <w:noProof/>
        </w:rPr>
        <mc:AlternateContent>
          <mc:Choice Requires="wps">
            <w:drawing>
              <wp:anchor distT="0" distB="0" distL="114300" distR="114300" simplePos="0" relativeHeight="251658340" behindDoc="0" locked="0" layoutInCell="1" allowOverlap="1" wp14:anchorId="4BE07300" wp14:editId="3978BF77">
                <wp:simplePos x="0" y="0"/>
                <wp:positionH relativeFrom="column">
                  <wp:posOffset>4417060</wp:posOffset>
                </wp:positionH>
                <wp:positionV relativeFrom="paragraph">
                  <wp:posOffset>4418965</wp:posOffset>
                </wp:positionV>
                <wp:extent cx="904875" cy="201930"/>
                <wp:effectExtent l="0" t="0" r="0" b="0"/>
                <wp:wrapNone/>
                <wp:docPr id="134"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01930"/>
                        </a:xfrm>
                        <a:prstGeom prst="rect">
                          <a:avLst/>
                        </a:prstGeom>
                        <a:solidFill>
                          <a:srgbClr val="FFFFFF"/>
                        </a:solidFill>
                        <a:ln>
                          <a:noFill/>
                        </a:ln>
                      </wps:spPr>
                      <wps:txbx>
                        <w:txbxContent>
                          <w:p w14:paraId="458E8E42" w14:textId="77777777" w:rsidR="008F3710" w:rsidRPr="007C4B2C" w:rsidRDefault="008F3710" w:rsidP="0023205F">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07300" id="Textfeld 5" o:spid="_x0000_s1065" type="#_x0000_t202" style="position:absolute;margin-left:347.8pt;margin-top:347.95pt;width:71.25pt;height:15.9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" stroked="f">
                <v:textbox>
                  <w:txbxContent>
                    <w:p w14:paraId="458E8E42" w14:textId="77777777" w:rsidR="008F3710" w:rsidRPr="007C4B2C" w:rsidRDefault="008F3710" w:rsidP="0023205F">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Pr>
          <w:noProof/>
        </w:rPr>
        <mc:AlternateContent>
          <mc:Choice Requires="wps">
            <w:drawing>
              <wp:anchor distT="0" distB="0" distL="114300" distR="114300" simplePos="0" relativeHeight="251658339" behindDoc="0" locked="0" layoutInCell="1" allowOverlap="1" wp14:anchorId="7CA8AE2C" wp14:editId="1E6BE145">
                <wp:simplePos x="0" y="0"/>
                <wp:positionH relativeFrom="column">
                  <wp:posOffset>3072130</wp:posOffset>
                </wp:positionH>
                <wp:positionV relativeFrom="paragraph">
                  <wp:posOffset>4418965</wp:posOffset>
                </wp:positionV>
                <wp:extent cx="585470" cy="201930"/>
                <wp:effectExtent l="0" t="0" r="0" b="0"/>
                <wp:wrapNone/>
                <wp:docPr id="13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01930"/>
                        </a:xfrm>
                        <a:prstGeom prst="rect">
                          <a:avLst/>
                        </a:prstGeom>
                        <a:solidFill>
                          <a:srgbClr val="FFFFFF"/>
                        </a:solidFill>
                        <a:ln>
                          <a:noFill/>
                        </a:ln>
                      </wps:spPr>
                      <wps:txbx>
                        <w:txbxContent>
                          <w:p w14:paraId="2214D585" w14:textId="77777777" w:rsidR="008F3710" w:rsidRPr="007C4B2C" w:rsidRDefault="008F3710" w:rsidP="0023205F">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8AE2C" id="Textfeld 3" o:spid="_x0000_s1066" type="#_x0000_t202" style="position:absolute;margin-left:241.9pt;margin-top:347.95pt;width:46.1pt;height:15.9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" stroked="f">
                <v:textbox>
                  <w:txbxContent>
                    <w:p w14:paraId="2214D585" w14:textId="77777777" w:rsidR="008F3710" w:rsidRPr="007C4B2C" w:rsidRDefault="008F3710" w:rsidP="0023205F">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A05263">
        <w:rPr>
          <w:noProof/>
          <w:color w:val="000000"/>
        </w:rPr>
        <w:drawing>
          <wp:inline distT="0" distB="0" distL="0" distR="0" wp14:anchorId="6BB0E80E" wp14:editId="0C2DCC4A">
            <wp:extent cx="5762625" cy="458152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581525"/>
                    </a:xfrm>
                    <a:prstGeom prst="rect">
                      <a:avLst/>
                    </a:prstGeom>
                    <a:noFill/>
                    <a:ln>
                      <a:noFill/>
                    </a:ln>
                  </pic:spPr>
                </pic:pic>
              </a:graphicData>
            </a:graphic>
          </wp:inline>
        </w:drawing>
      </w:r>
    </w:p>
    <w:p w14:paraId="07417F3C" w14:textId="77777777" w:rsidR="0023205F" w:rsidRPr="004F5FB4" w:rsidRDefault="0023205F" w:rsidP="008419B6">
      <w:pPr>
        <w:rPr>
          <w:color w:val="000000"/>
        </w:rPr>
      </w:pPr>
      <w:r w:rsidRPr="00206AEA">
        <w:rPr>
          <w:color w:val="000000"/>
          <w:sz w:val="20"/>
        </w:rPr>
        <w:t>Hinweis: P = Placebo (Anzahl Risikopatienten); H</w:t>
      </w:r>
      <w:r w:rsidR="009305FA" w:rsidRPr="00206AEA">
        <w:rPr>
          <w:color w:val="000000"/>
          <w:sz w:val="20"/>
        </w:rPr>
        <w:t> </w:t>
      </w:r>
      <w:r w:rsidRPr="00206AEA">
        <w:rPr>
          <w:color w:val="000000"/>
          <w:sz w:val="20"/>
        </w:rPr>
        <w:t>=</w:t>
      </w:r>
      <w:r w:rsidR="009305FA" w:rsidRPr="00206AEA">
        <w:rPr>
          <w:color w:val="000000"/>
          <w:sz w:val="20"/>
        </w:rPr>
        <w:t> </w:t>
      </w:r>
      <w:r w:rsidRPr="00206AEA">
        <w:rPr>
          <w:color w:val="000000"/>
          <w:sz w:val="20"/>
        </w:rPr>
        <w:t>Adalimumab (Anzahl Risikopatienten).</w:t>
      </w:r>
    </w:p>
    <w:p w14:paraId="76BAD804" w14:textId="77777777" w:rsidR="00C46587" w:rsidRPr="004F5FB4" w:rsidRDefault="00C46587" w:rsidP="00982118">
      <w:pPr>
        <w:rPr>
          <w:color w:val="000000"/>
        </w:rPr>
      </w:pPr>
    </w:p>
    <w:p w14:paraId="78FE0CA2" w14:textId="77777777" w:rsidR="00C46587" w:rsidRPr="004F5FB4" w:rsidRDefault="00C46587" w:rsidP="00982118">
      <w:pPr>
        <w:keepNext/>
        <w:tabs>
          <w:tab w:val="left" w:pos="562"/>
        </w:tabs>
        <w:rPr>
          <w:b/>
          <w:color w:val="000000"/>
        </w:rPr>
      </w:pPr>
      <w:r w:rsidRPr="004F5FB4">
        <w:rPr>
          <w:b/>
          <w:color w:val="000000"/>
        </w:rPr>
        <w:t>5.2</w:t>
      </w:r>
      <w:r w:rsidR="00515300" w:rsidRPr="004F5FB4">
        <w:rPr>
          <w:b/>
          <w:color w:val="000000"/>
        </w:rPr>
        <w:tab/>
      </w:r>
      <w:r w:rsidRPr="004F5FB4">
        <w:rPr>
          <w:b/>
          <w:color w:val="000000"/>
        </w:rPr>
        <w:t>Pharmakokinetische Eigenschaften</w:t>
      </w:r>
    </w:p>
    <w:p w14:paraId="4537945E" w14:textId="77777777" w:rsidR="00C46587" w:rsidRPr="004F5FB4" w:rsidRDefault="00C46587" w:rsidP="00982118">
      <w:pPr>
        <w:keepNext/>
        <w:rPr>
          <w:color w:val="000000"/>
        </w:rPr>
      </w:pPr>
    </w:p>
    <w:p w14:paraId="0043BB2F" w14:textId="77777777" w:rsidR="00C46587" w:rsidRPr="004F5FB4" w:rsidRDefault="003D5162" w:rsidP="00982118">
      <w:pPr>
        <w:keepNext/>
        <w:rPr>
          <w:color w:val="000000"/>
          <w:u w:val="single"/>
        </w:rPr>
      </w:pPr>
      <w:r w:rsidRPr="004F5FB4">
        <w:rPr>
          <w:color w:val="000000"/>
          <w:u w:val="single"/>
        </w:rPr>
        <w:t>Resorption und Verteilung</w:t>
      </w:r>
    </w:p>
    <w:p w14:paraId="4170B62B" w14:textId="77777777" w:rsidR="00C46587" w:rsidRPr="004F5FB4" w:rsidRDefault="00C46587" w:rsidP="00DC3A99">
      <w:pPr>
        <w:keepNext/>
        <w:rPr>
          <w:color w:val="000000"/>
        </w:rPr>
      </w:pPr>
    </w:p>
    <w:p w14:paraId="1C095D07" w14:textId="77777777" w:rsidR="00C46587" w:rsidRPr="004F5FB4" w:rsidRDefault="00C46587" w:rsidP="00982118">
      <w:pPr>
        <w:rPr>
          <w:color w:val="000000"/>
        </w:rPr>
      </w:pPr>
      <w:r w:rsidRPr="004F5FB4">
        <w:rPr>
          <w:color w:val="000000"/>
        </w:rPr>
        <w:t>Nach subkutaner Gabe einer Einzeldosis von 40 mg waren die Resorption und Verteilung von Adalimumab langsam. Die maximalen Serumkonzentrationen wurden ungefähr 5</w:t>
      </w:r>
      <w:r w:rsidR="00652710" w:rsidRPr="004F5FB4">
        <w:rPr>
          <w:color w:val="000000"/>
        </w:rPr>
        <w:t> </w:t>
      </w:r>
      <w:r w:rsidRPr="004F5FB4">
        <w:rPr>
          <w:color w:val="000000"/>
        </w:rPr>
        <w:t>Tage nach Verabreichung erreicht. Die auf Grundlage von drei Studien geschätzte, durchschnittliche absolute Bioverfügbarkeit von Adalimumab betrug nach Gabe einer einzelnen subkutanen Dosis von 40 mg 64</w:t>
      </w:r>
      <w:r w:rsidR="00AA719E" w:rsidRPr="004F5FB4">
        <w:rPr>
          <w:color w:val="000000"/>
        </w:rPr>
        <w:t> </w:t>
      </w:r>
      <w:r w:rsidRPr="004F5FB4">
        <w:rPr>
          <w:color w:val="000000"/>
        </w:rPr>
        <w:t>%. Nach intravenösen Einzeldosen von 0,25 bis 10 mg/kg waren die Konzentrationen proportional zur Dosis. Bei Dosen von 0,5 mg/kg (~ 40 mg) lag die Clearance zwischen 11 und 15 ml/h, das Verteilungsvolumen (V</w:t>
      </w:r>
      <w:r w:rsidRPr="004F5FB4">
        <w:rPr>
          <w:color w:val="000000"/>
          <w:vertAlign w:val="subscript"/>
        </w:rPr>
        <w:t>ss</w:t>
      </w:r>
      <w:r w:rsidRPr="004F5FB4">
        <w:rPr>
          <w:color w:val="000000"/>
        </w:rPr>
        <w:t>) betrug 5 bis 6</w:t>
      </w:r>
      <w:r w:rsidR="00E27608" w:rsidRPr="004F5FB4">
        <w:rPr>
          <w:color w:val="000000"/>
        </w:rPr>
        <w:t> </w:t>
      </w:r>
      <w:r w:rsidRPr="004F5FB4">
        <w:rPr>
          <w:color w:val="000000"/>
        </w:rPr>
        <w:t>Liter, und die mittlere terminale Halbwertszeit lag bei ungefähr zwei Wochen. Die Adalimumab-Konzentrationen in der Synovialflüssigkeit mehrerer Patienten mit rheumatoider Arthritis lagen zwischen 31</w:t>
      </w:r>
      <w:r w:rsidR="007B1316" w:rsidRPr="004F5FB4">
        <w:rPr>
          <w:color w:val="000000"/>
        </w:rPr>
        <w:t> </w:t>
      </w:r>
      <w:r w:rsidRPr="004F5FB4">
        <w:rPr>
          <w:color w:val="000000"/>
        </w:rPr>
        <w:t>% und 96</w:t>
      </w:r>
      <w:r w:rsidR="00E27608" w:rsidRPr="004F5FB4">
        <w:rPr>
          <w:color w:val="000000"/>
        </w:rPr>
        <w:t> </w:t>
      </w:r>
      <w:r w:rsidRPr="004F5FB4">
        <w:rPr>
          <w:color w:val="000000"/>
        </w:rPr>
        <w:t>% der Serumkonzentrationen.</w:t>
      </w:r>
    </w:p>
    <w:p w14:paraId="2E428965" w14:textId="77777777" w:rsidR="00C46587" w:rsidRPr="004F5FB4" w:rsidRDefault="00C46587" w:rsidP="00982118">
      <w:pPr>
        <w:rPr>
          <w:color w:val="000000"/>
        </w:rPr>
      </w:pPr>
    </w:p>
    <w:p w14:paraId="499DB5D7" w14:textId="77777777" w:rsidR="00C46587" w:rsidRPr="004F5FB4" w:rsidRDefault="00C46587" w:rsidP="00982118">
      <w:pPr>
        <w:rPr>
          <w:color w:val="000000"/>
        </w:rPr>
      </w:pPr>
      <w:r w:rsidRPr="004F5FB4">
        <w:rPr>
          <w:color w:val="000000"/>
        </w:rPr>
        <w:t>Nach subkutaner Verabreichung von 40 mg Adalimumab jede zweite Woche an erwachsene Patienten mit rheumatoider Arthritis (RA) betrugen die mittleren Steady</w:t>
      </w:r>
      <w:r w:rsidRPr="004F5FB4">
        <w:rPr>
          <w:color w:val="000000"/>
        </w:rPr>
        <w:noBreakHyphen/>
        <w:t>State-Talkonzentrationen ca. 5 μg/ml (ohne gleichzeitige Gabe von Methotrexat) bzw. 8 – 9 μg/ml (in Kombination mit Methotrexat). Im Steady-State erhöhten sich die Talkonzentrationen der Adalimumab-Serumspiegel nach subkutaner Verabreichung von 20, 40 und 80 mg entweder jede zweite oder jede Woche ungefähr proportional zur Dosis.</w:t>
      </w:r>
    </w:p>
    <w:p w14:paraId="4255E441" w14:textId="77777777" w:rsidR="00C46587" w:rsidRPr="004F5FB4" w:rsidRDefault="00C46587" w:rsidP="00982118">
      <w:pPr>
        <w:rPr>
          <w:color w:val="000000"/>
        </w:rPr>
      </w:pPr>
    </w:p>
    <w:p w14:paraId="742261B5" w14:textId="77777777" w:rsidR="00C46587" w:rsidRPr="004F5FB4" w:rsidRDefault="00C46587" w:rsidP="00982118">
      <w:pPr>
        <w:rPr>
          <w:color w:val="000000"/>
        </w:rPr>
      </w:pPr>
      <w:r w:rsidRPr="004F5FB4">
        <w:rPr>
          <w:color w:val="000000"/>
        </w:rPr>
        <w:t>Nach subkutaner Verabreichung von 24 mg/m</w:t>
      </w:r>
      <w:r w:rsidRPr="004F5FB4">
        <w:rPr>
          <w:color w:val="000000"/>
          <w:vertAlign w:val="superscript"/>
        </w:rPr>
        <w:t>2</w:t>
      </w:r>
      <w:r w:rsidRPr="004F5FB4">
        <w:rPr>
          <w:color w:val="000000"/>
        </w:rPr>
        <w:t xml:space="preserve"> (</w:t>
      </w:r>
      <w:r w:rsidR="005966B6">
        <w:rPr>
          <w:color w:val="000000"/>
        </w:rPr>
        <w:t>maximal</w:t>
      </w:r>
      <w:r w:rsidRPr="004F5FB4">
        <w:rPr>
          <w:color w:val="000000"/>
        </w:rPr>
        <w:t xml:space="preserve"> 40 mg) jede zweite Woche an Patienten mit polyartikulärer juveniler idiopathischer Arthritis (JIA), die zwischen 4 und 17</w:t>
      </w:r>
      <w:r w:rsidR="00AA719E" w:rsidRPr="004F5FB4">
        <w:rPr>
          <w:color w:val="000000"/>
        </w:rPr>
        <w:t> </w:t>
      </w:r>
      <w:r w:rsidRPr="004F5FB4">
        <w:rPr>
          <w:color w:val="000000"/>
        </w:rPr>
        <w:t>Jahren alt waren, betrugen die mittleren Steady</w:t>
      </w:r>
      <w:r w:rsidRPr="004F5FB4">
        <w:rPr>
          <w:color w:val="000000"/>
        </w:rPr>
        <w:noBreakHyphen/>
        <w:t>State-Talkonzentrationen der Adalimumab-Serumspiegel für Adalimumab ohne Methotrexat-Begleittherapie 5,6</w:t>
      </w:r>
      <w:r w:rsidR="00D83438" w:rsidRPr="004F5FB4">
        <w:rPr>
          <w:color w:val="000000"/>
        </w:rPr>
        <w:t> </w:t>
      </w:r>
      <w:r w:rsidRPr="004F5FB4">
        <w:rPr>
          <w:color w:val="000000"/>
        </w:rPr>
        <w:t>±</w:t>
      </w:r>
      <w:r w:rsidR="00D83438" w:rsidRPr="004F5FB4">
        <w:rPr>
          <w:color w:val="000000"/>
        </w:rPr>
        <w:t> </w:t>
      </w:r>
      <w:r w:rsidRPr="004F5FB4">
        <w:rPr>
          <w:color w:val="000000"/>
        </w:rPr>
        <w:t>5,6 µg/ml (102</w:t>
      </w:r>
      <w:r w:rsidR="00E27608" w:rsidRPr="004F5FB4">
        <w:rPr>
          <w:color w:val="000000"/>
        </w:rPr>
        <w:t> </w:t>
      </w:r>
      <w:r w:rsidRPr="004F5FB4">
        <w:rPr>
          <w:color w:val="000000"/>
        </w:rPr>
        <w:t>% CV) und 10,9</w:t>
      </w:r>
      <w:r w:rsidR="00D83438" w:rsidRPr="004F5FB4">
        <w:rPr>
          <w:color w:val="000000"/>
        </w:rPr>
        <w:t> </w:t>
      </w:r>
      <w:r w:rsidRPr="004F5FB4">
        <w:rPr>
          <w:color w:val="000000"/>
        </w:rPr>
        <w:t>±</w:t>
      </w:r>
      <w:r w:rsidR="00D83438" w:rsidRPr="004F5FB4">
        <w:rPr>
          <w:color w:val="000000"/>
        </w:rPr>
        <w:t> </w:t>
      </w:r>
      <w:r w:rsidRPr="004F5FB4">
        <w:rPr>
          <w:color w:val="000000"/>
        </w:rPr>
        <w:t xml:space="preserve">5,2 µg/ml </w:t>
      </w:r>
      <w:r w:rsidRPr="004F5FB4">
        <w:rPr>
          <w:color w:val="000000"/>
        </w:rPr>
        <w:lastRenderedPageBreak/>
        <w:t>(47,7</w:t>
      </w:r>
      <w:r w:rsidR="00E27608" w:rsidRPr="004F5FB4">
        <w:rPr>
          <w:color w:val="000000"/>
        </w:rPr>
        <w:t> </w:t>
      </w:r>
      <w:r w:rsidRPr="004F5FB4">
        <w:rPr>
          <w:color w:val="000000"/>
        </w:rPr>
        <w:t xml:space="preserve">% CV) </w:t>
      </w:r>
      <w:r w:rsidR="003901AA" w:rsidRPr="004F5FB4">
        <w:rPr>
          <w:color w:val="000000"/>
        </w:rPr>
        <w:t>bei</w:t>
      </w:r>
      <w:r w:rsidR="00CC0B57" w:rsidRPr="004F5FB4">
        <w:rPr>
          <w:color w:val="000000"/>
        </w:rPr>
        <w:t xml:space="preserve"> Kombinationstherapie </w:t>
      </w:r>
      <w:r w:rsidRPr="004F5FB4">
        <w:rPr>
          <w:color w:val="000000"/>
        </w:rPr>
        <w:t>mit Methotrexat (die Messwerte wurden von Woche</w:t>
      </w:r>
      <w:r w:rsidR="00E27608" w:rsidRPr="004F5FB4">
        <w:rPr>
          <w:color w:val="000000"/>
        </w:rPr>
        <w:t> </w:t>
      </w:r>
      <w:r w:rsidRPr="004F5FB4">
        <w:rPr>
          <w:color w:val="000000"/>
        </w:rPr>
        <w:t>20 bis 48 erhoben).</w:t>
      </w:r>
    </w:p>
    <w:p w14:paraId="660B639F" w14:textId="77777777" w:rsidR="00C46587" w:rsidRPr="004F5FB4" w:rsidRDefault="00C46587" w:rsidP="00982118">
      <w:pPr>
        <w:rPr>
          <w:color w:val="000000"/>
        </w:rPr>
      </w:pPr>
    </w:p>
    <w:p w14:paraId="5DF9C92A" w14:textId="77777777" w:rsidR="00C46587" w:rsidRPr="004F5FB4" w:rsidRDefault="00C46587" w:rsidP="00982118">
      <w:pPr>
        <w:rPr>
          <w:color w:val="000000"/>
        </w:rPr>
      </w:pPr>
      <w:r w:rsidRPr="004F5FB4">
        <w:rPr>
          <w:color w:val="000000"/>
        </w:rPr>
        <w:t>Bei Patienten mit polyartikulärer JIA, die 2 bis &lt;</w:t>
      </w:r>
      <w:r w:rsidR="00E27608" w:rsidRPr="004F5FB4">
        <w:rPr>
          <w:color w:val="000000"/>
        </w:rPr>
        <w:t> </w:t>
      </w:r>
      <w:r w:rsidRPr="004F5FB4">
        <w:rPr>
          <w:color w:val="000000"/>
        </w:rPr>
        <w:t>4</w:t>
      </w:r>
      <w:r w:rsidR="00E27608" w:rsidRPr="004F5FB4">
        <w:rPr>
          <w:color w:val="000000"/>
        </w:rPr>
        <w:t> </w:t>
      </w:r>
      <w:r w:rsidRPr="004F5FB4">
        <w:rPr>
          <w:color w:val="000000"/>
        </w:rPr>
        <w:t>Jahre alt oder 4</w:t>
      </w:r>
      <w:r w:rsidR="00E27608" w:rsidRPr="004F5FB4">
        <w:rPr>
          <w:color w:val="000000"/>
        </w:rPr>
        <w:t> </w:t>
      </w:r>
      <w:r w:rsidRPr="004F5FB4">
        <w:rPr>
          <w:color w:val="000000"/>
        </w:rPr>
        <w:t>Jahre alt und älter waren und die &lt;</w:t>
      </w:r>
      <w:r w:rsidR="00AA719E" w:rsidRPr="004F5FB4">
        <w:rPr>
          <w:color w:val="000000"/>
        </w:rPr>
        <w:t> </w:t>
      </w:r>
      <w:r w:rsidRPr="004F5FB4">
        <w:rPr>
          <w:color w:val="000000"/>
        </w:rPr>
        <w:t>15 kg wogen und eine Dosis von 24 mg Adalimumab/m</w:t>
      </w:r>
      <w:r w:rsidRPr="004F5FB4">
        <w:rPr>
          <w:color w:val="000000"/>
          <w:vertAlign w:val="superscript"/>
        </w:rPr>
        <w:t>2</w:t>
      </w:r>
      <w:r w:rsidRPr="004F5FB4">
        <w:rPr>
          <w:color w:val="000000"/>
        </w:rPr>
        <w:t xml:space="preserve"> erhielten, betrug die mittlere Steady</w:t>
      </w:r>
      <w:r w:rsidRPr="004F5FB4">
        <w:rPr>
          <w:color w:val="000000"/>
        </w:rPr>
        <w:noBreakHyphen/>
        <w:t>State-Talkonzentration der Adalimumab-Serumspiegel für Adalimumab ohne Methotrexat-Begleittherapie 6,0</w:t>
      </w:r>
      <w:r w:rsidR="00D83438" w:rsidRPr="004F5FB4">
        <w:rPr>
          <w:color w:val="000000"/>
        </w:rPr>
        <w:t> </w:t>
      </w:r>
      <w:r w:rsidRPr="004F5FB4">
        <w:rPr>
          <w:color w:val="000000"/>
        </w:rPr>
        <w:t>±</w:t>
      </w:r>
      <w:r w:rsidR="00D83438" w:rsidRPr="004F5FB4">
        <w:rPr>
          <w:color w:val="000000"/>
        </w:rPr>
        <w:t> </w:t>
      </w:r>
      <w:r w:rsidRPr="004F5FB4">
        <w:rPr>
          <w:color w:val="000000"/>
        </w:rPr>
        <w:t>6,1 µg/ml (101</w:t>
      </w:r>
      <w:r w:rsidR="00E27608" w:rsidRPr="004F5FB4">
        <w:rPr>
          <w:color w:val="000000"/>
        </w:rPr>
        <w:t> </w:t>
      </w:r>
      <w:r w:rsidRPr="004F5FB4">
        <w:rPr>
          <w:color w:val="000000"/>
        </w:rPr>
        <w:t>% CV) und 7,9</w:t>
      </w:r>
      <w:r w:rsidR="00D83438" w:rsidRPr="004F5FB4">
        <w:rPr>
          <w:color w:val="000000"/>
        </w:rPr>
        <w:t> </w:t>
      </w:r>
      <w:r w:rsidRPr="004F5FB4">
        <w:rPr>
          <w:color w:val="000000"/>
        </w:rPr>
        <w:t>±</w:t>
      </w:r>
      <w:r w:rsidR="00D83438" w:rsidRPr="004F5FB4">
        <w:rPr>
          <w:color w:val="000000"/>
        </w:rPr>
        <w:t> </w:t>
      </w:r>
      <w:r w:rsidRPr="004F5FB4">
        <w:rPr>
          <w:color w:val="000000"/>
        </w:rPr>
        <w:t>5,6 µg/ml (71,2</w:t>
      </w:r>
      <w:r w:rsidR="00E27608" w:rsidRPr="004F5FB4">
        <w:rPr>
          <w:color w:val="000000"/>
        </w:rPr>
        <w:t> </w:t>
      </w:r>
      <w:r w:rsidRPr="004F5FB4">
        <w:rPr>
          <w:color w:val="000000"/>
        </w:rPr>
        <w:t>% CV)</w:t>
      </w:r>
      <w:r w:rsidR="00CC0B57" w:rsidRPr="004F5FB4">
        <w:rPr>
          <w:color w:val="000000"/>
        </w:rPr>
        <w:t xml:space="preserve"> bei Kombinationstherapie</w:t>
      </w:r>
      <w:r w:rsidRPr="004F5FB4">
        <w:rPr>
          <w:color w:val="000000"/>
        </w:rPr>
        <w:t xml:space="preserve"> mit Methotrexat.</w:t>
      </w:r>
    </w:p>
    <w:p w14:paraId="52A73A81" w14:textId="77777777" w:rsidR="00C46587" w:rsidRPr="004F5FB4" w:rsidRDefault="00C46587" w:rsidP="00982118">
      <w:pPr>
        <w:rPr>
          <w:color w:val="000000"/>
        </w:rPr>
      </w:pPr>
    </w:p>
    <w:p w14:paraId="747C566E" w14:textId="77777777" w:rsidR="00C46587" w:rsidRPr="004F5FB4" w:rsidRDefault="00C46587" w:rsidP="00982118">
      <w:pPr>
        <w:rPr>
          <w:color w:val="000000"/>
        </w:rPr>
      </w:pPr>
      <w:r w:rsidRPr="004F5FB4">
        <w:rPr>
          <w:color w:val="000000"/>
        </w:rPr>
        <w:t>Nach subkutaner Verabreichung von 24 mg/m</w:t>
      </w:r>
      <w:r w:rsidRPr="004F5FB4">
        <w:rPr>
          <w:color w:val="000000"/>
          <w:vertAlign w:val="superscript"/>
        </w:rPr>
        <w:t>2</w:t>
      </w:r>
      <w:r w:rsidRPr="004F5FB4">
        <w:rPr>
          <w:color w:val="000000"/>
        </w:rPr>
        <w:t xml:space="preserve"> (maximal 40 mg) jede zweite Woche an Patienten mit Enthesitis</w:t>
      </w:r>
      <w:r w:rsidRPr="004F5FB4">
        <w:rPr>
          <w:color w:val="000000"/>
        </w:rPr>
        <w:noBreakHyphen/>
        <w:t>assoziierter Arthritis, die 6 bis 17</w:t>
      </w:r>
      <w:r w:rsidR="00E27608" w:rsidRPr="004F5FB4">
        <w:rPr>
          <w:color w:val="000000"/>
        </w:rPr>
        <w:t> </w:t>
      </w:r>
      <w:r w:rsidRPr="004F5FB4">
        <w:rPr>
          <w:color w:val="000000"/>
        </w:rPr>
        <w:t>Jahre alt waren, betrug die mittlere Steady</w:t>
      </w:r>
      <w:r w:rsidRPr="004F5FB4">
        <w:rPr>
          <w:color w:val="000000"/>
        </w:rPr>
        <w:noBreakHyphen/>
        <w:t>State-Talkonzentration der Adalimumab-Serumspiegel für Adalimumab ohne Methotrexat-Begleittherapie 8,8</w:t>
      </w:r>
      <w:r w:rsidR="00D83438" w:rsidRPr="004F5FB4">
        <w:rPr>
          <w:color w:val="000000"/>
        </w:rPr>
        <w:t> </w:t>
      </w:r>
      <w:r w:rsidRPr="004F5FB4">
        <w:rPr>
          <w:color w:val="000000"/>
        </w:rPr>
        <w:t>±</w:t>
      </w:r>
      <w:r w:rsidR="00D83438" w:rsidRPr="004F5FB4">
        <w:rPr>
          <w:color w:val="000000"/>
        </w:rPr>
        <w:t> </w:t>
      </w:r>
      <w:r w:rsidRPr="004F5FB4">
        <w:rPr>
          <w:color w:val="000000"/>
        </w:rPr>
        <w:t>6,6</w:t>
      </w:r>
      <w:r w:rsidR="00E27608" w:rsidRPr="004F5FB4">
        <w:rPr>
          <w:color w:val="000000"/>
        </w:rPr>
        <w:t> </w:t>
      </w:r>
      <w:r w:rsidRPr="004F5FB4">
        <w:rPr>
          <w:color w:val="000000"/>
        </w:rPr>
        <w:t>µg/ml und 11,8</w:t>
      </w:r>
      <w:r w:rsidR="00D83438" w:rsidRPr="004F5FB4">
        <w:rPr>
          <w:color w:val="000000"/>
        </w:rPr>
        <w:t> </w:t>
      </w:r>
      <w:r w:rsidRPr="004F5FB4">
        <w:rPr>
          <w:color w:val="000000"/>
        </w:rPr>
        <w:t>±</w:t>
      </w:r>
      <w:r w:rsidR="00D83438" w:rsidRPr="004F5FB4">
        <w:rPr>
          <w:color w:val="000000"/>
        </w:rPr>
        <w:t> </w:t>
      </w:r>
      <w:r w:rsidRPr="004F5FB4">
        <w:rPr>
          <w:color w:val="000000"/>
        </w:rPr>
        <w:t>4,3</w:t>
      </w:r>
      <w:r w:rsidR="00E27608" w:rsidRPr="004F5FB4">
        <w:rPr>
          <w:color w:val="000000"/>
        </w:rPr>
        <w:t> </w:t>
      </w:r>
      <w:r w:rsidRPr="004F5FB4">
        <w:rPr>
          <w:color w:val="000000"/>
        </w:rPr>
        <w:t xml:space="preserve">µg/ml </w:t>
      </w:r>
      <w:r w:rsidR="00CC0B57" w:rsidRPr="004F5FB4">
        <w:rPr>
          <w:color w:val="000000"/>
        </w:rPr>
        <w:t xml:space="preserve">bei Kombinationstherapie </w:t>
      </w:r>
      <w:r w:rsidRPr="004F5FB4">
        <w:rPr>
          <w:color w:val="000000"/>
        </w:rPr>
        <w:t>mit Methotrexat (die Messwerte wurden in Woche</w:t>
      </w:r>
      <w:r w:rsidR="00E27608" w:rsidRPr="004F5FB4">
        <w:rPr>
          <w:color w:val="000000"/>
        </w:rPr>
        <w:t> </w:t>
      </w:r>
      <w:r w:rsidRPr="004F5FB4">
        <w:rPr>
          <w:color w:val="000000"/>
        </w:rPr>
        <w:t>24 erhoben).</w:t>
      </w:r>
    </w:p>
    <w:p w14:paraId="610CA58E" w14:textId="77777777" w:rsidR="00C46587" w:rsidRPr="004F5FB4" w:rsidRDefault="00C46587" w:rsidP="00982118">
      <w:pPr>
        <w:rPr>
          <w:color w:val="000000"/>
        </w:rPr>
      </w:pPr>
    </w:p>
    <w:p w14:paraId="3D38327F" w14:textId="77777777" w:rsidR="00891274" w:rsidRPr="004F5FB4" w:rsidRDefault="00891274" w:rsidP="00982118">
      <w:pPr>
        <w:autoSpaceDE w:val="0"/>
        <w:autoSpaceDN w:val="0"/>
        <w:adjustRightInd w:val="0"/>
        <w:rPr>
          <w:color w:val="000000"/>
        </w:rPr>
      </w:pPr>
      <w:r w:rsidRPr="004F5FB4">
        <w:rPr>
          <w:color w:val="000000"/>
        </w:rPr>
        <w:t>Nach subkutaner Anwendung von Adalimumab 40 mg jede zweite Woche bei erwachsenen Patienten mit nicht röntgenologischer axialer Spondyloarthritis betrug die mittlere (± SD) Steady-State-Talkonzentration in Woche 68 8,0 ± 4,6 µg/ml.</w:t>
      </w:r>
    </w:p>
    <w:p w14:paraId="2FF5F9EB" w14:textId="77777777" w:rsidR="00891274" w:rsidRPr="004F5FB4" w:rsidRDefault="00891274" w:rsidP="00982118">
      <w:pPr>
        <w:rPr>
          <w:color w:val="000000"/>
        </w:rPr>
      </w:pPr>
    </w:p>
    <w:p w14:paraId="0A8186AA" w14:textId="77777777" w:rsidR="00C46587" w:rsidRPr="004F5FB4" w:rsidRDefault="00C46587" w:rsidP="00982118">
      <w:pPr>
        <w:rPr>
          <w:color w:val="000000"/>
        </w:rPr>
      </w:pPr>
      <w:r w:rsidRPr="004F5FB4">
        <w:rPr>
          <w:color w:val="000000"/>
        </w:rPr>
        <w:t>Bei erwachsenen Psoriasispatienten betrug unter der Monotherapie mit 40 mg Adalimumab jede zweite Woche die mittlere Steady</w:t>
      </w:r>
      <w:r w:rsidRPr="004F5FB4">
        <w:rPr>
          <w:color w:val="000000"/>
        </w:rPr>
        <w:noBreakHyphen/>
        <w:t xml:space="preserve">State-Talkonzentration 5 μg/ml. </w:t>
      </w:r>
    </w:p>
    <w:p w14:paraId="2617D684" w14:textId="77777777" w:rsidR="00C46587" w:rsidRPr="004F5FB4" w:rsidRDefault="00C46587" w:rsidP="00982118">
      <w:pPr>
        <w:rPr>
          <w:color w:val="000000"/>
        </w:rPr>
      </w:pPr>
    </w:p>
    <w:p w14:paraId="7B8D469D" w14:textId="77777777" w:rsidR="00C46587" w:rsidRPr="004F5FB4" w:rsidRDefault="00C46587" w:rsidP="00982118">
      <w:pPr>
        <w:rPr>
          <w:color w:val="000000"/>
        </w:rPr>
      </w:pPr>
      <w:r w:rsidRPr="004F5FB4">
        <w:rPr>
          <w:color w:val="000000"/>
        </w:rPr>
        <w:t xml:space="preserve">Nachdem </w:t>
      </w:r>
      <w:r w:rsidR="003612F5" w:rsidRPr="004F5FB4">
        <w:rPr>
          <w:color w:val="000000"/>
        </w:rPr>
        <w:t xml:space="preserve">Kinder und Jugendliche </w:t>
      </w:r>
      <w:r w:rsidRPr="004F5FB4">
        <w:rPr>
          <w:color w:val="000000"/>
        </w:rPr>
        <w:t>mit chronischer Plaque-Psoriasis jede zweite Woche 0,8</w:t>
      </w:r>
      <w:r w:rsidR="00E27608" w:rsidRPr="004F5FB4">
        <w:rPr>
          <w:color w:val="000000"/>
        </w:rPr>
        <w:t> </w:t>
      </w:r>
      <w:r w:rsidRPr="004F5FB4">
        <w:rPr>
          <w:color w:val="000000"/>
        </w:rPr>
        <w:t>mg Adalimumab/kg (maximal 40 mg) subkutan erhielten, betrugen die mittleren (±SD) Serumtalkonzentrationen von Adalimumab ungefähr 7,4</w:t>
      </w:r>
      <w:r w:rsidR="00D83438" w:rsidRPr="004F5FB4">
        <w:rPr>
          <w:color w:val="000000"/>
        </w:rPr>
        <w:t> </w:t>
      </w:r>
      <w:r w:rsidRPr="004F5FB4">
        <w:rPr>
          <w:color w:val="000000"/>
        </w:rPr>
        <w:t>±</w:t>
      </w:r>
      <w:r w:rsidR="00D83438" w:rsidRPr="004F5FB4">
        <w:rPr>
          <w:color w:val="000000"/>
        </w:rPr>
        <w:t> </w:t>
      </w:r>
      <w:r w:rsidRPr="004F5FB4">
        <w:rPr>
          <w:color w:val="000000"/>
        </w:rPr>
        <w:t>5,8</w:t>
      </w:r>
      <w:r w:rsidR="00E27608" w:rsidRPr="004F5FB4">
        <w:rPr>
          <w:color w:val="000000"/>
        </w:rPr>
        <w:t> </w:t>
      </w:r>
      <w:r w:rsidRPr="004F5FB4">
        <w:rPr>
          <w:color w:val="000000"/>
        </w:rPr>
        <w:t>μg/ml (79</w:t>
      </w:r>
      <w:r w:rsidR="00E27608" w:rsidRPr="004F5FB4">
        <w:rPr>
          <w:color w:val="000000"/>
        </w:rPr>
        <w:t> </w:t>
      </w:r>
      <w:r w:rsidRPr="004F5FB4">
        <w:rPr>
          <w:color w:val="000000"/>
        </w:rPr>
        <w:t>%</w:t>
      </w:r>
      <w:r w:rsidR="00D83438" w:rsidRPr="004F5FB4">
        <w:rPr>
          <w:color w:val="000000"/>
        </w:rPr>
        <w:t> </w:t>
      </w:r>
      <w:r w:rsidRPr="004F5FB4">
        <w:rPr>
          <w:color w:val="000000"/>
        </w:rPr>
        <w:t>CV).</w:t>
      </w:r>
    </w:p>
    <w:p w14:paraId="75DAEBDE" w14:textId="77777777" w:rsidR="00C46587" w:rsidRPr="004F5FB4" w:rsidRDefault="00C46587" w:rsidP="00982118">
      <w:pPr>
        <w:rPr>
          <w:color w:val="000000"/>
        </w:rPr>
      </w:pPr>
    </w:p>
    <w:p w14:paraId="6A97A725" w14:textId="77777777" w:rsidR="00C46587" w:rsidRPr="004F5FB4" w:rsidRDefault="00C46587" w:rsidP="00982118">
      <w:pPr>
        <w:rPr>
          <w:color w:val="000000"/>
        </w:rPr>
      </w:pPr>
      <w:r w:rsidRPr="004F5FB4">
        <w:rPr>
          <w:color w:val="000000"/>
        </w:rPr>
        <w:t>Bei erwachsenen Patienten mit Hidradenitis suppurativa wurden bei einer Dosis von 160 mg Adalimumab in Woche</w:t>
      </w:r>
      <w:r w:rsidR="00E27608" w:rsidRPr="004F5FB4">
        <w:rPr>
          <w:color w:val="000000"/>
        </w:rPr>
        <w:t> </w:t>
      </w:r>
      <w:r w:rsidRPr="004F5FB4">
        <w:rPr>
          <w:color w:val="000000"/>
        </w:rPr>
        <w:t>0, gefolgt von 80 mg Adalimumab in Woche</w:t>
      </w:r>
      <w:r w:rsidR="00E27608" w:rsidRPr="004F5FB4">
        <w:rPr>
          <w:color w:val="000000"/>
        </w:rPr>
        <w:t> </w:t>
      </w:r>
      <w:r w:rsidRPr="004F5FB4">
        <w:rPr>
          <w:color w:val="000000"/>
        </w:rPr>
        <w:t>2, Serumtalkonzentrationen für Adalimumab von etwa 7 bis 8</w:t>
      </w:r>
      <w:r w:rsidR="00E27608" w:rsidRPr="004F5FB4">
        <w:rPr>
          <w:color w:val="000000"/>
        </w:rPr>
        <w:t> </w:t>
      </w:r>
      <w:r w:rsidRPr="004F5FB4">
        <w:rPr>
          <w:color w:val="000000"/>
        </w:rPr>
        <w:t>μg/ml in Woche</w:t>
      </w:r>
      <w:r w:rsidR="00E27608" w:rsidRPr="004F5FB4">
        <w:rPr>
          <w:color w:val="000000"/>
        </w:rPr>
        <w:t> </w:t>
      </w:r>
      <w:r w:rsidRPr="004F5FB4">
        <w:rPr>
          <w:color w:val="000000"/>
        </w:rPr>
        <w:t>2 und Woche</w:t>
      </w:r>
      <w:r w:rsidR="00E27608" w:rsidRPr="004F5FB4">
        <w:rPr>
          <w:color w:val="000000"/>
        </w:rPr>
        <w:t> </w:t>
      </w:r>
      <w:r w:rsidRPr="004F5FB4">
        <w:rPr>
          <w:color w:val="000000"/>
        </w:rPr>
        <w:t>4 erreicht. Die mittleren Steady</w:t>
      </w:r>
      <w:r w:rsidRPr="004F5FB4">
        <w:rPr>
          <w:color w:val="000000"/>
        </w:rPr>
        <w:noBreakHyphen/>
        <w:t>State-Talkonzentrationen in Woche</w:t>
      </w:r>
      <w:r w:rsidR="00E27608" w:rsidRPr="004F5FB4">
        <w:rPr>
          <w:color w:val="000000"/>
        </w:rPr>
        <w:t> </w:t>
      </w:r>
      <w:r w:rsidRPr="004F5FB4">
        <w:rPr>
          <w:color w:val="000000"/>
        </w:rPr>
        <w:t>12 bis Woche</w:t>
      </w:r>
      <w:r w:rsidR="00E27608" w:rsidRPr="004F5FB4">
        <w:rPr>
          <w:color w:val="000000"/>
        </w:rPr>
        <w:t> </w:t>
      </w:r>
      <w:r w:rsidRPr="004F5FB4">
        <w:rPr>
          <w:color w:val="000000"/>
        </w:rPr>
        <w:t>36 betrugen unter der Behandlung mit 40 mg Adalimumab wöchentlich etwa 8 bis 10</w:t>
      </w:r>
      <w:r w:rsidR="00E27608" w:rsidRPr="004F5FB4">
        <w:rPr>
          <w:color w:val="000000"/>
        </w:rPr>
        <w:t> </w:t>
      </w:r>
      <w:r w:rsidRPr="004F5FB4">
        <w:rPr>
          <w:color w:val="000000"/>
        </w:rPr>
        <w:t>μg/ml.</w:t>
      </w:r>
    </w:p>
    <w:p w14:paraId="56F42E40" w14:textId="77777777" w:rsidR="00C46587" w:rsidRPr="004F5FB4" w:rsidRDefault="00C46587" w:rsidP="00982118">
      <w:pPr>
        <w:rPr>
          <w:color w:val="000000"/>
        </w:rPr>
      </w:pPr>
    </w:p>
    <w:p w14:paraId="709F3818" w14:textId="77777777" w:rsidR="00C46587" w:rsidRPr="004F5FB4" w:rsidRDefault="00C46587" w:rsidP="00982118">
      <w:pPr>
        <w:rPr>
          <w:color w:val="000000"/>
        </w:rPr>
      </w:pPr>
      <w:r w:rsidRPr="004F5FB4">
        <w:rPr>
          <w:color w:val="000000"/>
        </w:rPr>
        <w:t xml:space="preserve">Die Adalimumab-Exposition bei jugendlichen HS-Patienten wurde anhand von pharmakokinetischen Populationsmodellen und von Simulationen auf Basis der indikationsübergreifenden Pharmakokinetik bei anderen </w:t>
      </w:r>
      <w:r w:rsidR="003612F5" w:rsidRPr="004F5FB4">
        <w:rPr>
          <w:color w:val="000000"/>
        </w:rPr>
        <w:t xml:space="preserve">Kindern und Jugendlichen </w:t>
      </w:r>
      <w:r w:rsidRPr="004F5FB4">
        <w:rPr>
          <w:color w:val="000000"/>
        </w:rPr>
        <w:t>(Psoriasis bei Kindern und Jugendlichen, juvenile idiopathische Arthritis, Morbus Crohn bei Kindern und Jugendlichen sowie Enthesitis-assoziierte Arthritis) bestimmt. Das empfohlene Dosierungsschema bei Jugendlichen mit HS ist 40 mg jede zweite Woche. Da die Körpergröße einen möglichen Einfluss auf die Exposition gegenüber Adalimumab hat, kann für Jugendliche mit einem höheren Körpergewicht und einem nicht ausreichenden Ansprechen auf Adalimumab die empfohlene Erwachsenendosierung von 40 mg wöchentlich von Nutzen sein.</w:t>
      </w:r>
    </w:p>
    <w:p w14:paraId="2737F1AC" w14:textId="77777777" w:rsidR="00C46587" w:rsidRPr="004F5FB4" w:rsidRDefault="00C46587" w:rsidP="00982118">
      <w:pPr>
        <w:rPr>
          <w:color w:val="000000"/>
        </w:rPr>
      </w:pPr>
    </w:p>
    <w:p w14:paraId="283F1E31" w14:textId="77777777" w:rsidR="00C46587" w:rsidRPr="004F5FB4" w:rsidRDefault="00C46587" w:rsidP="00982118">
      <w:pPr>
        <w:rPr>
          <w:color w:val="000000"/>
        </w:rPr>
      </w:pPr>
      <w:r w:rsidRPr="004F5FB4">
        <w:rPr>
          <w:color w:val="000000"/>
        </w:rPr>
        <w:t xml:space="preserve">Bei Patienten mit Morbus Crohn wurde mit der Induktionsdosis von 80 mg Adalimumab in Woche 0, gefolgt von 40 mg Adalimumab in Woche 2, eine Talkonzentration von Adalimumab im Serum von ca. 5,5 μg/ml während der </w:t>
      </w:r>
      <w:r w:rsidR="00CC0B57" w:rsidRPr="004F5FB4">
        <w:rPr>
          <w:color w:val="000000"/>
        </w:rPr>
        <w:t>Einleitungstherapie</w:t>
      </w:r>
      <w:r w:rsidRPr="004F5FB4">
        <w:rPr>
          <w:color w:val="000000"/>
        </w:rPr>
        <w:t xml:space="preserve"> erreicht. Mit einer Induktionsdosis von 160 mg Adalimumab in Woche 0, gefolgt von 80 mg Adalimumab in Woche 2 wurde eine Talkonzentration im Serum von ca. 12 μg/ml während der Induktionsphase erreicht. Die durchschnittliche Talkonzentration im Steady-State lag bei ca. 7 μg/ml bei Patienten mit Morbus Crohn, die eine Erhaltungsdosis von 40 mg Adalimumab alle zwei Wochen erhielten.</w:t>
      </w:r>
    </w:p>
    <w:p w14:paraId="1875F4F3" w14:textId="77777777" w:rsidR="00C46587" w:rsidRPr="004F5FB4" w:rsidRDefault="00C46587" w:rsidP="00982118">
      <w:pPr>
        <w:rPr>
          <w:color w:val="000000"/>
        </w:rPr>
      </w:pPr>
    </w:p>
    <w:p w14:paraId="0042DC22" w14:textId="77777777" w:rsidR="00C46587" w:rsidRPr="004F5FB4" w:rsidRDefault="00C46587" w:rsidP="00982118">
      <w:pPr>
        <w:rPr>
          <w:color w:val="000000"/>
        </w:rPr>
      </w:pPr>
      <w:r w:rsidRPr="004F5FB4">
        <w:rPr>
          <w:color w:val="000000"/>
        </w:rPr>
        <w:t xml:space="preserve">Bei </w:t>
      </w:r>
      <w:r w:rsidR="003612F5" w:rsidRPr="004F5FB4">
        <w:rPr>
          <w:color w:val="000000"/>
        </w:rPr>
        <w:t xml:space="preserve">Kindern und Jugendlichen </w:t>
      </w:r>
      <w:r w:rsidRPr="004F5FB4">
        <w:rPr>
          <w:color w:val="000000"/>
        </w:rPr>
        <w:t>mit mittelschwerem bis schwerem Morbus Crohn war die offene Induktionsdosis von Adalimumab 160/80 mg oder 80/40 mg zu Woche</w:t>
      </w:r>
      <w:r w:rsidR="00E27608" w:rsidRPr="004F5FB4">
        <w:rPr>
          <w:color w:val="000000"/>
        </w:rPr>
        <w:t> </w:t>
      </w:r>
      <w:r w:rsidRPr="004F5FB4">
        <w:rPr>
          <w:color w:val="000000"/>
        </w:rPr>
        <w:t>0 bzw. 2, abhängig vom Körpergewicht mit einem Grenzwert von 40 kg. Zu Woche</w:t>
      </w:r>
      <w:r w:rsidR="00E27608" w:rsidRPr="004F5FB4">
        <w:rPr>
          <w:color w:val="000000"/>
        </w:rPr>
        <w:t> </w:t>
      </w:r>
      <w:r w:rsidRPr="004F5FB4">
        <w:rPr>
          <w:color w:val="000000"/>
        </w:rPr>
        <w:t>4 wurden die Patienten auf Basis ihres Körpergewichts 1:1 entweder zur Erhaltungstherapie mit der Standarddosis (40/20 mg jede zweite Woche) oder mit der niedrigen Dosis (20/10 mg jede zweite Woche) randomisiert. Die mittleren (±SD) Serumtalkonzentrationen von Adalimumab, die zu Woche 4 erreicht wurden, betrugen für Patienten ≥ 40 kg (160/80 mg) 15,7 ± 6,6 μg/ml und für Patienten &lt; 40 kg (80/40 mg) 10,6 ± 6,1 μg/ml.</w:t>
      </w:r>
    </w:p>
    <w:p w14:paraId="2003AD44" w14:textId="77777777" w:rsidR="00C46587" w:rsidRPr="004F5FB4" w:rsidRDefault="00C46587" w:rsidP="00982118">
      <w:pPr>
        <w:rPr>
          <w:color w:val="000000"/>
        </w:rPr>
      </w:pPr>
    </w:p>
    <w:p w14:paraId="481AC3EC" w14:textId="77777777" w:rsidR="00C46587" w:rsidRPr="004F5FB4" w:rsidRDefault="00C46587" w:rsidP="00982118">
      <w:pPr>
        <w:rPr>
          <w:color w:val="000000"/>
        </w:rPr>
      </w:pPr>
      <w:r w:rsidRPr="004F5FB4">
        <w:rPr>
          <w:color w:val="000000"/>
        </w:rPr>
        <w:t>Für Patienten, die bei der randomisierten Therapie blieben, betrugen zu Woche 52 die mittleren (±SD) Serumtalkonzentrationen von Adalimumab 9,5 ± 5,6 μg/ml für die Gruppe mit Standarddosis und 3,5 ± 2,2 μg/ml für die Gruppe mit der niedrigen Dosis. Die mittleren Talkonzentrationen blieben bei Patienten, die weiterhin jede zweite Woche eine Adalimumab-Behandlung erhielten, 52</w:t>
      </w:r>
      <w:r w:rsidR="00E27608" w:rsidRPr="004F5FB4">
        <w:rPr>
          <w:color w:val="000000"/>
        </w:rPr>
        <w:t> </w:t>
      </w:r>
      <w:r w:rsidRPr="004F5FB4">
        <w:rPr>
          <w:color w:val="000000"/>
        </w:rPr>
        <w:t>Wochen lang erhalten. Für Patienten mit Dosiseskalation (Verabreichung wöchentlich statt jede zweite Woche) betrugen die mittleren (±SD) Serumtalkonzentrationen von Adalimumab zu Woche</w:t>
      </w:r>
      <w:r w:rsidR="00E27608" w:rsidRPr="004F5FB4">
        <w:rPr>
          <w:color w:val="000000"/>
        </w:rPr>
        <w:t> </w:t>
      </w:r>
      <w:r w:rsidRPr="004F5FB4">
        <w:rPr>
          <w:color w:val="000000"/>
        </w:rPr>
        <w:t>52 15,3</w:t>
      </w:r>
      <w:r w:rsidR="005966B6">
        <w:rPr>
          <w:color w:val="000000"/>
        </w:rPr>
        <w:t> </w:t>
      </w:r>
      <w:r w:rsidRPr="004F5FB4">
        <w:rPr>
          <w:color w:val="000000"/>
        </w:rPr>
        <w:t>±</w:t>
      </w:r>
      <w:r w:rsidR="005966B6">
        <w:rPr>
          <w:color w:val="000000"/>
        </w:rPr>
        <w:t> </w:t>
      </w:r>
      <w:r w:rsidRPr="004F5FB4">
        <w:rPr>
          <w:color w:val="000000"/>
        </w:rPr>
        <w:t>11,4</w:t>
      </w:r>
      <w:r w:rsidR="00AA719E" w:rsidRPr="004F5FB4">
        <w:rPr>
          <w:color w:val="000000"/>
        </w:rPr>
        <w:t> </w:t>
      </w:r>
      <w:r w:rsidRPr="004F5FB4">
        <w:rPr>
          <w:color w:val="000000"/>
        </w:rPr>
        <w:t>μg/ml (40/20 mg, wöchentlich) bzw. 6,7</w:t>
      </w:r>
      <w:r w:rsidR="005966B6">
        <w:rPr>
          <w:color w:val="000000"/>
        </w:rPr>
        <w:t> </w:t>
      </w:r>
      <w:r w:rsidRPr="004F5FB4">
        <w:rPr>
          <w:color w:val="000000"/>
        </w:rPr>
        <w:t>±</w:t>
      </w:r>
      <w:r w:rsidR="005966B6">
        <w:rPr>
          <w:color w:val="000000"/>
        </w:rPr>
        <w:t> </w:t>
      </w:r>
      <w:r w:rsidRPr="004F5FB4">
        <w:rPr>
          <w:color w:val="000000"/>
        </w:rPr>
        <w:t>3,5</w:t>
      </w:r>
      <w:r w:rsidR="00E27608" w:rsidRPr="004F5FB4">
        <w:rPr>
          <w:color w:val="000000"/>
        </w:rPr>
        <w:t> </w:t>
      </w:r>
      <w:r w:rsidRPr="004F5FB4">
        <w:rPr>
          <w:color w:val="000000"/>
        </w:rPr>
        <w:t>μg/ml (20/10 mg, wöchentlich).</w:t>
      </w:r>
    </w:p>
    <w:p w14:paraId="45DB2221" w14:textId="77777777" w:rsidR="00C46587" w:rsidRPr="004F5FB4" w:rsidRDefault="00C46587" w:rsidP="00982118">
      <w:pPr>
        <w:rPr>
          <w:color w:val="000000"/>
        </w:rPr>
      </w:pPr>
    </w:p>
    <w:p w14:paraId="02B92D53" w14:textId="77777777" w:rsidR="00C46587" w:rsidRPr="004F5FB4" w:rsidRDefault="00C46587" w:rsidP="00982118">
      <w:pPr>
        <w:rPr>
          <w:color w:val="000000"/>
        </w:rPr>
      </w:pPr>
      <w:r w:rsidRPr="004F5FB4">
        <w:rPr>
          <w:color w:val="000000"/>
        </w:rPr>
        <w:t xml:space="preserve">Bei Patienten mit Colitis ulcerosa wurde mit der Induktionsdosis von 160 mg Adalimumab in Woche 0, gefolgt von 80 mg Adalimumab in Woche 2, eine Talkonzentration von Adalimumab im Serum von ca. 12 μg/ml während der </w:t>
      </w:r>
      <w:r w:rsidR="00CC0B57" w:rsidRPr="004F5FB4">
        <w:rPr>
          <w:color w:val="000000"/>
        </w:rPr>
        <w:t>Einleitungstherapie</w:t>
      </w:r>
      <w:r w:rsidRPr="004F5FB4">
        <w:rPr>
          <w:color w:val="000000"/>
        </w:rPr>
        <w:t xml:space="preserve"> erreicht. Die durchschnittliche Talkonzentration im Steady</w:t>
      </w:r>
      <w:r w:rsidRPr="004F5FB4">
        <w:rPr>
          <w:color w:val="000000"/>
        </w:rPr>
        <w:noBreakHyphen/>
        <w:t>State lag bei ca. 8 μg/ml bei Patienten mit Colitis ulcerosa, die eine Erhaltungsdosis von 40 mg Adalimumab alle zwei Wochen erhielten.</w:t>
      </w:r>
    </w:p>
    <w:p w14:paraId="150C7AC2" w14:textId="77777777" w:rsidR="00C46587" w:rsidRDefault="00C46587" w:rsidP="00982118">
      <w:pPr>
        <w:rPr>
          <w:color w:val="000000"/>
        </w:rPr>
      </w:pPr>
    </w:p>
    <w:p w14:paraId="1ACE2166" w14:textId="77777777" w:rsidR="005966B6" w:rsidRDefault="00103C67" w:rsidP="00982118">
      <w:pPr>
        <w:rPr>
          <w:color w:val="000000"/>
        </w:rPr>
      </w:pPr>
      <w:r w:rsidRPr="00103C67">
        <w:rPr>
          <w:color w:val="000000"/>
        </w:rPr>
        <w:t>Nach subkutaner Verabreichung einer körpergewichtsbasierten Dosis von 0,6 mg/kg (maximal 40 mg) jede zweite Woche bei Kindern und Jugendlichen mit Colitis ulcerosa betrug die mittlere Steady-State-Talkonzentration des Adalimumab-Serumspiegels in Woche 52 5,01 ± 3,28 μg/ml. Bei Patienten, die 0,6 mg/kg (maximal 40 mg) wöchentlich erhielten, betrug die mittlere (±SD) Steady-State-Talkonzentration des Adalimumab-Serumspiegels in Woche 52 15,7 ± 5,60 μg/ml.</w:t>
      </w:r>
    </w:p>
    <w:p w14:paraId="70E40405" w14:textId="77777777" w:rsidR="005966B6" w:rsidRPr="004F5FB4" w:rsidRDefault="005966B6" w:rsidP="00982118">
      <w:pPr>
        <w:rPr>
          <w:color w:val="000000"/>
        </w:rPr>
      </w:pPr>
    </w:p>
    <w:p w14:paraId="767B15F8" w14:textId="77777777" w:rsidR="00C46587" w:rsidRPr="004F5FB4" w:rsidRDefault="00C46587" w:rsidP="00982118">
      <w:pPr>
        <w:rPr>
          <w:color w:val="000000"/>
        </w:rPr>
      </w:pPr>
      <w:r w:rsidRPr="004F5FB4">
        <w:rPr>
          <w:color w:val="000000"/>
        </w:rPr>
        <w:t>Bei erwachsenen Patienten mit Uveitis wurde mit einer Induktionsdosis von 80 mg Adalimumab in Woche</w:t>
      </w:r>
      <w:r w:rsidR="00E27608" w:rsidRPr="004F5FB4">
        <w:rPr>
          <w:color w:val="000000"/>
        </w:rPr>
        <w:t> </w:t>
      </w:r>
      <w:r w:rsidRPr="004F5FB4">
        <w:rPr>
          <w:color w:val="000000"/>
        </w:rPr>
        <w:t>0, gefolgt von 40 mg Adalimumab alle zwei Wochen ab Woche</w:t>
      </w:r>
      <w:r w:rsidR="00E27608" w:rsidRPr="004F5FB4">
        <w:rPr>
          <w:color w:val="000000"/>
        </w:rPr>
        <w:t> </w:t>
      </w:r>
      <w:r w:rsidRPr="004F5FB4">
        <w:rPr>
          <w:color w:val="000000"/>
        </w:rPr>
        <w:t>1, eine mittlere Steady</w:t>
      </w:r>
      <w:r w:rsidRPr="004F5FB4">
        <w:rPr>
          <w:color w:val="000000"/>
        </w:rPr>
        <w:noBreakHyphen/>
        <w:t>State-Konzentration von ca. 8 bis 10</w:t>
      </w:r>
      <w:r w:rsidR="00E27608" w:rsidRPr="004F5FB4">
        <w:rPr>
          <w:color w:val="000000"/>
        </w:rPr>
        <w:t> </w:t>
      </w:r>
      <w:r w:rsidRPr="004F5FB4">
        <w:rPr>
          <w:color w:val="000000"/>
        </w:rPr>
        <w:t>μg/ml erreicht.</w:t>
      </w:r>
    </w:p>
    <w:p w14:paraId="6B06C97F" w14:textId="77777777" w:rsidR="00C46587" w:rsidRPr="004F5FB4" w:rsidRDefault="00C46587" w:rsidP="00982118">
      <w:pPr>
        <w:rPr>
          <w:color w:val="000000"/>
        </w:rPr>
      </w:pPr>
    </w:p>
    <w:p w14:paraId="7E6CF775" w14:textId="77777777" w:rsidR="004705C4" w:rsidRPr="004F5FB4" w:rsidRDefault="004705C4" w:rsidP="00982118">
      <w:pPr>
        <w:rPr>
          <w:color w:val="000000"/>
        </w:rPr>
      </w:pPr>
      <w:r w:rsidRPr="004F5FB4">
        <w:rPr>
          <w:color w:val="000000"/>
        </w:rPr>
        <w:t xml:space="preserve">Die Adalimumab-Exposition bei pädiatrischen Uveitis-Patienten wurde anhand von pharmakokinetischen Populationsmodellen und von Simulationen auf Basis der indikationsübergreifenden Pharmakokinetik bei anderen </w:t>
      </w:r>
      <w:r w:rsidR="003612F5" w:rsidRPr="004F5FB4">
        <w:rPr>
          <w:color w:val="000000"/>
        </w:rPr>
        <w:t xml:space="preserve">Kindern und Jugendlichen </w:t>
      </w:r>
      <w:r w:rsidRPr="004F5FB4">
        <w:rPr>
          <w:color w:val="000000"/>
        </w:rPr>
        <w:t>(Psoriasis bei Kindern und Jugendlichen, juvenile idiopathische Arthritis, Morbus Crohn bei Kindern und Jugendlichen sowie Enthesitis-assoziierte Arthritis) bestimmt. Es gibt keine klinischen Expositionsdaten für die Verwendung einer Induktionsdosis bei Kindern &lt;</w:t>
      </w:r>
      <w:r w:rsidR="00E27608" w:rsidRPr="004F5FB4">
        <w:rPr>
          <w:color w:val="000000"/>
        </w:rPr>
        <w:t> </w:t>
      </w:r>
      <w:r w:rsidRPr="004F5FB4">
        <w:rPr>
          <w:color w:val="000000"/>
        </w:rPr>
        <w:t>6</w:t>
      </w:r>
      <w:r w:rsidR="00E27608" w:rsidRPr="004F5FB4">
        <w:rPr>
          <w:color w:val="000000"/>
        </w:rPr>
        <w:t> </w:t>
      </w:r>
      <w:r w:rsidRPr="004F5FB4">
        <w:rPr>
          <w:color w:val="000000"/>
        </w:rPr>
        <w:t>Jahren. Die prognostizierten Expositionen weisen darauf hin, dass in der Abwesenheit von Methotrexat eine Induktionsdosis zu einem anfänglichen Anstieg der systemischen Exposition führen könnte.</w:t>
      </w:r>
    </w:p>
    <w:p w14:paraId="355E3A1E" w14:textId="77777777" w:rsidR="004705C4" w:rsidRPr="004F5FB4" w:rsidRDefault="004705C4" w:rsidP="00982118">
      <w:pPr>
        <w:rPr>
          <w:color w:val="000000"/>
        </w:rPr>
      </w:pPr>
    </w:p>
    <w:p w14:paraId="7AE8590D" w14:textId="77777777" w:rsidR="00EB39E0" w:rsidRPr="004F5FB4" w:rsidRDefault="00EB39E0" w:rsidP="00982118">
      <w:pPr>
        <w:autoSpaceDE w:val="0"/>
        <w:autoSpaceDN w:val="0"/>
        <w:adjustRightInd w:val="0"/>
        <w:rPr>
          <w:color w:val="000000"/>
        </w:rPr>
      </w:pPr>
      <w:r w:rsidRPr="004F5FB4">
        <w:rPr>
          <w:color w:val="000000"/>
        </w:rPr>
        <w:t>Pharmakokinetische Populationsmodelle und pharmakokinetische/</w:t>
      </w:r>
      <w:r w:rsidR="00E27608" w:rsidRPr="004F5FB4">
        <w:rPr>
          <w:color w:val="000000"/>
        </w:rPr>
        <w:t xml:space="preserve"> </w:t>
      </w:r>
      <w:r w:rsidRPr="004F5FB4">
        <w:rPr>
          <w:color w:val="000000"/>
        </w:rPr>
        <w:t>pharmakodynamische Modelle und Simulationen sagten für Patienten, die mit 80</w:t>
      </w:r>
      <w:r w:rsidR="00E27608" w:rsidRPr="004F5FB4">
        <w:rPr>
          <w:color w:val="000000"/>
        </w:rPr>
        <w:t> </w:t>
      </w:r>
      <w:r w:rsidRPr="004F5FB4">
        <w:rPr>
          <w:color w:val="000000"/>
        </w:rPr>
        <w:t>mg jede zweite Woche behandelt wurden, eine vergleichbare Adalimumab-Exposition und Wirksamkeit voraus wie bei Patienten, die mit 40</w:t>
      </w:r>
      <w:r w:rsidR="00E27608" w:rsidRPr="004F5FB4">
        <w:rPr>
          <w:color w:val="000000"/>
        </w:rPr>
        <w:t> </w:t>
      </w:r>
      <w:r w:rsidRPr="004F5FB4">
        <w:rPr>
          <w:color w:val="000000"/>
        </w:rPr>
        <w:t xml:space="preserve">mg jede Woche behandelt wurden (eingeschlossen waren erwachsene Patienten mit </w:t>
      </w:r>
      <w:r w:rsidR="00CC0B57" w:rsidRPr="004F5FB4">
        <w:rPr>
          <w:color w:val="000000"/>
        </w:rPr>
        <w:t>r</w:t>
      </w:r>
      <w:r w:rsidRPr="004F5FB4">
        <w:rPr>
          <w:color w:val="000000"/>
        </w:rPr>
        <w:t xml:space="preserve">heumatoider Arthritis (RA), Hidradenitis suppurativa (HS), Colitis </w:t>
      </w:r>
      <w:r w:rsidR="00CC0B57" w:rsidRPr="004F5FB4">
        <w:rPr>
          <w:color w:val="000000"/>
        </w:rPr>
        <w:t>u</w:t>
      </w:r>
      <w:r w:rsidRPr="004F5FB4">
        <w:rPr>
          <w:color w:val="000000"/>
        </w:rPr>
        <w:t xml:space="preserve">lcerosa (CU), Morbus Crohn (MC) oder Psoriasis (Pso), jugendliche Patienten mit HS sowie </w:t>
      </w:r>
      <w:r w:rsidR="003612F5" w:rsidRPr="004F5FB4">
        <w:rPr>
          <w:color w:val="000000"/>
        </w:rPr>
        <w:t xml:space="preserve">Kinder und Jugendliche </w:t>
      </w:r>
      <w:r w:rsidRPr="004F5FB4">
        <w:rPr>
          <w:color w:val="000000"/>
        </w:rPr>
        <w:t xml:space="preserve">mit MC </w:t>
      </w:r>
      <w:r w:rsidR="00103C67">
        <w:rPr>
          <w:color w:val="000000"/>
        </w:rPr>
        <w:t xml:space="preserve">und CU </w:t>
      </w:r>
      <w:r w:rsidRPr="004F5FB4">
        <w:rPr>
          <w:color w:val="000000"/>
        </w:rPr>
        <w:t>≥</w:t>
      </w:r>
      <w:r w:rsidR="00E27608" w:rsidRPr="004F5FB4">
        <w:rPr>
          <w:color w:val="000000"/>
        </w:rPr>
        <w:t> </w:t>
      </w:r>
      <w:r w:rsidRPr="004F5FB4">
        <w:rPr>
          <w:color w:val="000000"/>
        </w:rPr>
        <w:t>40</w:t>
      </w:r>
      <w:r w:rsidR="00E27608" w:rsidRPr="004F5FB4">
        <w:rPr>
          <w:color w:val="000000"/>
        </w:rPr>
        <w:t> </w:t>
      </w:r>
      <w:r w:rsidRPr="004F5FB4">
        <w:rPr>
          <w:color w:val="000000"/>
        </w:rPr>
        <w:t>kg).</w:t>
      </w:r>
    </w:p>
    <w:p w14:paraId="3EAD44DA" w14:textId="77777777" w:rsidR="00EB39E0" w:rsidRPr="004F5FB4" w:rsidRDefault="00EB39E0" w:rsidP="00982118">
      <w:pPr>
        <w:rPr>
          <w:color w:val="000000"/>
        </w:rPr>
      </w:pPr>
    </w:p>
    <w:p w14:paraId="18374639" w14:textId="77777777" w:rsidR="00485C78" w:rsidRPr="004F5FB4" w:rsidRDefault="00485C78" w:rsidP="00DC3A99">
      <w:pPr>
        <w:keepNext/>
        <w:rPr>
          <w:color w:val="000000"/>
          <w:u w:val="single"/>
        </w:rPr>
      </w:pPr>
      <w:r w:rsidRPr="004F5FB4">
        <w:rPr>
          <w:color w:val="000000"/>
          <w:u w:val="single"/>
        </w:rPr>
        <w:t xml:space="preserve">Dosis-Wirkungsbeziehung </w:t>
      </w:r>
      <w:r w:rsidR="003612F5" w:rsidRPr="004F5FB4">
        <w:rPr>
          <w:color w:val="000000"/>
          <w:u w:val="single"/>
        </w:rPr>
        <w:t>bei Kindern und Jugendlichen</w:t>
      </w:r>
    </w:p>
    <w:p w14:paraId="1B8DC92F" w14:textId="77777777" w:rsidR="00485C78" w:rsidRPr="004F5FB4" w:rsidRDefault="00485C78" w:rsidP="00DC3A99">
      <w:pPr>
        <w:keepNext/>
        <w:rPr>
          <w:color w:val="000000"/>
        </w:rPr>
      </w:pPr>
    </w:p>
    <w:p w14:paraId="296BC6B3" w14:textId="77777777" w:rsidR="00485C78" w:rsidRPr="004F5FB4" w:rsidRDefault="00485C78" w:rsidP="00982118">
      <w:pPr>
        <w:rPr>
          <w:color w:val="000000"/>
        </w:rPr>
      </w:pPr>
      <w:r w:rsidRPr="004F5FB4">
        <w:rPr>
          <w:color w:val="000000"/>
        </w:rPr>
        <w:t>Auf Basis klinischer Studiendaten von Patienten mit JIA (pJIA und EAA) wurde eine Dosis-Wirkungsbeziehung zwischen den Plasmakonzentrationen und dem PedACR-50-Ansprechen bestimmt. Die Adalimumab-Plasmakonzentration, die offenbar zur mittleren maximalen Wahrscheinlichkeit eines PedACR-50-Ansprechens (EC50) führt, lag bei 3</w:t>
      </w:r>
      <w:r w:rsidR="00E27608" w:rsidRPr="004F5FB4">
        <w:rPr>
          <w:color w:val="000000"/>
        </w:rPr>
        <w:t> </w:t>
      </w:r>
      <w:r w:rsidRPr="004F5FB4">
        <w:rPr>
          <w:color w:val="000000"/>
        </w:rPr>
        <w:t>µg/ml (95</w:t>
      </w:r>
      <w:r w:rsidR="00E27608" w:rsidRPr="004F5FB4">
        <w:rPr>
          <w:color w:val="000000"/>
        </w:rPr>
        <w:t> </w:t>
      </w:r>
      <w:r w:rsidRPr="004F5FB4">
        <w:rPr>
          <w:color w:val="000000"/>
        </w:rPr>
        <w:t>% CI: 1 – 6</w:t>
      </w:r>
      <w:r w:rsidR="00AA719E" w:rsidRPr="004F5FB4">
        <w:rPr>
          <w:color w:val="000000"/>
        </w:rPr>
        <w:t> </w:t>
      </w:r>
      <w:r w:rsidRPr="004F5FB4">
        <w:rPr>
          <w:color w:val="000000"/>
        </w:rPr>
        <w:t>µg/ml).</w:t>
      </w:r>
    </w:p>
    <w:p w14:paraId="26B28477" w14:textId="77777777" w:rsidR="00485C78" w:rsidRPr="004F5FB4" w:rsidRDefault="00485C78" w:rsidP="00982118">
      <w:pPr>
        <w:rPr>
          <w:color w:val="000000"/>
        </w:rPr>
      </w:pPr>
    </w:p>
    <w:p w14:paraId="29908EFE" w14:textId="77777777" w:rsidR="00485C78" w:rsidRPr="004F5FB4" w:rsidRDefault="00485C78" w:rsidP="00982118">
      <w:pPr>
        <w:rPr>
          <w:color w:val="000000"/>
        </w:rPr>
      </w:pPr>
      <w:r w:rsidRPr="004F5FB4">
        <w:rPr>
          <w:color w:val="000000"/>
        </w:rPr>
        <w:t xml:space="preserve">Dosis-Wirkungsbeziehungen zwischen der Adalimumab-Konzentration und der Wirksamkeit bei </w:t>
      </w:r>
      <w:r w:rsidR="003612F5" w:rsidRPr="004F5FB4">
        <w:rPr>
          <w:color w:val="000000"/>
        </w:rPr>
        <w:t xml:space="preserve">Kindern und Jugendlichen </w:t>
      </w:r>
      <w:r w:rsidRPr="004F5FB4">
        <w:rPr>
          <w:color w:val="000000"/>
        </w:rPr>
        <w:t>mit schwerer chronischer Plaque-Psoriasis wurden für den PASI-75 bzw. die PGA-Scores „</w:t>
      </w:r>
      <w:r w:rsidR="00A020D6" w:rsidRPr="004F5FB4">
        <w:rPr>
          <w:color w:val="000000"/>
        </w:rPr>
        <w:t>klares Hautbild</w:t>
      </w:r>
      <w:r w:rsidRPr="004F5FB4">
        <w:rPr>
          <w:color w:val="000000"/>
        </w:rPr>
        <w:t>“ oder „</w:t>
      </w:r>
      <w:r w:rsidR="00A020D6" w:rsidRPr="004F5FB4">
        <w:rPr>
          <w:color w:val="000000"/>
        </w:rPr>
        <w:t>nahezu klares Hautbild</w:t>
      </w:r>
      <w:r w:rsidRPr="004F5FB4">
        <w:rPr>
          <w:color w:val="000000"/>
        </w:rPr>
        <w:t xml:space="preserve">“ festgelegt. Die Häufigkeiten des PASI-75 und der PGA-Scores </w:t>
      </w:r>
      <w:r w:rsidR="00A020D6" w:rsidRPr="004F5FB4">
        <w:rPr>
          <w:color w:val="000000"/>
        </w:rPr>
        <w:t>„klares Hautbild“ oder „nahezu klares Hautbild</w:t>
      </w:r>
      <w:r w:rsidRPr="004F5FB4">
        <w:rPr>
          <w:color w:val="000000"/>
        </w:rPr>
        <w:t>“ nahmen mit zunehmender Adalimumab-Konzentration zu, beide mit einer offensichtlich vergleichbaren EC50 von etwa 4,5</w:t>
      </w:r>
      <w:r w:rsidR="00E27608" w:rsidRPr="004F5FB4">
        <w:rPr>
          <w:color w:val="000000"/>
        </w:rPr>
        <w:t> </w:t>
      </w:r>
      <w:r w:rsidRPr="004F5FB4">
        <w:rPr>
          <w:color w:val="000000"/>
        </w:rPr>
        <w:t>µg/ml (95</w:t>
      </w:r>
      <w:r w:rsidR="00E27608" w:rsidRPr="004F5FB4">
        <w:rPr>
          <w:color w:val="000000"/>
        </w:rPr>
        <w:t> </w:t>
      </w:r>
      <w:r w:rsidRPr="004F5FB4">
        <w:rPr>
          <w:color w:val="000000"/>
        </w:rPr>
        <w:t>% CI 0,4 – 47,6 beziehungsweise 1,9 – 10,5).</w:t>
      </w:r>
    </w:p>
    <w:p w14:paraId="29CA5DDF" w14:textId="77777777" w:rsidR="00485C78" w:rsidRPr="004F5FB4" w:rsidRDefault="00485C78" w:rsidP="00982118">
      <w:pPr>
        <w:rPr>
          <w:color w:val="000000"/>
          <w:u w:val="single"/>
        </w:rPr>
      </w:pPr>
    </w:p>
    <w:p w14:paraId="5380054F" w14:textId="77777777" w:rsidR="00C46587" w:rsidRPr="004F5FB4" w:rsidRDefault="003D5162" w:rsidP="003D5162">
      <w:pPr>
        <w:keepNext/>
        <w:rPr>
          <w:color w:val="000000"/>
          <w:u w:val="single"/>
        </w:rPr>
      </w:pPr>
      <w:r w:rsidRPr="004F5FB4">
        <w:rPr>
          <w:color w:val="000000"/>
          <w:u w:val="single"/>
        </w:rPr>
        <w:lastRenderedPageBreak/>
        <w:t>Elimination</w:t>
      </w:r>
    </w:p>
    <w:p w14:paraId="7158849C" w14:textId="77777777" w:rsidR="00C46587" w:rsidRPr="004F5FB4" w:rsidRDefault="00C46587" w:rsidP="003D5162">
      <w:pPr>
        <w:keepNext/>
        <w:rPr>
          <w:color w:val="000000"/>
        </w:rPr>
      </w:pPr>
    </w:p>
    <w:p w14:paraId="6BE43780" w14:textId="77777777" w:rsidR="00C46587" w:rsidRPr="004F5FB4" w:rsidRDefault="00C46587" w:rsidP="00982118">
      <w:pPr>
        <w:rPr>
          <w:color w:val="000000"/>
        </w:rPr>
      </w:pPr>
      <w:r w:rsidRPr="004F5FB4">
        <w:rPr>
          <w:color w:val="000000"/>
        </w:rPr>
        <w:t>Pharmakokinetische Populationsanalysen anhand des Datenbestandes von über 1.300</w:t>
      </w:r>
      <w:r w:rsidR="00E27608" w:rsidRPr="004F5FB4">
        <w:rPr>
          <w:color w:val="000000"/>
        </w:rPr>
        <w:t> </w:t>
      </w:r>
      <w:r w:rsidRPr="004F5FB4">
        <w:rPr>
          <w:color w:val="000000"/>
        </w:rPr>
        <w:t>RA-Patienten ergaben eine Tendenz zu einer höheren scheinbaren Adalimumab-Clearance bei steigendem Körpergewicht. Nach Korrektur hinsichtlich der Gewichtsunterschiede schien der Einfluss von Geschlecht und Alter auf die Adalimumab-Clearance gering zu sein. Die Serumkonzentrationen an freiem, nicht an Anti-Adalimumab</w:t>
      </w:r>
      <w:r w:rsidRPr="004F5FB4">
        <w:rPr>
          <w:color w:val="000000"/>
        </w:rPr>
        <w:noBreakHyphen/>
        <w:t>Antikörper (AAA) gebundenem Adalimumab waren niedriger bei Patienten mit messbaren AAA.</w:t>
      </w:r>
    </w:p>
    <w:p w14:paraId="2D3219D2" w14:textId="77777777" w:rsidR="00C46587" w:rsidRPr="004F5FB4" w:rsidRDefault="00C46587" w:rsidP="00982118">
      <w:pPr>
        <w:rPr>
          <w:color w:val="000000"/>
        </w:rPr>
      </w:pPr>
    </w:p>
    <w:p w14:paraId="76154B8D" w14:textId="77777777" w:rsidR="00C46587" w:rsidRPr="004F5FB4" w:rsidRDefault="003D5162" w:rsidP="00DC3A99">
      <w:pPr>
        <w:keepNext/>
        <w:rPr>
          <w:color w:val="000000"/>
          <w:u w:val="single"/>
        </w:rPr>
      </w:pPr>
      <w:r w:rsidRPr="004F5FB4">
        <w:rPr>
          <w:color w:val="000000"/>
          <w:u w:val="single"/>
        </w:rPr>
        <w:t>Eingeschränkte Leber- oder Nierenfunktion</w:t>
      </w:r>
    </w:p>
    <w:p w14:paraId="2A005E41" w14:textId="77777777" w:rsidR="00C46587" w:rsidRPr="004F5FB4" w:rsidRDefault="00C46587" w:rsidP="00DC3A99">
      <w:pPr>
        <w:keepNext/>
        <w:rPr>
          <w:color w:val="000000"/>
        </w:rPr>
      </w:pPr>
    </w:p>
    <w:p w14:paraId="6B2CAB2B" w14:textId="77777777" w:rsidR="00C46587" w:rsidRPr="004F5FB4" w:rsidRDefault="005A4709" w:rsidP="00982118">
      <w:pPr>
        <w:rPr>
          <w:color w:val="000000"/>
        </w:rPr>
      </w:pPr>
      <w:r w:rsidRPr="004F5FB4">
        <w:rPr>
          <w:color w:val="000000"/>
        </w:rPr>
        <w:t>Adalimumab wurde bei Patienten mit eingeschränkter Leber- oder Nierenfunktion nicht untersucht.</w:t>
      </w:r>
    </w:p>
    <w:p w14:paraId="2BAF7C5F" w14:textId="77777777" w:rsidR="00C46587" w:rsidRPr="004F5FB4" w:rsidRDefault="00C46587" w:rsidP="00982118">
      <w:pPr>
        <w:rPr>
          <w:color w:val="000000"/>
        </w:rPr>
      </w:pPr>
    </w:p>
    <w:p w14:paraId="064303C9" w14:textId="77777777" w:rsidR="00C46587" w:rsidRPr="004F5FB4" w:rsidRDefault="00C46587" w:rsidP="00982118">
      <w:pPr>
        <w:keepNext/>
        <w:tabs>
          <w:tab w:val="left" w:pos="562"/>
        </w:tabs>
        <w:rPr>
          <w:b/>
          <w:color w:val="000000"/>
        </w:rPr>
      </w:pPr>
      <w:r w:rsidRPr="004F5FB4">
        <w:rPr>
          <w:b/>
          <w:color w:val="000000"/>
        </w:rPr>
        <w:t>5.3</w:t>
      </w:r>
      <w:r w:rsidRPr="004F5FB4">
        <w:rPr>
          <w:b/>
          <w:color w:val="000000"/>
        </w:rPr>
        <w:tab/>
        <w:t xml:space="preserve">Präklinische Daten zur Sicherheit </w:t>
      </w:r>
    </w:p>
    <w:p w14:paraId="53F4DD22" w14:textId="77777777" w:rsidR="00C46587" w:rsidRPr="004F5FB4" w:rsidRDefault="00C46587" w:rsidP="00982118">
      <w:pPr>
        <w:keepNext/>
        <w:rPr>
          <w:color w:val="000000"/>
        </w:rPr>
      </w:pPr>
    </w:p>
    <w:p w14:paraId="73D43425" w14:textId="77777777" w:rsidR="00C46587" w:rsidRPr="004F5FB4" w:rsidRDefault="003612F5" w:rsidP="00982118">
      <w:pPr>
        <w:rPr>
          <w:color w:val="000000"/>
        </w:rPr>
      </w:pPr>
      <w:r w:rsidRPr="004F5FB4">
        <w:rPr>
          <w:color w:val="000000"/>
        </w:rPr>
        <w:t>Basierend auf den Studien</w:t>
      </w:r>
      <w:r w:rsidR="00C46587" w:rsidRPr="004F5FB4">
        <w:rPr>
          <w:color w:val="000000"/>
        </w:rPr>
        <w:t xml:space="preserve"> zur Einzeldosistoxizität, Toxizität bei </w:t>
      </w:r>
      <w:r w:rsidRPr="004F5FB4">
        <w:rPr>
          <w:color w:val="000000"/>
        </w:rPr>
        <w:t xml:space="preserve">wiederholter Gabe </w:t>
      </w:r>
      <w:r w:rsidR="00C46587" w:rsidRPr="004F5FB4">
        <w:rPr>
          <w:color w:val="000000"/>
        </w:rPr>
        <w:t xml:space="preserve">und Genotoxizität lassen </w:t>
      </w:r>
      <w:r w:rsidRPr="004F5FB4">
        <w:rPr>
          <w:color w:val="000000"/>
        </w:rPr>
        <w:t xml:space="preserve">die präklinischen Daten </w:t>
      </w:r>
      <w:r w:rsidR="00C46587" w:rsidRPr="004F5FB4">
        <w:rPr>
          <w:color w:val="000000"/>
        </w:rPr>
        <w:t>keine besondere</w:t>
      </w:r>
      <w:r w:rsidRPr="004F5FB4">
        <w:rPr>
          <w:color w:val="000000"/>
        </w:rPr>
        <w:t>n</w:t>
      </w:r>
      <w:r w:rsidR="00C46587" w:rsidRPr="004F5FB4">
        <w:rPr>
          <w:color w:val="000000"/>
        </w:rPr>
        <w:t xml:space="preserve"> Gefahr</w:t>
      </w:r>
      <w:r w:rsidRPr="004F5FB4">
        <w:rPr>
          <w:color w:val="000000"/>
        </w:rPr>
        <w:t>en</w:t>
      </w:r>
      <w:r w:rsidR="00C46587" w:rsidRPr="004F5FB4">
        <w:rPr>
          <w:color w:val="000000"/>
        </w:rPr>
        <w:t xml:space="preserve"> für Menschen erkennen.</w:t>
      </w:r>
    </w:p>
    <w:p w14:paraId="2EE164A1" w14:textId="77777777" w:rsidR="00C46587" w:rsidRPr="004F5FB4" w:rsidRDefault="00C46587" w:rsidP="00982118">
      <w:pPr>
        <w:rPr>
          <w:color w:val="000000"/>
        </w:rPr>
      </w:pPr>
    </w:p>
    <w:p w14:paraId="17DE51A0" w14:textId="77777777" w:rsidR="00C46587" w:rsidRPr="004F5FB4" w:rsidRDefault="00C46587" w:rsidP="00982118">
      <w:pPr>
        <w:rPr>
          <w:color w:val="000000"/>
        </w:rPr>
      </w:pPr>
      <w:r w:rsidRPr="004F5FB4">
        <w:rPr>
          <w:color w:val="000000"/>
        </w:rPr>
        <w:t>Eine Studie zur Toxizität der embryofetalen/perinatalen Entwicklung wurde bei Cynomolgus-Affen mit 0,30 und 100 mg/kg (9 – 17</w:t>
      </w:r>
      <w:r w:rsidR="00E27608" w:rsidRPr="004F5FB4">
        <w:rPr>
          <w:color w:val="000000"/>
        </w:rPr>
        <w:t> </w:t>
      </w:r>
      <w:r w:rsidRPr="004F5FB4">
        <w:rPr>
          <w:color w:val="000000"/>
        </w:rPr>
        <w:t xml:space="preserve">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w:t>
      </w:r>
      <w:r w:rsidR="00CC0B57" w:rsidRPr="004F5FB4">
        <w:rPr>
          <w:color w:val="000000"/>
        </w:rPr>
        <w:t>die</w:t>
      </w:r>
      <w:r w:rsidRPr="004F5FB4">
        <w:rPr>
          <w:color w:val="000000"/>
        </w:rPr>
        <w:t xml:space="preserve"> Entwicklung neutralisierender Antikörper</w:t>
      </w:r>
      <w:r w:rsidR="00CC0B57" w:rsidRPr="004F5FB4">
        <w:rPr>
          <w:color w:val="000000"/>
        </w:rPr>
        <w:t xml:space="preserve"> bei Nagetieren</w:t>
      </w:r>
      <w:r w:rsidRPr="004F5FB4">
        <w:rPr>
          <w:color w:val="000000"/>
        </w:rPr>
        <w:t xml:space="preserve"> </w:t>
      </w:r>
      <w:r w:rsidR="00CC0B57" w:rsidRPr="004F5FB4">
        <w:rPr>
          <w:color w:val="000000"/>
        </w:rPr>
        <w:t>fehlt</w:t>
      </w:r>
      <w:r w:rsidRPr="004F5FB4">
        <w:rPr>
          <w:color w:val="000000"/>
        </w:rPr>
        <w:t>.</w:t>
      </w:r>
    </w:p>
    <w:p w14:paraId="46EE387F" w14:textId="77777777" w:rsidR="00C46587" w:rsidRPr="004F5FB4" w:rsidRDefault="00C46587" w:rsidP="00982118">
      <w:pPr>
        <w:rPr>
          <w:color w:val="000000"/>
        </w:rPr>
      </w:pPr>
    </w:p>
    <w:p w14:paraId="3BFA4404" w14:textId="77777777" w:rsidR="00C46587" w:rsidRPr="004F5FB4" w:rsidRDefault="00C46587" w:rsidP="00982118">
      <w:pPr>
        <w:rPr>
          <w:color w:val="000000"/>
        </w:rPr>
      </w:pPr>
    </w:p>
    <w:p w14:paraId="0B102C2B" w14:textId="77777777" w:rsidR="00C46587" w:rsidRPr="004F5FB4" w:rsidRDefault="00C46587" w:rsidP="00DC3A99">
      <w:pPr>
        <w:keepNext/>
        <w:tabs>
          <w:tab w:val="left" w:pos="562"/>
        </w:tabs>
        <w:rPr>
          <w:b/>
          <w:color w:val="000000"/>
        </w:rPr>
      </w:pPr>
      <w:r w:rsidRPr="004F5FB4">
        <w:rPr>
          <w:b/>
          <w:color w:val="000000"/>
        </w:rPr>
        <w:t>6</w:t>
      </w:r>
      <w:r w:rsidR="00CC0B57" w:rsidRPr="004F5FB4">
        <w:rPr>
          <w:b/>
          <w:color w:val="000000"/>
        </w:rPr>
        <w:t>.</w:t>
      </w:r>
      <w:r w:rsidRPr="004F5FB4">
        <w:rPr>
          <w:b/>
          <w:color w:val="000000"/>
        </w:rPr>
        <w:tab/>
        <w:t>PHARMAZEUTISCHE ANGABEN</w:t>
      </w:r>
    </w:p>
    <w:p w14:paraId="067B1184" w14:textId="77777777" w:rsidR="00C46587" w:rsidRPr="004F5FB4" w:rsidRDefault="00C46587" w:rsidP="00DC3A99">
      <w:pPr>
        <w:keepNext/>
        <w:rPr>
          <w:color w:val="000000"/>
        </w:rPr>
      </w:pPr>
    </w:p>
    <w:p w14:paraId="3A5BA8A8" w14:textId="77777777" w:rsidR="00C46587" w:rsidRPr="004F5FB4" w:rsidRDefault="00C46587" w:rsidP="00DC3A99">
      <w:pPr>
        <w:keepNext/>
        <w:tabs>
          <w:tab w:val="left" w:pos="562"/>
        </w:tabs>
        <w:rPr>
          <w:b/>
          <w:color w:val="000000"/>
        </w:rPr>
      </w:pPr>
      <w:r w:rsidRPr="004F5FB4">
        <w:rPr>
          <w:b/>
          <w:color w:val="000000"/>
        </w:rPr>
        <w:t>6.1</w:t>
      </w:r>
      <w:r w:rsidRPr="004F5FB4">
        <w:rPr>
          <w:b/>
          <w:color w:val="000000"/>
        </w:rPr>
        <w:tab/>
        <w:t>Liste der sonstigen Bestandteile</w:t>
      </w:r>
    </w:p>
    <w:p w14:paraId="6961F53E" w14:textId="77777777" w:rsidR="00C46587" w:rsidRPr="004F5FB4" w:rsidRDefault="00C46587" w:rsidP="00DC3A99">
      <w:pPr>
        <w:keepNext/>
        <w:rPr>
          <w:color w:val="000000"/>
        </w:rPr>
      </w:pPr>
    </w:p>
    <w:p w14:paraId="6E0A3EE9" w14:textId="77777777" w:rsidR="002B07CC" w:rsidRPr="00F577F5" w:rsidRDefault="002B07CC" w:rsidP="00982118">
      <w:pPr>
        <w:rPr>
          <w:color w:val="000000"/>
          <w:lang w:val="da-DK"/>
        </w:rPr>
      </w:pPr>
      <w:r w:rsidRPr="00F577F5">
        <w:rPr>
          <w:color w:val="000000"/>
          <w:lang w:val="da-DK"/>
        </w:rPr>
        <w:t>L-Histidin</w:t>
      </w:r>
    </w:p>
    <w:p w14:paraId="1A1C665C" w14:textId="77777777" w:rsidR="002B07CC" w:rsidRPr="00F577F5" w:rsidRDefault="002B07CC" w:rsidP="00982118">
      <w:pPr>
        <w:rPr>
          <w:color w:val="000000"/>
          <w:lang w:val="da-DK"/>
        </w:rPr>
      </w:pPr>
      <w:r w:rsidRPr="00F577F5">
        <w:rPr>
          <w:color w:val="000000"/>
          <w:lang w:val="da-DK"/>
        </w:rPr>
        <w:t>L-Histidin-Hydrochlorid-Monohydrat</w:t>
      </w:r>
    </w:p>
    <w:p w14:paraId="4E8F98AF" w14:textId="77777777" w:rsidR="002B07CC" w:rsidRPr="00EC03BF" w:rsidRDefault="002B07CC" w:rsidP="00982118">
      <w:pPr>
        <w:rPr>
          <w:color w:val="000000"/>
          <w:lang w:val="en-US"/>
        </w:rPr>
      </w:pPr>
      <w:r w:rsidRPr="00EC03BF">
        <w:rPr>
          <w:color w:val="000000"/>
          <w:lang w:val="en-US"/>
        </w:rPr>
        <w:t>Sucrose</w:t>
      </w:r>
    </w:p>
    <w:p w14:paraId="75E1536D" w14:textId="77777777" w:rsidR="002B07CC" w:rsidRPr="004F5FB4" w:rsidRDefault="002B07CC" w:rsidP="00982118">
      <w:pPr>
        <w:rPr>
          <w:color w:val="000000"/>
        </w:rPr>
      </w:pPr>
      <w:r w:rsidRPr="004F5FB4">
        <w:rPr>
          <w:color w:val="000000"/>
        </w:rPr>
        <w:t>EDTA-Dinatrium-Dihydrat</w:t>
      </w:r>
    </w:p>
    <w:p w14:paraId="604A8557" w14:textId="77777777" w:rsidR="002B07CC" w:rsidRPr="004F5FB4" w:rsidRDefault="002B07CC" w:rsidP="00982118">
      <w:pPr>
        <w:rPr>
          <w:color w:val="000000"/>
        </w:rPr>
      </w:pPr>
      <w:r w:rsidRPr="004F5FB4">
        <w:rPr>
          <w:color w:val="000000"/>
        </w:rPr>
        <w:t>L-Methionin</w:t>
      </w:r>
    </w:p>
    <w:p w14:paraId="25EA477A" w14:textId="77777777" w:rsidR="002B07CC" w:rsidRPr="004F5FB4" w:rsidRDefault="002B07CC" w:rsidP="00982118">
      <w:pPr>
        <w:rPr>
          <w:color w:val="000000"/>
        </w:rPr>
      </w:pPr>
      <w:r w:rsidRPr="004F5FB4">
        <w:rPr>
          <w:color w:val="000000"/>
        </w:rPr>
        <w:t>Polysorbat 80</w:t>
      </w:r>
    </w:p>
    <w:p w14:paraId="27C4EA3D" w14:textId="77777777" w:rsidR="002B07CC" w:rsidRPr="004F5FB4" w:rsidRDefault="002B07CC" w:rsidP="00982118">
      <w:pPr>
        <w:rPr>
          <w:color w:val="000000"/>
        </w:rPr>
      </w:pPr>
      <w:r w:rsidRPr="004F5FB4">
        <w:rPr>
          <w:color w:val="000000"/>
        </w:rPr>
        <w:t>Wasser für Injektionszwecke</w:t>
      </w:r>
    </w:p>
    <w:p w14:paraId="485AF49C" w14:textId="77777777" w:rsidR="00C46587" w:rsidRPr="004F5FB4" w:rsidRDefault="00C46587" w:rsidP="00982118">
      <w:pPr>
        <w:rPr>
          <w:color w:val="000000"/>
        </w:rPr>
      </w:pPr>
    </w:p>
    <w:p w14:paraId="6466E554" w14:textId="77777777" w:rsidR="00C46587" w:rsidRPr="004F5FB4" w:rsidRDefault="00C46587" w:rsidP="00DC3A99">
      <w:pPr>
        <w:keepNext/>
        <w:tabs>
          <w:tab w:val="left" w:pos="562"/>
        </w:tabs>
        <w:rPr>
          <w:b/>
          <w:color w:val="000000"/>
        </w:rPr>
      </w:pPr>
      <w:r w:rsidRPr="004F5FB4">
        <w:rPr>
          <w:b/>
          <w:color w:val="000000"/>
        </w:rPr>
        <w:t>6.2</w:t>
      </w:r>
      <w:r w:rsidR="00AA719E" w:rsidRPr="004F5FB4">
        <w:rPr>
          <w:b/>
          <w:color w:val="000000"/>
        </w:rPr>
        <w:tab/>
      </w:r>
      <w:r w:rsidRPr="004F5FB4">
        <w:rPr>
          <w:b/>
          <w:color w:val="000000"/>
        </w:rPr>
        <w:t>Inkompatibilitäten</w:t>
      </w:r>
    </w:p>
    <w:p w14:paraId="5A78AD7E" w14:textId="77777777" w:rsidR="00C46587" w:rsidRPr="004F5FB4" w:rsidRDefault="00C46587" w:rsidP="00DC3A99">
      <w:pPr>
        <w:keepNext/>
        <w:rPr>
          <w:color w:val="000000"/>
        </w:rPr>
      </w:pPr>
    </w:p>
    <w:p w14:paraId="62A49CC7" w14:textId="77777777" w:rsidR="00C46587" w:rsidRPr="004F5FB4" w:rsidRDefault="00C46587" w:rsidP="00982118">
      <w:pPr>
        <w:rPr>
          <w:color w:val="000000"/>
        </w:rPr>
      </w:pPr>
      <w:r w:rsidRPr="004F5FB4">
        <w:rPr>
          <w:color w:val="000000"/>
        </w:rPr>
        <w:t>Da keine Kompatibilitätsstudien durchgeführt wurden, darf dieses Arzneimittel nicht mit anderen Arzneimitteln gemischt werden.</w:t>
      </w:r>
    </w:p>
    <w:p w14:paraId="601F6E9C" w14:textId="77777777" w:rsidR="00C46587" w:rsidRPr="004F5FB4" w:rsidRDefault="00C46587" w:rsidP="00982118">
      <w:pPr>
        <w:rPr>
          <w:color w:val="000000"/>
        </w:rPr>
      </w:pPr>
    </w:p>
    <w:p w14:paraId="30E33B3A" w14:textId="77777777" w:rsidR="00C46587" w:rsidRPr="004F5FB4" w:rsidRDefault="00C46587" w:rsidP="00982118">
      <w:pPr>
        <w:keepNext/>
        <w:tabs>
          <w:tab w:val="left" w:pos="562"/>
        </w:tabs>
        <w:rPr>
          <w:b/>
          <w:color w:val="000000"/>
        </w:rPr>
      </w:pPr>
      <w:r w:rsidRPr="004F5FB4">
        <w:rPr>
          <w:b/>
          <w:color w:val="000000"/>
        </w:rPr>
        <w:t>6.3</w:t>
      </w:r>
      <w:r w:rsidR="00AA719E" w:rsidRPr="004F5FB4">
        <w:rPr>
          <w:b/>
          <w:color w:val="000000"/>
        </w:rPr>
        <w:tab/>
      </w:r>
      <w:r w:rsidRPr="004F5FB4">
        <w:rPr>
          <w:b/>
          <w:color w:val="000000"/>
        </w:rPr>
        <w:t>Dauer der Haltbarkeit</w:t>
      </w:r>
    </w:p>
    <w:p w14:paraId="1863F0C5" w14:textId="77777777" w:rsidR="00C46587" w:rsidRPr="004F5FB4" w:rsidRDefault="00C46587" w:rsidP="00982118">
      <w:pPr>
        <w:keepNext/>
        <w:rPr>
          <w:color w:val="000000"/>
        </w:rPr>
      </w:pPr>
    </w:p>
    <w:p w14:paraId="4D188118" w14:textId="77777777" w:rsidR="00C46587" w:rsidRPr="004F5FB4" w:rsidRDefault="002B07CC" w:rsidP="00982118">
      <w:pPr>
        <w:keepNext/>
        <w:rPr>
          <w:color w:val="000000"/>
        </w:rPr>
      </w:pPr>
      <w:r w:rsidRPr="004F5FB4">
        <w:rPr>
          <w:color w:val="000000"/>
        </w:rPr>
        <w:t>3</w:t>
      </w:r>
      <w:r w:rsidR="00CA61F7" w:rsidRPr="004F5FB4">
        <w:rPr>
          <w:color w:val="000000"/>
        </w:rPr>
        <w:t> </w:t>
      </w:r>
      <w:r w:rsidRPr="004F5FB4">
        <w:rPr>
          <w:color w:val="000000"/>
        </w:rPr>
        <w:t>Jahre</w:t>
      </w:r>
    </w:p>
    <w:p w14:paraId="401D5328" w14:textId="77777777" w:rsidR="00C46587" w:rsidRPr="004F5FB4" w:rsidRDefault="00C46587" w:rsidP="00982118">
      <w:pPr>
        <w:rPr>
          <w:color w:val="000000"/>
        </w:rPr>
      </w:pPr>
    </w:p>
    <w:p w14:paraId="400BEC6A" w14:textId="77777777" w:rsidR="00C46587" w:rsidRPr="004F5FB4" w:rsidRDefault="00C46587" w:rsidP="00DC3A99">
      <w:pPr>
        <w:keepNext/>
        <w:tabs>
          <w:tab w:val="left" w:pos="562"/>
        </w:tabs>
        <w:rPr>
          <w:b/>
          <w:color w:val="000000"/>
        </w:rPr>
      </w:pPr>
      <w:r w:rsidRPr="004F5FB4">
        <w:rPr>
          <w:b/>
          <w:color w:val="000000"/>
        </w:rPr>
        <w:t>6.4</w:t>
      </w:r>
      <w:r w:rsidR="00AA719E" w:rsidRPr="004F5FB4">
        <w:rPr>
          <w:b/>
          <w:color w:val="000000"/>
        </w:rPr>
        <w:tab/>
      </w:r>
      <w:r w:rsidRPr="004F5FB4">
        <w:rPr>
          <w:b/>
          <w:color w:val="000000"/>
        </w:rPr>
        <w:t>Besondere Vorsichtsmaßnahmen für die Aufbewahrung</w:t>
      </w:r>
    </w:p>
    <w:p w14:paraId="247971E8" w14:textId="77777777" w:rsidR="00C46587" w:rsidRPr="004F5FB4" w:rsidRDefault="00C46587" w:rsidP="00DC3A99">
      <w:pPr>
        <w:keepNext/>
        <w:rPr>
          <w:color w:val="000000"/>
        </w:rPr>
      </w:pPr>
    </w:p>
    <w:p w14:paraId="62138B20" w14:textId="77777777" w:rsidR="00C46587" w:rsidRPr="004F5FB4" w:rsidRDefault="00C46587" w:rsidP="00982118">
      <w:pPr>
        <w:rPr>
          <w:color w:val="000000"/>
        </w:rPr>
      </w:pPr>
      <w:r w:rsidRPr="004F5FB4">
        <w:rPr>
          <w:color w:val="000000"/>
        </w:rPr>
        <w:t>Im Kühlschrank lagern (2 °C – 8 °C). Nicht einfrieren. Die Fertigspritze bzw. den Fertigpen im Umkarton aufbewahren, um den Inhalt vor Licht zu schützen.</w:t>
      </w:r>
    </w:p>
    <w:p w14:paraId="22CD2D28" w14:textId="77777777" w:rsidR="00C46587" w:rsidRPr="004F5FB4" w:rsidRDefault="00C46587" w:rsidP="00982118">
      <w:pPr>
        <w:rPr>
          <w:color w:val="000000"/>
        </w:rPr>
      </w:pPr>
    </w:p>
    <w:p w14:paraId="344A2BE7" w14:textId="77777777" w:rsidR="00C46587" w:rsidRPr="004F5FB4" w:rsidRDefault="00C46587" w:rsidP="00982118">
      <w:pPr>
        <w:rPr>
          <w:color w:val="000000"/>
        </w:rPr>
      </w:pPr>
      <w:r w:rsidRPr="004F5FB4">
        <w:rPr>
          <w:color w:val="000000"/>
        </w:rPr>
        <w:t>Eine einzelne Amsparity</w:t>
      </w:r>
      <w:r w:rsidRPr="004F5FB4">
        <w:rPr>
          <w:color w:val="000000"/>
        </w:rPr>
        <w:noBreakHyphen/>
        <w:t>Fertigspritze bzw. ein einzelner Amsparity</w:t>
      </w:r>
      <w:r w:rsidRPr="004F5FB4">
        <w:rPr>
          <w:color w:val="000000"/>
        </w:rPr>
        <w:noBreakHyphen/>
        <w:t>Fertigpen darf für bis zu 30</w:t>
      </w:r>
      <w:r w:rsidR="00E27608" w:rsidRPr="004F5FB4">
        <w:rPr>
          <w:color w:val="000000"/>
        </w:rPr>
        <w:t> </w:t>
      </w:r>
      <w:r w:rsidRPr="004F5FB4">
        <w:rPr>
          <w:color w:val="000000"/>
        </w:rPr>
        <w:t>Tage bei Temperaturen bis zu maximal 30 °C gelagert werden. Die Spritze oder der Pen müssen vor Licht geschützt und entsorgt werden, wenn sie nicht innerhalb dieser 30</w:t>
      </w:r>
      <w:r w:rsidR="00E27608" w:rsidRPr="004F5FB4">
        <w:rPr>
          <w:color w:val="000000"/>
        </w:rPr>
        <w:t> </w:t>
      </w:r>
      <w:r w:rsidRPr="004F5FB4">
        <w:rPr>
          <w:color w:val="000000"/>
        </w:rPr>
        <w:t>Tage verwendet werden.</w:t>
      </w:r>
    </w:p>
    <w:p w14:paraId="1C8304A0" w14:textId="77777777" w:rsidR="00C46587" w:rsidRPr="004F5FB4" w:rsidRDefault="00C46587" w:rsidP="00982118">
      <w:pPr>
        <w:rPr>
          <w:color w:val="000000"/>
        </w:rPr>
      </w:pPr>
    </w:p>
    <w:p w14:paraId="69554171" w14:textId="77777777" w:rsidR="00C46587" w:rsidRPr="004F5FB4" w:rsidRDefault="00C46587" w:rsidP="00DC3A99">
      <w:pPr>
        <w:keepNext/>
        <w:tabs>
          <w:tab w:val="left" w:pos="562"/>
        </w:tabs>
        <w:rPr>
          <w:b/>
          <w:color w:val="000000"/>
        </w:rPr>
      </w:pPr>
      <w:r w:rsidRPr="004F5FB4">
        <w:rPr>
          <w:b/>
          <w:color w:val="000000"/>
        </w:rPr>
        <w:lastRenderedPageBreak/>
        <w:t>6.5</w:t>
      </w:r>
      <w:r w:rsidR="00AA719E" w:rsidRPr="004F5FB4">
        <w:rPr>
          <w:b/>
          <w:color w:val="000000"/>
        </w:rPr>
        <w:tab/>
      </w:r>
      <w:r w:rsidRPr="004F5FB4">
        <w:rPr>
          <w:b/>
          <w:color w:val="000000"/>
        </w:rPr>
        <w:t>Art und Inhalt des Behältnisses</w:t>
      </w:r>
    </w:p>
    <w:p w14:paraId="06BC8BA8" w14:textId="77777777" w:rsidR="00C46587" w:rsidRPr="004F5FB4" w:rsidRDefault="00C46587" w:rsidP="00DC3A99">
      <w:pPr>
        <w:keepNext/>
        <w:rPr>
          <w:color w:val="000000"/>
        </w:rPr>
      </w:pPr>
    </w:p>
    <w:p w14:paraId="0A466C53" w14:textId="77777777" w:rsidR="00C46587" w:rsidRPr="004F5FB4" w:rsidRDefault="006A1144" w:rsidP="00DC3A99">
      <w:pPr>
        <w:keepNext/>
        <w:rPr>
          <w:color w:val="000000"/>
          <w:u w:val="single"/>
        </w:rPr>
      </w:pPr>
      <w:r w:rsidRPr="004F5FB4">
        <w:rPr>
          <w:color w:val="000000"/>
          <w:u w:val="single"/>
        </w:rPr>
        <w:t>Amsparity 40 mg Injektionslösung in einer Fertigspritze</w:t>
      </w:r>
    </w:p>
    <w:p w14:paraId="4AB659C9" w14:textId="77777777" w:rsidR="003D5162" w:rsidRPr="004F5FB4" w:rsidRDefault="003D5162" w:rsidP="00DC3A99">
      <w:pPr>
        <w:keepNext/>
        <w:rPr>
          <w:color w:val="000000"/>
        </w:rPr>
      </w:pPr>
    </w:p>
    <w:p w14:paraId="509F3F3F" w14:textId="77777777" w:rsidR="00C46587" w:rsidRPr="004F5FB4" w:rsidRDefault="006A1144" w:rsidP="00982118">
      <w:pPr>
        <w:rPr>
          <w:color w:val="000000"/>
        </w:rPr>
      </w:pPr>
      <w:r w:rsidRPr="004F5FB4">
        <w:rPr>
          <w:color w:val="000000"/>
        </w:rPr>
        <w:t>Amsparity 40 mg Injektionslösung in einer Fertigspritze (Glasart</w:t>
      </w:r>
      <w:r w:rsidR="00E27608" w:rsidRPr="004F5FB4">
        <w:rPr>
          <w:color w:val="000000"/>
        </w:rPr>
        <w:t> </w:t>
      </w:r>
      <w:r w:rsidRPr="004F5FB4">
        <w:rPr>
          <w:color w:val="000000"/>
        </w:rPr>
        <w:t>I) zum einmaligen Gebrauch mit einem Kolbenstopfen (Chlorbutylgummi) und einer Nadel mit einer Nadelkappe (thermoplastisches Elastomer).</w:t>
      </w:r>
    </w:p>
    <w:p w14:paraId="084A3BD1" w14:textId="77777777" w:rsidR="00C46587" w:rsidRPr="004F5FB4" w:rsidRDefault="00C46587" w:rsidP="00982118">
      <w:pPr>
        <w:rPr>
          <w:color w:val="000000"/>
        </w:rPr>
      </w:pPr>
    </w:p>
    <w:p w14:paraId="22E571EE" w14:textId="77777777" w:rsidR="00C46587" w:rsidRPr="004F5FB4" w:rsidRDefault="00C46587" w:rsidP="00A13AE4">
      <w:pPr>
        <w:keepNext/>
        <w:rPr>
          <w:color w:val="000000"/>
        </w:rPr>
      </w:pPr>
      <w:r w:rsidRPr="004F5FB4">
        <w:rPr>
          <w:color w:val="000000"/>
        </w:rPr>
        <w:t>Packung mit:</w:t>
      </w:r>
    </w:p>
    <w:p w14:paraId="5750895B" w14:textId="77777777" w:rsidR="00C46587" w:rsidRPr="004F5FB4" w:rsidRDefault="00C46587" w:rsidP="00A13AE4">
      <w:pPr>
        <w:keepNext/>
        <w:numPr>
          <w:ilvl w:val="0"/>
          <w:numId w:val="2"/>
        </w:numPr>
        <w:ind w:left="562" w:hanging="562"/>
        <w:rPr>
          <w:color w:val="000000"/>
        </w:rPr>
      </w:pPr>
      <w:r w:rsidRPr="004F5FB4">
        <w:rPr>
          <w:color w:val="000000"/>
        </w:rPr>
        <w:t>1 Fertigspritze (0,8 ml sterile Lösung) mit 2 Alkoholtupfern, jeweils eine Fertigspritze in einer Blisterpackung.</w:t>
      </w:r>
    </w:p>
    <w:p w14:paraId="47B2565A" w14:textId="77777777" w:rsidR="00C46587" w:rsidRPr="004F5FB4" w:rsidRDefault="00C46587" w:rsidP="00A13AE4">
      <w:pPr>
        <w:keepNext/>
        <w:numPr>
          <w:ilvl w:val="0"/>
          <w:numId w:val="2"/>
        </w:numPr>
        <w:ind w:left="562" w:hanging="562"/>
        <w:rPr>
          <w:color w:val="000000"/>
        </w:rPr>
      </w:pPr>
      <w:r w:rsidRPr="004F5FB4">
        <w:rPr>
          <w:color w:val="000000"/>
        </w:rPr>
        <w:t>2 Fertigspritzen (0,8 ml sterile Lösung) mit 2 Alkoholtupfern, jeweils eine Fertigspritze in einer Blisterpackung.</w:t>
      </w:r>
    </w:p>
    <w:p w14:paraId="1FA7A2EC" w14:textId="77777777" w:rsidR="00C46587" w:rsidRPr="004F5FB4" w:rsidRDefault="00C46587" w:rsidP="00982118">
      <w:pPr>
        <w:numPr>
          <w:ilvl w:val="0"/>
          <w:numId w:val="2"/>
        </w:numPr>
        <w:ind w:left="562" w:hanging="562"/>
        <w:rPr>
          <w:color w:val="000000"/>
        </w:rPr>
      </w:pPr>
      <w:r w:rsidRPr="004F5FB4">
        <w:rPr>
          <w:color w:val="000000"/>
        </w:rPr>
        <w:t>4 Fertigspritzen (0,8 ml sterile Lösung) mit 4 Alkoholtupfern, jeweils eine Fertigspritze in einer Blisterpackung.</w:t>
      </w:r>
    </w:p>
    <w:p w14:paraId="7D22049B" w14:textId="77777777" w:rsidR="00C46587" w:rsidRPr="004F5FB4" w:rsidRDefault="00C46587" w:rsidP="00982118">
      <w:pPr>
        <w:numPr>
          <w:ilvl w:val="0"/>
          <w:numId w:val="2"/>
        </w:numPr>
        <w:ind w:left="562" w:hanging="562"/>
        <w:rPr>
          <w:color w:val="000000"/>
        </w:rPr>
      </w:pPr>
      <w:r w:rsidRPr="004F5FB4">
        <w:rPr>
          <w:color w:val="000000"/>
        </w:rPr>
        <w:t>6 Fertigspritzen (0,8 ml sterile Lösung) mit 6 Alkoholtupfern, jeweils eine Fertigspritze in einer Blisterpackung.</w:t>
      </w:r>
    </w:p>
    <w:p w14:paraId="1D17BC73" w14:textId="77777777" w:rsidR="00C46587" w:rsidRPr="004F5FB4" w:rsidRDefault="00C46587" w:rsidP="00982118">
      <w:pPr>
        <w:rPr>
          <w:color w:val="000000"/>
        </w:rPr>
      </w:pPr>
    </w:p>
    <w:p w14:paraId="32A55148" w14:textId="77777777" w:rsidR="00C46587" w:rsidRPr="004F5FB4" w:rsidRDefault="006A1144" w:rsidP="00982118">
      <w:pPr>
        <w:keepNext/>
        <w:rPr>
          <w:color w:val="000000"/>
          <w:u w:val="single"/>
        </w:rPr>
      </w:pPr>
      <w:r w:rsidRPr="004F5FB4">
        <w:rPr>
          <w:color w:val="000000"/>
          <w:u w:val="single"/>
        </w:rPr>
        <w:t>Amsparity 40 mg Injektionslösung im Fertigpen</w:t>
      </w:r>
    </w:p>
    <w:p w14:paraId="0B2C1844" w14:textId="77777777" w:rsidR="003D5162" w:rsidRPr="004F5FB4" w:rsidRDefault="003D5162" w:rsidP="00DC3A99">
      <w:pPr>
        <w:keepNext/>
        <w:rPr>
          <w:color w:val="000000"/>
        </w:rPr>
      </w:pPr>
    </w:p>
    <w:p w14:paraId="35ABABC4" w14:textId="77777777" w:rsidR="00C46587" w:rsidRPr="004F5FB4" w:rsidRDefault="006A1144" w:rsidP="00982118">
      <w:pPr>
        <w:rPr>
          <w:color w:val="000000"/>
        </w:rPr>
      </w:pPr>
      <w:r w:rsidRPr="004F5FB4">
        <w:rPr>
          <w:color w:val="000000"/>
        </w:rPr>
        <w:t>Amsparity 40 mg Injektionslösung im Fertigpen zum einmaligen Gebrauch durch den Patienten enthält eine vorgefüllte Spritze. Die Spritze im Inneren des Pens ist aus Glas (Glasart</w:t>
      </w:r>
      <w:r w:rsidR="00E27608" w:rsidRPr="004F5FB4">
        <w:rPr>
          <w:color w:val="000000"/>
        </w:rPr>
        <w:t> </w:t>
      </w:r>
      <w:r w:rsidRPr="004F5FB4">
        <w:rPr>
          <w:color w:val="000000"/>
        </w:rPr>
        <w:t xml:space="preserve">I) und hat einen Kolbenstopfen (Chlorbutylgummi) und eine Nadel mit einer Nadelkappe (thermoplastisches Elastomer). </w:t>
      </w:r>
    </w:p>
    <w:p w14:paraId="15E9477C" w14:textId="77777777" w:rsidR="00C46587" w:rsidRPr="004F5FB4" w:rsidRDefault="00C46587" w:rsidP="00982118">
      <w:pPr>
        <w:rPr>
          <w:color w:val="000000"/>
        </w:rPr>
      </w:pPr>
    </w:p>
    <w:p w14:paraId="31682C40" w14:textId="77777777" w:rsidR="00C46587" w:rsidRPr="004F5FB4" w:rsidRDefault="00C46587" w:rsidP="00982118">
      <w:pPr>
        <w:rPr>
          <w:color w:val="000000"/>
        </w:rPr>
      </w:pPr>
      <w:r w:rsidRPr="004F5FB4">
        <w:rPr>
          <w:color w:val="000000"/>
        </w:rPr>
        <w:t>Packung mit:</w:t>
      </w:r>
    </w:p>
    <w:p w14:paraId="047662AE" w14:textId="77777777" w:rsidR="00C46587" w:rsidRPr="004F5FB4" w:rsidRDefault="00C46587" w:rsidP="00982118">
      <w:pPr>
        <w:numPr>
          <w:ilvl w:val="0"/>
          <w:numId w:val="2"/>
        </w:numPr>
        <w:ind w:left="562" w:hanging="562"/>
        <w:rPr>
          <w:color w:val="000000"/>
        </w:rPr>
      </w:pPr>
      <w:r w:rsidRPr="004F5FB4">
        <w:rPr>
          <w:color w:val="000000"/>
        </w:rPr>
        <w:t>1 Fertigpen (0,8 ml sterile Lösung) mit 2 Alkoholtupfern.</w:t>
      </w:r>
    </w:p>
    <w:p w14:paraId="4CB44F01" w14:textId="77777777" w:rsidR="00C46587" w:rsidRPr="004F5FB4" w:rsidRDefault="00C46587" w:rsidP="00982118">
      <w:pPr>
        <w:numPr>
          <w:ilvl w:val="0"/>
          <w:numId w:val="2"/>
        </w:numPr>
        <w:ind w:left="562" w:hanging="562"/>
        <w:rPr>
          <w:color w:val="000000"/>
        </w:rPr>
      </w:pPr>
      <w:r w:rsidRPr="004F5FB4">
        <w:rPr>
          <w:color w:val="000000"/>
        </w:rPr>
        <w:t>2 Fertigpens (0,8 ml sterile Lösung) mit 2 Alkoholtupfern.</w:t>
      </w:r>
    </w:p>
    <w:p w14:paraId="3C47B021" w14:textId="77777777" w:rsidR="00C46587" w:rsidRPr="004F5FB4" w:rsidRDefault="00C46587" w:rsidP="00982118">
      <w:pPr>
        <w:numPr>
          <w:ilvl w:val="0"/>
          <w:numId w:val="2"/>
        </w:numPr>
        <w:ind w:left="562" w:hanging="562"/>
        <w:rPr>
          <w:color w:val="000000"/>
        </w:rPr>
      </w:pPr>
      <w:r w:rsidRPr="004F5FB4">
        <w:rPr>
          <w:color w:val="000000"/>
        </w:rPr>
        <w:t>4 Fertigpens (0,8 ml sterile Lösung) mit 4 Alkoholtupfern.</w:t>
      </w:r>
    </w:p>
    <w:p w14:paraId="253CC8DE" w14:textId="77777777" w:rsidR="00C46587" w:rsidRPr="004F5FB4" w:rsidRDefault="00C46587" w:rsidP="00982118">
      <w:pPr>
        <w:numPr>
          <w:ilvl w:val="0"/>
          <w:numId w:val="2"/>
        </w:numPr>
        <w:ind w:left="562" w:hanging="562"/>
        <w:rPr>
          <w:color w:val="000000"/>
        </w:rPr>
      </w:pPr>
      <w:r w:rsidRPr="004F5FB4">
        <w:rPr>
          <w:color w:val="000000"/>
        </w:rPr>
        <w:t>6 Fertigpens (0,8 ml sterile Lösung) mit 6 Alkoholtupfern.</w:t>
      </w:r>
    </w:p>
    <w:p w14:paraId="27F2AF30" w14:textId="77777777" w:rsidR="00C46587" w:rsidRPr="004F5FB4" w:rsidRDefault="00C46587" w:rsidP="00982118">
      <w:pPr>
        <w:rPr>
          <w:color w:val="000000"/>
        </w:rPr>
      </w:pPr>
    </w:p>
    <w:p w14:paraId="2437834E" w14:textId="77777777" w:rsidR="00C46587" w:rsidRPr="004F5FB4" w:rsidRDefault="00C46587" w:rsidP="00982118">
      <w:pPr>
        <w:rPr>
          <w:color w:val="000000"/>
        </w:rPr>
      </w:pPr>
      <w:r w:rsidRPr="004F5FB4">
        <w:rPr>
          <w:color w:val="000000"/>
        </w:rPr>
        <w:t>Es werden möglicherweise nicht alle Aufmachungen oder Packungsgrößen in den Verkehr gebracht.</w:t>
      </w:r>
    </w:p>
    <w:p w14:paraId="00B50A07" w14:textId="77777777" w:rsidR="00C46587" w:rsidRPr="004F5FB4" w:rsidRDefault="00C46587" w:rsidP="00982118">
      <w:pPr>
        <w:rPr>
          <w:color w:val="000000"/>
        </w:rPr>
      </w:pPr>
    </w:p>
    <w:p w14:paraId="3C4E54FB" w14:textId="77777777" w:rsidR="00C46587" w:rsidRPr="004F5FB4" w:rsidRDefault="00C46587" w:rsidP="00DC3A99">
      <w:pPr>
        <w:keepNext/>
        <w:tabs>
          <w:tab w:val="left" w:pos="562"/>
        </w:tabs>
        <w:rPr>
          <w:b/>
          <w:color w:val="000000"/>
        </w:rPr>
      </w:pPr>
      <w:r w:rsidRPr="004F5FB4">
        <w:rPr>
          <w:b/>
          <w:color w:val="000000"/>
        </w:rPr>
        <w:t>6.6</w:t>
      </w:r>
      <w:r w:rsidR="00AA719E" w:rsidRPr="004F5FB4">
        <w:rPr>
          <w:b/>
          <w:color w:val="000000"/>
        </w:rPr>
        <w:tab/>
      </w:r>
      <w:r w:rsidRPr="004F5FB4">
        <w:rPr>
          <w:b/>
          <w:color w:val="000000"/>
        </w:rPr>
        <w:t>Besondere Vorsichtsmaßnahmen für die Beseitigung</w:t>
      </w:r>
    </w:p>
    <w:p w14:paraId="241F01FF" w14:textId="77777777" w:rsidR="00C46587" w:rsidRPr="004F5FB4" w:rsidRDefault="00C46587" w:rsidP="00DC3A99">
      <w:pPr>
        <w:keepNext/>
        <w:rPr>
          <w:color w:val="000000"/>
        </w:rPr>
      </w:pPr>
    </w:p>
    <w:p w14:paraId="549C464A" w14:textId="77777777" w:rsidR="00C46587" w:rsidRPr="004F5FB4" w:rsidRDefault="00C46587" w:rsidP="00982118">
      <w:pPr>
        <w:rPr>
          <w:color w:val="000000"/>
        </w:rPr>
      </w:pPr>
      <w:r w:rsidRPr="004F5FB4">
        <w:rPr>
          <w:color w:val="000000"/>
        </w:rPr>
        <w:t>Nicht verwendetes Arzneimittel oder Abfallmaterial ist entsprechend den nationalen Anforderungen zu beseitigen.</w:t>
      </w:r>
    </w:p>
    <w:p w14:paraId="0A4156A2" w14:textId="77777777" w:rsidR="00AA0F18" w:rsidRPr="004F5FB4" w:rsidRDefault="00AA0F18" w:rsidP="00982118">
      <w:pPr>
        <w:rPr>
          <w:color w:val="000000"/>
        </w:rPr>
      </w:pPr>
    </w:p>
    <w:p w14:paraId="07A53EDA" w14:textId="77777777" w:rsidR="00515300" w:rsidRPr="004F5FB4" w:rsidRDefault="00515300" w:rsidP="00982118">
      <w:pPr>
        <w:rPr>
          <w:color w:val="000000"/>
        </w:rPr>
      </w:pPr>
    </w:p>
    <w:p w14:paraId="6968D4EF" w14:textId="77777777" w:rsidR="00AA0F18" w:rsidRPr="004F5FB4" w:rsidRDefault="00AA0F18" w:rsidP="00AB6188">
      <w:pPr>
        <w:keepNext/>
        <w:tabs>
          <w:tab w:val="left" w:pos="562"/>
        </w:tabs>
        <w:rPr>
          <w:b/>
          <w:color w:val="000000"/>
        </w:rPr>
      </w:pPr>
      <w:r w:rsidRPr="004F5FB4">
        <w:rPr>
          <w:b/>
          <w:color w:val="000000"/>
        </w:rPr>
        <w:t>7</w:t>
      </w:r>
      <w:r w:rsidRPr="004F5FB4">
        <w:rPr>
          <w:b/>
          <w:color w:val="000000"/>
        </w:rPr>
        <w:tab/>
        <w:t>INHABER DER ZULASSUNG</w:t>
      </w:r>
    </w:p>
    <w:p w14:paraId="75BDC750" w14:textId="77777777" w:rsidR="00AA0F18" w:rsidRPr="00C325BF" w:rsidRDefault="00AA0F18" w:rsidP="00AB6188">
      <w:pPr>
        <w:keepNext/>
        <w:rPr>
          <w:color w:val="000000"/>
        </w:rPr>
      </w:pPr>
    </w:p>
    <w:p w14:paraId="0C9436E3" w14:textId="77777777" w:rsidR="00792CD9" w:rsidRPr="004F5FB4" w:rsidRDefault="00792CD9" w:rsidP="00AB6188">
      <w:pPr>
        <w:pStyle w:val="Default"/>
        <w:keepNext/>
        <w:widowControl/>
        <w:rPr>
          <w:sz w:val="22"/>
          <w:szCs w:val="22"/>
        </w:rPr>
      </w:pPr>
      <w:r w:rsidRPr="004F5FB4">
        <w:rPr>
          <w:sz w:val="22"/>
          <w:szCs w:val="22"/>
        </w:rPr>
        <w:t>Pfizer Europe MA EEIG</w:t>
      </w:r>
    </w:p>
    <w:p w14:paraId="2D0A4874" w14:textId="77777777" w:rsidR="00693760" w:rsidRPr="00C325BF" w:rsidRDefault="00693760" w:rsidP="00AB6188">
      <w:pPr>
        <w:pStyle w:val="BodyText"/>
        <w:keepNext/>
        <w:widowControl/>
        <w:kinsoku w:val="0"/>
        <w:overflowPunct w:val="0"/>
        <w:ind w:left="0"/>
        <w:rPr>
          <w:color w:val="000000"/>
          <w:lang w:val="fr-FR"/>
        </w:rPr>
      </w:pPr>
      <w:r w:rsidRPr="00C325BF">
        <w:rPr>
          <w:color w:val="000000"/>
          <w:lang w:val="fr-FR"/>
        </w:rPr>
        <w:t>Boulevard de la Plaine 17</w:t>
      </w:r>
    </w:p>
    <w:p w14:paraId="7E8A677F" w14:textId="77777777" w:rsidR="00693760" w:rsidRPr="00C325BF" w:rsidRDefault="00693760" w:rsidP="00AB6188">
      <w:pPr>
        <w:pStyle w:val="BodyText"/>
        <w:keepNext/>
        <w:widowControl/>
        <w:kinsoku w:val="0"/>
        <w:overflowPunct w:val="0"/>
        <w:ind w:left="0"/>
        <w:rPr>
          <w:color w:val="000000"/>
          <w:lang w:val="fr-FR"/>
        </w:rPr>
      </w:pPr>
      <w:r w:rsidRPr="00C325BF">
        <w:rPr>
          <w:color w:val="000000"/>
          <w:lang w:val="fr-FR"/>
        </w:rPr>
        <w:t xml:space="preserve">1050 </w:t>
      </w:r>
      <w:proofErr w:type="spellStart"/>
      <w:r w:rsidRPr="00C325BF">
        <w:rPr>
          <w:color w:val="000000"/>
          <w:lang w:val="fr-FR"/>
        </w:rPr>
        <w:t>Br</w:t>
      </w:r>
      <w:r w:rsidR="000A4A21" w:rsidRPr="00C325BF">
        <w:rPr>
          <w:color w:val="000000"/>
          <w:lang w:val="fr-FR"/>
        </w:rPr>
        <w:t>üssel</w:t>
      </w:r>
      <w:proofErr w:type="spellEnd"/>
    </w:p>
    <w:p w14:paraId="1EB17FC8" w14:textId="77777777" w:rsidR="00693760" w:rsidRPr="00C325BF" w:rsidRDefault="00693760" w:rsidP="00AB6188">
      <w:pPr>
        <w:pStyle w:val="BodyText"/>
        <w:keepNext/>
        <w:widowControl/>
        <w:kinsoku w:val="0"/>
        <w:overflowPunct w:val="0"/>
        <w:ind w:left="0"/>
        <w:rPr>
          <w:color w:val="000000"/>
          <w:lang w:val="fr-FR"/>
        </w:rPr>
      </w:pPr>
      <w:proofErr w:type="spellStart"/>
      <w:r w:rsidRPr="00C325BF">
        <w:rPr>
          <w:color w:val="000000"/>
          <w:lang w:val="fr-FR"/>
        </w:rPr>
        <w:t>Belgien</w:t>
      </w:r>
      <w:proofErr w:type="spellEnd"/>
    </w:p>
    <w:p w14:paraId="1A7FCCE3" w14:textId="77777777" w:rsidR="00AA0F18" w:rsidRPr="00C325BF" w:rsidRDefault="00AA0F18" w:rsidP="00982118">
      <w:pPr>
        <w:rPr>
          <w:color w:val="000000"/>
          <w:lang w:val="fr-FR"/>
        </w:rPr>
      </w:pPr>
    </w:p>
    <w:p w14:paraId="33E3E0E7" w14:textId="77777777" w:rsidR="00AA0F18" w:rsidRPr="00C325BF" w:rsidRDefault="00AA0F18" w:rsidP="00982118">
      <w:pPr>
        <w:rPr>
          <w:color w:val="000000"/>
          <w:lang w:val="fr-FR"/>
        </w:rPr>
      </w:pPr>
    </w:p>
    <w:p w14:paraId="4837DFD9" w14:textId="77777777" w:rsidR="00AA0F18" w:rsidRPr="004F5FB4" w:rsidRDefault="00AA0F18" w:rsidP="00DC3A99">
      <w:pPr>
        <w:keepNext/>
        <w:tabs>
          <w:tab w:val="left" w:pos="562"/>
        </w:tabs>
        <w:rPr>
          <w:b/>
          <w:color w:val="000000"/>
        </w:rPr>
      </w:pPr>
      <w:r w:rsidRPr="004F5FB4">
        <w:rPr>
          <w:b/>
          <w:color w:val="000000"/>
        </w:rPr>
        <w:t>8</w:t>
      </w:r>
      <w:r w:rsidRPr="004F5FB4">
        <w:rPr>
          <w:b/>
          <w:color w:val="000000"/>
        </w:rPr>
        <w:tab/>
        <w:t xml:space="preserve">ZULASSUNGSNUMMERN </w:t>
      </w:r>
    </w:p>
    <w:p w14:paraId="2293712F" w14:textId="77777777" w:rsidR="00AA0F18" w:rsidRPr="004F5FB4" w:rsidRDefault="00AA0F18" w:rsidP="00DC3A99">
      <w:pPr>
        <w:keepNext/>
        <w:rPr>
          <w:color w:val="000000"/>
        </w:rPr>
      </w:pPr>
    </w:p>
    <w:p w14:paraId="0D69DA64" w14:textId="77777777" w:rsidR="00AA0F18" w:rsidRPr="004F5FB4" w:rsidRDefault="006A1144" w:rsidP="00A924EE">
      <w:pPr>
        <w:keepNext/>
        <w:rPr>
          <w:color w:val="000000"/>
          <w:u w:val="single"/>
        </w:rPr>
      </w:pPr>
      <w:r w:rsidRPr="004F5FB4">
        <w:rPr>
          <w:color w:val="000000"/>
          <w:u w:val="single"/>
        </w:rPr>
        <w:t>Amsparity 40 mg Injektionslösung in einer Fertigspritze</w:t>
      </w:r>
    </w:p>
    <w:p w14:paraId="30EBD84A" w14:textId="77777777" w:rsidR="00A924EE" w:rsidRPr="004F5FB4" w:rsidRDefault="00A924EE" w:rsidP="00A924EE">
      <w:pPr>
        <w:keepNext/>
        <w:rPr>
          <w:color w:val="000000"/>
          <w:u w:val="single"/>
        </w:rPr>
      </w:pPr>
    </w:p>
    <w:p w14:paraId="62D55DEE" w14:textId="77777777" w:rsidR="006D7BDA" w:rsidRPr="004F5FB4" w:rsidRDefault="006D7BDA" w:rsidP="006D7BDA">
      <w:pPr>
        <w:rPr>
          <w:color w:val="000000"/>
        </w:rPr>
      </w:pPr>
      <w:r w:rsidRPr="004F5FB4">
        <w:rPr>
          <w:color w:val="000000"/>
        </w:rPr>
        <w:t>EU/1/19/1415/003</w:t>
      </w:r>
    </w:p>
    <w:p w14:paraId="2E816581" w14:textId="77777777" w:rsidR="006D7BDA" w:rsidRPr="004F5FB4" w:rsidRDefault="006D7BDA" w:rsidP="006D7BDA">
      <w:pPr>
        <w:rPr>
          <w:color w:val="000000"/>
        </w:rPr>
      </w:pPr>
      <w:r w:rsidRPr="004F5FB4">
        <w:rPr>
          <w:color w:val="000000"/>
        </w:rPr>
        <w:t>EU/1/19/1415/004</w:t>
      </w:r>
    </w:p>
    <w:p w14:paraId="351FCAE0" w14:textId="77777777" w:rsidR="006D7BDA" w:rsidRPr="004F5FB4" w:rsidRDefault="006D7BDA" w:rsidP="006D7BDA">
      <w:pPr>
        <w:rPr>
          <w:color w:val="000000"/>
        </w:rPr>
      </w:pPr>
      <w:r w:rsidRPr="004F5FB4">
        <w:rPr>
          <w:color w:val="000000"/>
        </w:rPr>
        <w:t>EU/1/19/1415/005</w:t>
      </w:r>
    </w:p>
    <w:p w14:paraId="1FB6B204" w14:textId="77777777" w:rsidR="006D7BDA" w:rsidRPr="004F5FB4" w:rsidRDefault="006D7BDA" w:rsidP="006D7BDA">
      <w:pPr>
        <w:rPr>
          <w:color w:val="000000"/>
        </w:rPr>
      </w:pPr>
      <w:r w:rsidRPr="004F5FB4">
        <w:rPr>
          <w:color w:val="000000"/>
        </w:rPr>
        <w:t>EU/1/19/1415/006</w:t>
      </w:r>
    </w:p>
    <w:p w14:paraId="3ED81799" w14:textId="77777777" w:rsidR="00AA0F18" w:rsidRPr="00C325BF" w:rsidRDefault="00AA0F18" w:rsidP="00982118">
      <w:pPr>
        <w:rPr>
          <w:color w:val="000000"/>
        </w:rPr>
      </w:pPr>
    </w:p>
    <w:p w14:paraId="030E21C0" w14:textId="77777777" w:rsidR="00AA0F18" w:rsidRPr="004F5FB4" w:rsidRDefault="006A1144" w:rsidP="00A924EE">
      <w:pPr>
        <w:keepNext/>
        <w:rPr>
          <w:color w:val="000000"/>
          <w:u w:val="single"/>
        </w:rPr>
      </w:pPr>
      <w:r w:rsidRPr="004F5FB4">
        <w:rPr>
          <w:color w:val="000000"/>
          <w:u w:val="single"/>
        </w:rPr>
        <w:lastRenderedPageBreak/>
        <w:t>Amsparity 40 mg Injektionslösung im Fertigpen</w:t>
      </w:r>
    </w:p>
    <w:p w14:paraId="50317C12" w14:textId="77777777" w:rsidR="00A924EE" w:rsidRPr="00C325BF" w:rsidRDefault="00A924EE" w:rsidP="00A924EE">
      <w:pPr>
        <w:keepNext/>
        <w:rPr>
          <w:color w:val="000000"/>
          <w:u w:val="single"/>
        </w:rPr>
      </w:pPr>
    </w:p>
    <w:p w14:paraId="157196A9" w14:textId="77777777" w:rsidR="006D7BDA" w:rsidRPr="004F5FB4" w:rsidRDefault="006D7BDA" w:rsidP="006D7BDA">
      <w:pPr>
        <w:rPr>
          <w:color w:val="000000"/>
        </w:rPr>
      </w:pPr>
      <w:r w:rsidRPr="004F5FB4">
        <w:rPr>
          <w:color w:val="000000"/>
        </w:rPr>
        <w:t>EU/1/19/1415/007</w:t>
      </w:r>
    </w:p>
    <w:p w14:paraId="41AD8CE3" w14:textId="77777777" w:rsidR="006D7BDA" w:rsidRPr="004F5FB4" w:rsidRDefault="006D7BDA" w:rsidP="006D7BDA">
      <w:pPr>
        <w:rPr>
          <w:color w:val="000000"/>
        </w:rPr>
      </w:pPr>
      <w:r w:rsidRPr="004F5FB4">
        <w:rPr>
          <w:color w:val="000000"/>
        </w:rPr>
        <w:t>EU/1/19/1415/008</w:t>
      </w:r>
    </w:p>
    <w:p w14:paraId="3A02C2D9" w14:textId="77777777" w:rsidR="006D7BDA" w:rsidRPr="006A4773" w:rsidRDefault="006D7BDA" w:rsidP="006D7BDA">
      <w:pPr>
        <w:rPr>
          <w:color w:val="000000"/>
        </w:rPr>
      </w:pPr>
      <w:r w:rsidRPr="006A4773">
        <w:rPr>
          <w:color w:val="000000"/>
        </w:rPr>
        <w:t>EU/1/19/1415/009</w:t>
      </w:r>
    </w:p>
    <w:p w14:paraId="16F9C544" w14:textId="77777777" w:rsidR="006D7BDA" w:rsidRPr="006A4773" w:rsidRDefault="006D7BDA" w:rsidP="006D7BDA">
      <w:pPr>
        <w:rPr>
          <w:color w:val="000000"/>
        </w:rPr>
      </w:pPr>
      <w:r w:rsidRPr="006A4773">
        <w:rPr>
          <w:color w:val="000000"/>
        </w:rPr>
        <w:t>EU/1/19/1415/010</w:t>
      </w:r>
    </w:p>
    <w:p w14:paraId="071191A8" w14:textId="77777777" w:rsidR="00AA0F18" w:rsidRPr="00C325BF" w:rsidRDefault="00AA0F18" w:rsidP="00982118">
      <w:pPr>
        <w:rPr>
          <w:color w:val="000000"/>
        </w:rPr>
      </w:pPr>
    </w:p>
    <w:p w14:paraId="480D863D" w14:textId="77777777" w:rsidR="002803DB" w:rsidRPr="00C325BF" w:rsidRDefault="002803DB" w:rsidP="00982118">
      <w:pPr>
        <w:rPr>
          <w:color w:val="000000"/>
        </w:rPr>
      </w:pPr>
    </w:p>
    <w:p w14:paraId="49E3B271" w14:textId="77777777" w:rsidR="00AA0F18" w:rsidRPr="004F5FB4" w:rsidRDefault="00AA0F18" w:rsidP="00A924EE">
      <w:pPr>
        <w:keepNext/>
        <w:tabs>
          <w:tab w:val="left" w:pos="562"/>
        </w:tabs>
        <w:rPr>
          <w:b/>
          <w:color w:val="000000"/>
        </w:rPr>
      </w:pPr>
      <w:r w:rsidRPr="004F5FB4">
        <w:rPr>
          <w:b/>
          <w:color w:val="000000"/>
        </w:rPr>
        <w:t>9</w:t>
      </w:r>
      <w:r w:rsidRPr="004F5FB4">
        <w:rPr>
          <w:b/>
          <w:color w:val="000000"/>
        </w:rPr>
        <w:tab/>
        <w:t>DATUM DER ERTEILUNG DER ZULASSUNG/VERLÄNGERUNG DER ZULASSUNG</w:t>
      </w:r>
    </w:p>
    <w:p w14:paraId="3F41828D" w14:textId="77777777" w:rsidR="00AA0F18" w:rsidRPr="004F5FB4" w:rsidRDefault="00AA0F18" w:rsidP="00A924EE">
      <w:pPr>
        <w:keepNext/>
        <w:rPr>
          <w:color w:val="000000"/>
        </w:rPr>
      </w:pPr>
    </w:p>
    <w:p w14:paraId="4F3A2B78" w14:textId="77777777" w:rsidR="00621663" w:rsidRDefault="00621663" w:rsidP="00982118">
      <w:pPr>
        <w:ind w:left="90"/>
        <w:rPr>
          <w:color w:val="000000"/>
        </w:rPr>
      </w:pPr>
      <w:r w:rsidRPr="004F5FB4">
        <w:rPr>
          <w:color w:val="000000"/>
        </w:rPr>
        <w:t xml:space="preserve">Datum der Erteilung der Zulassung: </w:t>
      </w:r>
      <w:r w:rsidR="00FC600D">
        <w:rPr>
          <w:color w:val="000000"/>
        </w:rPr>
        <w:t>13. Februar 2020</w:t>
      </w:r>
    </w:p>
    <w:p w14:paraId="00C0CF9C" w14:textId="08B70D63" w:rsidR="00813EAE" w:rsidRPr="004F5FB4" w:rsidRDefault="00813EAE" w:rsidP="00982118">
      <w:pPr>
        <w:ind w:left="90"/>
        <w:rPr>
          <w:i/>
          <w:color w:val="000000"/>
        </w:rPr>
      </w:pPr>
      <w:r>
        <w:rPr>
          <w:color w:val="000000"/>
        </w:rPr>
        <w:t>Datum der letzten Verlängerung der Zulassung:</w:t>
      </w:r>
      <w:r w:rsidR="008776EE">
        <w:rPr>
          <w:color w:val="000000"/>
        </w:rPr>
        <w:t xml:space="preserve"> 19. September 2024</w:t>
      </w:r>
    </w:p>
    <w:p w14:paraId="05A2890B" w14:textId="77777777" w:rsidR="00AA0F18" w:rsidRPr="004F5FB4" w:rsidRDefault="00AA0F18" w:rsidP="00982118">
      <w:pPr>
        <w:rPr>
          <w:color w:val="000000"/>
        </w:rPr>
      </w:pPr>
    </w:p>
    <w:p w14:paraId="4770146E" w14:textId="77777777" w:rsidR="00AA0F18" w:rsidRPr="004F5FB4" w:rsidRDefault="00AA0F18" w:rsidP="00982118">
      <w:pPr>
        <w:rPr>
          <w:color w:val="000000"/>
        </w:rPr>
      </w:pPr>
    </w:p>
    <w:p w14:paraId="31CCAAF6" w14:textId="77777777" w:rsidR="00AA0F18" w:rsidRPr="004F5FB4" w:rsidRDefault="00AA0F18" w:rsidP="00982118">
      <w:pPr>
        <w:keepNext/>
        <w:tabs>
          <w:tab w:val="left" w:pos="562"/>
        </w:tabs>
        <w:rPr>
          <w:b/>
          <w:color w:val="000000"/>
        </w:rPr>
      </w:pPr>
      <w:r w:rsidRPr="004F5FB4">
        <w:rPr>
          <w:b/>
          <w:color w:val="000000"/>
        </w:rPr>
        <w:t>10</w:t>
      </w:r>
      <w:r w:rsidRPr="004F5FB4">
        <w:rPr>
          <w:b/>
          <w:color w:val="000000"/>
        </w:rPr>
        <w:tab/>
        <w:t>STAND DER INFORMATION</w:t>
      </w:r>
    </w:p>
    <w:p w14:paraId="13C76188" w14:textId="77777777" w:rsidR="00AA0F18" w:rsidRPr="004F5FB4" w:rsidRDefault="00AA0F18" w:rsidP="00982118">
      <w:pPr>
        <w:keepNext/>
        <w:rPr>
          <w:color w:val="000000"/>
        </w:rPr>
      </w:pPr>
    </w:p>
    <w:p w14:paraId="62F560CA" w14:textId="4402C6EA" w:rsidR="00C46587" w:rsidRPr="004F5FB4" w:rsidRDefault="00AA0F18" w:rsidP="00982118">
      <w:pPr>
        <w:rPr>
          <w:color w:val="000000"/>
        </w:rPr>
      </w:pPr>
      <w:r w:rsidRPr="004F5FB4">
        <w:rPr>
          <w:color w:val="000000"/>
        </w:rPr>
        <w:t xml:space="preserve">Ausführliche Informationen zu diesem Arzneimittel sind auf den Internetseiten der Europäischen Arzneimittel-Agentur </w:t>
      </w:r>
      <w:r w:rsidR="00634610">
        <w:fldChar w:fldCharType="begin"/>
      </w:r>
      <w:r w:rsidR="00634610">
        <w:instrText>HYPERLINK "https://www.ema.europa.eu"</w:instrText>
      </w:r>
      <w:r w:rsidR="00634610">
        <w:fldChar w:fldCharType="separate"/>
      </w:r>
      <w:r w:rsidR="00634610" w:rsidRPr="00281A9A">
        <w:rPr>
          <w:rStyle w:val="Hyperlink"/>
        </w:rPr>
        <w:t>https://www.ema.europa.eu</w:t>
      </w:r>
      <w:r w:rsidR="00634610">
        <w:fldChar w:fldCharType="end"/>
      </w:r>
      <w:r w:rsidR="007A64A1">
        <w:t xml:space="preserve"> </w:t>
      </w:r>
      <w:r w:rsidRPr="004F5FB4">
        <w:rPr>
          <w:color w:val="000000"/>
        </w:rPr>
        <w:t>verfügbar.</w:t>
      </w:r>
    </w:p>
    <w:p w14:paraId="7A8F2309" w14:textId="77777777" w:rsidR="00C46587" w:rsidRPr="004F5FB4" w:rsidRDefault="00C46587" w:rsidP="00982118">
      <w:pPr>
        <w:rPr>
          <w:color w:val="000000"/>
        </w:rPr>
      </w:pPr>
      <w:r w:rsidRPr="004F5FB4">
        <w:rPr>
          <w:color w:val="000000"/>
        </w:rPr>
        <w:br w:type="page"/>
      </w:r>
    </w:p>
    <w:p w14:paraId="6040018F" w14:textId="77777777" w:rsidR="00C46587" w:rsidRPr="004F5FB4" w:rsidRDefault="00C46587" w:rsidP="00982118">
      <w:pPr>
        <w:rPr>
          <w:color w:val="000000"/>
        </w:rPr>
      </w:pPr>
    </w:p>
    <w:p w14:paraId="1288BD5E" w14:textId="77777777" w:rsidR="00C46587" w:rsidRPr="004F5FB4" w:rsidRDefault="00C46587" w:rsidP="00982118">
      <w:pPr>
        <w:rPr>
          <w:color w:val="000000"/>
        </w:rPr>
      </w:pPr>
    </w:p>
    <w:p w14:paraId="22D580A3" w14:textId="77777777" w:rsidR="00C46587" w:rsidRPr="004F5FB4" w:rsidRDefault="00C46587" w:rsidP="00982118">
      <w:pPr>
        <w:rPr>
          <w:color w:val="000000"/>
        </w:rPr>
      </w:pPr>
    </w:p>
    <w:p w14:paraId="73B4BD9C" w14:textId="77777777" w:rsidR="00C46587" w:rsidRPr="004F5FB4" w:rsidRDefault="00C46587" w:rsidP="00982118">
      <w:pPr>
        <w:rPr>
          <w:color w:val="000000"/>
        </w:rPr>
      </w:pPr>
    </w:p>
    <w:p w14:paraId="77DB060D" w14:textId="77777777" w:rsidR="00C46587" w:rsidRPr="004F5FB4" w:rsidRDefault="00C46587" w:rsidP="00982118">
      <w:pPr>
        <w:rPr>
          <w:color w:val="000000"/>
        </w:rPr>
      </w:pPr>
    </w:p>
    <w:p w14:paraId="28840EA5" w14:textId="77777777" w:rsidR="00C46587" w:rsidRPr="004F5FB4" w:rsidRDefault="00C46587" w:rsidP="00982118">
      <w:pPr>
        <w:rPr>
          <w:color w:val="000000"/>
        </w:rPr>
      </w:pPr>
    </w:p>
    <w:p w14:paraId="6D329566" w14:textId="77777777" w:rsidR="00C46587" w:rsidRPr="004F5FB4" w:rsidRDefault="00C46587" w:rsidP="00982118">
      <w:pPr>
        <w:rPr>
          <w:color w:val="000000"/>
        </w:rPr>
      </w:pPr>
    </w:p>
    <w:p w14:paraId="489A5281" w14:textId="77777777" w:rsidR="00C46587" w:rsidRPr="004F5FB4" w:rsidRDefault="00C46587" w:rsidP="00982118">
      <w:pPr>
        <w:rPr>
          <w:color w:val="000000"/>
        </w:rPr>
      </w:pPr>
    </w:p>
    <w:p w14:paraId="635C00CB" w14:textId="77777777" w:rsidR="00C46587" w:rsidRPr="004F5FB4" w:rsidRDefault="00C46587" w:rsidP="00982118">
      <w:pPr>
        <w:rPr>
          <w:color w:val="000000"/>
        </w:rPr>
      </w:pPr>
    </w:p>
    <w:p w14:paraId="5B975518" w14:textId="77777777" w:rsidR="00C46587" w:rsidRPr="004F5FB4" w:rsidRDefault="00C46587" w:rsidP="00982118">
      <w:pPr>
        <w:rPr>
          <w:color w:val="000000"/>
        </w:rPr>
      </w:pPr>
    </w:p>
    <w:p w14:paraId="57A86264" w14:textId="77777777" w:rsidR="00C46587" w:rsidRPr="004F5FB4" w:rsidRDefault="00C46587" w:rsidP="00982118">
      <w:pPr>
        <w:rPr>
          <w:color w:val="000000"/>
        </w:rPr>
      </w:pPr>
    </w:p>
    <w:p w14:paraId="71D38D03" w14:textId="77777777" w:rsidR="00C46587" w:rsidRPr="004F5FB4" w:rsidRDefault="00C46587" w:rsidP="00982118">
      <w:pPr>
        <w:rPr>
          <w:color w:val="000000"/>
        </w:rPr>
      </w:pPr>
    </w:p>
    <w:p w14:paraId="5BD5A180" w14:textId="77777777" w:rsidR="00C46587" w:rsidRPr="004F5FB4" w:rsidRDefault="00C46587" w:rsidP="00982118">
      <w:pPr>
        <w:rPr>
          <w:color w:val="000000"/>
        </w:rPr>
      </w:pPr>
    </w:p>
    <w:p w14:paraId="2DA19D9E" w14:textId="77777777" w:rsidR="00C46587" w:rsidRPr="004F5FB4" w:rsidRDefault="00C46587" w:rsidP="00982118">
      <w:pPr>
        <w:rPr>
          <w:color w:val="000000"/>
        </w:rPr>
      </w:pPr>
    </w:p>
    <w:p w14:paraId="2C288261" w14:textId="77777777" w:rsidR="00C46587" w:rsidRPr="004F5FB4" w:rsidRDefault="00C46587" w:rsidP="00982118">
      <w:pPr>
        <w:rPr>
          <w:color w:val="000000"/>
        </w:rPr>
      </w:pPr>
    </w:p>
    <w:p w14:paraId="291E7DC2" w14:textId="77777777" w:rsidR="00C46587" w:rsidRPr="004F5FB4" w:rsidRDefault="00C46587" w:rsidP="00982118">
      <w:pPr>
        <w:rPr>
          <w:color w:val="000000"/>
        </w:rPr>
      </w:pPr>
    </w:p>
    <w:p w14:paraId="11CB5000" w14:textId="77777777" w:rsidR="00C46587" w:rsidRPr="004F5FB4" w:rsidRDefault="00C46587" w:rsidP="00982118">
      <w:pPr>
        <w:rPr>
          <w:color w:val="000000"/>
        </w:rPr>
      </w:pPr>
    </w:p>
    <w:p w14:paraId="3FC8BF48" w14:textId="77777777" w:rsidR="00C46587" w:rsidRPr="004F5FB4" w:rsidRDefault="00C46587" w:rsidP="00982118">
      <w:pPr>
        <w:rPr>
          <w:color w:val="000000"/>
        </w:rPr>
      </w:pPr>
    </w:p>
    <w:p w14:paraId="135EF83D" w14:textId="77777777" w:rsidR="00C46587" w:rsidRPr="004F5FB4" w:rsidRDefault="00C46587" w:rsidP="00982118">
      <w:pPr>
        <w:rPr>
          <w:color w:val="000000"/>
        </w:rPr>
      </w:pPr>
    </w:p>
    <w:p w14:paraId="3D65EFC9" w14:textId="77777777" w:rsidR="00C46587" w:rsidRPr="004F5FB4" w:rsidRDefault="00C46587" w:rsidP="00982118">
      <w:pPr>
        <w:rPr>
          <w:color w:val="000000"/>
        </w:rPr>
      </w:pPr>
    </w:p>
    <w:p w14:paraId="0AACD1A2" w14:textId="77777777" w:rsidR="00C46587" w:rsidRPr="004F5FB4" w:rsidRDefault="00C46587" w:rsidP="00982118">
      <w:pPr>
        <w:rPr>
          <w:color w:val="000000"/>
        </w:rPr>
      </w:pPr>
    </w:p>
    <w:p w14:paraId="22F2DEA3" w14:textId="77777777" w:rsidR="00C46587" w:rsidRPr="004F5FB4" w:rsidRDefault="00C46587" w:rsidP="00982118">
      <w:pPr>
        <w:rPr>
          <w:color w:val="000000"/>
        </w:rPr>
      </w:pPr>
    </w:p>
    <w:p w14:paraId="68150986" w14:textId="77777777" w:rsidR="00421D5B" w:rsidRDefault="00421D5B" w:rsidP="00206AEA">
      <w:pPr>
        <w:jc w:val="center"/>
        <w:rPr>
          <w:b/>
          <w:color w:val="000000"/>
        </w:rPr>
      </w:pPr>
    </w:p>
    <w:p w14:paraId="5A53E230" w14:textId="62F83BA5" w:rsidR="00C46587" w:rsidRPr="004F5FB4" w:rsidRDefault="00C46587" w:rsidP="00206AEA">
      <w:pPr>
        <w:jc w:val="center"/>
        <w:rPr>
          <w:b/>
          <w:color w:val="000000"/>
        </w:rPr>
      </w:pPr>
      <w:r w:rsidRPr="004F5FB4">
        <w:rPr>
          <w:b/>
          <w:color w:val="000000"/>
        </w:rPr>
        <w:t>ANHANG II</w:t>
      </w:r>
    </w:p>
    <w:p w14:paraId="5F193682" w14:textId="77777777" w:rsidR="00C46587" w:rsidRPr="004F5FB4" w:rsidRDefault="00C46587" w:rsidP="00982118">
      <w:pPr>
        <w:tabs>
          <w:tab w:val="left" w:pos="567"/>
        </w:tabs>
        <w:ind w:right="1416"/>
        <w:rPr>
          <w:color w:val="000000"/>
        </w:rPr>
      </w:pPr>
    </w:p>
    <w:p w14:paraId="654D08B8" w14:textId="77777777" w:rsidR="00C46587" w:rsidRPr="004F5FB4" w:rsidRDefault="00C46587" w:rsidP="00982118">
      <w:pPr>
        <w:tabs>
          <w:tab w:val="left" w:pos="567"/>
        </w:tabs>
        <w:ind w:left="1701" w:right="1416" w:hanging="708"/>
        <w:rPr>
          <w:b/>
          <w:color w:val="000000"/>
        </w:rPr>
      </w:pPr>
      <w:r w:rsidRPr="004F5FB4">
        <w:rPr>
          <w:b/>
          <w:color w:val="000000"/>
        </w:rPr>
        <w:t>A.</w:t>
      </w:r>
      <w:r w:rsidRPr="004F5FB4">
        <w:rPr>
          <w:b/>
          <w:color w:val="000000"/>
        </w:rPr>
        <w:tab/>
        <w:t xml:space="preserve">HERSTELLER DES WIRKSTOFFS BIOLOGISCHEN URSPRUNGS UND HERSTELLER, </w:t>
      </w:r>
      <w:r w:rsidR="00D83438" w:rsidRPr="004F5FB4">
        <w:rPr>
          <w:b/>
          <w:color w:val="000000"/>
        </w:rPr>
        <w:t xml:space="preserve">DER </w:t>
      </w:r>
      <w:r w:rsidRPr="004F5FB4">
        <w:rPr>
          <w:b/>
          <w:color w:val="000000"/>
        </w:rPr>
        <w:t xml:space="preserve">FÜR DIE CHARGENFREIGABE VERANTWORTLICH </w:t>
      </w:r>
      <w:r w:rsidR="00D83438" w:rsidRPr="004F5FB4">
        <w:rPr>
          <w:b/>
          <w:color w:val="000000"/>
        </w:rPr>
        <w:t>IST</w:t>
      </w:r>
    </w:p>
    <w:p w14:paraId="57545F79" w14:textId="77777777" w:rsidR="00C46587" w:rsidRPr="004F5FB4" w:rsidRDefault="00C46587" w:rsidP="00982118">
      <w:pPr>
        <w:tabs>
          <w:tab w:val="left" w:pos="567"/>
        </w:tabs>
        <w:ind w:left="567" w:hanging="567"/>
        <w:rPr>
          <w:color w:val="000000"/>
        </w:rPr>
      </w:pPr>
    </w:p>
    <w:p w14:paraId="5ADF7C9F" w14:textId="77777777" w:rsidR="00C46587" w:rsidRPr="004F5FB4" w:rsidRDefault="00C46587" w:rsidP="00982118">
      <w:pPr>
        <w:tabs>
          <w:tab w:val="left" w:pos="567"/>
        </w:tabs>
        <w:ind w:left="1701" w:right="1418" w:hanging="709"/>
        <w:rPr>
          <w:b/>
          <w:color w:val="000000"/>
        </w:rPr>
      </w:pPr>
      <w:r w:rsidRPr="004F5FB4">
        <w:rPr>
          <w:b/>
          <w:color w:val="000000"/>
        </w:rPr>
        <w:t>B.</w:t>
      </w:r>
      <w:r w:rsidRPr="004F5FB4">
        <w:rPr>
          <w:b/>
          <w:color w:val="000000"/>
        </w:rPr>
        <w:tab/>
        <w:t>BEDINGUNGEN ODER EINSCHRÄNKUNGEN FÜR DIE ABGABE UND DEN GEBRAUCH</w:t>
      </w:r>
    </w:p>
    <w:p w14:paraId="4ABCCD88" w14:textId="77777777" w:rsidR="00C46587" w:rsidRPr="004F5FB4" w:rsidRDefault="00C46587" w:rsidP="00982118">
      <w:pPr>
        <w:tabs>
          <w:tab w:val="left" w:pos="567"/>
        </w:tabs>
        <w:ind w:left="567" w:hanging="567"/>
        <w:rPr>
          <w:color w:val="000000"/>
        </w:rPr>
      </w:pPr>
    </w:p>
    <w:p w14:paraId="4825B837" w14:textId="77777777" w:rsidR="00C46587" w:rsidRPr="004F5FB4" w:rsidRDefault="00C46587" w:rsidP="00982118">
      <w:pPr>
        <w:tabs>
          <w:tab w:val="left" w:pos="567"/>
        </w:tabs>
        <w:ind w:left="1701" w:right="1559" w:hanging="709"/>
        <w:rPr>
          <w:b/>
          <w:color w:val="000000"/>
        </w:rPr>
      </w:pPr>
      <w:r w:rsidRPr="004F5FB4">
        <w:rPr>
          <w:b/>
          <w:color w:val="000000"/>
        </w:rPr>
        <w:t>C.</w:t>
      </w:r>
      <w:r w:rsidRPr="004F5FB4">
        <w:rPr>
          <w:b/>
          <w:color w:val="000000"/>
        </w:rPr>
        <w:tab/>
        <w:t>SONSTIGE BEDINGUNGEN UND AUFLAGEN DER GENEHMIGUNG FÜR DAS INVERKEHRBRINGEN</w:t>
      </w:r>
    </w:p>
    <w:p w14:paraId="6A18FFB4" w14:textId="77777777" w:rsidR="00C46587" w:rsidRPr="004F5FB4" w:rsidRDefault="00C46587" w:rsidP="00982118">
      <w:pPr>
        <w:tabs>
          <w:tab w:val="left" w:pos="567"/>
        </w:tabs>
        <w:ind w:right="1558"/>
        <w:rPr>
          <w:b/>
          <w:color w:val="000000"/>
          <w:szCs w:val="20"/>
        </w:rPr>
      </w:pPr>
    </w:p>
    <w:p w14:paraId="5C16818B" w14:textId="77777777" w:rsidR="005A7F7E" w:rsidRPr="004F5FB4" w:rsidRDefault="00C46587" w:rsidP="00F60620">
      <w:pPr>
        <w:tabs>
          <w:tab w:val="left" w:pos="567"/>
        </w:tabs>
        <w:ind w:left="1701" w:right="1416" w:hanging="708"/>
        <w:rPr>
          <w:color w:val="000000"/>
        </w:rPr>
      </w:pPr>
      <w:r w:rsidRPr="004F5FB4">
        <w:rPr>
          <w:b/>
          <w:color w:val="000000"/>
          <w:szCs w:val="20"/>
        </w:rPr>
        <w:t>D.</w:t>
      </w:r>
      <w:r w:rsidRPr="004F5FB4">
        <w:rPr>
          <w:b/>
          <w:color w:val="000000"/>
          <w:szCs w:val="20"/>
        </w:rPr>
        <w:tab/>
        <w:t>BEDINGUNGEN ODER EINSCHRÄNKUNGEN FÜR DIE SICHERE UND WIRKSAME ANWENDUNG DES ARZNEIMITTELS</w:t>
      </w:r>
    </w:p>
    <w:p w14:paraId="66749393" w14:textId="77777777" w:rsidR="00F60620" w:rsidRPr="004F5FB4" w:rsidRDefault="00C46587" w:rsidP="00F60620">
      <w:pPr>
        <w:pStyle w:val="Heading1"/>
        <w:ind w:left="561" w:hanging="561"/>
      </w:pPr>
      <w:r w:rsidRPr="004F5FB4">
        <w:br w:type="page"/>
      </w:r>
      <w:r w:rsidR="00F60620" w:rsidRPr="004F5FB4">
        <w:lastRenderedPageBreak/>
        <w:t>A.</w:t>
      </w:r>
      <w:r w:rsidR="00F60620" w:rsidRPr="004F5FB4">
        <w:tab/>
        <w:t>HERSTELLER DES WIRKSTOFFS BIOLOGISCHEN URSPRUNGS UND HERSTELLER, DER FÜR DIE CHARGENFREIGABE VERANTWORTLICH IST</w:t>
      </w:r>
    </w:p>
    <w:p w14:paraId="214E65B1" w14:textId="77777777" w:rsidR="00C46587" w:rsidRPr="004F5FB4" w:rsidRDefault="00C46587" w:rsidP="00982118">
      <w:pPr>
        <w:tabs>
          <w:tab w:val="left" w:pos="567"/>
        </w:tabs>
        <w:ind w:right="1416"/>
        <w:rPr>
          <w:color w:val="000000"/>
        </w:rPr>
      </w:pPr>
    </w:p>
    <w:p w14:paraId="579FF15E" w14:textId="77777777" w:rsidR="00C46587" w:rsidRPr="004F5FB4" w:rsidRDefault="00C46587" w:rsidP="00982118">
      <w:pPr>
        <w:rPr>
          <w:color w:val="000000"/>
          <w:u w:val="single"/>
        </w:rPr>
      </w:pPr>
      <w:r w:rsidRPr="004F5FB4">
        <w:rPr>
          <w:color w:val="000000"/>
          <w:u w:val="single"/>
        </w:rPr>
        <w:t>Name und Anschrift des Herstellers des Wirkstoffs biologischen Ursprungs</w:t>
      </w:r>
    </w:p>
    <w:p w14:paraId="2DFB9A96" w14:textId="77777777" w:rsidR="00C46587" w:rsidRPr="004F5FB4" w:rsidRDefault="00C46587" w:rsidP="00982118">
      <w:pPr>
        <w:tabs>
          <w:tab w:val="left" w:pos="567"/>
        </w:tabs>
        <w:ind w:right="1416"/>
        <w:rPr>
          <w:color w:val="000000"/>
        </w:rPr>
      </w:pPr>
    </w:p>
    <w:p w14:paraId="28663480" w14:textId="77777777" w:rsidR="008A3A3F" w:rsidRPr="004F5FB4" w:rsidRDefault="008A3A3F" w:rsidP="008A3A3F">
      <w:pPr>
        <w:rPr>
          <w:color w:val="000000"/>
          <w:lang w:val="en-US"/>
        </w:rPr>
      </w:pPr>
      <w:r w:rsidRPr="004F5FB4">
        <w:rPr>
          <w:color w:val="000000"/>
          <w:lang w:val="en-US"/>
        </w:rPr>
        <w:t xml:space="preserve">Wyeth BioPharma </w:t>
      </w:r>
    </w:p>
    <w:p w14:paraId="73F8DB54" w14:textId="77777777" w:rsidR="008A3A3F" w:rsidRPr="004F5FB4" w:rsidRDefault="008A3A3F" w:rsidP="008A3A3F">
      <w:pPr>
        <w:rPr>
          <w:color w:val="000000"/>
          <w:lang w:val="en-US"/>
        </w:rPr>
      </w:pPr>
      <w:r w:rsidRPr="004F5FB4">
        <w:rPr>
          <w:color w:val="000000"/>
          <w:lang w:val="en-US"/>
        </w:rPr>
        <w:t>Division of Wyeth Pharmaceuticals LLC</w:t>
      </w:r>
    </w:p>
    <w:p w14:paraId="2D0314A3" w14:textId="77777777" w:rsidR="008A3A3F" w:rsidRPr="004F5FB4" w:rsidRDefault="008A3A3F" w:rsidP="008A3A3F">
      <w:pPr>
        <w:rPr>
          <w:color w:val="000000"/>
          <w:lang w:val="en-US"/>
        </w:rPr>
      </w:pPr>
      <w:r w:rsidRPr="004F5FB4">
        <w:rPr>
          <w:color w:val="000000"/>
          <w:lang w:val="en-US"/>
        </w:rPr>
        <w:t>One Burtt Road</w:t>
      </w:r>
    </w:p>
    <w:p w14:paraId="6A3B7313" w14:textId="77777777" w:rsidR="008A3A3F" w:rsidRPr="004F5FB4" w:rsidRDefault="008A3A3F" w:rsidP="008A3A3F">
      <w:pPr>
        <w:rPr>
          <w:color w:val="000000"/>
          <w:lang w:val="en-US"/>
        </w:rPr>
      </w:pPr>
      <w:r w:rsidRPr="004F5FB4">
        <w:rPr>
          <w:color w:val="000000"/>
          <w:lang w:val="en-US"/>
        </w:rPr>
        <w:t>Andover, MA 01810</w:t>
      </w:r>
    </w:p>
    <w:p w14:paraId="05BA9325" w14:textId="77777777" w:rsidR="008A3A3F" w:rsidRPr="004F5FB4" w:rsidRDefault="008A3A3F" w:rsidP="008A3A3F">
      <w:pPr>
        <w:rPr>
          <w:color w:val="000000"/>
        </w:rPr>
      </w:pPr>
      <w:r w:rsidRPr="004F5FB4">
        <w:rPr>
          <w:color w:val="000000"/>
        </w:rPr>
        <w:t>USA</w:t>
      </w:r>
    </w:p>
    <w:p w14:paraId="61ABB3DA" w14:textId="77777777" w:rsidR="00C46587" w:rsidRPr="004F5FB4" w:rsidRDefault="00C46587" w:rsidP="00982118">
      <w:pPr>
        <w:rPr>
          <w:color w:val="000000"/>
        </w:rPr>
      </w:pPr>
    </w:p>
    <w:p w14:paraId="131FA1FE" w14:textId="77777777" w:rsidR="00C46587" w:rsidRPr="004F5FB4" w:rsidRDefault="00C46587" w:rsidP="00982118">
      <w:pPr>
        <w:rPr>
          <w:color w:val="000000"/>
          <w:u w:val="single"/>
        </w:rPr>
      </w:pPr>
      <w:r w:rsidRPr="004F5FB4">
        <w:rPr>
          <w:color w:val="000000"/>
          <w:u w:val="single"/>
        </w:rPr>
        <w:t xml:space="preserve">Name und Anschrift des Herstellers, der für die Chargenfreigabe verantwortlich ist </w:t>
      </w:r>
    </w:p>
    <w:p w14:paraId="3F96410D" w14:textId="77777777" w:rsidR="00C46587" w:rsidRPr="004F5FB4" w:rsidRDefault="00C46587" w:rsidP="00982118">
      <w:pPr>
        <w:rPr>
          <w:color w:val="000000"/>
        </w:rPr>
      </w:pPr>
    </w:p>
    <w:p w14:paraId="024A56E9" w14:textId="34AAF600" w:rsidR="0059603B" w:rsidRPr="004F5FB4" w:rsidRDefault="0059603B" w:rsidP="0059603B">
      <w:pPr>
        <w:rPr>
          <w:color w:val="000000"/>
          <w:lang w:val="en-US"/>
        </w:rPr>
      </w:pPr>
      <w:r w:rsidRPr="004F5FB4">
        <w:rPr>
          <w:color w:val="000000"/>
          <w:lang w:val="en-US"/>
        </w:rPr>
        <w:t>Pfizer Service Company BV</w:t>
      </w:r>
    </w:p>
    <w:p w14:paraId="7D750BAF" w14:textId="77777777" w:rsidR="00EC03BF" w:rsidRPr="00956704" w:rsidRDefault="00EC03BF" w:rsidP="00EC03BF">
      <w:pPr>
        <w:rPr>
          <w:ins w:id="4" w:author="Author" w:date="2025-06-12T14:11:00Z" w16du:dateUtc="2025-06-12T13:11:00Z"/>
          <w:lang w:val="da-DK"/>
        </w:rPr>
      </w:pPr>
      <w:ins w:id="5" w:author="Author" w:date="2025-06-12T14:11:00Z" w16du:dateUtc="2025-06-12T13:11:00Z">
        <w:r w:rsidRPr="00956704">
          <w:rPr>
            <w:lang w:val="da-DK"/>
          </w:rPr>
          <w:t>Hermeslaan 11</w:t>
        </w:r>
      </w:ins>
    </w:p>
    <w:p w14:paraId="78F4CB2F" w14:textId="45A6443D" w:rsidR="0059603B" w:rsidRPr="00956704" w:rsidDel="00EC03BF" w:rsidRDefault="00EC03BF" w:rsidP="0059603B">
      <w:pPr>
        <w:rPr>
          <w:del w:id="6" w:author="Author" w:date="2025-06-12T14:11:00Z" w16du:dateUtc="2025-06-12T13:11:00Z"/>
          <w:color w:val="000000"/>
          <w:lang w:val="da-DK"/>
        </w:rPr>
      </w:pPr>
      <w:ins w:id="7" w:author="Author" w:date="2025-06-12T14:11:00Z" w16du:dateUtc="2025-06-12T13:11:00Z">
        <w:r w:rsidRPr="00956704">
          <w:rPr>
            <w:color w:val="000000"/>
            <w:lang w:val="da-DK"/>
          </w:rPr>
          <w:t xml:space="preserve">1932 </w:t>
        </w:r>
      </w:ins>
      <w:del w:id="8" w:author="Author" w:date="2025-06-12T14:11:00Z" w16du:dateUtc="2025-06-12T13:11:00Z">
        <w:r w:rsidR="0059603B" w:rsidRPr="00956704" w:rsidDel="00EC03BF">
          <w:rPr>
            <w:color w:val="000000"/>
            <w:lang w:val="da-DK"/>
          </w:rPr>
          <w:delText>Hoge Wei 10</w:delText>
        </w:r>
      </w:del>
    </w:p>
    <w:p w14:paraId="6223C029" w14:textId="77777777" w:rsidR="0059603B" w:rsidRPr="004F5FB4" w:rsidRDefault="0059603B" w:rsidP="0059603B">
      <w:pPr>
        <w:rPr>
          <w:color w:val="000000"/>
        </w:rPr>
      </w:pPr>
      <w:r w:rsidRPr="004F5FB4">
        <w:rPr>
          <w:color w:val="000000"/>
        </w:rPr>
        <w:t>Zaventem</w:t>
      </w:r>
      <w:del w:id="9" w:author="Author" w:date="2025-06-12T14:11:00Z" w16du:dateUtc="2025-06-12T13:11:00Z">
        <w:r w:rsidRPr="004F5FB4" w:rsidDel="00EC03BF">
          <w:rPr>
            <w:color w:val="000000"/>
          </w:rPr>
          <w:delText xml:space="preserve"> 1930</w:delText>
        </w:r>
      </w:del>
    </w:p>
    <w:p w14:paraId="108FE001" w14:textId="77777777" w:rsidR="0059603B" w:rsidRPr="004F5FB4" w:rsidRDefault="0059603B" w:rsidP="0059603B">
      <w:pPr>
        <w:rPr>
          <w:color w:val="000000"/>
        </w:rPr>
      </w:pPr>
      <w:r w:rsidRPr="004F5FB4">
        <w:rPr>
          <w:color w:val="000000"/>
        </w:rPr>
        <w:t>Belgien</w:t>
      </w:r>
    </w:p>
    <w:p w14:paraId="7A914A8B" w14:textId="77777777" w:rsidR="00C46587" w:rsidRPr="004F5FB4" w:rsidRDefault="00C46587" w:rsidP="00982118">
      <w:pPr>
        <w:rPr>
          <w:color w:val="000000"/>
        </w:rPr>
      </w:pPr>
    </w:p>
    <w:p w14:paraId="32E5C1F0" w14:textId="77777777" w:rsidR="00C46587" w:rsidRPr="004F5FB4" w:rsidRDefault="00C46587" w:rsidP="00982118">
      <w:pPr>
        <w:rPr>
          <w:color w:val="000000"/>
        </w:rPr>
      </w:pPr>
    </w:p>
    <w:p w14:paraId="334DEF60" w14:textId="77777777" w:rsidR="00C46587" w:rsidRPr="00F60620" w:rsidRDefault="00C46587" w:rsidP="00F60620">
      <w:pPr>
        <w:pStyle w:val="Heading1"/>
        <w:ind w:left="561" w:hanging="561"/>
      </w:pPr>
      <w:r w:rsidRPr="00F60620">
        <w:t>B.</w:t>
      </w:r>
      <w:r w:rsidRPr="00F60620">
        <w:tab/>
        <w:t xml:space="preserve">BEDINGUNGEN ODER EINSCHRÄNKUNGEN FÜR DIE ABGABE UND DEN GEBRAUCH </w:t>
      </w:r>
    </w:p>
    <w:p w14:paraId="4FE511E3" w14:textId="77777777" w:rsidR="00C46587" w:rsidRPr="004F5FB4" w:rsidRDefault="00C46587" w:rsidP="00982118">
      <w:pPr>
        <w:rPr>
          <w:color w:val="000000"/>
        </w:rPr>
      </w:pPr>
    </w:p>
    <w:p w14:paraId="21EC0D67" w14:textId="77777777" w:rsidR="00C46587" w:rsidRPr="004F5FB4" w:rsidRDefault="00C46587" w:rsidP="00982118">
      <w:pPr>
        <w:rPr>
          <w:color w:val="000000"/>
        </w:rPr>
      </w:pPr>
      <w:r w:rsidRPr="004F5FB4">
        <w:rPr>
          <w:color w:val="000000"/>
        </w:rPr>
        <w:t>Arzneimittel auf eingeschränkte ärztliche Verschreibung (siehe Anhang I: Zusammenfassung der Merkmale des Arzneimittels, Abschnitt</w:t>
      </w:r>
      <w:r w:rsidR="00A87FE1" w:rsidRPr="004F5FB4">
        <w:rPr>
          <w:color w:val="000000"/>
        </w:rPr>
        <w:t> </w:t>
      </w:r>
      <w:r w:rsidRPr="004F5FB4">
        <w:rPr>
          <w:color w:val="000000"/>
        </w:rPr>
        <w:t xml:space="preserve">4.2). </w:t>
      </w:r>
    </w:p>
    <w:p w14:paraId="77CAFD62" w14:textId="77777777" w:rsidR="00C46587" w:rsidRPr="004F5FB4" w:rsidRDefault="00C46587" w:rsidP="00982118">
      <w:pPr>
        <w:rPr>
          <w:color w:val="000000"/>
        </w:rPr>
      </w:pPr>
    </w:p>
    <w:p w14:paraId="4167980E" w14:textId="77777777" w:rsidR="00C46587" w:rsidRPr="004F5FB4" w:rsidRDefault="00C46587" w:rsidP="00982118">
      <w:pPr>
        <w:rPr>
          <w:color w:val="000000"/>
        </w:rPr>
      </w:pPr>
    </w:p>
    <w:p w14:paraId="3E4129E0" w14:textId="77777777" w:rsidR="00C46587" w:rsidRPr="00F60620" w:rsidRDefault="00C46587" w:rsidP="00F60620">
      <w:pPr>
        <w:pStyle w:val="Heading1"/>
        <w:ind w:left="561" w:hanging="561"/>
      </w:pPr>
      <w:r w:rsidRPr="00F60620">
        <w:t>C.</w:t>
      </w:r>
      <w:r w:rsidRPr="00F60620">
        <w:tab/>
        <w:t xml:space="preserve">SONSTIGE BEDINGUNGEN UND AUFLAGEN DER GENEHMIGUNG FÜR DAS INVERKEHRBRINGEN </w:t>
      </w:r>
    </w:p>
    <w:p w14:paraId="64F05994" w14:textId="77777777" w:rsidR="00C46587" w:rsidRPr="004F5FB4" w:rsidRDefault="00C46587" w:rsidP="00982118">
      <w:pPr>
        <w:rPr>
          <w:color w:val="000000"/>
        </w:rPr>
      </w:pPr>
    </w:p>
    <w:p w14:paraId="73A96F7C" w14:textId="77777777" w:rsidR="00C46587" w:rsidRPr="004F5FB4" w:rsidRDefault="00C46587" w:rsidP="007C4B2C">
      <w:pPr>
        <w:numPr>
          <w:ilvl w:val="0"/>
          <w:numId w:val="2"/>
        </w:numPr>
        <w:tabs>
          <w:tab w:val="left" w:pos="562"/>
        </w:tabs>
        <w:ind w:left="562" w:hanging="562"/>
        <w:rPr>
          <w:b/>
          <w:color w:val="000000"/>
        </w:rPr>
      </w:pPr>
      <w:r w:rsidRPr="004F5FB4">
        <w:rPr>
          <w:b/>
          <w:color w:val="000000"/>
        </w:rPr>
        <w:t xml:space="preserve">Regelmäßig aktualisierte Unbedenklichkeitsberichte [Periodic Safety Update Reports (PSURs)] </w:t>
      </w:r>
    </w:p>
    <w:p w14:paraId="4626D764" w14:textId="77777777" w:rsidR="00502CD7" w:rsidRPr="004F5FB4" w:rsidRDefault="00502CD7" w:rsidP="00982118">
      <w:pPr>
        <w:rPr>
          <w:color w:val="000000"/>
        </w:rPr>
      </w:pPr>
    </w:p>
    <w:p w14:paraId="5B21EE2B" w14:textId="77777777" w:rsidR="00C46587" w:rsidRPr="004F5FB4" w:rsidRDefault="00C46587" w:rsidP="00982118">
      <w:pPr>
        <w:rPr>
          <w:color w:val="000000"/>
        </w:rPr>
      </w:pPr>
      <w:r w:rsidRPr="004F5FB4">
        <w:rPr>
          <w:color w:val="000000"/>
        </w:rPr>
        <w:t xml:space="preserve">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 </w:t>
      </w:r>
    </w:p>
    <w:p w14:paraId="3FBAD577" w14:textId="77777777" w:rsidR="00C46587" w:rsidRPr="004F5FB4" w:rsidRDefault="00C46587" w:rsidP="00982118">
      <w:pPr>
        <w:rPr>
          <w:color w:val="000000"/>
        </w:rPr>
      </w:pPr>
    </w:p>
    <w:p w14:paraId="7D9C1B01" w14:textId="77777777" w:rsidR="00C46587" w:rsidRPr="004F5FB4" w:rsidRDefault="00C46587" w:rsidP="00982118">
      <w:pPr>
        <w:rPr>
          <w:color w:val="000000"/>
        </w:rPr>
      </w:pPr>
    </w:p>
    <w:p w14:paraId="68C50154" w14:textId="77777777" w:rsidR="00C46587" w:rsidRPr="00F60620" w:rsidRDefault="00C46587" w:rsidP="00F60620">
      <w:pPr>
        <w:pStyle w:val="Heading1"/>
        <w:ind w:left="561" w:hanging="561"/>
      </w:pPr>
      <w:r w:rsidRPr="00F60620">
        <w:t>D.</w:t>
      </w:r>
      <w:r w:rsidRPr="00F60620">
        <w:tab/>
        <w:t xml:space="preserve">BEDINGUNGEN ODER EINSCHRÄNKUNGEN FÜR DIE SICHERE UND WIRKSAME ANWENDUNG DES ARZNEIMITTELS </w:t>
      </w:r>
    </w:p>
    <w:p w14:paraId="68D0D90B" w14:textId="77777777" w:rsidR="00C46587" w:rsidRPr="004F5FB4" w:rsidRDefault="00C46587" w:rsidP="00982118">
      <w:pPr>
        <w:rPr>
          <w:color w:val="000000"/>
        </w:rPr>
      </w:pPr>
    </w:p>
    <w:p w14:paraId="2F23598F" w14:textId="77777777" w:rsidR="00C46587" w:rsidRPr="004F5FB4" w:rsidRDefault="00C46587" w:rsidP="00982118">
      <w:pPr>
        <w:numPr>
          <w:ilvl w:val="0"/>
          <w:numId w:val="2"/>
        </w:numPr>
        <w:tabs>
          <w:tab w:val="left" w:pos="562"/>
        </w:tabs>
        <w:ind w:left="562" w:hanging="562"/>
        <w:rPr>
          <w:b/>
          <w:color w:val="000000"/>
        </w:rPr>
      </w:pPr>
      <w:r w:rsidRPr="004F5FB4">
        <w:rPr>
          <w:b/>
          <w:color w:val="000000"/>
        </w:rPr>
        <w:t xml:space="preserve">Risikomanagement-Plan (RMP) </w:t>
      </w:r>
    </w:p>
    <w:p w14:paraId="7A2F7F43" w14:textId="77777777" w:rsidR="00C46587" w:rsidRPr="004F5FB4" w:rsidRDefault="00C46587" w:rsidP="00982118">
      <w:pPr>
        <w:rPr>
          <w:color w:val="000000"/>
          <w:lang w:val="en-GB"/>
        </w:rPr>
      </w:pPr>
    </w:p>
    <w:p w14:paraId="0B323603" w14:textId="77777777" w:rsidR="00C46587" w:rsidRPr="004F5FB4" w:rsidRDefault="00C46587" w:rsidP="00982118">
      <w:pPr>
        <w:rPr>
          <w:color w:val="000000"/>
        </w:rPr>
      </w:pPr>
      <w:r w:rsidRPr="004F5FB4">
        <w:rPr>
          <w:color w:val="000000"/>
        </w:rPr>
        <w:t xml:space="preserve">Der Inhaber der Genehmigung für das Inverkehrbringen (MAH) führt die notwendigen, im vereinbarten RMP beschriebenen und in Modul 1.8.2 der Zulassung dargelegten Pharmakovigilanzaktivitäten und Maßnahmen sowie alle künftigen vereinbarten Aktualisierungen des RMP durch. </w:t>
      </w:r>
    </w:p>
    <w:p w14:paraId="204ED08E" w14:textId="77777777" w:rsidR="00C46587" w:rsidRPr="004F5FB4" w:rsidRDefault="00C46587" w:rsidP="00982118">
      <w:pPr>
        <w:rPr>
          <w:color w:val="000000"/>
        </w:rPr>
      </w:pPr>
    </w:p>
    <w:p w14:paraId="0AA3ABA9" w14:textId="77777777" w:rsidR="00C46587" w:rsidRPr="004F5FB4" w:rsidRDefault="00C46587" w:rsidP="00982118">
      <w:pPr>
        <w:rPr>
          <w:color w:val="000000"/>
        </w:rPr>
      </w:pPr>
      <w:r w:rsidRPr="004F5FB4">
        <w:rPr>
          <w:color w:val="000000"/>
        </w:rPr>
        <w:t xml:space="preserve">Ein aktualisierter RMP ist einzureichen: </w:t>
      </w:r>
    </w:p>
    <w:p w14:paraId="43FD1E3A" w14:textId="77777777" w:rsidR="00C46587" w:rsidRPr="004F5FB4" w:rsidRDefault="00C46587" w:rsidP="007C4B2C">
      <w:pPr>
        <w:numPr>
          <w:ilvl w:val="0"/>
          <w:numId w:val="2"/>
        </w:numPr>
        <w:ind w:hanging="436"/>
        <w:rPr>
          <w:color w:val="000000"/>
        </w:rPr>
      </w:pPr>
      <w:r w:rsidRPr="004F5FB4">
        <w:rPr>
          <w:color w:val="000000"/>
        </w:rPr>
        <w:t xml:space="preserve">nach Aufforderung durch die Europäische Arzneimittel-Agentur; </w:t>
      </w:r>
    </w:p>
    <w:p w14:paraId="607D7AE0" w14:textId="77777777" w:rsidR="00C46587" w:rsidRPr="004F5FB4" w:rsidRDefault="00C46587" w:rsidP="007C4B2C">
      <w:pPr>
        <w:numPr>
          <w:ilvl w:val="0"/>
          <w:numId w:val="2"/>
        </w:numPr>
        <w:ind w:left="567" w:hanging="283"/>
        <w:rPr>
          <w:color w:val="000000"/>
        </w:rPr>
      </w:pPr>
      <w:r w:rsidRPr="004F5FB4">
        <w:rPr>
          <w:color w:val="000000"/>
        </w:rPr>
        <w:t xml:space="preserve">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 </w:t>
      </w:r>
    </w:p>
    <w:p w14:paraId="48DFBB1E" w14:textId="77777777" w:rsidR="00C46587" w:rsidRPr="004F5FB4" w:rsidRDefault="00C46587" w:rsidP="00982118">
      <w:pPr>
        <w:rPr>
          <w:color w:val="000000"/>
        </w:rPr>
      </w:pPr>
    </w:p>
    <w:p w14:paraId="4A1A3C46" w14:textId="77777777" w:rsidR="00C46587" w:rsidRPr="004F5FB4" w:rsidRDefault="00C46587" w:rsidP="003146E9">
      <w:pPr>
        <w:keepNext/>
        <w:numPr>
          <w:ilvl w:val="0"/>
          <w:numId w:val="2"/>
        </w:numPr>
        <w:tabs>
          <w:tab w:val="left" w:pos="562"/>
        </w:tabs>
        <w:ind w:left="562" w:hanging="562"/>
        <w:rPr>
          <w:b/>
          <w:color w:val="000000"/>
        </w:rPr>
      </w:pPr>
      <w:r w:rsidRPr="004F5FB4">
        <w:rPr>
          <w:b/>
          <w:color w:val="000000"/>
        </w:rPr>
        <w:lastRenderedPageBreak/>
        <w:t xml:space="preserve">Zusätzliche Maßnahmen zur Risikominimierung </w:t>
      </w:r>
    </w:p>
    <w:p w14:paraId="6B87231E" w14:textId="77777777" w:rsidR="00A134D1" w:rsidRPr="004F5FB4" w:rsidRDefault="00A134D1" w:rsidP="003146E9">
      <w:pPr>
        <w:keepNext/>
        <w:tabs>
          <w:tab w:val="left" w:pos="562"/>
        </w:tabs>
        <w:ind w:left="562"/>
        <w:rPr>
          <w:color w:val="000000"/>
          <w:lang w:val="en-GB"/>
        </w:rPr>
      </w:pPr>
    </w:p>
    <w:p w14:paraId="3A5B1FFF" w14:textId="77777777" w:rsidR="00A134D1" w:rsidRPr="004F5FB4" w:rsidRDefault="00A134D1" w:rsidP="003146E9">
      <w:pPr>
        <w:keepNext/>
        <w:tabs>
          <w:tab w:val="left" w:pos="562"/>
        </w:tabs>
        <w:rPr>
          <w:color w:val="000000"/>
        </w:rPr>
      </w:pPr>
      <w:r w:rsidRPr="004F5FB4">
        <w:rPr>
          <w:color w:val="000000"/>
        </w:rPr>
        <w:t>Die Patientenpässe (für Erwachsene und für Kinder) enthalten die folgenden Hauptelemente:</w:t>
      </w:r>
    </w:p>
    <w:p w14:paraId="54E75B44" w14:textId="77777777" w:rsidR="00A134D1" w:rsidRPr="004F5FB4" w:rsidRDefault="00A134D1" w:rsidP="003146E9">
      <w:pPr>
        <w:keepNext/>
        <w:tabs>
          <w:tab w:val="left" w:pos="562"/>
        </w:tabs>
        <w:rPr>
          <w:color w:val="000000"/>
        </w:rPr>
      </w:pPr>
    </w:p>
    <w:p w14:paraId="4AA5338B" w14:textId="77777777" w:rsidR="00A134D1" w:rsidRPr="004F5FB4" w:rsidRDefault="00A134D1" w:rsidP="003146E9">
      <w:pPr>
        <w:keepNext/>
        <w:tabs>
          <w:tab w:val="left" w:pos="562"/>
        </w:tabs>
        <w:rPr>
          <w:color w:val="000000"/>
        </w:rPr>
      </w:pPr>
      <w:r w:rsidRPr="004F5FB4">
        <w:rPr>
          <w:color w:val="000000"/>
        </w:rPr>
        <w:t xml:space="preserve">- </w:t>
      </w:r>
      <w:r w:rsidRPr="004F5FB4">
        <w:rPr>
          <w:color w:val="000000"/>
        </w:rPr>
        <w:tab/>
        <w:t>Infektionen, einschließlich Tuberkulose</w:t>
      </w:r>
    </w:p>
    <w:p w14:paraId="3EB72E4B" w14:textId="77777777" w:rsidR="00A134D1" w:rsidRPr="004F5FB4" w:rsidRDefault="00A134D1" w:rsidP="003146E9">
      <w:pPr>
        <w:keepNext/>
        <w:tabs>
          <w:tab w:val="left" w:pos="562"/>
        </w:tabs>
        <w:rPr>
          <w:color w:val="000000"/>
        </w:rPr>
      </w:pPr>
      <w:r w:rsidRPr="004F5FB4">
        <w:rPr>
          <w:color w:val="000000"/>
        </w:rPr>
        <w:t xml:space="preserve">- </w:t>
      </w:r>
      <w:r w:rsidRPr="004F5FB4">
        <w:rPr>
          <w:color w:val="000000"/>
        </w:rPr>
        <w:tab/>
        <w:t>Krebserkrankungen</w:t>
      </w:r>
    </w:p>
    <w:p w14:paraId="1477C213" w14:textId="77777777" w:rsidR="00A134D1" w:rsidRPr="004F5FB4" w:rsidRDefault="00A134D1" w:rsidP="00A134D1">
      <w:pPr>
        <w:tabs>
          <w:tab w:val="left" w:pos="562"/>
        </w:tabs>
        <w:rPr>
          <w:color w:val="000000"/>
        </w:rPr>
      </w:pPr>
      <w:r w:rsidRPr="004F5FB4">
        <w:rPr>
          <w:color w:val="000000"/>
        </w:rPr>
        <w:t xml:space="preserve">- </w:t>
      </w:r>
      <w:r w:rsidRPr="004F5FB4">
        <w:rPr>
          <w:color w:val="000000"/>
        </w:rPr>
        <w:tab/>
        <w:t>Störungen des Nervensystems</w:t>
      </w:r>
    </w:p>
    <w:p w14:paraId="515D09AD" w14:textId="77777777" w:rsidR="00A134D1" w:rsidRPr="004F5FB4" w:rsidRDefault="00A134D1" w:rsidP="00A134D1">
      <w:pPr>
        <w:tabs>
          <w:tab w:val="left" w:pos="562"/>
        </w:tabs>
        <w:rPr>
          <w:color w:val="000000"/>
        </w:rPr>
      </w:pPr>
      <w:r w:rsidRPr="004F5FB4">
        <w:rPr>
          <w:color w:val="000000"/>
        </w:rPr>
        <w:t xml:space="preserve">- </w:t>
      </w:r>
      <w:r w:rsidRPr="004F5FB4">
        <w:rPr>
          <w:color w:val="000000"/>
        </w:rPr>
        <w:tab/>
        <w:t>Impfungen</w:t>
      </w:r>
    </w:p>
    <w:p w14:paraId="79490337" w14:textId="77777777" w:rsidR="00C46587" w:rsidRPr="004F5FB4" w:rsidRDefault="00C46587" w:rsidP="00A134D1">
      <w:pPr>
        <w:tabs>
          <w:tab w:val="left" w:pos="562"/>
        </w:tabs>
        <w:rPr>
          <w:color w:val="000000"/>
        </w:rPr>
      </w:pPr>
      <w:r w:rsidRPr="004F5FB4">
        <w:rPr>
          <w:color w:val="000000"/>
        </w:rPr>
        <w:br w:type="page"/>
      </w:r>
    </w:p>
    <w:p w14:paraId="010D5F3A" w14:textId="77777777" w:rsidR="00C46587" w:rsidRPr="004F5FB4" w:rsidRDefault="00C46587" w:rsidP="00982118">
      <w:pPr>
        <w:rPr>
          <w:color w:val="000000"/>
        </w:rPr>
      </w:pPr>
    </w:p>
    <w:p w14:paraId="790AEC7D" w14:textId="77777777" w:rsidR="00C46587" w:rsidRPr="004F5FB4" w:rsidRDefault="00C46587" w:rsidP="00982118">
      <w:pPr>
        <w:rPr>
          <w:color w:val="000000"/>
        </w:rPr>
      </w:pPr>
    </w:p>
    <w:p w14:paraId="331F6EFF" w14:textId="77777777" w:rsidR="00C46587" w:rsidRPr="004F5FB4" w:rsidRDefault="00C46587" w:rsidP="00982118">
      <w:pPr>
        <w:rPr>
          <w:color w:val="000000"/>
        </w:rPr>
      </w:pPr>
    </w:p>
    <w:p w14:paraId="57F20E1E" w14:textId="77777777" w:rsidR="00C46587" w:rsidRPr="004F5FB4" w:rsidRDefault="00C46587" w:rsidP="00982118">
      <w:pPr>
        <w:rPr>
          <w:color w:val="000000"/>
        </w:rPr>
      </w:pPr>
    </w:p>
    <w:p w14:paraId="7C147ACC" w14:textId="77777777" w:rsidR="00C46587" w:rsidRPr="004F5FB4" w:rsidRDefault="00C46587" w:rsidP="00982118">
      <w:pPr>
        <w:rPr>
          <w:color w:val="000000"/>
        </w:rPr>
      </w:pPr>
    </w:p>
    <w:p w14:paraId="38B7E583" w14:textId="77777777" w:rsidR="00C46587" w:rsidRPr="004F5FB4" w:rsidRDefault="00C46587" w:rsidP="00982118">
      <w:pPr>
        <w:rPr>
          <w:color w:val="000000"/>
        </w:rPr>
      </w:pPr>
    </w:p>
    <w:p w14:paraId="01ECA0BF" w14:textId="77777777" w:rsidR="00C46587" w:rsidRPr="004F5FB4" w:rsidRDefault="00C46587" w:rsidP="00982118">
      <w:pPr>
        <w:rPr>
          <w:color w:val="000000"/>
        </w:rPr>
      </w:pPr>
    </w:p>
    <w:p w14:paraId="6DDF5DCE" w14:textId="77777777" w:rsidR="00C46587" w:rsidRPr="004F5FB4" w:rsidRDefault="00C46587" w:rsidP="00982118">
      <w:pPr>
        <w:rPr>
          <w:color w:val="000000"/>
        </w:rPr>
      </w:pPr>
    </w:p>
    <w:p w14:paraId="2D1E9E4D" w14:textId="77777777" w:rsidR="00C46587" w:rsidRPr="004F5FB4" w:rsidRDefault="00C46587" w:rsidP="00982118">
      <w:pPr>
        <w:rPr>
          <w:color w:val="000000"/>
        </w:rPr>
      </w:pPr>
    </w:p>
    <w:p w14:paraId="0AABC120" w14:textId="77777777" w:rsidR="00C46587" w:rsidRPr="004F5FB4" w:rsidRDefault="00C46587" w:rsidP="00982118">
      <w:pPr>
        <w:rPr>
          <w:color w:val="000000"/>
        </w:rPr>
      </w:pPr>
    </w:p>
    <w:p w14:paraId="7A1C913C" w14:textId="77777777" w:rsidR="00C46587" w:rsidRPr="004F5FB4" w:rsidRDefault="00C46587" w:rsidP="00982118">
      <w:pPr>
        <w:rPr>
          <w:color w:val="000000"/>
        </w:rPr>
      </w:pPr>
    </w:p>
    <w:p w14:paraId="34FC95DF" w14:textId="77777777" w:rsidR="00C46587" w:rsidRPr="004F5FB4" w:rsidRDefault="00C46587" w:rsidP="00982118">
      <w:pPr>
        <w:rPr>
          <w:color w:val="000000"/>
        </w:rPr>
      </w:pPr>
    </w:p>
    <w:p w14:paraId="590E5537" w14:textId="77777777" w:rsidR="00C46587" w:rsidRPr="004F5FB4" w:rsidRDefault="00C46587" w:rsidP="00982118">
      <w:pPr>
        <w:rPr>
          <w:color w:val="000000"/>
        </w:rPr>
      </w:pPr>
    </w:p>
    <w:p w14:paraId="15E80A95" w14:textId="77777777" w:rsidR="00C46587" w:rsidRPr="004F5FB4" w:rsidRDefault="00C46587" w:rsidP="00982118">
      <w:pPr>
        <w:rPr>
          <w:color w:val="000000"/>
        </w:rPr>
      </w:pPr>
    </w:p>
    <w:p w14:paraId="01EAA351" w14:textId="77777777" w:rsidR="00C46587" w:rsidRPr="004F5FB4" w:rsidRDefault="00C46587" w:rsidP="00982118">
      <w:pPr>
        <w:rPr>
          <w:color w:val="000000"/>
        </w:rPr>
      </w:pPr>
    </w:p>
    <w:p w14:paraId="2187FBD9" w14:textId="77777777" w:rsidR="00C46587" w:rsidRPr="004F5FB4" w:rsidRDefault="00C46587" w:rsidP="00982118">
      <w:pPr>
        <w:rPr>
          <w:color w:val="000000"/>
        </w:rPr>
      </w:pPr>
    </w:p>
    <w:p w14:paraId="78D567C2" w14:textId="77777777" w:rsidR="00C46587" w:rsidRPr="004F5FB4" w:rsidRDefault="00C46587" w:rsidP="00982118">
      <w:pPr>
        <w:rPr>
          <w:color w:val="000000"/>
        </w:rPr>
      </w:pPr>
    </w:p>
    <w:p w14:paraId="2DFA6999" w14:textId="77777777" w:rsidR="00C46587" w:rsidRPr="004F5FB4" w:rsidRDefault="00C46587" w:rsidP="00982118">
      <w:pPr>
        <w:rPr>
          <w:color w:val="000000"/>
        </w:rPr>
      </w:pPr>
    </w:p>
    <w:p w14:paraId="7AB1F09D" w14:textId="77777777" w:rsidR="00C46587" w:rsidRPr="004F5FB4" w:rsidRDefault="00C46587" w:rsidP="00982118">
      <w:pPr>
        <w:rPr>
          <w:color w:val="000000"/>
        </w:rPr>
      </w:pPr>
    </w:p>
    <w:p w14:paraId="1768B5AB" w14:textId="77777777" w:rsidR="00C46587" w:rsidRPr="004F5FB4" w:rsidRDefault="00C46587" w:rsidP="00982118">
      <w:pPr>
        <w:rPr>
          <w:color w:val="000000"/>
        </w:rPr>
      </w:pPr>
    </w:p>
    <w:p w14:paraId="270E13B3" w14:textId="77777777" w:rsidR="00C46587" w:rsidRPr="004F5FB4" w:rsidRDefault="00C46587" w:rsidP="00982118">
      <w:pPr>
        <w:rPr>
          <w:color w:val="000000"/>
        </w:rPr>
      </w:pPr>
    </w:p>
    <w:p w14:paraId="621684CE" w14:textId="77777777" w:rsidR="00C46587" w:rsidRPr="004F5FB4" w:rsidRDefault="00C46587" w:rsidP="00982118">
      <w:pPr>
        <w:rPr>
          <w:color w:val="000000"/>
        </w:rPr>
      </w:pPr>
    </w:p>
    <w:p w14:paraId="0B0148E4" w14:textId="77777777" w:rsidR="00DE61EE" w:rsidRDefault="00DE61EE" w:rsidP="00206AEA">
      <w:pPr>
        <w:jc w:val="center"/>
        <w:rPr>
          <w:b/>
          <w:color w:val="000000"/>
        </w:rPr>
      </w:pPr>
    </w:p>
    <w:p w14:paraId="14F1B751" w14:textId="3146FA69" w:rsidR="00C46587" w:rsidRPr="004F5FB4" w:rsidRDefault="00C46587" w:rsidP="00206AEA">
      <w:pPr>
        <w:jc w:val="center"/>
        <w:rPr>
          <w:b/>
          <w:color w:val="000000"/>
        </w:rPr>
      </w:pPr>
      <w:r w:rsidRPr="004F5FB4">
        <w:rPr>
          <w:b/>
          <w:color w:val="000000"/>
        </w:rPr>
        <w:t>ANHANG III</w:t>
      </w:r>
    </w:p>
    <w:p w14:paraId="18126828" w14:textId="77777777" w:rsidR="00C46587" w:rsidRPr="004F5FB4" w:rsidRDefault="00C46587" w:rsidP="00982118">
      <w:pPr>
        <w:jc w:val="center"/>
        <w:rPr>
          <w:b/>
          <w:color w:val="000000"/>
        </w:rPr>
      </w:pPr>
    </w:p>
    <w:p w14:paraId="1532962F" w14:textId="77777777" w:rsidR="00C46587" w:rsidRPr="004F5FB4" w:rsidRDefault="00C46587" w:rsidP="00982118">
      <w:pPr>
        <w:jc w:val="center"/>
        <w:rPr>
          <w:b/>
          <w:color w:val="000000"/>
        </w:rPr>
      </w:pPr>
      <w:r w:rsidRPr="004F5FB4">
        <w:rPr>
          <w:b/>
          <w:color w:val="000000"/>
        </w:rPr>
        <w:t>ETIKETTIERUNG UND PACKUNGSBEILAGE</w:t>
      </w:r>
    </w:p>
    <w:p w14:paraId="50B83FC5" w14:textId="77777777" w:rsidR="00C46587" w:rsidRPr="004F5FB4" w:rsidRDefault="00C46587" w:rsidP="00206AEA">
      <w:pPr>
        <w:rPr>
          <w:color w:val="000000"/>
        </w:rPr>
      </w:pPr>
      <w:r w:rsidRPr="004F5FB4">
        <w:rPr>
          <w:color w:val="000000"/>
        </w:rPr>
        <w:br w:type="page"/>
      </w:r>
    </w:p>
    <w:p w14:paraId="47735955" w14:textId="77777777" w:rsidR="00C46587" w:rsidRPr="004F5FB4" w:rsidRDefault="00C46587" w:rsidP="00982118">
      <w:pPr>
        <w:rPr>
          <w:color w:val="000000"/>
        </w:rPr>
      </w:pPr>
    </w:p>
    <w:p w14:paraId="2F36F9E1" w14:textId="77777777" w:rsidR="00C46587" w:rsidRPr="004F5FB4" w:rsidRDefault="00C46587" w:rsidP="00982118">
      <w:pPr>
        <w:rPr>
          <w:color w:val="000000"/>
        </w:rPr>
      </w:pPr>
    </w:p>
    <w:p w14:paraId="6B1D0B12" w14:textId="77777777" w:rsidR="00C46587" w:rsidRPr="004F5FB4" w:rsidRDefault="00C46587" w:rsidP="00982118">
      <w:pPr>
        <w:rPr>
          <w:color w:val="000000"/>
        </w:rPr>
      </w:pPr>
    </w:p>
    <w:p w14:paraId="543EA5AD" w14:textId="77777777" w:rsidR="00C46587" w:rsidRPr="004F5FB4" w:rsidRDefault="00C46587" w:rsidP="00982118">
      <w:pPr>
        <w:rPr>
          <w:color w:val="000000"/>
        </w:rPr>
      </w:pPr>
    </w:p>
    <w:p w14:paraId="0266CCAC" w14:textId="77777777" w:rsidR="00C46587" w:rsidRPr="004F5FB4" w:rsidRDefault="00C46587" w:rsidP="00982118">
      <w:pPr>
        <w:rPr>
          <w:color w:val="000000"/>
        </w:rPr>
      </w:pPr>
    </w:p>
    <w:p w14:paraId="3CC68866" w14:textId="77777777" w:rsidR="00C46587" w:rsidRPr="004F5FB4" w:rsidRDefault="00C46587" w:rsidP="00982118">
      <w:pPr>
        <w:rPr>
          <w:color w:val="000000"/>
        </w:rPr>
      </w:pPr>
    </w:p>
    <w:p w14:paraId="276B8774" w14:textId="77777777" w:rsidR="00C46587" w:rsidRPr="004F5FB4" w:rsidRDefault="00C46587" w:rsidP="00982118">
      <w:pPr>
        <w:rPr>
          <w:color w:val="000000"/>
        </w:rPr>
      </w:pPr>
    </w:p>
    <w:p w14:paraId="633821D0" w14:textId="77777777" w:rsidR="00C46587" w:rsidRPr="004F5FB4" w:rsidRDefault="00C46587" w:rsidP="00982118">
      <w:pPr>
        <w:rPr>
          <w:color w:val="000000"/>
        </w:rPr>
      </w:pPr>
    </w:p>
    <w:p w14:paraId="7B761CFF" w14:textId="77777777" w:rsidR="00C46587" w:rsidRPr="004F5FB4" w:rsidRDefault="00C46587" w:rsidP="00982118">
      <w:pPr>
        <w:rPr>
          <w:color w:val="000000"/>
        </w:rPr>
      </w:pPr>
    </w:p>
    <w:p w14:paraId="7D436D2D" w14:textId="77777777" w:rsidR="00C46587" w:rsidRPr="004F5FB4" w:rsidRDefault="00C46587" w:rsidP="00982118">
      <w:pPr>
        <w:rPr>
          <w:color w:val="000000"/>
        </w:rPr>
      </w:pPr>
    </w:p>
    <w:p w14:paraId="1EC05202" w14:textId="77777777" w:rsidR="00C46587" w:rsidRPr="004F5FB4" w:rsidRDefault="00C46587" w:rsidP="00982118">
      <w:pPr>
        <w:rPr>
          <w:color w:val="000000"/>
        </w:rPr>
      </w:pPr>
    </w:p>
    <w:p w14:paraId="5316D78A" w14:textId="77777777" w:rsidR="00C46587" w:rsidRPr="004F5FB4" w:rsidRDefault="00C46587" w:rsidP="00982118">
      <w:pPr>
        <w:rPr>
          <w:color w:val="000000"/>
        </w:rPr>
      </w:pPr>
    </w:p>
    <w:p w14:paraId="2E57A78B" w14:textId="77777777" w:rsidR="00C46587" w:rsidRPr="004F5FB4" w:rsidRDefault="00C46587" w:rsidP="00982118">
      <w:pPr>
        <w:rPr>
          <w:color w:val="000000"/>
        </w:rPr>
      </w:pPr>
    </w:p>
    <w:p w14:paraId="73C3543D" w14:textId="77777777" w:rsidR="00C46587" w:rsidRPr="004F5FB4" w:rsidRDefault="00C46587" w:rsidP="00982118">
      <w:pPr>
        <w:rPr>
          <w:color w:val="000000"/>
        </w:rPr>
      </w:pPr>
    </w:p>
    <w:p w14:paraId="278392B6" w14:textId="77777777" w:rsidR="00C46587" w:rsidRPr="004F5FB4" w:rsidRDefault="00C46587" w:rsidP="00982118">
      <w:pPr>
        <w:rPr>
          <w:color w:val="000000"/>
        </w:rPr>
      </w:pPr>
    </w:p>
    <w:p w14:paraId="7DA00EFB" w14:textId="77777777" w:rsidR="00C46587" w:rsidRPr="004F5FB4" w:rsidRDefault="00C46587" w:rsidP="00982118">
      <w:pPr>
        <w:rPr>
          <w:color w:val="000000"/>
        </w:rPr>
      </w:pPr>
    </w:p>
    <w:p w14:paraId="006B9C3D" w14:textId="77777777" w:rsidR="00C46587" w:rsidRPr="004F5FB4" w:rsidRDefault="00C46587" w:rsidP="00982118">
      <w:pPr>
        <w:rPr>
          <w:color w:val="000000"/>
        </w:rPr>
      </w:pPr>
    </w:p>
    <w:p w14:paraId="3B5576C0" w14:textId="77777777" w:rsidR="00C46587" w:rsidRPr="004F5FB4" w:rsidRDefault="00C46587" w:rsidP="00982118">
      <w:pPr>
        <w:rPr>
          <w:color w:val="000000"/>
        </w:rPr>
      </w:pPr>
    </w:p>
    <w:p w14:paraId="58B96C21" w14:textId="77777777" w:rsidR="00C46587" w:rsidRPr="004F5FB4" w:rsidRDefault="00C46587" w:rsidP="00982118">
      <w:pPr>
        <w:rPr>
          <w:color w:val="000000"/>
        </w:rPr>
      </w:pPr>
    </w:p>
    <w:p w14:paraId="5C76251F" w14:textId="77777777" w:rsidR="00C46587" w:rsidRPr="004F5FB4" w:rsidRDefault="00C46587" w:rsidP="00982118">
      <w:pPr>
        <w:rPr>
          <w:color w:val="000000"/>
        </w:rPr>
      </w:pPr>
    </w:p>
    <w:p w14:paraId="3B7B0F1F" w14:textId="77777777" w:rsidR="00C46587" w:rsidRPr="004F5FB4" w:rsidRDefault="00C46587" w:rsidP="00982118">
      <w:pPr>
        <w:rPr>
          <w:color w:val="000000"/>
        </w:rPr>
      </w:pPr>
    </w:p>
    <w:p w14:paraId="7AFFF193" w14:textId="77777777" w:rsidR="00C46587" w:rsidRPr="004F5FB4" w:rsidRDefault="00C46587" w:rsidP="00982118">
      <w:pPr>
        <w:rPr>
          <w:color w:val="000000"/>
        </w:rPr>
      </w:pPr>
    </w:p>
    <w:p w14:paraId="454CCC89" w14:textId="77777777" w:rsidR="00DE61EE" w:rsidRDefault="00DE61EE" w:rsidP="00206AEA">
      <w:pPr>
        <w:pStyle w:val="Heading1"/>
        <w:jc w:val="center"/>
      </w:pPr>
    </w:p>
    <w:p w14:paraId="47E38206" w14:textId="5670ED4F" w:rsidR="00C46587" w:rsidRPr="004F5FB4" w:rsidRDefault="00C46587" w:rsidP="00206AEA">
      <w:pPr>
        <w:pStyle w:val="Heading1"/>
        <w:jc w:val="center"/>
      </w:pPr>
      <w:r w:rsidRPr="004F5FB4">
        <w:t>A. ETIKETTIERUNG</w:t>
      </w:r>
    </w:p>
    <w:p w14:paraId="7DFFF020" w14:textId="77777777" w:rsidR="00C46587" w:rsidRPr="004F5FB4" w:rsidRDefault="00C46587" w:rsidP="00206AEA">
      <w:pPr>
        <w:rPr>
          <w:color w:val="000000"/>
        </w:rPr>
      </w:pPr>
      <w:r w:rsidRPr="004F5FB4">
        <w:rPr>
          <w:color w:val="000000"/>
        </w:rPr>
        <w:br w:type="page"/>
      </w:r>
    </w:p>
    <w:p w14:paraId="5EABF48F" w14:textId="77777777" w:rsidR="0049343D" w:rsidRPr="004F5FB4" w:rsidRDefault="0049343D" w:rsidP="00A924EE">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ANGABEN AUF DER ÄUSSEREN UMHÜLLUNG</w:t>
      </w:r>
    </w:p>
    <w:p w14:paraId="05D1F263" w14:textId="77777777" w:rsidR="0049343D" w:rsidRPr="004F5FB4" w:rsidRDefault="0049343D" w:rsidP="00A924EE">
      <w:pPr>
        <w:pBdr>
          <w:top w:val="single" w:sz="4" w:space="1" w:color="auto"/>
          <w:left w:val="single" w:sz="4" w:space="4" w:color="auto"/>
          <w:bottom w:val="single" w:sz="4" w:space="1" w:color="auto"/>
          <w:right w:val="single" w:sz="4" w:space="4" w:color="auto"/>
        </w:pBdr>
        <w:rPr>
          <w:b/>
          <w:color w:val="000000"/>
        </w:rPr>
      </w:pPr>
    </w:p>
    <w:p w14:paraId="624C6AAC" w14:textId="77777777" w:rsidR="0049343D" w:rsidRPr="004F5FB4" w:rsidRDefault="0049343D" w:rsidP="00A924EE">
      <w:pPr>
        <w:pBdr>
          <w:top w:val="single" w:sz="4" w:space="1" w:color="auto"/>
          <w:left w:val="single" w:sz="4" w:space="4" w:color="auto"/>
          <w:bottom w:val="single" w:sz="4" w:space="1" w:color="auto"/>
          <w:right w:val="single" w:sz="4" w:space="4" w:color="auto"/>
        </w:pBdr>
        <w:rPr>
          <w:b/>
          <w:color w:val="000000"/>
        </w:rPr>
      </w:pPr>
      <w:r w:rsidRPr="004F5FB4">
        <w:rPr>
          <w:b/>
          <w:color w:val="000000"/>
        </w:rPr>
        <w:t>UMKARTON</w:t>
      </w:r>
      <w:r w:rsidR="00C244A9" w:rsidRPr="004F5FB4">
        <w:rPr>
          <w:b/>
          <w:color w:val="000000"/>
        </w:rPr>
        <w:t xml:space="preserve"> </w:t>
      </w:r>
      <w:bookmarkStart w:id="10" w:name="_Hlk24052069"/>
      <w:r w:rsidR="00C244A9" w:rsidRPr="004F5FB4">
        <w:rPr>
          <w:b/>
          <w:color w:val="000000"/>
        </w:rPr>
        <w:t>(FERTIGSPRITZE 20 mg/0,4 ml)</w:t>
      </w:r>
    </w:p>
    <w:bookmarkEnd w:id="10"/>
    <w:p w14:paraId="28A536DB" w14:textId="77777777" w:rsidR="0049343D" w:rsidRPr="004F5FB4" w:rsidRDefault="0049343D" w:rsidP="00A924EE">
      <w:pPr>
        <w:rPr>
          <w:color w:val="000000"/>
        </w:rPr>
      </w:pPr>
    </w:p>
    <w:p w14:paraId="65363863" w14:textId="77777777" w:rsidR="0049343D" w:rsidRPr="004F5FB4" w:rsidRDefault="0049343D" w:rsidP="00A924EE">
      <w:pPr>
        <w:rPr>
          <w:color w:val="000000"/>
        </w:rPr>
      </w:pPr>
    </w:p>
    <w:p w14:paraId="6C1E1D15" w14:textId="77777777" w:rsidR="0049343D" w:rsidRPr="004F5FB4"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w:t>
      </w:r>
    </w:p>
    <w:p w14:paraId="5A4E96C7" w14:textId="77777777" w:rsidR="0049343D" w:rsidRPr="004F5FB4" w:rsidRDefault="0049343D" w:rsidP="00A924EE">
      <w:pPr>
        <w:pStyle w:val="BodyText"/>
        <w:widowControl/>
        <w:kinsoku w:val="0"/>
        <w:overflowPunct w:val="0"/>
        <w:ind w:left="0"/>
        <w:rPr>
          <w:color w:val="000000"/>
        </w:rPr>
      </w:pPr>
    </w:p>
    <w:p w14:paraId="13FB3CB8" w14:textId="77777777" w:rsidR="00A924EE" w:rsidRPr="004F5FB4" w:rsidRDefault="006A1144" w:rsidP="00A924EE">
      <w:pPr>
        <w:pStyle w:val="BodyText"/>
        <w:widowControl/>
        <w:tabs>
          <w:tab w:val="left" w:pos="8640"/>
        </w:tabs>
        <w:kinsoku w:val="0"/>
        <w:overflowPunct w:val="0"/>
        <w:ind w:left="0"/>
        <w:rPr>
          <w:color w:val="000000"/>
        </w:rPr>
      </w:pPr>
      <w:r w:rsidRPr="004F5FB4">
        <w:rPr>
          <w:color w:val="000000"/>
        </w:rPr>
        <w:t>Amsparity 20 mg Injektionslösung in einer Fertigspritze</w:t>
      </w:r>
    </w:p>
    <w:p w14:paraId="28550BF4" w14:textId="77777777" w:rsidR="0049343D" w:rsidRPr="004F5FB4" w:rsidRDefault="0049343D" w:rsidP="00A924EE">
      <w:pPr>
        <w:pStyle w:val="BodyText"/>
        <w:widowControl/>
        <w:tabs>
          <w:tab w:val="left" w:pos="8640"/>
        </w:tabs>
        <w:kinsoku w:val="0"/>
        <w:overflowPunct w:val="0"/>
        <w:ind w:left="0"/>
        <w:rPr>
          <w:color w:val="000000"/>
        </w:rPr>
      </w:pPr>
      <w:r w:rsidRPr="004F5FB4">
        <w:rPr>
          <w:color w:val="000000"/>
        </w:rPr>
        <w:t>Adalimumab</w:t>
      </w:r>
    </w:p>
    <w:p w14:paraId="61B85074" w14:textId="77777777" w:rsidR="0049343D" w:rsidRPr="004F5FB4" w:rsidRDefault="0049343D" w:rsidP="00A924EE">
      <w:pPr>
        <w:rPr>
          <w:color w:val="000000"/>
        </w:rPr>
      </w:pPr>
    </w:p>
    <w:p w14:paraId="76F3508C" w14:textId="77777777" w:rsidR="0049343D" w:rsidRPr="004F5FB4" w:rsidRDefault="0049343D" w:rsidP="00A924EE">
      <w:pPr>
        <w:rPr>
          <w:color w:val="000000"/>
        </w:rPr>
      </w:pPr>
    </w:p>
    <w:p w14:paraId="6F6605F7" w14:textId="77777777" w:rsidR="0049343D" w:rsidRPr="004F5FB4"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WIRKSTOFF</w:t>
      </w:r>
    </w:p>
    <w:p w14:paraId="37FFBF5B" w14:textId="77777777" w:rsidR="0049343D" w:rsidRPr="004F5FB4" w:rsidRDefault="0049343D" w:rsidP="00A924EE">
      <w:pPr>
        <w:rPr>
          <w:color w:val="000000"/>
        </w:rPr>
      </w:pPr>
    </w:p>
    <w:p w14:paraId="695CCBD1" w14:textId="77777777" w:rsidR="0049343D" w:rsidRPr="004F5FB4" w:rsidRDefault="0049343D" w:rsidP="00A924EE">
      <w:pPr>
        <w:pStyle w:val="BodyText"/>
        <w:widowControl/>
        <w:kinsoku w:val="0"/>
        <w:overflowPunct w:val="0"/>
        <w:ind w:left="0"/>
        <w:rPr>
          <w:color w:val="000000"/>
        </w:rPr>
      </w:pPr>
      <w:r w:rsidRPr="004F5FB4">
        <w:rPr>
          <w:color w:val="000000"/>
        </w:rPr>
        <w:t>Eine Fertigspritze mit 0,4 ml Lösung enthält 20 mg Adalimumab.</w:t>
      </w:r>
    </w:p>
    <w:p w14:paraId="2803EEE3" w14:textId="77777777" w:rsidR="0049343D" w:rsidRPr="004F5FB4" w:rsidRDefault="0049343D" w:rsidP="00A924EE">
      <w:pPr>
        <w:pStyle w:val="BodyText"/>
        <w:widowControl/>
        <w:kinsoku w:val="0"/>
        <w:overflowPunct w:val="0"/>
        <w:ind w:left="0"/>
        <w:rPr>
          <w:color w:val="000000"/>
        </w:rPr>
      </w:pPr>
    </w:p>
    <w:p w14:paraId="39F04BC3" w14:textId="77777777" w:rsidR="0049343D" w:rsidRPr="004F5FB4" w:rsidRDefault="0049343D" w:rsidP="00A924EE">
      <w:pPr>
        <w:rPr>
          <w:color w:val="000000"/>
        </w:rPr>
      </w:pPr>
    </w:p>
    <w:p w14:paraId="529754C0" w14:textId="77777777" w:rsidR="0049343D" w:rsidRPr="004F5FB4"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SONSTIGE BESTANDTEILE</w:t>
      </w:r>
    </w:p>
    <w:p w14:paraId="129B2C95" w14:textId="77777777" w:rsidR="0049343D" w:rsidRPr="004F5FB4" w:rsidRDefault="0049343D" w:rsidP="00A924EE">
      <w:pPr>
        <w:rPr>
          <w:color w:val="000000"/>
        </w:rPr>
      </w:pPr>
    </w:p>
    <w:p w14:paraId="660A1A02" w14:textId="77777777" w:rsidR="00CA61F7" w:rsidRPr="004F5FB4" w:rsidRDefault="0049343D" w:rsidP="00A924EE">
      <w:pPr>
        <w:rPr>
          <w:color w:val="000000"/>
        </w:rPr>
      </w:pPr>
      <w:r w:rsidRPr="004F5FB4">
        <w:rPr>
          <w:color w:val="000000"/>
        </w:rPr>
        <w:t>Sonstige Bestandteile: L-Histidin, L-Histidin-Hydrochlorid-Monohydrat, Sucrose, EDTA-Dinatrium-Dihydrat, L-Methionin, Polysorbat 80 und Wasser für Injektionszwecke.</w:t>
      </w:r>
      <w:r w:rsidR="00CB6495" w:rsidRPr="004F5FB4">
        <w:rPr>
          <w:color w:val="000000"/>
        </w:rPr>
        <w:t xml:space="preserve"> </w:t>
      </w:r>
    </w:p>
    <w:p w14:paraId="2C949C50" w14:textId="77777777" w:rsidR="0049343D" w:rsidRPr="004F5FB4" w:rsidRDefault="00CB6495" w:rsidP="00A924EE">
      <w:pPr>
        <w:rPr>
          <w:color w:val="000000"/>
        </w:rPr>
      </w:pPr>
      <w:r w:rsidRPr="004F5FB4">
        <w:rPr>
          <w:color w:val="000000"/>
          <w:highlight w:val="lightGray"/>
        </w:rPr>
        <w:t>Siehe Packungsbeilage für weitere Informationen.</w:t>
      </w:r>
    </w:p>
    <w:p w14:paraId="5C3D7DE1" w14:textId="77777777" w:rsidR="0049343D" w:rsidRPr="004F5FB4" w:rsidRDefault="0049343D" w:rsidP="00A924EE">
      <w:pPr>
        <w:rPr>
          <w:color w:val="000000"/>
        </w:rPr>
      </w:pPr>
    </w:p>
    <w:p w14:paraId="3E131241" w14:textId="77777777" w:rsidR="0049343D" w:rsidRPr="004F5FB4" w:rsidRDefault="0049343D" w:rsidP="00A924EE">
      <w:pPr>
        <w:rPr>
          <w:color w:val="000000"/>
        </w:rPr>
      </w:pPr>
    </w:p>
    <w:p w14:paraId="7CB02891" w14:textId="77777777" w:rsidR="0049343D" w:rsidRPr="004F5FB4"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DARREICHUNGSFORM UND INHALT</w:t>
      </w:r>
    </w:p>
    <w:p w14:paraId="0D114488" w14:textId="77777777" w:rsidR="0049343D" w:rsidRPr="004F5FB4" w:rsidRDefault="0049343D" w:rsidP="00A924EE">
      <w:pPr>
        <w:rPr>
          <w:color w:val="000000"/>
        </w:rPr>
      </w:pPr>
    </w:p>
    <w:p w14:paraId="6A7EC0A3" w14:textId="77777777" w:rsidR="000D160F" w:rsidRPr="004F5FB4" w:rsidRDefault="0049343D" w:rsidP="00A924EE">
      <w:pPr>
        <w:pStyle w:val="BodyText"/>
        <w:widowControl/>
        <w:kinsoku w:val="0"/>
        <w:overflowPunct w:val="0"/>
        <w:ind w:left="0"/>
        <w:rPr>
          <w:color w:val="000000"/>
        </w:rPr>
      </w:pPr>
      <w:r w:rsidRPr="004F5FB4">
        <w:rPr>
          <w:color w:val="000000"/>
          <w:highlight w:val="lightGray"/>
        </w:rPr>
        <w:t>Injektionslösung</w:t>
      </w:r>
    </w:p>
    <w:p w14:paraId="1BB12600" w14:textId="77777777" w:rsidR="0049343D" w:rsidRPr="004F5FB4" w:rsidRDefault="0049343D" w:rsidP="00A924EE">
      <w:pPr>
        <w:pStyle w:val="BodyText"/>
        <w:widowControl/>
        <w:kinsoku w:val="0"/>
        <w:overflowPunct w:val="0"/>
        <w:ind w:left="0"/>
        <w:rPr>
          <w:color w:val="000000"/>
        </w:rPr>
      </w:pPr>
      <w:r w:rsidRPr="004F5FB4">
        <w:rPr>
          <w:color w:val="000000"/>
        </w:rPr>
        <w:t>2 Fertigspritzen</w:t>
      </w:r>
    </w:p>
    <w:p w14:paraId="760BA058" w14:textId="77777777" w:rsidR="0049343D" w:rsidRPr="004F5FB4" w:rsidRDefault="0049343D" w:rsidP="00A924EE">
      <w:pPr>
        <w:pStyle w:val="BodyText"/>
        <w:widowControl/>
        <w:kinsoku w:val="0"/>
        <w:overflowPunct w:val="0"/>
        <w:ind w:left="0"/>
        <w:rPr>
          <w:color w:val="000000"/>
        </w:rPr>
      </w:pPr>
      <w:r w:rsidRPr="004F5FB4">
        <w:rPr>
          <w:color w:val="000000"/>
        </w:rPr>
        <w:t>2 Alkoholtupfer</w:t>
      </w:r>
    </w:p>
    <w:p w14:paraId="371341B6" w14:textId="77777777" w:rsidR="0049343D" w:rsidRPr="004F5FB4" w:rsidRDefault="0049343D" w:rsidP="00C1481F">
      <w:pPr>
        <w:pStyle w:val="BodyText"/>
        <w:widowControl/>
        <w:kinsoku w:val="0"/>
        <w:overflowPunct w:val="0"/>
        <w:ind w:left="0"/>
        <w:rPr>
          <w:color w:val="000000"/>
        </w:rPr>
      </w:pPr>
    </w:p>
    <w:p w14:paraId="78CCB2C3" w14:textId="77777777" w:rsidR="0049343D" w:rsidRPr="004F5FB4" w:rsidRDefault="0049343D" w:rsidP="00A924EE">
      <w:pPr>
        <w:rPr>
          <w:color w:val="000000"/>
        </w:rPr>
      </w:pPr>
    </w:p>
    <w:p w14:paraId="5FF2E643" w14:textId="77777777" w:rsidR="000D160F" w:rsidRPr="004F5FB4" w:rsidRDefault="000D160F" w:rsidP="00A924EE">
      <w:pPr>
        <w:pBdr>
          <w:top w:val="single" w:sz="4" w:space="1" w:color="auto"/>
          <w:left w:val="single" w:sz="4" w:space="4" w:color="auto"/>
          <w:bottom w:val="single" w:sz="4" w:space="1" w:color="auto"/>
          <w:right w:val="single" w:sz="4" w:space="4" w:color="auto"/>
        </w:pBdr>
        <w:rPr>
          <w:b/>
          <w:color w:val="000000"/>
        </w:rPr>
      </w:pPr>
      <w:r w:rsidRPr="004F5FB4">
        <w:rPr>
          <w:b/>
          <w:color w:val="000000"/>
        </w:rPr>
        <w:t>5</w:t>
      </w:r>
      <w:r w:rsidRPr="004F5FB4">
        <w:rPr>
          <w:b/>
          <w:color w:val="000000"/>
        </w:rPr>
        <w:tab/>
        <w:t>HINWEISE ZUR UND ART DER ANWENDUNG</w:t>
      </w:r>
    </w:p>
    <w:p w14:paraId="04788943" w14:textId="77777777" w:rsidR="0049343D" w:rsidRPr="004F5FB4" w:rsidRDefault="0049343D" w:rsidP="00A924EE">
      <w:pPr>
        <w:pStyle w:val="BodyText"/>
        <w:widowControl/>
        <w:kinsoku w:val="0"/>
        <w:overflowPunct w:val="0"/>
        <w:ind w:left="0"/>
        <w:rPr>
          <w:color w:val="000000"/>
        </w:rPr>
      </w:pPr>
    </w:p>
    <w:p w14:paraId="1F36788E" w14:textId="77777777" w:rsidR="000D160F" w:rsidRPr="004F5FB4" w:rsidRDefault="000D160F" w:rsidP="00A924EE">
      <w:pPr>
        <w:pStyle w:val="BodyText"/>
        <w:widowControl/>
        <w:kinsoku w:val="0"/>
        <w:overflowPunct w:val="0"/>
        <w:ind w:left="0"/>
        <w:rPr>
          <w:color w:val="000000"/>
        </w:rPr>
      </w:pPr>
      <w:r w:rsidRPr="004F5FB4">
        <w:rPr>
          <w:color w:val="000000"/>
        </w:rPr>
        <w:t>Subkutane Anwendung</w:t>
      </w:r>
    </w:p>
    <w:p w14:paraId="07BB8F52" w14:textId="77777777" w:rsidR="000D160F" w:rsidRPr="004F5FB4" w:rsidRDefault="000D160F" w:rsidP="00A924EE">
      <w:pPr>
        <w:pStyle w:val="BodyText"/>
        <w:widowControl/>
        <w:kinsoku w:val="0"/>
        <w:overflowPunct w:val="0"/>
        <w:ind w:left="0"/>
        <w:rPr>
          <w:color w:val="000000"/>
        </w:rPr>
      </w:pPr>
    </w:p>
    <w:p w14:paraId="4175E4F3" w14:textId="77777777" w:rsidR="000D160F" w:rsidRPr="004F5FB4" w:rsidRDefault="000D160F" w:rsidP="00A924EE">
      <w:pPr>
        <w:pStyle w:val="BodyText"/>
        <w:widowControl/>
        <w:kinsoku w:val="0"/>
        <w:overflowPunct w:val="0"/>
        <w:ind w:left="0"/>
        <w:rPr>
          <w:color w:val="000000"/>
        </w:rPr>
      </w:pPr>
      <w:r w:rsidRPr="004F5FB4">
        <w:rPr>
          <w:color w:val="000000"/>
        </w:rPr>
        <w:t xml:space="preserve">Packungsbeilage beachten. </w:t>
      </w:r>
    </w:p>
    <w:p w14:paraId="62DD25E7" w14:textId="77777777" w:rsidR="000D160F" w:rsidRPr="004F5FB4" w:rsidRDefault="000D160F" w:rsidP="00A924EE">
      <w:pPr>
        <w:pStyle w:val="BodyText"/>
        <w:widowControl/>
        <w:kinsoku w:val="0"/>
        <w:overflowPunct w:val="0"/>
        <w:ind w:left="0"/>
        <w:rPr>
          <w:color w:val="000000"/>
        </w:rPr>
      </w:pPr>
    </w:p>
    <w:p w14:paraId="5903F0C6" w14:textId="77777777" w:rsidR="000D160F" w:rsidRPr="004F5FB4" w:rsidRDefault="000D160F" w:rsidP="00A924EE">
      <w:pPr>
        <w:pStyle w:val="BodyText"/>
        <w:widowControl/>
        <w:kinsoku w:val="0"/>
        <w:overflowPunct w:val="0"/>
        <w:ind w:left="0"/>
        <w:rPr>
          <w:color w:val="000000"/>
        </w:rPr>
      </w:pPr>
      <w:r w:rsidRPr="004F5FB4">
        <w:rPr>
          <w:color w:val="000000"/>
        </w:rPr>
        <w:t>Nur zur einmaligen Anwendung</w:t>
      </w:r>
    </w:p>
    <w:p w14:paraId="0738BE50" w14:textId="77777777" w:rsidR="000D160F" w:rsidRPr="004F5FB4" w:rsidRDefault="000D160F" w:rsidP="00A924EE">
      <w:pPr>
        <w:pStyle w:val="BodyText"/>
        <w:widowControl/>
        <w:kinsoku w:val="0"/>
        <w:overflowPunct w:val="0"/>
        <w:ind w:left="0"/>
        <w:rPr>
          <w:color w:val="000000"/>
        </w:rPr>
      </w:pPr>
    </w:p>
    <w:p w14:paraId="26E9C97F" w14:textId="77777777" w:rsidR="0049343D" w:rsidRPr="004F5FB4" w:rsidRDefault="000D160F" w:rsidP="00A924EE">
      <w:pPr>
        <w:pStyle w:val="BodyText"/>
        <w:widowControl/>
        <w:kinsoku w:val="0"/>
        <w:overflowPunct w:val="0"/>
        <w:ind w:left="0"/>
        <w:rPr>
          <w:color w:val="000000"/>
        </w:rPr>
      </w:pPr>
      <w:r w:rsidRPr="004F5FB4">
        <w:rPr>
          <w:color w:val="000000"/>
        </w:rPr>
        <w:t>Zur Anwendung bei Kindern und Jugendlichen</w:t>
      </w:r>
    </w:p>
    <w:p w14:paraId="71E3DD15" w14:textId="77777777" w:rsidR="000D160F" w:rsidRPr="004F5FB4" w:rsidRDefault="000D160F" w:rsidP="00A924EE">
      <w:pPr>
        <w:rPr>
          <w:color w:val="000000"/>
        </w:rPr>
      </w:pPr>
    </w:p>
    <w:p w14:paraId="4DA56790" w14:textId="77777777" w:rsidR="000D160F" w:rsidRPr="004F5FB4" w:rsidRDefault="000D160F" w:rsidP="00A924EE">
      <w:pPr>
        <w:rPr>
          <w:color w:val="000000"/>
        </w:rPr>
      </w:pPr>
    </w:p>
    <w:p w14:paraId="5D82DFBE" w14:textId="77777777" w:rsidR="000D160F" w:rsidRPr="004F5FB4" w:rsidRDefault="000D160F" w:rsidP="00A924EE">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6</w:t>
      </w:r>
      <w:r w:rsidRPr="004F5FB4">
        <w:rPr>
          <w:b/>
          <w:color w:val="000000"/>
        </w:rPr>
        <w:tab/>
        <w:t>WARNHINWEIS, DASS DAS ARZNEIMITTEL FÜR KINDER UNZUGÄNGLICH AUFZUBEWAHREN IST</w:t>
      </w:r>
    </w:p>
    <w:p w14:paraId="00CE7377" w14:textId="77777777" w:rsidR="000D160F" w:rsidRPr="004F5FB4" w:rsidRDefault="000D160F" w:rsidP="00A924EE">
      <w:pPr>
        <w:rPr>
          <w:color w:val="000000"/>
        </w:rPr>
      </w:pPr>
    </w:p>
    <w:p w14:paraId="0B303DE0" w14:textId="77777777" w:rsidR="000D160F" w:rsidRPr="004F5FB4" w:rsidRDefault="000D160F" w:rsidP="00A924EE">
      <w:pPr>
        <w:pStyle w:val="BodyText"/>
        <w:widowControl/>
        <w:kinsoku w:val="0"/>
        <w:overflowPunct w:val="0"/>
        <w:ind w:left="0"/>
        <w:rPr>
          <w:color w:val="000000"/>
        </w:rPr>
      </w:pPr>
      <w:r w:rsidRPr="004F5FB4">
        <w:rPr>
          <w:color w:val="000000"/>
        </w:rPr>
        <w:t>Arzneimittel für Kinder unzugänglich aufbewahren.</w:t>
      </w:r>
    </w:p>
    <w:p w14:paraId="54C28335" w14:textId="77777777" w:rsidR="000D160F" w:rsidRPr="004F5FB4" w:rsidRDefault="000D160F" w:rsidP="00A924EE">
      <w:pPr>
        <w:rPr>
          <w:color w:val="000000"/>
        </w:rPr>
      </w:pPr>
    </w:p>
    <w:p w14:paraId="45305C83" w14:textId="77777777" w:rsidR="000D160F" w:rsidRPr="004F5FB4" w:rsidRDefault="000D160F" w:rsidP="00A924EE">
      <w:pPr>
        <w:rPr>
          <w:color w:val="000000"/>
        </w:rPr>
      </w:pPr>
    </w:p>
    <w:p w14:paraId="6B59DE0F" w14:textId="77777777" w:rsidR="000D160F" w:rsidRPr="004F5FB4" w:rsidRDefault="000D160F" w:rsidP="00A924EE">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7</w:t>
      </w:r>
      <w:r w:rsidRPr="004F5FB4">
        <w:rPr>
          <w:b/>
          <w:color w:val="000000"/>
        </w:rPr>
        <w:tab/>
        <w:t>WEITERE WARNHINWEISE, FALLS ERFORDERLICH</w:t>
      </w:r>
    </w:p>
    <w:p w14:paraId="71A8E8CC" w14:textId="77777777" w:rsidR="000D160F" w:rsidRPr="004F5FB4" w:rsidRDefault="000D160F" w:rsidP="00A924EE">
      <w:pPr>
        <w:rPr>
          <w:color w:val="000000"/>
        </w:rPr>
      </w:pPr>
    </w:p>
    <w:p w14:paraId="77F7C3FB" w14:textId="77777777" w:rsidR="000D160F" w:rsidRPr="004F5FB4" w:rsidRDefault="000D160F" w:rsidP="00687087">
      <w:pPr>
        <w:rPr>
          <w:color w:val="000000"/>
        </w:rPr>
      </w:pPr>
    </w:p>
    <w:p w14:paraId="77266758" w14:textId="77777777" w:rsidR="000D160F" w:rsidRPr="004F5FB4" w:rsidRDefault="000D160F" w:rsidP="00687087">
      <w:pPr>
        <w:pBdr>
          <w:top w:val="single" w:sz="4" w:space="1" w:color="auto"/>
          <w:left w:val="single" w:sz="4" w:space="4" w:color="auto"/>
          <w:bottom w:val="single" w:sz="4" w:space="1" w:color="auto"/>
          <w:right w:val="single" w:sz="4" w:space="4" w:color="auto"/>
        </w:pBdr>
        <w:rPr>
          <w:b/>
          <w:color w:val="000000"/>
        </w:rPr>
      </w:pPr>
      <w:r w:rsidRPr="004F5FB4">
        <w:rPr>
          <w:b/>
          <w:color w:val="000000"/>
        </w:rPr>
        <w:t>8</w:t>
      </w:r>
      <w:r w:rsidRPr="004F5FB4">
        <w:rPr>
          <w:b/>
          <w:color w:val="000000"/>
        </w:rPr>
        <w:tab/>
        <w:t>VERFALLDATUM</w:t>
      </w:r>
    </w:p>
    <w:p w14:paraId="1757A238" w14:textId="77777777" w:rsidR="000D160F" w:rsidRPr="004F5FB4" w:rsidRDefault="000D160F" w:rsidP="00687087">
      <w:pPr>
        <w:rPr>
          <w:color w:val="000000"/>
        </w:rPr>
      </w:pPr>
    </w:p>
    <w:p w14:paraId="17F6EC94" w14:textId="77777777" w:rsidR="000D160F" w:rsidRPr="004F5FB4" w:rsidRDefault="000D160F" w:rsidP="00687087">
      <w:pPr>
        <w:pStyle w:val="BodyText"/>
        <w:widowControl/>
        <w:kinsoku w:val="0"/>
        <w:overflowPunct w:val="0"/>
        <w:ind w:left="0"/>
        <w:rPr>
          <w:color w:val="000000"/>
        </w:rPr>
      </w:pPr>
      <w:r w:rsidRPr="004F5FB4">
        <w:rPr>
          <w:color w:val="000000"/>
        </w:rPr>
        <w:t>Verwendbar bis</w:t>
      </w:r>
    </w:p>
    <w:p w14:paraId="76DEA003" w14:textId="77777777" w:rsidR="000D160F" w:rsidRPr="004F5FB4" w:rsidRDefault="000D160F" w:rsidP="00687087">
      <w:pPr>
        <w:rPr>
          <w:color w:val="000000"/>
        </w:rPr>
      </w:pPr>
    </w:p>
    <w:p w14:paraId="55AD8069" w14:textId="77777777" w:rsidR="000D160F" w:rsidRPr="004F5FB4" w:rsidRDefault="000D160F" w:rsidP="00687087">
      <w:pPr>
        <w:rPr>
          <w:color w:val="000000"/>
        </w:rPr>
      </w:pPr>
    </w:p>
    <w:p w14:paraId="7C241694" w14:textId="77777777" w:rsidR="000D160F" w:rsidRPr="004F5FB4" w:rsidRDefault="000D160F"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9</w:t>
      </w:r>
      <w:r w:rsidRPr="004F5FB4">
        <w:rPr>
          <w:b/>
          <w:color w:val="000000"/>
        </w:rPr>
        <w:tab/>
        <w:t>BESONDERE VORSICHTSMASSNAHMEN FÜR DIE AUFBEWAHRUNG</w:t>
      </w:r>
    </w:p>
    <w:p w14:paraId="0F833530" w14:textId="77777777" w:rsidR="000D160F" w:rsidRPr="004F5FB4" w:rsidRDefault="000D160F" w:rsidP="00982118">
      <w:pPr>
        <w:rPr>
          <w:color w:val="000000"/>
        </w:rPr>
      </w:pPr>
    </w:p>
    <w:p w14:paraId="379C2B02" w14:textId="77777777" w:rsidR="000D160F" w:rsidRPr="004F5FB4" w:rsidRDefault="000D160F" w:rsidP="00982118">
      <w:pPr>
        <w:pStyle w:val="BodyText"/>
        <w:widowControl/>
        <w:kinsoku w:val="0"/>
        <w:overflowPunct w:val="0"/>
        <w:ind w:left="0"/>
        <w:rPr>
          <w:color w:val="000000"/>
        </w:rPr>
      </w:pPr>
      <w:r w:rsidRPr="004F5FB4">
        <w:rPr>
          <w:color w:val="000000"/>
        </w:rPr>
        <w:t>Im Kühlschrank lagern. Nicht einfrieren.</w:t>
      </w:r>
    </w:p>
    <w:p w14:paraId="7D2ACAE2" w14:textId="77777777" w:rsidR="000D160F" w:rsidRPr="004F5FB4" w:rsidRDefault="000D160F" w:rsidP="00982118">
      <w:pPr>
        <w:pStyle w:val="BodyText"/>
        <w:widowControl/>
        <w:kinsoku w:val="0"/>
        <w:overflowPunct w:val="0"/>
        <w:ind w:left="0"/>
        <w:rPr>
          <w:color w:val="000000"/>
        </w:rPr>
      </w:pPr>
    </w:p>
    <w:p w14:paraId="6DB6342A" w14:textId="77777777" w:rsidR="000D160F" w:rsidRPr="004F5FB4" w:rsidRDefault="000D160F" w:rsidP="00982118">
      <w:pPr>
        <w:pStyle w:val="BodyText"/>
        <w:widowControl/>
        <w:kinsoku w:val="0"/>
        <w:overflowPunct w:val="0"/>
        <w:ind w:left="0"/>
        <w:rPr>
          <w:color w:val="000000"/>
        </w:rPr>
      </w:pPr>
      <w:r w:rsidRPr="004F5FB4">
        <w:rPr>
          <w:color w:val="000000"/>
        </w:rPr>
        <w:t>Die Spritze im Umkarton aufbewahren, um den Inhalt vor Licht zu schützen.</w:t>
      </w:r>
    </w:p>
    <w:p w14:paraId="01FC170A" w14:textId="77777777" w:rsidR="000D160F" w:rsidRPr="004F5FB4" w:rsidRDefault="000D160F" w:rsidP="00982118">
      <w:pPr>
        <w:rPr>
          <w:color w:val="000000"/>
        </w:rPr>
      </w:pPr>
    </w:p>
    <w:p w14:paraId="3F0C7DC6" w14:textId="77777777" w:rsidR="000D160F" w:rsidRPr="004F5FB4" w:rsidRDefault="000D160F" w:rsidP="00982118">
      <w:pPr>
        <w:rPr>
          <w:color w:val="000000"/>
        </w:rPr>
      </w:pPr>
    </w:p>
    <w:p w14:paraId="5D41F60A" w14:textId="77777777" w:rsidR="000D160F" w:rsidRPr="004F5FB4" w:rsidRDefault="000D160F" w:rsidP="00982118">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10</w:t>
      </w:r>
      <w:r w:rsidRPr="004F5FB4">
        <w:rPr>
          <w:b/>
          <w:color w:val="000000"/>
        </w:rPr>
        <w:tab/>
        <w:t>GEGEBENENFALLS BESONDERE VORSICHTSMASSNAHMEN FÜR DIE BESEITIGUNG VON NICHT VERWENDETEM ARZNEIMITTEL ODER DAVON STAMMENDEN ABFALLMATERIALIEN</w:t>
      </w:r>
    </w:p>
    <w:p w14:paraId="4688B7B2" w14:textId="77777777" w:rsidR="000D160F" w:rsidRPr="004F5FB4" w:rsidRDefault="000D160F" w:rsidP="00982118">
      <w:pPr>
        <w:rPr>
          <w:color w:val="000000"/>
        </w:rPr>
      </w:pPr>
    </w:p>
    <w:p w14:paraId="05FC0E3F" w14:textId="77777777" w:rsidR="000D160F" w:rsidRPr="004F5FB4" w:rsidRDefault="000D160F" w:rsidP="00982118">
      <w:pPr>
        <w:rPr>
          <w:color w:val="000000"/>
        </w:rPr>
      </w:pPr>
    </w:p>
    <w:p w14:paraId="31BB2D8D" w14:textId="77777777" w:rsidR="000D160F" w:rsidRPr="004F5FB4" w:rsidRDefault="000D160F"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11</w:t>
      </w:r>
      <w:r w:rsidRPr="004F5FB4">
        <w:rPr>
          <w:b/>
          <w:color w:val="000000"/>
        </w:rPr>
        <w:tab/>
        <w:t>NAME UND ANSCHRIFT DES PHARMAZEUTISCHEN UNTERNEHMERS</w:t>
      </w:r>
    </w:p>
    <w:p w14:paraId="74CF4992" w14:textId="77777777" w:rsidR="000D160F" w:rsidRPr="004F5FB4" w:rsidRDefault="000D160F" w:rsidP="00982118">
      <w:pPr>
        <w:rPr>
          <w:color w:val="000000"/>
        </w:rPr>
      </w:pPr>
    </w:p>
    <w:p w14:paraId="4F464D97" w14:textId="77777777" w:rsidR="00792CD9" w:rsidRPr="00C325BF" w:rsidRDefault="00792CD9" w:rsidP="00982118">
      <w:pPr>
        <w:keepNext/>
        <w:ind w:right="14"/>
        <w:rPr>
          <w:color w:val="000000"/>
          <w:lang w:val="fr-FR"/>
        </w:rPr>
      </w:pPr>
      <w:r w:rsidRPr="00C325BF">
        <w:rPr>
          <w:color w:val="000000"/>
          <w:lang w:val="fr-FR"/>
        </w:rPr>
        <w:t>Pfizer Europe MA EEIG</w:t>
      </w:r>
    </w:p>
    <w:p w14:paraId="571B74E4" w14:textId="77777777" w:rsidR="0016344D" w:rsidRPr="00C325BF" w:rsidRDefault="0016344D" w:rsidP="00982118">
      <w:pPr>
        <w:pStyle w:val="BodyText"/>
        <w:widowControl/>
        <w:kinsoku w:val="0"/>
        <w:overflowPunct w:val="0"/>
        <w:ind w:left="0"/>
        <w:rPr>
          <w:color w:val="000000"/>
          <w:lang w:val="fr-FR"/>
        </w:rPr>
      </w:pPr>
      <w:r w:rsidRPr="00C325BF">
        <w:rPr>
          <w:color w:val="000000"/>
          <w:lang w:val="fr-FR"/>
        </w:rPr>
        <w:t>Boulevard de la Plaine 17</w:t>
      </w:r>
    </w:p>
    <w:p w14:paraId="53604344" w14:textId="77777777" w:rsidR="0016344D" w:rsidRPr="004F5FB4" w:rsidRDefault="0016344D" w:rsidP="00982118">
      <w:pPr>
        <w:pStyle w:val="BodyText"/>
        <w:widowControl/>
        <w:kinsoku w:val="0"/>
        <w:overflowPunct w:val="0"/>
        <w:ind w:left="0"/>
        <w:rPr>
          <w:color w:val="000000"/>
        </w:rPr>
      </w:pPr>
      <w:r w:rsidRPr="004F5FB4">
        <w:rPr>
          <w:color w:val="000000"/>
        </w:rPr>
        <w:t>1050 Br</w:t>
      </w:r>
      <w:r w:rsidR="00E94F6C" w:rsidRPr="004F5FB4">
        <w:rPr>
          <w:color w:val="000000"/>
        </w:rPr>
        <w:t>üssel</w:t>
      </w:r>
    </w:p>
    <w:p w14:paraId="2F016BE2" w14:textId="77777777" w:rsidR="0016344D" w:rsidRPr="004F5FB4" w:rsidRDefault="0016344D" w:rsidP="00982118">
      <w:pPr>
        <w:pStyle w:val="BodyText"/>
        <w:widowControl/>
        <w:kinsoku w:val="0"/>
        <w:overflowPunct w:val="0"/>
        <w:ind w:left="0"/>
        <w:rPr>
          <w:color w:val="000000"/>
        </w:rPr>
      </w:pPr>
      <w:r w:rsidRPr="004F5FB4">
        <w:rPr>
          <w:color w:val="000000"/>
        </w:rPr>
        <w:t>Belgien</w:t>
      </w:r>
    </w:p>
    <w:p w14:paraId="64949152" w14:textId="77777777" w:rsidR="000D160F" w:rsidRPr="004F5FB4" w:rsidRDefault="000D160F" w:rsidP="00982118">
      <w:pPr>
        <w:rPr>
          <w:color w:val="000000"/>
        </w:rPr>
      </w:pPr>
    </w:p>
    <w:p w14:paraId="3297D6EC" w14:textId="77777777" w:rsidR="000D160F" w:rsidRPr="004F5FB4" w:rsidRDefault="000D160F" w:rsidP="00982118">
      <w:pPr>
        <w:rPr>
          <w:color w:val="000000"/>
        </w:rPr>
      </w:pPr>
    </w:p>
    <w:p w14:paraId="061CF74D" w14:textId="77777777" w:rsidR="000D160F" w:rsidRPr="004F5FB4" w:rsidRDefault="000D160F"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12</w:t>
      </w:r>
      <w:r w:rsidRPr="004F5FB4">
        <w:rPr>
          <w:b/>
          <w:color w:val="000000"/>
        </w:rPr>
        <w:tab/>
        <w:t>ZULASSUNGSNUMMER</w:t>
      </w:r>
    </w:p>
    <w:p w14:paraId="2047F71A" w14:textId="77777777" w:rsidR="000D160F" w:rsidRPr="004F5FB4" w:rsidRDefault="000D160F" w:rsidP="00982118">
      <w:pPr>
        <w:rPr>
          <w:color w:val="000000"/>
        </w:rPr>
      </w:pPr>
    </w:p>
    <w:p w14:paraId="03DF67C8" w14:textId="77777777" w:rsidR="000D160F" w:rsidRPr="004F5FB4" w:rsidRDefault="006D7BDA" w:rsidP="00982118">
      <w:pPr>
        <w:rPr>
          <w:color w:val="000000"/>
        </w:rPr>
      </w:pPr>
      <w:r w:rsidRPr="006A4773">
        <w:rPr>
          <w:color w:val="000000"/>
        </w:rPr>
        <w:t>EU/1/19/1415/001</w:t>
      </w:r>
    </w:p>
    <w:p w14:paraId="2C9D1423" w14:textId="77777777" w:rsidR="006A3BA1" w:rsidRDefault="006A3BA1" w:rsidP="00982118">
      <w:pPr>
        <w:rPr>
          <w:color w:val="000000"/>
        </w:rPr>
      </w:pPr>
    </w:p>
    <w:p w14:paraId="211A4A33" w14:textId="77777777" w:rsidR="00A65FE9" w:rsidRPr="004F5FB4" w:rsidRDefault="00A65FE9" w:rsidP="00982118">
      <w:pPr>
        <w:rPr>
          <w:color w:val="000000"/>
        </w:rPr>
      </w:pPr>
    </w:p>
    <w:p w14:paraId="089D44F2" w14:textId="77777777" w:rsidR="000D160F" w:rsidRPr="004F5FB4" w:rsidRDefault="000D160F"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13</w:t>
      </w:r>
      <w:r w:rsidRPr="004F5FB4">
        <w:rPr>
          <w:b/>
          <w:color w:val="000000"/>
        </w:rPr>
        <w:tab/>
        <w:t>CHARGENBEZEICHNUNG</w:t>
      </w:r>
    </w:p>
    <w:p w14:paraId="146AB728" w14:textId="77777777" w:rsidR="000D160F" w:rsidRPr="004F5FB4" w:rsidRDefault="000D160F" w:rsidP="00982118">
      <w:pPr>
        <w:rPr>
          <w:color w:val="000000"/>
        </w:rPr>
      </w:pPr>
    </w:p>
    <w:p w14:paraId="5D0138B2" w14:textId="77777777" w:rsidR="000D160F" w:rsidRPr="004F5FB4" w:rsidRDefault="000D160F" w:rsidP="00982118">
      <w:pPr>
        <w:rPr>
          <w:color w:val="000000"/>
        </w:rPr>
      </w:pPr>
      <w:r w:rsidRPr="004F5FB4">
        <w:rPr>
          <w:color w:val="000000"/>
        </w:rPr>
        <w:t xml:space="preserve">Ch.-B. </w:t>
      </w:r>
    </w:p>
    <w:p w14:paraId="12E8E33A" w14:textId="77777777" w:rsidR="000D160F" w:rsidRPr="004F5FB4" w:rsidRDefault="000D160F" w:rsidP="00982118">
      <w:pPr>
        <w:rPr>
          <w:color w:val="000000"/>
        </w:rPr>
      </w:pPr>
    </w:p>
    <w:p w14:paraId="0B61E464" w14:textId="77777777" w:rsidR="000D160F" w:rsidRPr="004F5FB4" w:rsidRDefault="000D160F" w:rsidP="00982118">
      <w:pPr>
        <w:rPr>
          <w:color w:val="000000"/>
        </w:rPr>
      </w:pPr>
    </w:p>
    <w:p w14:paraId="45838C45" w14:textId="77777777" w:rsidR="000D160F" w:rsidRPr="004F5FB4" w:rsidRDefault="000D160F"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14</w:t>
      </w:r>
      <w:r w:rsidRPr="004F5FB4">
        <w:rPr>
          <w:b/>
          <w:color w:val="000000"/>
        </w:rPr>
        <w:tab/>
        <w:t>VERKAUFSABGRENZUNG</w:t>
      </w:r>
    </w:p>
    <w:p w14:paraId="62A918E4" w14:textId="77777777" w:rsidR="000D160F" w:rsidRPr="004F5FB4" w:rsidRDefault="000D160F" w:rsidP="00982118">
      <w:pPr>
        <w:rPr>
          <w:color w:val="000000"/>
        </w:rPr>
      </w:pPr>
    </w:p>
    <w:p w14:paraId="0C2CDD44" w14:textId="77777777" w:rsidR="000D160F" w:rsidRPr="004F5FB4" w:rsidRDefault="000D160F" w:rsidP="00982118">
      <w:pPr>
        <w:rPr>
          <w:color w:val="000000"/>
        </w:rPr>
      </w:pPr>
    </w:p>
    <w:p w14:paraId="3031258A" w14:textId="77777777" w:rsidR="000D160F" w:rsidRPr="004F5FB4" w:rsidRDefault="000D160F"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15</w:t>
      </w:r>
      <w:r w:rsidRPr="004F5FB4">
        <w:rPr>
          <w:b/>
          <w:color w:val="000000"/>
        </w:rPr>
        <w:tab/>
        <w:t>HINWEISE FÜR DEN GEBRAUCH</w:t>
      </w:r>
    </w:p>
    <w:p w14:paraId="6879DC92" w14:textId="77777777" w:rsidR="000D160F" w:rsidRPr="004F5FB4" w:rsidRDefault="000D160F" w:rsidP="00982118">
      <w:pPr>
        <w:rPr>
          <w:color w:val="000000"/>
        </w:rPr>
      </w:pPr>
    </w:p>
    <w:p w14:paraId="260FCB25" w14:textId="77777777" w:rsidR="000D160F" w:rsidRPr="004F5FB4" w:rsidRDefault="000D160F" w:rsidP="00982118">
      <w:pPr>
        <w:rPr>
          <w:color w:val="000000"/>
        </w:rPr>
      </w:pPr>
    </w:p>
    <w:p w14:paraId="46F118D1" w14:textId="77777777" w:rsidR="000D160F" w:rsidRPr="004F5FB4" w:rsidRDefault="000D160F"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16</w:t>
      </w:r>
      <w:r w:rsidRPr="004F5FB4">
        <w:rPr>
          <w:b/>
          <w:color w:val="000000"/>
        </w:rPr>
        <w:tab/>
        <w:t>ANGABEN IN BLINDENSCHRIFT</w:t>
      </w:r>
    </w:p>
    <w:p w14:paraId="2A51E39E" w14:textId="77777777" w:rsidR="000D160F" w:rsidRPr="004F5FB4" w:rsidRDefault="000D160F" w:rsidP="00982118">
      <w:pPr>
        <w:rPr>
          <w:color w:val="000000"/>
        </w:rPr>
      </w:pPr>
    </w:p>
    <w:p w14:paraId="2295E823" w14:textId="77777777" w:rsidR="000D160F" w:rsidRPr="004F5FB4" w:rsidRDefault="006A1144" w:rsidP="00982118">
      <w:pPr>
        <w:rPr>
          <w:color w:val="000000"/>
        </w:rPr>
      </w:pPr>
      <w:r w:rsidRPr="004F5FB4">
        <w:rPr>
          <w:color w:val="000000"/>
        </w:rPr>
        <w:t>Amsparity 20 mg</w:t>
      </w:r>
    </w:p>
    <w:p w14:paraId="6BF741FB" w14:textId="77777777" w:rsidR="000D160F" w:rsidRPr="004F5FB4" w:rsidRDefault="000D160F" w:rsidP="00982118">
      <w:pPr>
        <w:rPr>
          <w:color w:val="000000"/>
        </w:rPr>
      </w:pPr>
    </w:p>
    <w:p w14:paraId="07AB2E07" w14:textId="77777777" w:rsidR="000D160F" w:rsidRPr="004F5FB4" w:rsidRDefault="000D160F" w:rsidP="00982118">
      <w:pPr>
        <w:rPr>
          <w:color w:val="000000"/>
        </w:rPr>
      </w:pPr>
    </w:p>
    <w:p w14:paraId="4D116F20" w14:textId="77777777" w:rsidR="000D160F" w:rsidRPr="004F5FB4" w:rsidRDefault="000D160F"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17</w:t>
      </w:r>
      <w:r w:rsidRPr="004F5FB4">
        <w:rPr>
          <w:b/>
          <w:color w:val="000000"/>
        </w:rPr>
        <w:tab/>
        <w:t>INDIVIDUELLES ERKENNUNGSMERKMAL – 2D-BARCODE</w:t>
      </w:r>
    </w:p>
    <w:p w14:paraId="30E0FB63" w14:textId="77777777" w:rsidR="000D160F" w:rsidRPr="004F5FB4" w:rsidRDefault="000D160F" w:rsidP="00982118">
      <w:pPr>
        <w:keepNext/>
        <w:rPr>
          <w:color w:val="000000"/>
        </w:rPr>
      </w:pPr>
    </w:p>
    <w:p w14:paraId="4218D9DC" w14:textId="77777777" w:rsidR="000D160F" w:rsidRPr="004F5FB4" w:rsidRDefault="000D160F" w:rsidP="00982118">
      <w:pPr>
        <w:pStyle w:val="BodyText"/>
        <w:keepNext/>
        <w:widowControl/>
        <w:kinsoku w:val="0"/>
        <w:overflowPunct w:val="0"/>
        <w:ind w:left="0"/>
        <w:rPr>
          <w:color w:val="000000"/>
        </w:rPr>
      </w:pPr>
      <w:r w:rsidRPr="004F5FB4">
        <w:rPr>
          <w:color w:val="000000"/>
          <w:highlight w:val="lightGray"/>
        </w:rPr>
        <w:t>2D-Barcode mit individuellem Erkennungsmerkmal.</w:t>
      </w:r>
    </w:p>
    <w:p w14:paraId="4E6A9F0B" w14:textId="77777777" w:rsidR="000D160F" w:rsidRPr="004F5FB4" w:rsidRDefault="000D160F" w:rsidP="00982118">
      <w:pPr>
        <w:keepNext/>
        <w:rPr>
          <w:color w:val="000000"/>
        </w:rPr>
      </w:pPr>
    </w:p>
    <w:p w14:paraId="6B6445D4" w14:textId="77777777" w:rsidR="000D160F" w:rsidRPr="004F5FB4" w:rsidRDefault="000D160F" w:rsidP="00982118">
      <w:pPr>
        <w:rPr>
          <w:color w:val="000000"/>
        </w:rPr>
      </w:pPr>
    </w:p>
    <w:p w14:paraId="00D7D83F" w14:textId="77777777" w:rsidR="000D160F" w:rsidRPr="004F5FB4" w:rsidRDefault="000D160F" w:rsidP="00F17530">
      <w:pPr>
        <w:keepNext/>
        <w:pBdr>
          <w:top w:val="single" w:sz="4" w:space="1" w:color="auto"/>
          <w:left w:val="single" w:sz="4" w:space="4" w:color="auto"/>
          <w:bottom w:val="single" w:sz="4" w:space="1" w:color="auto"/>
          <w:right w:val="single" w:sz="4" w:space="4" w:color="auto"/>
        </w:pBdr>
        <w:ind w:left="567" w:hanging="567"/>
        <w:rPr>
          <w:b/>
          <w:color w:val="000000"/>
        </w:rPr>
      </w:pPr>
      <w:r w:rsidRPr="004F5FB4">
        <w:rPr>
          <w:b/>
          <w:color w:val="000000"/>
        </w:rPr>
        <w:t>18</w:t>
      </w:r>
      <w:r w:rsidRPr="004F5FB4">
        <w:rPr>
          <w:b/>
          <w:color w:val="000000"/>
        </w:rPr>
        <w:tab/>
        <w:t>INDIVIDUELLES ERKENNUNGSMERKMAL – VOM MENSCHEN LESBARES FORMAT</w:t>
      </w:r>
    </w:p>
    <w:p w14:paraId="738F90AC" w14:textId="77777777" w:rsidR="000D160F" w:rsidRPr="004F5FB4" w:rsidRDefault="000D160F" w:rsidP="00982118">
      <w:pPr>
        <w:keepNext/>
        <w:rPr>
          <w:color w:val="000000"/>
        </w:rPr>
      </w:pPr>
    </w:p>
    <w:p w14:paraId="65AE01A2" w14:textId="77777777" w:rsidR="000D160F" w:rsidRPr="004F5FB4" w:rsidRDefault="000D160F" w:rsidP="00982118">
      <w:pPr>
        <w:keepNext/>
        <w:rPr>
          <w:color w:val="000000"/>
          <w:highlight w:val="lightGray"/>
        </w:rPr>
      </w:pPr>
      <w:r w:rsidRPr="004F5FB4">
        <w:rPr>
          <w:color w:val="000000"/>
        </w:rPr>
        <w:t xml:space="preserve">PC </w:t>
      </w:r>
    </w:p>
    <w:p w14:paraId="5F817F7D" w14:textId="77777777" w:rsidR="000D160F" w:rsidRPr="004F5FB4" w:rsidRDefault="000D160F" w:rsidP="00982118">
      <w:pPr>
        <w:keepNext/>
        <w:rPr>
          <w:color w:val="000000"/>
        </w:rPr>
      </w:pPr>
      <w:r w:rsidRPr="004F5FB4">
        <w:rPr>
          <w:color w:val="000000"/>
        </w:rPr>
        <w:t xml:space="preserve">SN </w:t>
      </w:r>
    </w:p>
    <w:p w14:paraId="0604BDDF" w14:textId="77777777" w:rsidR="000D160F" w:rsidRPr="004F5FB4" w:rsidRDefault="000D160F" w:rsidP="00982118">
      <w:pPr>
        <w:rPr>
          <w:color w:val="000000"/>
        </w:rPr>
      </w:pPr>
      <w:r w:rsidRPr="004F5FB4">
        <w:rPr>
          <w:color w:val="000000"/>
        </w:rPr>
        <w:t xml:space="preserve">NN </w:t>
      </w:r>
    </w:p>
    <w:p w14:paraId="7EF4D738" w14:textId="77777777" w:rsidR="000D160F" w:rsidRPr="004F5FB4" w:rsidRDefault="000D160F" w:rsidP="00982118">
      <w:pPr>
        <w:rPr>
          <w:color w:val="000000"/>
        </w:rPr>
      </w:pPr>
      <w:r w:rsidRPr="004F5FB4">
        <w:rPr>
          <w:color w:val="000000"/>
        </w:rPr>
        <w:br w:type="page"/>
      </w:r>
    </w:p>
    <w:p w14:paraId="11F17CED" w14:textId="77777777" w:rsidR="00A7312E" w:rsidRPr="004F5FB4" w:rsidRDefault="00A7312E" w:rsidP="00982118">
      <w:pPr>
        <w:pBdr>
          <w:top w:val="single" w:sz="4" w:space="1" w:color="auto"/>
          <w:left w:val="single" w:sz="4" w:space="4" w:color="auto"/>
          <w:bottom w:val="single" w:sz="4" w:space="1" w:color="auto"/>
          <w:right w:val="single" w:sz="4" w:space="4" w:color="auto"/>
        </w:pBdr>
        <w:rPr>
          <w:color w:val="000000"/>
        </w:rPr>
      </w:pPr>
      <w:r w:rsidRPr="004F5FB4">
        <w:rPr>
          <w:b/>
          <w:color w:val="000000"/>
        </w:rPr>
        <w:lastRenderedPageBreak/>
        <w:t>MINDESTANGABEN AUF BLISTERPACKUNGEN ODER FOLIENSTREIFEN</w:t>
      </w:r>
    </w:p>
    <w:p w14:paraId="7852540E" w14:textId="77777777" w:rsidR="00A7312E" w:rsidRPr="004F5FB4" w:rsidRDefault="00A7312E" w:rsidP="00982118">
      <w:pPr>
        <w:pBdr>
          <w:top w:val="single" w:sz="4" w:space="1" w:color="auto"/>
          <w:left w:val="single" w:sz="4" w:space="4" w:color="auto"/>
          <w:bottom w:val="single" w:sz="4" w:space="1" w:color="auto"/>
          <w:right w:val="single" w:sz="4" w:space="4" w:color="auto"/>
        </w:pBdr>
        <w:rPr>
          <w:b/>
          <w:color w:val="000000"/>
        </w:rPr>
      </w:pPr>
    </w:p>
    <w:p w14:paraId="096F93A0" w14:textId="77777777" w:rsidR="00A7312E" w:rsidRPr="004F5FB4" w:rsidRDefault="00A7312E" w:rsidP="00982118">
      <w:pPr>
        <w:pBdr>
          <w:top w:val="single" w:sz="4" w:space="1" w:color="auto"/>
          <w:left w:val="single" w:sz="4" w:space="4" w:color="auto"/>
          <w:bottom w:val="single" w:sz="4" w:space="1" w:color="auto"/>
          <w:right w:val="single" w:sz="4" w:space="4" w:color="auto"/>
        </w:pBdr>
        <w:rPr>
          <w:b/>
          <w:color w:val="000000"/>
        </w:rPr>
      </w:pPr>
      <w:r w:rsidRPr="004F5FB4">
        <w:rPr>
          <w:b/>
          <w:bCs/>
          <w:color w:val="000000"/>
        </w:rPr>
        <w:t>VERSCHLUSSFOLIE BLISTERPACKUNG</w:t>
      </w:r>
      <w:r w:rsidR="00C244A9" w:rsidRPr="004F5FB4">
        <w:rPr>
          <w:b/>
          <w:bCs/>
          <w:color w:val="000000"/>
        </w:rPr>
        <w:t xml:space="preserve"> (FERTIGSPRITZE 20 mg/0,4 ml)</w:t>
      </w:r>
    </w:p>
    <w:p w14:paraId="187F2264" w14:textId="77777777" w:rsidR="00A7312E" w:rsidRPr="004F5FB4" w:rsidRDefault="00A7312E" w:rsidP="00982118">
      <w:pPr>
        <w:rPr>
          <w:color w:val="000000"/>
        </w:rPr>
      </w:pPr>
    </w:p>
    <w:p w14:paraId="605711D2" w14:textId="77777777" w:rsidR="00A7312E" w:rsidRPr="004F5FB4" w:rsidRDefault="00A7312E" w:rsidP="00982118">
      <w:pPr>
        <w:rPr>
          <w:color w:val="000000"/>
        </w:rPr>
      </w:pPr>
    </w:p>
    <w:p w14:paraId="075387AC" w14:textId="77777777" w:rsidR="00A7312E" w:rsidRPr="004F5FB4"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w:t>
      </w:r>
    </w:p>
    <w:p w14:paraId="2A8897EB" w14:textId="77777777" w:rsidR="00A7312E" w:rsidRPr="004F5FB4" w:rsidRDefault="00A7312E" w:rsidP="00982118">
      <w:pPr>
        <w:rPr>
          <w:color w:val="000000"/>
        </w:rPr>
      </w:pPr>
    </w:p>
    <w:p w14:paraId="5538E252" w14:textId="77777777" w:rsidR="00A7312E" w:rsidRPr="004F5FB4" w:rsidRDefault="006A1144" w:rsidP="00982118">
      <w:pPr>
        <w:rPr>
          <w:color w:val="000000"/>
        </w:rPr>
      </w:pPr>
      <w:r w:rsidRPr="004F5FB4">
        <w:rPr>
          <w:color w:val="000000"/>
        </w:rPr>
        <w:t>Amsparity 20 mg Injektionslösung in einer Fertigspritze</w:t>
      </w:r>
    </w:p>
    <w:p w14:paraId="024F365D" w14:textId="77777777" w:rsidR="006D7BDA" w:rsidRPr="004F5FB4" w:rsidRDefault="00A7312E" w:rsidP="00982118">
      <w:pPr>
        <w:rPr>
          <w:color w:val="000000"/>
        </w:rPr>
      </w:pPr>
      <w:r w:rsidRPr="004F5FB4">
        <w:rPr>
          <w:color w:val="000000"/>
        </w:rPr>
        <w:t>Adalimumab</w:t>
      </w:r>
    </w:p>
    <w:p w14:paraId="33E547B5" w14:textId="77777777" w:rsidR="00A7312E" w:rsidRPr="004F5FB4" w:rsidRDefault="00A7312E" w:rsidP="00982118">
      <w:pPr>
        <w:rPr>
          <w:color w:val="000000"/>
        </w:rPr>
      </w:pPr>
    </w:p>
    <w:p w14:paraId="7DFCADE3" w14:textId="77777777" w:rsidR="00A7312E" w:rsidRPr="004F5FB4" w:rsidRDefault="00A7312E" w:rsidP="00982118">
      <w:pPr>
        <w:rPr>
          <w:color w:val="000000"/>
        </w:rPr>
      </w:pPr>
    </w:p>
    <w:p w14:paraId="61A7EB14" w14:textId="77777777" w:rsidR="00A7312E" w:rsidRPr="004F5FB4"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NAME DES PHARMAZEUTISCHEN UNTERNEHMERS</w:t>
      </w:r>
    </w:p>
    <w:p w14:paraId="01F243CC" w14:textId="77777777" w:rsidR="00A7312E" w:rsidRPr="004F5FB4" w:rsidRDefault="00A7312E" w:rsidP="00982118">
      <w:pPr>
        <w:rPr>
          <w:color w:val="000000"/>
        </w:rPr>
      </w:pPr>
    </w:p>
    <w:p w14:paraId="461FA14E" w14:textId="77777777" w:rsidR="00A7312E" w:rsidRPr="004F5FB4" w:rsidRDefault="00792CD9" w:rsidP="00982118">
      <w:pPr>
        <w:rPr>
          <w:color w:val="000000"/>
        </w:rPr>
      </w:pPr>
      <w:r w:rsidRPr="004F5FB4">
        <w:rPr>
          <w:color w:val="000000"/>
        </w:rPr>
        <w:t>Pfizer Europe MA EEIG</w:t>
      </w:r>
    </w:p>
    <w:p w14:paraId="467C1005" w14:textId="77777777" w:rsidR="00792CD9" w:rsidRPr="004F5FB4" w:rsidRDefault="00792CD9" w:rsidP="00982118">
      <w:pPr>
        <w:rPr>
          <w:color w:val="000000"/>
        </w:rPr>
      </w:pPr>
    </w:p>
    <w:p w14:paraId="207F62C4" w14:textId="77777777" w:rsidR="00A7312E" w:rsidRPr="004F5FB4" w:rsidRDefault="00A7312E" w:rsidP="00982118">
      <w:pPr>
        <w:rPr>
          <w:color w:val="000000"/>
        </w:rPr>
      </w:pPr>
    </w:p>
    <w:p w14:paraId="51FCAF9A" w14:textId="77777777" w:rsidR="00A7312E" w:rsidRPr="004F5FB4"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VERFALLDATUM</w:t>
      </w:r>
    </w:p>
    <w:p w14:paraId="65E97BD6" w14:textId="77777777" w:rsidR="00A7312E" w:rsidRPr="004F5FB4" w:rsidRDefault="00A7312E" w:rsidP="00982118">
      <w:pPr>
        <w:rPr>
          <w:color w:val="000000"/>
        </w:rPr>
      </w:pPr>
    </w:p>
    <w:p w14:paraId="4940B93A" w14:textId="77777777" w:rsidR="00A7312E" w:rsidRPr="004F5FB4" w:rsidRDefault="00A7312E" w:rsidP="00982118">
      <w:pPr>
        <w:rPr>
          <w:color w:val="000000"/>
        </w:rPr>
      </w:pPr>
      <w:r w:rsidRPr="004F5FB4">
        <w:rPr>
          <w:color w:val="000000"/>
        </w:rPr>
        <w:t>Verwendbar bis</w:t>
      </w:r>
    </w:p>
    <w:p w14:paraId="530EC2E8" w14:textId="77777777" w:rsidR="00A7312E" w:rsidRPr="004F5FB4" w:rsidRDefault="00A7312E" w:rsidP="00982118">
      <w:pPr>
        <w:rPr>
          <w:color w:val="000000"/>
        </w:rPr>
      </w:pPr>
    </w:p>
    <w:p w14:paraId="78581A24" w14:textId="77777777" w:rsidR="00A7312E" w:rsidRPr="004F5FB4" w:rsidRDefault="00A7312E" w:rsidP="00982118">
      <w:pPr>
        <w:rPr>
          <w:color w:val="000000"/>
        </w:rPr>
      </w:pPr>
    </w:p>
    <w:p w14:paraId="66EFCB71" w14:textId="77777777" w:rsidR="00A7312E" w:rsidRPr="004F5FB4"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CHARGENBEZEICHNUNG</w:t>
      </w:r>
    </w:p>
    <w:p w14:paraId="185C8B57" w14:textId="77777777" w:rsidR="00A7312E" w:rsidRPr="004F5FB4" w:rsidRDefault="00A7312E" w:rsidP="00982118">
      <w:pPr>
        <w:rPr>
          <w:color w:val="000000"/>
        </w:rPr>
      </w:pPr>
    </w:p>
    <w:p w14:paraId="315A418D" w14:textId="77777777" w:rsidR="00A7312E" w:rsidRPr="004F5FB4" w:rsidRDefault="00A7312E" w:rsidP="00982118">
      <w:pPr>
        <w:rPr>
          <w:color w:val="000000"/>
        </w:rPr>
      </w:pPr>
      <w:r w:rsidRPr="004F5FB4">
        <w:rPr>
          <w:color w:val="000000"/>
        </w:rPr>
        <w:t>Ch.-B.</w:t>
      </w:r>
    </w:p>
    <w:p w14:paraId="6E9199DC" w14:textId="77777777" w:rsidR="00A7312E" w:rsidRPr="004F5FB4" w:rsidRDefault="00A7312E" w:rsidP="00982118">
      <w:pPr>
        <w:rPr>
          <w:color w:val="000000"/>
        </w:rPr>
      </w:pPr>
    </w:p>
    <w:p w14:paraId="62C86C61" w14:textId="77777777" w:rsidR="00A7312E" w:rsidRPr="004F5FB4" w:rsidRDefault="00A7312E" w:rsidP="00982118">
      <w:pPr>
        <w:rPr>
          <w:color w:val="000000"/>
        </w:rPr>
      </w:pPr>
    </w:p>
    <w:p w14:paraId="3DF2AEF6" w14:textId="77777777" w:rsidR="00A7312E" w:rsidRPr="004F5FB4" w:rsidRDefault="00A7312E" w:rsidP="00982118">
      <w:pPr>
        <w:pBdr>
          <w:top w:val="single" w:sz="4" w:space="1" w:color="auto"/>
          <w:left w:val="single" w:sz="4" w:space="4" w:color="auto"/>
          <w:bottom w:val="single" w:sz="4" w:space="1" w:color="auto"/>
          <w:right w:val="single" w:sz="4" w:space="4" w:color="auto"/>
        </w:pBdr>
        <w:tabs>
          <w:tab w:val="left" w:pos="562"/>
        </w:tabs>
        <w:rPr>
          <w:color w:val="000000"/>
        </w:rPr>
      </w:pPr>
      <w:r w:rsidRPr="004F5FB4">
        <w:rPr>
          <w:b/>
          <w:color w:val="000000"/>
        </w:rPr>
        <w:t>5</w:t>
      </w:r>
      <w:r w:rsidRPr="004F5FB4">
        <w:rPr>
          <w:b/>
          <w:color w:val="000000"/>
        </w:rPr>
        <w:tab/>
        <w:t>WEITERE ANGABEN</w:t>
      </w:r>
    </w:p>
    <w:p w14:paraId="222EF886" w14:textId="77777777" w:rsidR="00A7312E" w:rsidRPr="004F5FB4" w:rsidRDefault="00A7312E" w:rsidP="00982118">
      <w:pPr>
        <w:rPr>
          <w:color w:val="000000"/>
        </w:rPr>
      </w:pPr>
    </w:p>
    <w:p w14:paraId="7F00E865" w14:textId="77777777" w:rsidR="00A7312E" w:rsidRPr="004F5FB4" w:rsidRDefault="00A7312E" w:rsidP="00982118">
      <w:pPr>
        <w:pStyle w:val="BodyText"/>
        <w:widowControl/>
        <w:kinsoku w:val="0"/>
        <w:overflowPunct w:val="0"/>
        <w:ind w:left="0" w:right="447"/>
        <w:rPr>
          <w:color w:val="000000"/>
        </w:rPr>
      </w:pPr>
      <w:r w:rsidRPr="004F5FB4">
        <w:rPr>
          <w:color w:val="000000"/>
        </w:rPr>
        <w:t>Zu Lagerungshinweisen siehe Packungsbeilage.</w:t>
      </w:r>
    </w:p>
    <w:p w14:paraId="60E061FA" w14:textId="77777777" w:rsidR="00A7312E" w:rsidRPr="004F5FB4" w:rsidRDefault="00A7312E" w:rsidP="00982118">
      <w:pPr>
        <w:pStyle w:val="BodyText"/>
        <w:widowControl/>
        <w:kinsoku w:val="0"/>
        <w:overflowPunct w:val="0"/>
        <w:ind w:left="0" w:right="447"/>
        <w:rPr>
          <w:color w:val="000000"/>
        </w:rPr>
      </w:pPr>
    </w:p>
    <w:p w14:paraId="1B1B9441" w14:textId="77777777" w:rsidR="00A7312E" w:rsidRPr="004F5FB4" w:rsidRDefault="00A7312E" w:rsidP="00982118">
      <w:pPr>
        <w:pStyle w:val="BodyText"/>
        <w:widowControl/>
        <w:kinsoku w:val="0"/>
        <w:overflowPunct w:val="0"/>
        <w:ind w:left="0" w:right="447"/>
        <w:rPr>
          <w:color w:val="000000"/>
        </w:rPr>
      </w:pPr>
      <w:r w:rsidRPr="004F5FB4">
        <w:rPr>
          <w:color w:val="000000"/>
        </w:rPr>
        <w:t>Nur zur einmaligen Anwendung</w:t>
      </w:r>
    </w:p>
    <w:p w14:paraId="0C1352B0" w14:textId="77777777" w:rsidR="00A7312E" w:rsidRPr="004F5FB4" w:rsidRDefault="00A7312E" w:rsidP="00982118">
      <w:pPr>
        <w:pStyle w:val="BodyText"/>
        <w:widowControl/>
        <w:kinsoku w:val="0"/>
        <w:overflowPunct w:val="0"/>
        <w:ind w:left="0" w:right="447"/>
        <w:rPr>
          <w:color w:val="000000"/>
        </w:rPr>
      </w:pPr>
    </w:p>
    <w:p w14:paraId="5C57F1F1" w14:textId="77777777" w:rsidR="000D160F" w:rsidRPr="004F5FB4" w:rsidRDefault="00A7312E" w:rsidP="00F60620">
      <w:pPr>
        <w:pStyle w:val="BodyText"/>
        <w:widowControl/>
        <w:kinsoku w:val="0"/>
        <w:overflowPunct w:val="0"/>
        <w:ind w:left="0" w:right="447"/>
        <w:rPr>
          <w:color w:val="000000"/>
        </w:rPr>
      </w:pPr>
      <w:r w:rsidRPr="004F5FB4">
        <w:rPr>
          <w:color w:val="000000"/>
        </w:rPr>
        <w:t>Zur Anwendung bei Kindern und Jugendlichen</w:t>
      </w:r>
    </w:p>
    <w:p w14:paraId="34E999BF" w14:textId="77777777" w:rsidR="00A7312E" w:rsidRPr="004F5FB4" w:rsidRDefault="00A7312E" w:rsidP="00982118">
      <w:pPr>
        <w:rPr>
          <w:color w:val="000000"/>
        </w:rPr>
      </w:pPr>
      <w:r w:rsidRPr="004F5FB4">
        <w:rPr>
          <w:color w:val="000000"/>
        </w:rPr>
        <w:br w:type="page"/>
      </w:r>
    </w:p>
    <w:p w14:paraId="00BBFD25" w14:textId="77777777" w:rsidR="00691065" w:rsidRPr="004F5FB4" w:rsidRDefault="00691065"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MINDESTANGABEN AUF KLEINEN BEHÄLTNISSEN</w:t>
      </w:r>
    </w:p>
    <w:p w14:paraId="46EB363A" w14:textId="77777777" w:rsidR="00691065" w:rsidRPr="004F5FB4" w:rsidRDefault="00691065" w:rsidP="00982118">
      <w:pPr>
        <w:pBdr>
          <w:top w:val="single" w:sz="4" w:space="1" w:color="auto"/>
          <w:left w:val="single" w:sz="4" w:space="4" w:color="auto"/>
          <w:bottom w:val="single" w:sz="4" w:space="1" w:color="auto"/>
          <w:right w:val="single" w:sz="4" w:space="4" w:color="auto"/>
        </w:pBdr>
        <w:rPr>
          <w:b/>
          <w:color w:val="000000"/>
        </w:rPr>
      </w:pPr>
    </w:p>
    <w:p w14:paraId="488C3B58" w14:textId="77777777" w:rsidR="00691065" w:rsidRPr="004F5FB4" w:rsidRDefault="00691065"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SPRITZENETIKETT</w:t>
      </w:r>
      <w:r w:rsidR="00C244A9" w:rsidRPr="004F5FB4">
        <w:rPr>
          <w:b/>
          <w:color w:val="000000"/>
        </w:rPr>
        <w:t xml:space="preserve"> (FERTIGSPRITZE 20 mg/0,4 ml)</w:t>
      </w:r>
    </w:p>
    <w:p w14:paraId="46CD6FF7" w14:textId="77777777" w:rsidR="00691065" w:rsidRPr="004F5FB4" w:rsidRDefault="00691065" w:rsidP="00982118">
      <w:pPr>
        <w:rPr>
          <w:color w:val="000000"/>
        </w:rPr>
      </w:pPr>
    </w:p>
    <w:p w14:paraId="524D3E21" w14:textId="77777777" w:rsidR="00691065" w:rsidRPr="004F5FB4" w:rsidRDefault="00691065" w:rsidP="00982118">
      <w:pPr>
        <w:rPr>
          <w:color w:val="000000"/>
        </w:rPr>
      </w:pPr>
    </w:p>
    <w:p w14:paraId="78556B4D" w14:textId="77777777" w:rsidR="00691065" w:rsidRPr="004F5FB4"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 SOWIE ART DER ANWENDUNG</w:t>
      </w:r>
    </w:p>
    <w:p w14:paraId="000257B9" w14:textId="77777777" w:rsidR="00691065" w:rsidRPr="004F5FB4" w:rsidRDefault="00691065" w:rsidP="00982118">
      <w:pPr>
        <w:rPr>
          <w:color w:val="000000"/>
        </w:rPr>
      </w:pPr>
    </w:p>
    <w:p w14:paraId="74EBF34D" w14:textId="77777777" w:rsidR="00691065" w:rsidRPr="00CB30D8" w:rsidRDefault="006A1144" w:rsidP="00982118">
      <w:pPr>
        <w:rPr>
          <w:color w:val="000000"/>
        </w:rPr>
      </w:pPr>
      <w:r w:rsidRPr="00CB30D8">
        <w:rPr>
          <w:color w:val="000000"/>
        </w:rPr>
        <w:t>Amsparity 20 mg Injektion</w:t>
      </w:r>
    </w:p>
    <w:p w14:paraId="1AE1B96D" w14:textId="77777777" w:rsidR="00691065" w:rsidRPr="00CB30D8" w:rsidRDefault="00691065" w:rsidP="00982118">
      <w:pPr>
        <w:rPr>
          <w:color w:val="000000"/>
        </w:rPr>
      </w:pPr>
      <w:r w:rsidRPr="00CB30D8">
        <w:rPr>
          <w:color w:val="000000"/>
        </w:rPr>
        <w:t>Adalimumab</w:t>
      </w:r>
    </w:p>
    <w:p w14:paraId="609353F3" w14:textId="77777777" w:rsidR="00691065" w:rsidRPr="00CB30D8" w:rsidRDefault="00595F1B" w:rsidP="00982118">
      <w:pPr>
        <w:rPr>
          <w:color w:val="000000"/>
        </w:rPr>
      </w:pPr>
      <w:r w:rsidRPr="00CB30D8">
        <w:rPr>
          <w:color w:val="000000"/>
        </w:rPr>
        <w:t>s.c.</w:t>
      </w:r>
    </w:p>
    <w:p w14:paraId="0F088AD0" w14:textId="77777777" w:rsidR="00691065" w:rsidRPr="00CB30D8" w:rsidRDefault="00691065" w:rsidP="00982118">
      <w:pPr>
        <w:rPr>
          <w:color w:val="000000"/>
        </w:rPr>
      </w:pPr>
    </w:p>
    <w:p w14:paraId="55C218DD" w14:textId="77777777" w:rsidR="00691065" w:rsidRPr="00CB30D8" w:rsidRDefault="00691065" w:rsidP="00982118">
      <w:pPr>
        <w:rPr>
          <w:color w:val="000000"/>
        </w:rPr>
      </w:pPr>
    </w:p>
    <w:p w14:paraId="1240C52F" w14:textId="77777777" w:rsidR="00691065" w:rsidRPr="004F5FB4"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HINWEISE ZUR ANWENDUNG</w:t>
      </w:r>
    </w:p>
    <w:p w14:paraId="59D948F4" w14:textId="77777777" w:rsidR="00691065" w:rsidRPr="004F5FB4" w:rsidRDefault="00691065" w:rsidP="00982118">
      <w:pPr>
        <w:rPr>
          <w:color w:val="000000"/>
        </w:rPr>
      </w:pPr>
    </w:p>
    <w:p w14:paraId="7FD0B146" w14:textId="77777777" w:rsidR="00691065" w:rsidRPr="004F5FB4" w:rsidRDefault="00691065" w:rsidP="00982118">
      <w:pPr>
        <w:rPr>
          <w:color w:val="000000"/>
        </w:rPr>
      </w:pPr>
    </w:p>
    <w:p w14:paraId="042DB535" w14:textId="77777777" w:rsidR="00691065" w:rsidRPr="004F5FB4"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VERFALLDATUM</w:t>
      </w:r>
    </w:p>
    <w:p w14:paraId="688D5F95" w14:textId="77777777" w:rsidR="00691065" w:rsidRPr="004F5FB4" w:rsidRDefault="00691065" w:rsidP="00982118">
      <w:pPr>
        <w:rPr>
          <w:color w:val="000000"/>
        </w:rPr>
      </w:pPr>
    </w:p>
    <w:p w14:paraId="1298D337" w14:textId="77777777" w:rsidR="00691065" w:rsidRPr="004F5FB4" w:rsidRDefault="00691065" w:rsidP="00982118">
      <w:pPr>
        <w:rPr>
          <w:color w:val="000000"/>
        </w:rPr>
      </w:pPr>
      <w:r w:rsidRPr="004F5FB4">
        <w:rPr>
          <w:color w:val="000000"/>
        </w:rPr>
        <w:t>Verwendbar bis</w:t>
      </w:r>
    </w:p>
    <w:p w14:paraId="0BEB90AB" w14:textId="77777777" w:rsidR="00691065" w:rsidRPr="004F5FB4" w:rsidRDefault="00691065" w:rsidP="00982118">
      <w:pPr>
        <w:rPr>
          <w:color w:val="000000"/>
        </w:rPr>
      </w:pPr>
    </w:p>
    <w:p w14:paraId="67199FA0" w14:textId="77777777" w:rsidR="00691065" w:rsidRPr="004F5FB4" w:rsidRDefault="00691065" w:rsidP="00982118">
      <w:pPr>
        <w:rPr>
          <w:color w:val="000000"/>
        </w:rPr>
      </w:pPr>
    </w:p>
    <w:p w14:paraId="5D0D9D1B" w14:textId="77777777" w:rsidR="00691065" w:rsidRPr="004F5FB4"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CHARGENBEZEICHNUNG</w:t>
      </w:r>
    </w:p>
    <w:p w14:paraId="6E5108CC" w14:textId="77777777" w:rsidR="00691065" w:rsidRPr="004F5FB4" w:rsidRDefault="00691065" w:rsidP="00982118">
      <w:pPr>
        <w:rPr>
          <w:color w:val="000000"/>
        </w:rPr>
      </w:pPr>
    </w:p>
    <w:p w14:paraId="35CB5AD8" w14:textId="77777777" w:rsidR="00691065" w:rsidRPr="004F5FB4" w:rsidRDefault="00691065" w:rsidP="00982118">
      <w:pPr>
        <w:rPr>
          <w:color w:val="000000"/>
        </w:rPr>
      </w:pPr>
      <w:r w:rsidRPr="004F5FB4">
        <w:rPr>
          <w:color w:val="000000"/>
        </w:rPr>
        <w:t>Ch.-B.</w:t>
      </w:r>
    </w:p>
    <w:p w14:paraId="5568D720" w14:textId="77777777" w:rsidR="00691065" w:rsidRPr="004F5FB4" w:rsidRDefault="00691065" w:rsidP="00982118">
      <w:pPr>
        <w:rPr>
          <w:color w:val="000000"/>
        </w:rPr>
      </w:pPr>
    </w:p>
    <w:p w14:paraId="3211CB7B" w14:textId="77777777" w:rsidR="00691065" w:rsidRPr="004F5FB4" w:rsidRDefault="00691065" w:rsidP="00982118">
      <w:pPr>
        <w:rPr>
          <w:color w:val="000000"/>
        </w:rPr>
      </w:pPr>
    </w:p>
    <w:p w14:paraId="6FB7F3E4" w14:textId="77777777" w:rsidR="00691065" w:rsidRPr="004F5FB4"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5</w:t>
      </w:r>
      <w:r w:rsidRPr="004F5FB4">
        <w:rPr>
          <w:b/>
          <w:color w:val="000000"/>
        </w:rPr>
        <w:tab/>
        <w:t>INHALT NACH GEWICHT, VOLUMEN ODER EINHEITEN</w:t>
      </w:r>
    </w:p>
    <w:p w14:paraId="7F14533B" w14:textId="77777777" w:rsidR="00691065" w:rsidRPr="004F5FB4" w:rsidRDefault="00691065" w:rsidP="00982118">
      <w:pPr>
        <w:rPr>
          <w:color w:val="000000"/>
        </w:rPr>
      </w:pPr>
    </w:p>
    <w:p w14:paraId="49CA03BB" w14:textId="77777777" w:rsidR="00691065" w:rsidRPr="004F5FB4" w:rsidRDefault="00691065" w:rsidP="00982118">
      <w:pPr>
        <w:pStyle w:val="BodyText"/>
        <w:widowControl/>
        <w:kinsoku w:val="0"/>
        <w:overflowPunct w:val="0"/>
        <w:spacing w:before="71"/>
        <w:ind w:left="0"/>
        <w:rPr>
          <w:color w:val="000000"/>
        </w:rPr>
      </w:pPr>
      <w:r w:rsidRPr="004F5FB4">
        <w:rPr>
          <w:color w:val="000000"/>
          <w:highlight w:val="lightGray"/>
        </w:rPr>
        <w:t>20 mg/0,4 ml</w:t>
      </w:r>
    </w:p>
    <w:p w14:paraId="65FDFC2A" w14:textId="77777777" w:rsidR="00691065" w:rsidRPr="004F5FB4" w:rsidRDefault="00691065" w:rsidP="00982118">
      <w:pPr>
        <w:rPr>
          <w:color w:val="000000"/>
        </w:rPr>
      </w:pPr>
    </w:p>
    <w:p w14:paraId="5BBFD24A" w14:textId="77777777" w:rsidR="00691065" w:rsidRPr="004F5FB4" w:rsidRDefault="00691065" w:rsidP="00982118">
      <w:pPr>
        <w:rPr>
          <w:color w:val="000000"/>
        </w:rPr>
      </w:pPr>
    </w:p>
    <w:p w14:paraId="68F34476" w14:textId="77777777" w:rsidR="00691065" w:rsidRPr="004F5FB4"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6</w:t>
      </w:r>
      <w:r w:rsidRPr="004F5FB4">
        <w:rPr>
          <w:b/>
          <w:color w:val="000000"/>
        </w:rPr>
        <w:tab/>
        <w:t>WEITERE ANGABEN</w:t>
      </w:r>
    </w:p>
    <w:p w14:paraId="57964C11" w14:textId="77777777" w:rsidR="00691065" w:rsidRPr="004F5FB4" w:rsidRDefault="00691065" w:rsidP="00982118">
      <w:pPr>
        <w:rPr>
          <w:color w:val="000000"/>
        </w:rPr>
      </w:pPr>
    </w:p>
    <w:p w14:paraId="3BF102EA" w14:textId="77777777" w:rsidR="00A7312E" w:rsidRPr="004F5FB4" w:rsidRDefault="00691065" w:rsidP="00982118">
      <w:pPr>
        <w:rPr>
          <w:color w:val="000000"/>
        </w:rPr>
      </w:pPr>
      <w:r w:rsidRPr="004F5FB4">
        <w:rPr>
          <w:color w:val="000000"/>
        </w:rPr>
        <w:br w:type="page"/>
      </w:r>
    </w:p>
    <w:p w14:paraId="2809A393"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ANGABEN AUF DER ÄUSSEREN UMHÜLLUNG</w:t>
      </w:r>
    </w:p>
    <w:p w14:paraId="14D50CB5"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p>
    <w:p w14:paraId="4C55281C" w14:textId="77777777" w:rsidR="00C46587" w:rsidRPr="004F5FB4" w:rsidRDefault="004218C2"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UMKARTON</w:t>
      </w:r>
      <w:r w:rsidR="00C244A9" w:rsidRPr="004F5FB4">
        <w:rPr>
          <w:b/>
          <w:color w:val="000000"/>
        </w:rPr>
        <w:t xml:space="preserve"> (DURCHSTECHFLASCHE 40 mg/0,8 ml)</w:t>
      </w:r>
    </w:p>
    <w:p w14:paraId="79F0A863" w14:textId="77777777" w:rsidR="00C46587" w:rsidRPr="004F5FB4" w:rsidRDefault="00C46587" w:rsidP="00982118">
      <w:pPr>
        <w:rPr>
          <w:color w:val="000000"/>
        </w:rPr>
      </w:pPr>
    </w:p>
    <w:p w14:paraId="2078E596" w14:textId="77777777" w:rsidR="00C46587" w:rsidRPr="004F5FB4" w:rsidRDefault="00C46587" w:rsidP="00982118">
      <w:pPr>
        <w:rPr>
          <w:color w:val="000000"/>
        </w:rPr>
      </w:pPr>
    </w:p>
    <w:p w14:paraId="590C7CA3"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w:t>
      </w:r>
    </w:p>
    <w:p w14:paraId="4F166E8D" w14:textId="77777777" w:rsidR="00C46587" w:rsidRPr="004F5FB4" w:rsidRDefault="00C46587" w:rsidP="00982118">
      <w:pPr>
        <w:rPr>
          <w:color w:val="000000"/>
        </w:rPr>
      </w:pPr>
    </w:p>
    <w:p w14:paraId="2A9C024C" w14:textId="77777777" w:rsidR="00C46587" w:rsidRPr="004F5FB4" w:rsidRDefault="006A1144" w:rsidP="00982118">
      <w:pPr>
        <w:rPr>
          <w:color w:val="000000"/>
        </w:rPr>
      </w:pPr>
      <w:r w:rsidRPr="004F5FB4">
        <w:rPr>
          <w:color w:val="000000"/>
        </w:rPr>
        <w:t>Amsparity 40 mg/0,8 ml Injektionslösung</w:t>
      </w:r>
    </w:p>
    <w:p w14:paraId="3E10E6BD" w14:textId="77777777" w:rsidR="00C46587" w:rsidRPr="004F5FB4" w:rsidRDefault="00C46587" w:rsidP="00982118">
      <w:pPr>
        <w:rPr>
          <w:color w:val="000000"/>
        </w:rPr>
      </w:pPr>
      <w:r w:rsidRPr="004F5FB4">
        <w:rPr>
          <w:color w:val="000000"/>
        </w:rPr>
        <w:t>Adalimumab</w:t>
      </w:r>
    </w:p>
    <w:p w14:paraId="2970C54A" w14:textId="77777777" w:rsidR="00C46587" w:rsidRPr="004F5FB4" w:rsidRDefault="00C46587" w:rsidP="00982118">
      <w:pPr>
        <w:rPr>
          <w:color w:val="000000"/>
        </w:rPr>
      </w:pPr>
    </w:p>
    <w:p w14:paraId="664D7F8C" w14:textId="77777777" w:rsidR="00C46587" w:rsidRPr="004F5FB4" w:rsidRDefault="00C46587" w:rsidP="00982118">
      <w:pPr>
        <w:rPr>
          <w:color w:val="000000"/>
        </w:rPr>
      </w:pPr>
    </w:p>
    <w:p w14:paraId="46230BA1"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WIRKSTOFF</w:t>
      </w:r>
    </w:p>
    <w:p w14:paraId="4981FD4C" w14:textId="77777777" w:rsidR="00C46587" w:rsidRPr="004F5FB4" w:rsidRDefault="00C46587" w:rsidP="00982118">
      <w:pPr>
        <w:rPr>
          <w:color w:val="000000"/>
        </w:rPr>
      </w:pPr>
    </w:p>
    <w:p w14:paraId="1ADF3656" w14:textId="77777777" w:rsidR="00C46587" w:rsidRPr="004F5FB4" w:rsidRDefault="00C46587" w:rsidP="00982118">
      <w:pPr>
        <w:rPr>
          <w:color w:val="000000"/>
        </w:rPr>
      </w:pPr>
      <w:r w:rsidRPr="004F5FB4">
        <w:rPr>
          <w:color w:val="000000"/>
        </w:rPr>
        <w:t>Eine 0,8 ml-Durchstechflasche enthält 40 mg Adalimumab.</w:t>
      </w:r>
    </w:p>
    <w:p w14:paraId="00344009" w14:textId="77777777" w:rsidR="00C46587" w:rsidRPr="004F5FB4" w:rsidRDefault="00C46587" w:rsidP="00982118">
      <w:pPr>
        <w:rPr>
          <w:color w:val="000000"/>
        </w:rPr>
      </w:pPr>
    </w:p>
    <w:p w14:paraId="6F8954FC" w14:textId="77777777" w:rsidR="00C46587" w:rsidRPr="004F5FB4" w:rsidRDefault="00C46587" w:rsidP="00982118">
      <w:pPr>
        <w:rPr>
          <w:color w:val="000000"/>
        </w:rPr>
      </w:pPr>
    </w:p>
    <w:p w14:paraId="028E3ED7"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SONSTIGE BESTANDTEILE</w:t>
      </w:r>
    </w:p>
    <w:p w14:paraId="260D6033" w14:textId="77777777" w:rsidR="00C46587" w:rsidRPr="004F5FB4" w:rsidRDefault="00C46587" w:rsidP="00982118">
      <w:pPr>
        <w:rPr>
          <w:color w:val="000000"/>
        </w:rPr>
      </w:pPr>
    </w:p>
    <w:p w14:paraId="6A3050CE" w14:textId="77777777" w:rsidR="00165543" w:rsidRPr="004F5FB4" w:rsidRDefault="00C46587" w:rsidP="00982118">
      <w:pPr>
        <w:rPr>
          <w:color w:val="000000"/>
        </w:rPr>
      </w:pPr>
      <w:r w:rsidRPr="004F5FB4">
        <w:rPr>
          <w:color w:val="000000"/>
        </w:rPr>
        <w:t>Sonstige Bestandteile: L-Histidin, L-Histidin-Hydrochlorid-Monohydrat, Sucrose, EDTA-Dinatrium-Dihydrat, L-Methionin, Polysorbat 80 und Wasser für Injektionszwecke.</w:t>
      </w:r>
    </w:p>
    <w:p w14:paraId="5A98DC3B" w14:textId="77777777" w:rsidR="00C46587" w:rsidRPr="004F5FB4" w:rsidRDefault="00CB6495" w:rsidP="00982118">
      <w:pPr>
        <w:rPr>
          <w:color w:val="000000"/>
        </w:rPr>
      </w:pPr>
      <w:r w:rsidRPr="004F5FB4">
        <w:rPr>
          <w:color w:val="000000"/>
          <w:highlight w:val="lightGray"/>
        </w:rPr>
        <w:t xml:space="preserve"> Siehe Packungsbeilage für weitere Informationen.</w:t>
      </w:r>
    </w:p>
    <w:p w14:paraId="3545A4C4" w14:textId="77777777" w:rsidR="00C46587" w:rsidRPr="004F5FB4" w:rsidRDefault="00C46587" w:rsidP="00982118">
      <w:pPr>
        <w:tabs>
          <w:tab w:val="left" w:pos="562"/>
        </w:tabs>
        <w:rPr>
          <w:color w:val="000000"/>
        </w:rPr>
      </w:pPr>
    </w:p>
    <w:p w14:paraId="4BCECB2B" w14:textId="77777777" w:rsidR="00C46587" w:rsidRPr="004F5FB4" w:rsidRDefault="00C46587" w:rsidP="00982118">
      <w:pPr>
        <w:tabs>
          <w:tab w:val="left" w:pos="562"/>
        </w:tabs>
        <w:rPr>
          <w:color w:val="000000"/>
        </w:rPr>
      </w:pPr>
    </w:p>
    <w:p w14:paraId="575513E6"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DARREICHUNGSFORM UND INHALT</w:t>
      </w:r>
    </w:p>
    <w:p w14:paraId="75E9523E" w14:textId="77777777" w:rsidR="00C46587" w:rsidRPr="004F5FB4" w:rsidRDefault="00C46587" w:rsidP="00982118">
      <w:pPr>
        <w:rPr>
          <w:color w:val="000000"/>
        </w:rPr>
      </w:pPr>
    </w:p>
    <w:p w14:paraId="1304FFC0" w14:textId="77777777" w:rsidR="004218C2" w:rsidRPr="004F5FB4" w:rsidRDefault="004218C2" w:rsidP="00982118">
      <w:pPr>
        <w:rPr>
          <w:color w:val="000000"/>
        </w:rPr>
      </w:pPr>
      <w:r w:rsidRPr="004F5FB4">
        <w:rPr>
          <w:color w:val="000000"/>
          <w:highlight w:val="lightGray"/>
        </w:rPr>
        <w:t>Injektionslösung</w:t>
      </w:r>
    </w:p>
    <w:p w14:paraId="41D41987" w14:textId="77777777" w:rsidR="00C46587" w:rsidRPr="004F5FB4" w:rsidRDefault="00C46587" w:rsidP="00982118">
      <w:pPr>
        <w:rPr>
          <w:color w:val="000000"/>
        </w:rPr>
      </w:pPr>
      <w:r w:rsidRPr="004F5FB4">
        <w:rPr>
          <w:color w:val="000000"/>
        </w:rPr>
        <w:t>Enthält zwei Faltschachteln, jeweils nur zur einmaligen Anwendung</w:t>
      </w:r>
    </w:p>
    <w:p w14:paraId="00E43367" w14:textId="77777777" w:rsidR="00C46587" w:rsidRPr="004F5FB4" w:rsidRDefault="00C46587" w:rsidP="00982118">
      <w:pPr>
        <w:rPr>
          <w:b/>
          <w:color w:val="000000"/>
        </w:rPr>
      </w:pPr>
      <w:r w:rsidRPr="004F5FB4">
        <w:rPr>
          <w:b/>
          <w:color w:val="000000"/>
        </w:rPr>
        <w:t>Jede Faltschachtel enthält:</w:t>
      </w:r>
    </w:p>
    <w:p w14:paraId="4D94A459" w14:textId="77777777" w:rsidR="00C46587" w:rsidRPr="004F5FB4" w:rsidRDefault="00C46587" w:rsidP="00982118">
      <w:pPr>
        <w:rPr>
          <w:color w:val="000000"/>
        </w:rPr>
      </w:pPr>
      <w:r w:rsidRPr="004F5FB4">
        <w:rPr>
          <w:color w:val="000000"/>
        </w:rPr>
        <w:t>1 Durchstechflasche</w:t>
      </w:r>
    </w:p>
    <w:p w14:paraId="5A71D16F" w14:textId="77777777" w:rsidR="00C46587" w:rsidRPr="004F5FB4" w:rsidRDefault="00C46587" w:rsidP="00982118">
      <w:pPr>
        <w:rPr>
          <w:color w:val="000000"/>
        </w:rPr>
      </w:pPr>
      <w:r w:rsidRPr="004F5FB4">
        <w:rPr>
          <w:color w:val="000000"/>
        </w:rPr>
        <w:t>1 sterile Injektionsspritze</w:t>
      </w:r>
    </w:p>
    <w:p w14:paraId="5B7C723A" w14:textId="77777777" w:rsidR="00C46587" w:rsidRPr="004F5FB4" w:rsidRDefault="00C46587" w:rsidP="00982118">
      <w:pPr>
        <w:rPr>
          <w:color w:val="000000"/>
        </w:rPr>
      </w:pPr>
      <w:r w:rsidRPr="004F5FB4">
        <w:rPr>
          <w:color w:val="000000"/>
        </w:rPr>
        <w:t>1 sterile Nadel</w:t>
      </w:r>
    </w:p>
    <w:p w14:paraId="50371248" w14:textId="77777777" w:rsidR="00C46587" w:rsidRPr="004F5FB4" w:rsidRDefault="00C46587" w:rsidP="00982118">
      <w:pPr>
        <w:rPr>
          <w:color w:val="000000"/>
        </w:rPr>
      </w:pPr>
      <w:r w:rsidRPr="004F5FB4">
        <w:rPr>
          <w:color w:val="000000"/>
        </w:rPr>
        <w:t>1 sterilen Adapter für die Durchstechflasche</w:t>
      </w:r>
    </w:p>
    <w:p w14:paraId="6BC52D9E" w14:textId="77777777" w:rsidR="00C46587" w:rsidRPr="004F5FB4" w:rsidRDefault="00C46587" w:rsidP="00982118">
      <w:pPr>
        <w:rPr>
          <w:color w:val="000000"/>
        </w:rPr>
      </w:pPr>
      <w:r w:rsidRPr="004F5FB4">
        <w:rPr>
          <w:color w:val="000000"/>
        </w:rPr>
        <w:t>2 Alkoholtupfer</w:t>
      </w:r>
    </w:p>
    <w:p w14:paraId="067401F6" w14:textId="77777777" w:rsidR="00C46587" w:rsidRPr="004F5FB4" w:rsidRDefault="00C46587" w:rsidP="00982118">
      <w:pPr>
        <w:rPr>
          <w:color w:val="000000"/>
        </w:rPr>
      </w:pPr>
    </w:p>
    <w:p w14:paraId="2B7BDBB6" w14:textId="77777777" w:rsidR="00C46587" w:rsidRPr="004F5FB4" w:rsidRDefault="00C46587" w:rsidP="00982118">
      <w:pPr>
        <w:rPr>
          <w:color w:val="000000"/>
        </w:rPr>
      </w:pPr>
    </w:p>
    <w:p w14:paraId="49A8A870"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5</w:t>
      </w:r>
      <w:r w:rsidRPr="004F5FB4">
        <w:rPr>
          <w:b/>
          <w:color w:val="000000"/>
        </w:rPr>
        <w:tab/>
        <w:t>HINWEISE ZUR UND ART DER ANWENDUNG</w:t>
      </w:r>
    </w:p>
    <w:p w14:paraId="6652A9ED" w14:textId="77777777" w:rsidR="00C46587" w:rsidRPr="004F5FB4" w:rsidRDefault="00C46587" w:rsidP="00982118">
      <w:pPr>
        <w:rPr>
          <w:color w:val="000000"/>
        </w:rPr>
      </w:pPr>
    </w:p>
    <w:p w14:paraId="0C4DCFC1" w14:textId="77777777" w:rsidR="00C46587" w:rsidRPr="004F5FB4" w:rsidRDefault="00C46587" w:rsidP="00982118">
      <w:pPr>
        <w:rPr>
          <w:color w:val="000000"/>
        </w:rPr>
      </w:pPr>
      <w:r w:rsidRPr="004F5FB4">
        <w:rPr>
          <w:color w:val="000000"/>
        </w:rPr>
        <w:t>Subkutane Anwendung</w:t>
      </w:r>
    </w:p>
    <w:p w14:paraId="2027CCBF" w14:textId="77777777" w:rsidR="00C46587" w:rsidRPr="004F5FB4" w:rsidRDefault="00C46587" w:rsidP="00982118">
      <w:pPr>
        <w:rPr>
          <w:color w:val="000000"/>
        </w:rPr>
      </w:pPr>
    </w:p>
    <w:p w14:paraId="31E6869E" w14:textId="77777777" w:rsidR="00C46587" w:rsidRPr="004F5FB4" w:rsidRDefault="00C46587" w:rsidP="00982118">
      <w:pPr>
        <w:rPr>
          <w:color w:val="000000"/>
        </w:rPr>
      </w:pPr>
      <w:r w:rsidRPr="004F5FB4">
        <w:rPr>
          <w:color w:val="000000"/>
        </w:rPr>
        <w:t>Packungsbeilage beachten.</w:t>
      </w:r>
    </w:p>
    <w:p w14:paraId="73C71CF5" w14:textId="77777777" w:rsidR="004218C2" w:rsidRPr="004F5FB4" w:rsidRDefault="004218C2" w:rsidP="00982118">
      <w:pPr>
        <w:rPr>
          <w:color w:val="000000"/>
        </w:rPr>
      </w:pPr>
    </w:p>
    <w:p w14:paraId="38AEE0BC" w14:textId="77777777" w:rsidR="004218C2" w:rsidRPr="004F5FB4" w:rsidRDefault="00724AF5" w:rsidP="00982118">
      <w:pPr>
        <w:rPr>
          <w:color w:val="000000"/>
        </w:rPr>
      </w:pPr>
      <w:r w:rsidRPr="004F5FB4">
        <w:rPr>
          <w:color w:val="000000"/>
        </w:rPr>
        <w:t>Zur Anwendung bei Kindern und Jugendlichen</w:t>
      </w:r>
    </w:p>
    <w:p w14:paraId="27F05E58" w14:textId="77777777" w:rsidR="00C46587" w:rsidRPr="004F5FB4" w:rsidRDefault="00C46587" w:rsidP="00982118">
      <w:pPr>
        <w:rPr>
          <w:color w:val="000000"/>
        </w:rPr>
      </w:pPr>
    </w:p>
    <w:p w14:paraId="4B602BD6" w14:textId="77777777" w:rsidR="00C46587" w:rsidRPr="004F5FB4" w:rsidRDefault="00C46587" w:rsidP="00982118">
      <w:pPr>
        <w:rPr>
          <w:color w:val="000000"/>
        </w:rPr>
      </w:pPr>
    </w:p>
    <w:p w14:paraId="437E90BA" w14:textId="77777777" w:rsidR="00C46587" w:rsidRPr="004F5FB4"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6</w:t>
      </w:r>
      <w:r w:rsidRPr="004F5FB4">
        <w:rPr>
          <w:b/>
          <w:color w:val="000000"/>
        </w:rPr>
        <w:tab/>
        <w:t>WARNHINWEIS, DASS DAS ARZNEIMITTEL FÜR KINDER UNZUGÄNGLICH AUFZUBEWAHREN IST</w:t>
      </w:r>
    </w:p>
    <w:p w14:paraId="6982FD32" w14:textId="77777777" w:rsidR="00C46587" w:rsidRPr="004F5FB4" w:rsidRDefault="00C46587" w:rsidP="00982118">
      <w:pPr>
        <w:rPr>
          <w:color w:val="000000"/>
        </w:rPr>
      </w:pPr>
    </w:p>
    <w:p w14:paraId="613847E5" w14:textId="77777777" w:rsidR="00C46587" w:rsidRPr="004F5FB4" w:rsidRDefault="00C46587" w:rsidP="00982118">
      <w:pPr>
        <w:rPr>
          <w:color w:val="000000"/>
        </w:rPr>
      </w:pPr>
      <w:r w:rsidRPr="004F5FB4">
        <w:rPr>
          <w:color w:val="000000"/>
        </w:rPr>
        <w:t>Arzneimittel für Kinder unzugänglich aufbewahren.</w:t>
      </w:r>
    </w:p>
    <w:p w14:paraId="472B0923" w14:textId="77777777" w:rsidR="00C46587" w:rsidRPr="004F5FB4" w:rsidRDefault="00C46587" w:rsidP="00982118">
      <w:pPr>
        <w:rPr>
          <w:color w:val="000000"/>
        </w:rPr>
      </w:pPr>
    </w:p>
    <w:p w14:paraId="590A6199" w14:textId="77777777" w:rsidR="00C46587" w:rsidRPr="004F5FB4" w:rsidRDefault="00C46587" w:rsidP="00982118">
      <w:pPr>
        <w:rPr>
          <w:color w:val="000000"/>
        </w:rPr>
      </w:pPr>
    </w:p>
    <w:p w14:paraId="7E4F1B45"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7</w:t>
      </w:r>
      <w:r w:rsidRPr="004F5FB4">
        <w:rPr>
          <w:b/>
          <w:color w:val="000000"/>
        </w:rPr>
        <w:tab/>
        <w:t>WEITERE WARNHINWEISE, FALLS ERFORDERLICH</w:t>
      </w:r>
    </w:p>
    <w:p w14:paraId="3BD62D76" w14:textId="77777777" w:rsidR="00C46587" w:rsidRPr="004F5FB4" w:rsidRDefault="00C46587" w:rsidP="00982118">
      <w:pPr>
        <w:keepNext/>
        <w:rPr>
          <w:color w:val="000000"/>
        </w:rPr>
      </w:pPr>
    </w:p>
    <w:p w14:paraId="229AEA66" w14:textId="77777777" w:rsidR="00C46587" w:rsidRPr="004F5FB4" w:rsidRDefault="00C46587" w:rsidP="00982118">
      <w:pPr>
        <w:rPr>
          <w:color w:val="000000"/>
        </w:rPr>
      </w:pPr>
    </w:p>
    <w:p w14:paraId="2C1F1F6D"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8</w:t>
      </w:r>
      <w:r w:rsidRPr="004F5FB4">
        <w:rPr>
          <w:b/>
          <w:color w:val="000000"/>
        </w:rPr>
        <w:tab/>
        <w:t>VERFALLDATUM</w:t>
      </w:r>
    </w:p>
    <w:p w14:paraId="4105604E" w14:textId="77777777" w:rsidR="00C46587" w:rsidRPr="004F5FB4" w:rsidRDefault="00C46587" w:rsidP="00A924EE">
      <w:pPr>
        <w:keepNext/>
        <w:rPr>
          <w:color w:val="000000"/>
        </w:rPr>
      </w:pPr>
    </w:p>
    <w:p w14:paraId="064C63A9" w14:textId="77777777" w:rsidR="00C46587" w:rsidRPr="004F5FB4" w:rsidRDefault="00C46587" w:rsidP="00982118">
      <w:pPr>
        <w:rPr>
          <w:color w:val="000000"/>
        </w:rPr>
      </w:pPr>
      <w:r w:rsidRPr="004F5FB4">
        <w:rPr>
          <w:color w:val="000000"/>
        </w:rPr>
        <w:t>Verwendbar bis</w:t>
      </w:r>
    </w:p>
    <w:p w14:paraId="3B97FD45" w14:textId="77777777" w:rsidR="00C46587" w:rsidRPr="004F5FB4" w:rsidRDefault="00C46587" w:rsidP="00982118">
      <w:pPr>
        <w:rPr>
          <w:color w:val="000000"/>
        </w:rPr>
      </w:pPr>
    </w:p>
    <w:p w14:paraId="50DC26B8" w14:textId="77777777" w:rsidR="00C46587" w:rsidRPr="004F5FB4" w:rsidRDefault="00C46587" w:rsidP="00982118">
      <w:pPr>
        <w:rPr>
          <w:color w:val="000000"/>
        </w:rPr>
      </w:pPr>
    </w:p>
    <w:p w14:paraId="28C634D7"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9</w:t>
      </w:r>
      <w:r w:rsidRPr="004F5FB4">
        <w:rPr>
          <w:b/>
          <w:color w:val="000000"/>
        </w:rPr>
        <w:tab/>
        <w:t>BESONDERE VORSICHTSMASSNAHMEN FÜR DIE AUFBEWAHRUNG</w:t>
      </w:r>
    </w:p>
    <w:p w14:paraId="56E5E755" w14:textId="77777777" w:rsidR="00C46587" w:rsidRPr="004F5FB4" w:rsidRDefault="00C46587" w:rsidP="00982118">
      <w:pPr>
        <w:rPr>
          <w:color w:val="000000"/>
        </w:rPr>
      </w:pPr>
    </w:p>
    <w:p w14:paraId="4CE88FCE" w14:textId="77777777" w:rsidR="00CA01BA" w:rsidRPr="004F5FB4" w:rsidRDefault="00C46587" w:rsidP="00982118">
      <w:pPr>
        <w:rPr>
          <w:color w:val="000000"/>
        </w:rPr>
      </w:pPr>
      <w:r w:rsidRPr="004F5FB4">
        <w:rPr>
          <w:color w:val="000000"/>
        </w:rPr>
        <w:t>Im Kühlschrank lagern. Nicht einfrieren.</w:t>
      </w:r>
    </w:p>
    <w:p w14:paraId="10E1A935" w14:textId="77777777" w:rsidR="00C46587" w:rsidRPr="004F5FB4" w:rsidRDefault="00C46587" w:rsidP="00982118">
      <w:pPr>
        <w:rPr>
          <w:color w:val="000000"/>
        </w:rPr>
      </w:pPr>
    </w:p>
    <w:p w14:paraId="3C2501CA" w14:textId="77777777" w:rsidR="00C46587" w:rsidRPr="004F5FB4" w:rsidRDefault="00C46587" w:rsidP="00982118">
      <w:pPr>
        <w:rPr>
          <w:color w:val="000000"/>
        </w:rPr>
      </w:pPr>
      <w:r w:rsidRPr="004F5FB4">
        <w:rPr>
          <w:color w:val="000000"/>
        </w:rPr>
        <w:t>Die Durchstechflasche im Umkarton aufbewahren, um den Inhalt vor Licht zu schützen.</w:t>
      </w:r>
    </w:p>
    <w:p w14:paraId="72C26A50" w14:textId="77777777" w:rsidR="00C46587" w:rsidRPr="004F5FB4" w:rsidRDefault="00C46587" w:rsidP="00982118">
      <w:pPr>
        <w:rPr>
          <w:color w:val="000000"/>
        </w:rPr>
      </w:pPr>
    </w:p>
    <w:p w14:paraId="2775674A" w14:textId="77777777" w:rsidR="00C46587" w:rsidRPr="004F5FB4" w:rsidRDefault="00C46587" w:rsidP="00982118">
      <w:pPr>
        <w:rPr>
          <w:color w:val="000000"/>
        </w:rPr>
      </w:pPr>
    </w:p>
    <w:p w14:paraId="5E084ED5" w14:textId="77777777" w:rsidR="00C46587" w:rsidRPr="004F5FB4"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10</w:t>
      </w:r>
      <w:r w:rsidRPr="004F5FB4">
        <w:rPr>
          <w:b/>
          <w:color w:val="000000"/>
        </w:rPr>
        <w:tab/>
        <w:t>GEGEBENENFALLS BESONDERE VORSICHTSMASSNAHMEN FÜR DIE BESEITIGUNG VON NICHT VERWENDETEM ARZNEIMITTEL ODER DAVON STAMMENDEN ABFALLMATERIALIEN</w:t>
      </w:r>
    </w:p>
    <w:p w14:paraId="7FC5301F" w14:textId="77777777" w:rsidR="00C46587" w:rsidRPr="004F5FB4" w:rsidRDefault="00C46587" w:rsidP="00982118">
      <w:pPr>
        <w:rPr>
          <w:color w:val="000000"/>
        </w:rPr>
      </w:pPr>
    </w:p>
    <w:p w14:paraId="4AD400EF" w14:textId="77777777" w:rsidR="00C46587" w:rsidRPr="004F5FB4" w:rsidRDefault="00C46587" w:rsidP="00982118">
      <w:pPr>
        <w:rPr>
          <w:color w:val="000000"/>
        </w:rPr>
      </w:pPr>
    </w:p>
    <w:p w14:paraId="4234AB6A"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11</w:t>
      </w:r>
      <w:r w:rsidRPr="004F5FB4">
        <w:rPr>
          <w:b/>
          <w:color w:val="000000"/>
        </w:rPr>
        <w:tab/>
        <w:t>NAME UND ANSCHRIFT DES PHARMAZEUTISCHEN UNTERNEHMERS</w:t>
      </w:r>
    </w:p>
    <w:p w14:paraId="79A0CC22" w14:textId="77777777" w:rsidR="00C46587" w:rsidRPr="004F5FB4" w:rsidRDefault="00C46587" w:rsidP="00982118">
      <w:pPr>
        <w:rPr>
          <w:b/>
          <w:color w:val="000000"/>
        </w:rPr>
      </w:pPr>
    </w:p>
    <w:p w14:paraId="28C43142" w14:textId="77777777" w:rsidR="00792CD9" w:rsidRPr="00C325BF" w:rsidRDefault="00792CD9" w:rsidP="00982118">
      <w:pPr>
        <w:keepNext/>
        <w:ind w:right="14"/>
        <w:rPr>
          <w:color w:val="000000"/>
          <w:lang w:val="fr-FR"/>
        </w:rPr>
      </w:pPr>
      <w:r w:rsidRPr="00C325BF">
        <w:rPr>
          <w:color w:val="000000"/>
          <w:lang w:val="fr-FR"/>
        </w:rPr>
        <w:t>Pfizer Europe MA EEIG</w:t>
      </w:r>
    </w:p>
    <w:p w14:paraId="09A28307" w14:textId="77777777" w:rsidR="0016344D" w:rsidRPr="00C325BF" w:rsidRDefault="0016344D" w:rsidP="00982118">
      <w:pPr>
        <w:pStyle w:val="BodyText"/>
        <w:widowControl/>
        <w:kinsoku w:val="0"/>
        <w:overflowPunct w:val="0"/>
        <w:ind w:left="0"/>
        <w:rPr>
          <w:color w:val="000000"/>
          <w:lang w:val="fr-FR"/>
        </w:rPr>
      </w:pPr>
      <w:r w:rsidRPr="00C325BF">
        <w:rPr>
          <w:color w:val="000000"/>
          <w:lang w:val="fr-FR"/>
        </w:rPr>
        <w:t>Boulevard de la Plaine 17</w:t>
      </w:r>
    </w:p>
    <w:p w14:paraId="3A89530C" w14:textId="77777777" w:rsidR="0016344D" w:rsidRPr="004F5FB4" w:rsidRDefault="0016344D" w:rsidP="00982118">
      <w:pPr>
        <w:pStyle w:val="BodyText"/>
        <w:widowControl/>
        <w:kinsoku w:val="0"/>
        <w:overflowPunct w:val="0"/>
        <w:ind w:left="0"/>
        <w:rPr>
          <w:color w:val="000000"/>
        </w:rPr>
      </w:pPr>
      <w:r w:rsidRPr="004F5FB4">
        <w:rPr>
          <w:color w:val="000000"/>
        </w:rPr>
        <w:t>1050 Br</w:t>
      </w:r>
      <w:r w:rsidR="006A5811" w:rsidRPr="004F5FB4">
        <w:rPr>
          <w:color w:val="000000"/>
        </w:rPr>
        <w:t>üssel</w:t>
      </w:r>
    </w:p>
    <w:p w14:paraId="4143D358" w14:textId="77777777" w:rsidR="0016344D" w:rsidRPr="004F5FB4" w:rsidRDefault="0016344D" w:rsidP="00982118">
      <w:pPr>
        <w:pStyle w:val="BodyText"/>
        <w:widowControl/>
        <w:kinsoku w:val="0"/>
        <w:overflowPunct w:val="0"/>
        <w:ind w:left="0"/>
        <w:rPr>
          <w:color w:val="000000"/>
        </w:rPr>
      </w:pPr>
      <w:r w:rsidRPr="004F5FB4">
        <w:rPr>
          <w:color w:val="000000"/>
        </w:rPr>
        <w:t>Belgien</w:t>
      </w:r>
    </w:p>
    <w:p w14:paraId="620FA498" w14:textId="77777777" w:rsidR="00C46587" w:rsidRPr="004F5FB4" w:rsidRDefault="00C46587" w:rsidP="00982118">
      <w:pPr>
        <w:rPr>
          <w:color w:val="000000"/>
        </w:rPr>
      </w:pPr>
    </w:p>
    <w:p w14:paraId="0D2A3BF4" w14:textId="77777777" w:rsidR="00C46587" w:rsidRPr="004F5FB4" w:rsidRDefault="00C46587" w:rsidP="00982118">
      <w:pPr>
        <w:rPr>
          <w:color w:val="000000"/>
        </w:rPr>
      </w:pPr>
    </w:p>
    <w:p w14:paraId="284AC63A"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12</w:t>
      </w:r>
      <w:r w:rsidRPr="004F5FB4">
        <w:rPr>
          <w:b/>
          <w:color w:val="000000"/>
        </w:rPr>
        <w:tab/>
        <w:t>ZULASSUNGSNUMMER</w:t>
      </w:r>
    </w:p>
    <w:p w14:paraId="57A35697" w14:textId="77777777" w:rsidR="00C46587" w:rsidRPr="004F5FB4" w:rsidRDefault="00C46587" w:rsidP="00982118">
      <w:pPr>
        <w:rPr>
          <w:color w:val="000000"/>
        </w:rPr>
      </w:pPr>
    </w:p>
    <w:p w14:paraId="303DCF8D" w14:textId="77777777" w:rsidR="00C46587" w:rsidRPr="004F5FB4" w:rsidRDefault="006D7BDA" w:rsidP="00982118">
      <w:pPr>
        <w:rPr>
          <w:color w:val="000000"/>
        </w:rPr>
      </w:pPr>
      <w:r w:rsidRPr="00986ED0">
        <w:rPr>
          <w:color w:val="000000"/>
        </w:rPr>
        <w:t>EU/1/19/1415/002</w:t>
      </w:r>
    </w:p>
    <w:p w14:paraId="4E500EE4" w14:textId="77777777" w:rsidR="00C46587" w:rsidRDefault="00C46587" w:rsidP="00982118">
      <w:pPr>
        <w:rPr>
          <w:color w:val="000000"/>
        </w:rPr>
      </w:pPr>
    </w:p>
    <w:p w14:paraId="70582348" w14:textId="77777777" w:rsidR="00A65FE9" w:rsidRPr="004F5FB4" w:rsidRDefault="00A65FE9" w:rsidP="00982118">
      <w:pPr>
        <w:rPr>
          <w:color w:val="000000"/>
        </w:rPr>
      </w:pPr>
    </w:p>
    <w:p w14:paraId="004E74ED"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13</w:t>
      </w:r>
      <w:r w:rsidRPr="004F5FB4">
        <w:rPr>
          <w:b/>
          <w:color w:val="000000"/>
        </w:rPr>
        <w:tab/>
        <w:t>CHARGENBEZEICHNUNG</w:t>
      </w:r>
    </w:p>
    <w:p w14:paraId="5CE84DA3" w14:textId="77777777" w:rsidR="00C46587" w:rsidRPr="004F5FB4" w:rsidRDefault="00C46587" w:rsidP="00982118">
      <w:pPr>
        <w:rPr>
          <w:color w:val="000000"/>
        </w:rPr>
      </w:pPr>
    </w:p>
    <w:p w14:paraId="56F74021" w14:textId="77777777" w:rsidR="00C46587" w:rsidRPr="004F5FB4" w:rsidRDefault="00C46587" w:rsidP="00982118">
      <w:pPr>
        <w:rPr>
          <w:color w:val="000000"/>
        </w:rPr>
      </w:pPr>
      <w:r w:rsidRPr="004F5FB4">
        <w:rPr>
          <w:color w:val="000000"/>
        </w:rPr>
        <w:t>Ch.-B.</w:t>
      </w:r>
    </w:p>
    <w:p w14:paraId="66641903" w14:textId="77777777" w:rsidR="00C46587" w:rsidRPr="004F5FB4" w:rsidRDefault="00C46587" w:rsidP="00982118">
      <w:pPr>
        <w:rPr>
          <w:color w:val="000000"/>
        </w:rPr>
      </w:pPr>
    </w:p>
    <w:p w14:paraId="29207EEE" w14:textId="77777777" w:rsidR="00C46587" w:rsidRPr="004F5FB4" w:rsidRDefault="00C46587" w:rsidP="00982118">
      <w:pPr>
        <w:rPr>
          <w:color w:val="000000"/>
        </w:rPr>
      </w:pPr>
    </w:p>
    <w:p w14:paraId="5EB22715"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14</w:t>
      </w:r>
      <w:r w:rsidRPr="004F5FB4">
        <w:rPr>
          <w:b/>
          <w:color w:val="000000"/>
        </w:rPr>
        <w:tab/>
        <w:t>VERKAUFSABGRENZUNG</w:t>
      </w:r>
    </w:p>
    <w:p w14:paraId="73923A6D" w14:textId="77777777" w:rsidR="00C46587" w:rsidRPr="004F5FB4" w:rsidRDefault="00C46587" w:rsidP="00982118">
      <w:pPr>
        <w:rPr>
          <w:color w:val="000000"/>
        </w:rPr>
      </w:pPr>
    </w:p>
    <w:p w14:paraId="4BD853B8" w14:textId="77777777" w:rsidR="00C46587" w:rsidRPr="004F5FB4" w:rsidRDefault="00C46587" w:rsidP="00982118">
      <w:pPr>
        <w:rPr>
          <w:color w:val="000000"/>
        </w:rPr>
      </w:pPr>
    </w:p>
    <w:p w14:paraId="451097E1"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15</w:t>
      </w:r>
      <w:r w:rsidRPr="004F5FB4">
        <w:rPr>
          <w:b/>
          <w:color w:val="000000"/>
        </w:rPr>
        <w:tab/>
        <w:t>HINWEISE FÜR DEN GEBRAUCH</w:t>
      </w:r>
    </w:p>
    <w:p w14:paraId="289F6B01" w14:textId="77777777" w:rsidR="00C46587" w:rsidRPr="004F5FB4" w:rsidRDefault="00C46587" w:rsidP="00982118">
      <w:pPr>
        <w:rPr>
          <w:color w:val="000000"/>
        </w:rPr>
      </w:pPr>
    </w:p>
    <w:p w14:paraId="06D8DE28" w14:textId="77777777" w:rsidR="00C46587" w:rsidRPr="004F5FB4" w:rsidRDefault="00C46587" w:rsidP="00982118">
      <w:pPr>
        <w:rPr>
          <w:color w:val="000000"/>
        </w:rPr>
      </w:pPr>
    </w:p>
    <w:p w14:paraId="48CF615F"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16</w:t>
      </w:r>
      <w:r w:rsidRPr="004F5FB4">
        <w:rPr>
          <w:b/>
          <w:color w:val="000000"/>
        </w:rPr>
        <w:tab/>
        <w:t>ANGABEN IN BLINDENSCHRIFT</w:t>
      </w:r>
    </w:p>
    <w:p w14:paraId="56D7663B" w14:textId="77777777" w:rsidR="00C46587" w:rsidRPr="004F5FB4" w:rsidRDefault="00C46587" w:rsidP="00982118">
      <w:pPr>
        <w:keepNext/>
        <w:rPr>
          <w:color w:val="000000"/>
        </w:rPr>
      </w:pPr>
    </w:p>
    <w:p w14:paraId="2079D4C7" w14:textId="77777777" w:rsidR="00C46587" w:rsidRPr="004F5FB4" w:rsidRDefault="006A1144" w:rsidP="00982118">
      <w:pPr>
        <w:keepNext/>
        <w:rPr>
          <w:color w:val="000000"/>
        </w:rPr>
      </w:pPr>
      <w:r w:rsidRPr="004F5FB4">
        <w:rPr>
          <w:color w:val="000000"/>
        </w:rPr>
        <w:t>Amsparity 40 mg/0,8 ml</w:t>
      </w:r>
    </w:p>
    <w:p w14:paraId="7CE4ACFB" w14:textId="77777777" w:rsidR="00515687" w:rsidRPr="004F5FB4" w:rsidRDefault="00515687" w:rsidP="00982118">
      <w:pPr>
        <w:keepNext/>
        <w:rPr>
          <w:color w:val="000000"/>
        </w:rPr>
      </w:pPr>
    </w:p>
    <w:p w14:paraId="6BCD1F74" w14:textId="77777777" w:rsidR="00C46587" w:rsidRPr="004F5FB4" w:rsidRDefault="00C46587" w:rsidP="00982118">
      <w:pPr>
        <w:rPr>
          <w:color w:val="000000"/>
        </w:rPr>
      </w:pPr>
    </w:p>
    <w:p w14:paraId="373C922A" w14:textId="77777777" w:rsidR="00C46587" w:rsidRPr="004F5FB4" w:rsidRDefault="00C46587" w:rsidP="003D5162">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17</w:t>
      </w:r>
      <w:r w:rsidRPr="004F5FB4">
        <w:rPr>
          <w:b/>
          <w:color w:val="000000"/>
        </w:rPr>
        <w:tab/>
        <w:t>INDIVIDUELLES ERKENNUNGSMERKMAL – 2D-BARCODE</w:t>
      </w:r>
    </w:p>
    <w:p w14:paraId="29C013D3" w14:textId="77777777" w:rsidR="00C46587" w:rsidRPr="004F5FB4" w:rsidRDefault="00C46587" w:rsidP="003D5162">
      <w:pPr>
        <w:keepNext/>
        <w:rPr>
          <w:color w:val="000000"/>
        </w:rPr>
      </w:pPr>
    </w:p>
    <w:p w14:paraId="48C552D4" w14:textId="77777777" w:rsidR="00C46587" w:rsidRPr="004F5FB4" w:rsidRDefault="00C46587" w:rsidP="00982118">
      <w:pPr>
        <w:rPr>
          <w:color w:val="000000"/>
        </w:rPr>
      </w:pPr>
      <w:r w:rsidRPr="004F5FB4">
        <w:rPr>
          <w:color w:val="000000"/>
          <w:highlight w:val="lightGray"/>
        </w:rPr>
        <w:t>2D-Barcode mit individuellem Erkennungsmerkmal.</w:t>
      </w:r>
    </w:p>
    <w:p w14:paraId="55076C4D" w14:textId="77777777" w:rsidR="00C46587" w:rsidRPr="004F5FB4" w:rsidRDefault="00C46587" w:rsidP="00982118">
      <w:pPr>
        <w:rPr>
          <w:color w:val="000000"/>
        </w:rPr>
      </w:pPr>
    </w:p>
    <w:p w14:paraId="18D2A549" w14:textId="77777777" w:rsidR="00C46587" w:rsidRPr="004F5FB4" w:rsidRDefault="00C46587" w:rsidP="00982118">
      <w:pPr>
        <w:rPr>
          <w:color w:val="000000"/>
        </w:rPr>
      </w:pPr>
    </w:p>
    <w:p w14:paraId="641B96CB" w14:textId="77777777" w:rsidR="00C46587" w:rsidRPr="004F5FB4" w:rsidRDefault="00C46587" w:rsidP="00F17530">
      <w:pPr>
        <w:keepNext/>
        <w:pBdr>
          <w:top w:val="single" w:sz="4" w:space="1" w:color="auto"/>
          <w:left w:val="single" w:sz="4" w:space="4" w:color="auto"/>
          <w:bottom w:val="single" w:sz="4" w:space="1" w:color="auto"/>
          <w:right w:val="single" w:sz="4" w:space="4" w:color="auto"/>
        </w:pBdr>
        <w:ind w:left="567" w:hanging="567"/>
        <w:rPr>
          <w:b/>
          <w:color w:val="000000"/>
        </w:rPr>
      </w:pPr>
      <w:r w:rsidRPr="004F5FB4">
        <w:rPr>
          <w:b/>
          <w:color w:val="000000"/>
        </w:rPr>
        <w:lastRenderedPageBreak/>
        <w:t>18</w:t>
      </w:r>
      <w:r w:rsidRPr="004F5FB4">
        <w:rPr>
          <w:b/>
          <w:color w:val="000000"/>
        </w:rPr>
        <w:tab/>
        <w:t>INDIVIDUELLES ERKENNUNGSMERKMAL – VOM MENSCHEN LESBARES FORMAT</w:t>
      </w:r>
    </w:p>
    <w:p w14:paraId="1174C935" w14:textId="77777777" w:rsidR="00C46587" w:rsidRPr="004F5FB4" w:rsidRDefault="00C46587" w:rsidP="00982118">
      <w:pPr>
        <w:keepNext/>
        <w:rPr>
          <w:color w:val="000000"/>
        </w:rPr>
      </w:pPr>
    </w:p>
    <w:p w14:paraId="4857B977" w14:textId="77777777" w:rsidR="00C46587" w:rsidRPr="004F5FB4" w:rsidRDefault="00C46587" w:rsidP="00982118">
      <w:pPr>
        <w:keepNext/>
        <w:rPr>
          <w:color w:val="000000"/>
          <w:highlight w:val="lightGray"/>
        </w:rPr>
      </w:pPr>
      <w:r w:rsidRPr="004F5FB4">
        <w:rPr>
          <w:color w:val="000000"/>
        </w:rPr>
        <w:t>PC</w:t>
      </w:r>
    </w:p>
    <w:p w14:paraId="6872E172" w14:textId="77777777" w:rsidR="00C46587" w:rsidRPr="004F5FB4" w:rsidRDefault="00C46587" w:rsidP="00982118">
      <w:pPr>
        <w:keepNext/>
        <w:rPr>
          <w:color w:val="000000"/>
        </w:rPr>
      </w:pPr>
      <w:r w:rsidRPr="004F5FB4">
        <w:rPr>
          <w:color w:val="000000"/>
        </w:rPr>
        <w:t>SN</w:t>
      </w:r>
    </w:p>
    <w:p w14:paraId="1A3FBCBD" w14:textId="77777777" w:rsidR="00C46587" w:rsidRPr="004F5FB4" w:rsidRDefault="00C46587" w:rsidP="00982118">
      <w:pPr>
        <w:rPr>
          <w:color w:val="000000"/>
        </w:rPr>
      </w:pPr>
      <w:r w:rsidRPr="004F5FB4">
        <w:rPr>
          <w:color w:val="000000"/>
        </w:rPr>
        <w:t>NN</w:t>
      </w:r>
    </w:p>
    <w:p w14:paraId="1A386ED6" w14:textId="77777777" w:rsidR="00C46587" w:rsidRPr="004F5FB4" w:rsidRDefault="00C46587" w:rsidP="00982118">
      <w:pPr>
        <w:rPr>
          <w:color w:val="000000"/>
        </w:rPr>
      </w:pPr>
      <w:r w:rsidRPr="004F5FB4">
        <w:rPr>
          <w:color w:val="000000"/>
        </w:rPr>
        <w:br w:type="page"/>
      </w:r>
    </w:p>
    <w:p w14:paraId="0200C8DC"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ANGABEN AUF DER ÄUSSEREN UMHÜLLUNG</w:t>
      </w:r>
    </w:p>
    <w:p w14:paraId="73264D7A"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p>
    <w:p w14:paraId="1F772BF3" w14:textId="77777777" w:rsidR="00C46587" w:rsidRPr="004F5FB4" w:rsidRDefault="004218C2"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FALTSCHACHTEL (DURCHSTECHFLASCHE 40</w:t>
      </w:r>
      <w:r w:rsidR="005D7FFE" w:rsidRPr="004F5FB4">
        <w:rPr>
          <w:b/>
          <w:color w:val="000000"/>
        </w:rPr>
        <w:t> </w:t>
      </w:r>
      <w:r w:rsidRPr="004F5FB4">
        <w:rPr>
          <w:b/>
          <w:color w:val="000000"/>
        </w:rPr>
        <w:t>mg/0,8 ml)</w:t>
      </w:r>
    </w:p>
    <w:p w14:paraId="39DDBF9A" w14:textId="77777777" w:rsidR="00C46587" w:rsidRPr="004F5FB4" w:rsidRDefault="00C46587" w:rsidP="00982118">
      <w:pPr>
        <w:rPr>
          <w:color w:val="000000"/>
        </w:rPr>
      </w:pPr>
    </w:p>
    <w:p w14:paraId="0B0C44E0" w14:textId="77777777" w:rsidR="00C46587" w:rsidRPr="004F5FB4" w:rsidRDefault="00C46587" w:rsidP="00982118">
      <w:pPr>
        <w:rPr>
          <w:color w:val="000000"/>
        </w:rPr>
      </w:pPr>
    </w:p>
    <w:p w14:paraId="70BAF540"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w:t>
      </w:r>
    </w:p>
    <w:p w14:paraId="4F5F9B13" w14:textId="77777777" w:rsidR="00C46587" w:rsidRPr="004F5FB4" w:rsidRDefault="00C46587" w:rsidP="00982118">
      <w:pPr>
        <w:rPr>
          <w:color w:val="000000"/>
        </w:rPr>
      </w:pPr>
    </w:p>
    <w:p w14:paraId="21CD0770" w14:textId="77777777" w:rsidR="00C46587" w:rsidRPr="004F5FB4" w:rsidRDefault="006A1144" w:rsidP="00982118">
      <w:pPr>
        <w:rPr>
          <w:color w:val="000000"/>
        </w:rPr>
      </w:pPr>
      <w:r w:rsidRPr="004F5FB4">
        <w:rPr>
          <w:color w:val="000000"/>
        </w:rPr>
        <w:t>Amsparity 40 mg/0,8 ml Injektionslösung</w:t>
      </w:r>
    </w:p>
    <w:p w14:paraId="51A31DDE" w14:textId="77777777" w:rsidR="00C46587" w:rsidRPr="004F5FB4" w:rsidRDefault="00C46587" w:rsidP="00982118">
      <w:pPr>
        <w:rPr>
          <w:color w:val="000000"/>
        </w:rPr>
      </w:pPr>
      <w:r w:rsidRPr="004F5FB4">
        <w:rPr>
          <w:color w:val="000000"/>
        </w:rPr>
        <w:t>Adalimumab</w:t>
      </w:r>
    </w:p>
    <w:p w14:paraId="79BDA0BE" w14:textId="77777777" w:rsidR="00C46587" w:rsidRPr="004F5FB4" w:rsidRDefault="00C46587" w:rsidP="00982118">
      <w:pPr>
        <w:rPr>
          <w:color w:val="000000"/>
        </w:rPr>
      </w:pPr>
    </w:p>
    <w:p w14:paraId="7ACC83B8" w14:textId="77777777" w:rsidR="00C46587" w:rsidRPr="004F5FB4" w:rsidRDefault="00C46587" w:rsidP="00982118">
      <w:pPr>
        <w:rPr>
          <w:color w:val="000000"/>
        </w:rPr>
      </w:pPr>
    </w:p>
    <w:p w14:paraId="12E61CDD"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WIRKSTOFF</w:t>
      </w:r>
    </w:p>
    <w:p w14:paraId="20EDF6DF" w14:textId="77777777" w:rsidR="00C46587" w:rsidRPr="004F5FB4" w:rsidRDefault="00C46587" w:rsidP="00982118">
      <w:pPr>
        <w:rPr>
          <w:color w:val="000000"/>
        </w:rPr>
      </w:pPr>
    </w:p>
    <w:p w14:paraId="64247F68" w14:textId="77777777" w:rsidR="00C46587" w:rsidRPr="004F5FB4" w:rsidRDefault="00C46587" w:rsidP="00982118">
      <w:pPr>
        <w:rPr>
          <w:color w:val="000000"/>
        </w:rPr>
      </w:pPr>
      <w:r w:rsidRPr="004F5FB4">
        <w:rPr>
          <w:color w:val="000000"/>
        </w:rPr>
        <w:t>Eine 0,8 ml-Durchstechflasche enthält 40 mg Adalimumab.</w:t>
      </w:r>
    </w:p>
    <w:p w14:paraId="6738B409" w14:textId="77777777" w:rsidR="00C46587" w:rsidRPr="004F5FB4" w:rsidRDefault="00C46587" w:rsidP="00982118">
      <w:pPr>
        <w:rPr>
          <w:color w:val="000000"/>
        </w:rPr>
      </w:pPr>
    </w:p>
    <w:p w14:paraId="055FB5C2" w14:textId="77777777" w:rsidR="00C46587" w:rsidRPr="004F5FB4" w:rsidRDefault="00C46587" w:rsidP="00982118">
      <w:pPr>
        <w:rPr>
          <w:color w:val="000000"/>
        </w:rPr>
      </w:pPr>
    </w:p>
    <w:p w14:paraId="43CC89F3"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SONSTIGE BESTANDTEILE</w:t>
      </w:r>
    </w:p>
    <w:p w14:paraId="18D50B24" w14:textId="77777777" w:rsidR="00C46587" w:rsidRPr="004F5FB4" w:rsidRDefault="00C46587" w:rsidP="00982118">
      <w:pPr>
        <w:rPr>
          <w:color w:val="000000"/>
        </w:rPr>
      </w:pPr>
    </w:p>
    <w:p w14:paraId="40193214" w14:textId="77777777" w:rsidR="00165543" w:rsidRPr="004F5FB4" w:rsidRDefault="00C46587" w:rsidP="00982118">
      <w:pPr>
        <w:rPr>
          <w:color w:val="000000"/>
        </w:rPr>
      </w:pPr>
      <w:r w:rsidRPr="004F5FB4">
        <w:rPr>
          <w:color w:val="000000"/>
        </w:rPr>
        <w:t>Sonstige Bestandteile: L-Histidin, L-Histidin-Hydrochlorid-Monohydrat, Sucrose, EDTA-Dinatrium-Dihydrat, L-Methionin, Polysorbat 80 und Wasser für Injektionszwecke.</w:t>
      </w:r>
    </w:p>
    <w:p w14:paraId="21A3067B" w14:textId="77777777" w:rsidR="00C46587" w:rsidRPr="004F5FB4" w:rsidRDefault="00CB6495" w:rsidP="00982118">
      <w:pPr>
        <w:rPr>
          <w:color w:val="000000"/>
        </w:rPr>
      </w:pPr>
      <w:r w:rsidRPr="004F5FB4">
        <w:rPr>
          <w:color w:val="000000"/>
          <w:highlight w:val="lightGray"/>
        </w:rPr>
        <w:t xml:space="preserve"> Siehe Packungsbeilage für weitere Informationen.</w:t>
      </w:r>
    </w:p>
    <w:p w14:paraId="063C4EAA" w14:textId="77777777" w:rsidR="00C46587" w:rsidRPr="004F5FB4" w:rsidRDefault="00C46587" w:rsidP="00982118">
      <w:pPr>
        <w:tabs>
          <w:tab w:val="left" w:pos="562"/>
        </w:tabs>
        <w:rPr>
          <w:color w:val="000000"/>
        </w:rPr>
      </w:pPr>
    </w:p>
    <w:p w14:paraId="52A28927" w14:textId="77777777" w:rsidR="00C46587" w:rsidRPr="004F5FB4" w:rsidRDefault="00C46587" w:rsidP="00982118">
      <w:pPr>
        <w:tabs>
          <w:tab w:val="left" w:pos="562"/>
        </w:tabs>
        <w:rPr>
          <w:color w:val="000000"/>
        </w:rPr>
      </w:pPr>
    </w:p>
    <w:p w14:paraId="40747C41"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DARREICHUNGSFORM UND INHALT</w:t>
      </w:r>
    </w:p>
    <w:p w14:paraId="4FCF9058" w14:textId="77777777" w:rsidR="00C46587" w:rsidRPr="004F5FB4" w:rsidRDefault="00C46587" w:rsidP="00982118">
      <w:pPr>
        <w:rPr>
          <w:color w:val="000000"/>
        </w:rPr>
      </w:pPr>
    </w:p>
    <w:p w14:paraId="68E16BCA" w14:textId="77777777" w:rsidR="004218C2" w:rsidRPr="004F5FB4" w:rsidRDefault="004218C2" w:rsidP="00982118">
      <w:pPr>
        <w:rPr>
          <w:color w:val="000000"/>
        </w:rPr>
      </w:pPr>
      <w:r w:rsidRPr="004F5FB4">
        <w:rPr>
          <w:color w:val="000000"/>
          <w:highlight w:val="lightGray"/>
        </w:rPr>
        <w:t>Injektionslösung</w:t>
      </w:r>
    </w:p>
    <w:p w14:paraId="2AF10CD6" w14:textId="77777777" w:rsidR="00C46587" w:rsidRPr="004F5FB4" w:rsidRDefault="00C46587" w:rsidP="00982118">
      <w:pPr>
        <w:rPr>
          <w:color w:val="000000"/>
        </w:rPr>
      </w:pPr>
      <w:r w:rsidRPr="004F5FB4">
        <w:rPr>
          <w:color w:val="000000"/>
        </w:rPr>
        <w:t>1 Durchstechflasche</w:t>
      </w:r>
    </w:p>
    <w:p w14:paraId="7C862928" w14:textId="77777777" w:rsidR="00C46587" w:rsidRPr="004F5FB4" w:rsidRDefault="00C46587" w:rsidP="00982118">
      <w:pPr>
        <w:rPr>
          <w:color w:val="000000"/>
        </w:rPr>
      </w:pPr>
      <w:r w:rsidRPr="004F5FB4">
        <w:rPr>
          <w:color w:val="000000"/>
        </w:rPr>
        <w:t>1 sterile Injektionsspritze</w:t>
      </w:r>
    </w:p>
    <w:p w14:paraId="41E5E54F" w14:textId="77777777" w:rsidR="00C46587" w:rsidRPr="004F5FB4" w:rsidRDefault="00C46587" w:rsidP="00982118">
      <w:pPr>
        <w:rPr>
          <w:color w:val="000000"/>
        </w:rPr>
      </w:pPr>
      <w:r w:rsidRPr="004F5FB4">
        <w:rPr>
          <w:color w:val="000000"/>
        </w:rPr>
        <w:t>1 sterile Nadel</w:t>
      </w:r>
    </w:p>
    <w:p w14:paraId="2B9AD241" w14:textId="77777777" w:rsidR="00C46587" w:rsidRPr="004F5FB4" w:rsidRDefault="00C46587" w:rsidP="00982118">
      <w:pPr>
        <w:rPr>
          <w:color w:val="000000"/>
        </w:rPr>
      </w:pPr>
      <w:r w:rsidRPr="004F5FB4">
        <w:rPr>
          <w:color w:val="000000"/>
        </w:rPr>
        <w:t>1 steriler Adapter für die Durchstechflasche</w:t>
      </w:r>
    </w:p>
    <w:p w14:paraId="6D80D72F" w14:textId="77777777" w:rsidR="00C46587" w:rsidRPr="004F5FB4" w:rsidRDefault="00C46587" w:rsidP="00982118">
      <w:pPr>
        <w:rPr>
          <w:color w:val="000000"/>
        </w:rPr>
      </w:pPr>
      <w:r w:rsidRPr="004F5FB4">
        <w:rPr>
          <w:color w:val="000000"/>
        </w:rPr>
        <w:t>2 Alkoholtupfer</w:t>
      </w:r>
    </w:p>
    <w:p w14:paraId="02CC2289" w14:textId="77777777" w:rsidR="00C46587" w:rsidRPr="004F5FB4" w:rsidRDefault="00C46587" w:rsidP="00982118">
      <w:pPr>
        <w:rPr>
          <w:color w:val="000000"/>
        </w:rPr>
      </w:pPr>
    </w:p>
    <w:p w14:paraId="6C558A01" w14:textId="77777777" w:rsidR="00C46587" w:rsidRPr="004F5FB4" w:rsidRDefault="00C46587" w:rsidP="00982118">
      <w:pPr>
        <w:rPr>
          <w:color w:val="000000"/>
        </w:rPr>
      </w:pPr>
    </w:p>
    <w:p w14:paraId="289C36F6"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5</w:t>
      </w:r>
      <w:r w:rsidRPr="004F5FB4">
        <w:rPr>
          <w:b/>
          <w:color w:val="000000"/>
        </w:rPr>
        <w:tab/>
        <w:t>HINWEISE ZUR UND ART DER ANWENDUNG</w:t>
      </w:r>
    </w:p>
    <w:p w14:paraId="0BF549D2" w14:textId="77777777" w:rsidR="00C46587" w:rsidRPr="004F5FB4" w:rsidRDefault="00C46587" w:rsidP="00982118">
      <w:pPr>
        <w:rPr>
          <w:color w:val="000000"/>
        </w:rPr>
      </w:pPr>
    </w:p>
    <w:p w14:paraId="5C1DB795" w14:textId="77777777" w:rsidR="00C46587" w:rsidRPr="004F5FB4" w:rsidRDefault="00C46587" w:rsidP="00982118">
      <w:pPr>
        <w:rPr>
          <w:color w:val="000000"/>
        </w:rPr>
      </w:pPr>
      <w:r w:rsidRPr="004F5FB4">
        <w:rPr>
          <w:color w:val="000000"/>
        </w:rPr>
        <w:t>Subkutane Anwendung</w:t>
      </w:r>
    </w:p>
    <w:p w14:paraId="7B18B51A" w14:textId="77777777" w:rsidR="00C46587" w:rsidRPr="004F5FB4" w:rsidRDefault="00C46587" w:rsidP="00982118">
      <w:pPr>
        <w:rPr>
          <w:color w:val="000000"/>
        </w:rPr>
      </w:pPr>
    </w:p>
    <w:p w14:paraId="7DE8AED0" w14:textId="77777777" w:rsidR="00C46587" w:rsidRPr="004F5FB4" w:rsidRDefault="00C46587" w:rsidP="00982118">
      <w:pPr>
        <w:rPr>
          <w:color w:val="000000"/>
        </w:rPr>
      </w:pPr>
      <w:r w:rsidRPr="004F5FB4">
        <w:rPr>
          <w:color w:val="000000"/>
        </w:rPr>
        <w:t>Packungsbeilage beachten.</w:t>
      </w:r>
    </w:p>
    <w:p w14:paraId="628751E1" w14:textId="77777777" w:rsidR="004218C2" w:rsidRPr="004F5FB4" w:rsidRDefault="004218C2" w:rsidP="00982118">
      <w:pPr>
        <w:rPr>
          <w:color w:val="000000"/>
        </w:rPr>
      </w:pPr>
    </w:p>
    <w:p w14:paraId="7C5D095D" w14:textId="77777777" w:rsidR="004218C2" w:rsidRPr="004F5FB4" w:rsidRDefault="004218C2" w:rsidP="00982118">
      <w:pPr>
        <w:rPr>
          <w:color w:val="000000"/>
        </w:rPr>
      </w:pPr>
      <w:r w:rsidRPr="004F5FB4">
        <w:rPr>
          <w:color w:val="000000"/>
        </w:rPr>
        <w:t>Nur zur einmaligen Anwendung</w:t>
      </w:r>
    </w:p>
    <w:p w14:paraId="183D32D1" w14:textId="77777777" w:rsidR="004218C2" w:rsidRPr="004F5FB4" w:rsidRDefault="004218C2" w:rsidP="00982118">
      <w:pPr>
        <w:rPr>
          <w:color w:val="000000"/>
        </w:rPr>
      </w:pPr>
    </w:p>
    <w:p w14:paraId="7ED3437B" w14:textId="77777777" w:rsidR="004218C2" w:rsidRPr="004F5FB4" w:rsidRDefault="00724AF5" w:rsidP="00982118">
      <w:pPr>
        <w:rPr>
          <w:color w:val="000000"/>
        </w:rPr>
      </w:pPr>
      <w:r w:rsidRPr="004F5FB4">
        <w:rPr>
          <w:color w:val="000000"/>
        </w:rPr>
        <w:t>Zur Anwendung bei Kindern und Jugendlichen</w:t>
      </w:r>
    </w:p>
    <w:p w14:paraId="09D0B16F" w14:textId="77777777" w:rsidR="00C46587" w:rsidRPr="004F5FB4" w:rsidRDefault="00C46587" w:rsidP="00982118">
      <w:pPr>
        <w:rPr>
          <w:color w:val="000000"/>
        </w:rPr>
      </w:pPr>
    </w:p>
    <w:p w14:paraId="2633AA98" w14:textId="77777777" w:rsidR="00C46587" w:rsidRPr="004F5FB4" w:rsidRDefault="00C46587" w:rsidP="00982118">
      <w:pPr>
        <w:rPr>
          <w:color w:val="000000"/>
        </w:rPr>
      </w:pPr>
    </w:p>
    <w:p w14:paraId="272456B2" w14:textId="77777777" w:rsidR="00C46587" w:rsidRPr="004F5FB4"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6</w:t>
      </w:r>
      <w:r w:rsidRPr="004F5FB4">
        <w:rPr>
          <w:b/>
          <w:color w:val="000000"/>
        </w:rPr>
        <w:tab/>
        <w:t>WARNHINWEIS, DASS DAS ARZNEIMITTEL FÜR KINDER UNZUGÄNGLICH AUFZUBEWAHREN IST</w:t>
      </w:r>
    </w:p>
    <w:p w14:paraId="381EBD76" w14:textId="77777777" w:rsidR="00C46587" w:rsidRPr="004F5FB4" w:rsidRDefault="00C46587" w:rsidP="00982118">
      <w:pPr>
        <w:rPr>
          <w:color w:val="000000"/>
        </w:rPr>
      </w:pPr>
    </w:p>
    <w:p w14:paraId="0E5726B2" w14:textId="77777777" w:rsidR="00C46587" w:rsidRPr="004F5FB4" w:rsidRDefault="00C46587" w:rsidP="00982118">
      <w:pPr>
        <w:rPr>
          <w:color w:val="000000"/>
        </w:rPr>
      </w:pPr>
      <w:r w:rsidRPr="004F5FB4">
        <w:rPr>
          <w:color w:val="000000"/>
        </w:rPr>
        <w:t>Arzneimittel für Kinder unzugänglich aufbewahren.</w:t>
      </w:r>
    </w:p>
    <w:p w14:paraId="40743170" w14:textId="77777777" w:rsidR="00C46587" w:rsidRPr="004F5FB4" w:rsidRDefault="00C46587" w:rsidP="00982118">
      <w:pPr>
        <w:rPr>
          <w:color w:val="000000"/>
        </w:rPr>
      </w:pPr>
    </w:p>
    <w:p w14:paraId="4499670F" w14:textId="77777777" w:rsidR="00C46587" w:rsidRPr="004F5FB4" w:rsidRDefault="00C46587" w:rsidP="00982118">
      <w:pPr>
        <w:rPr>
          <w:color w:val="000000"/>
        </w:rPr>
      </w:pPr>
    </w:p>
    <w:p w14:paraId="4C138E54" w14:textId="77777777" w:rsidR="00C46587" w:rsidRPr="004F5FB4" w:rsidRDefault="00C46587" w:rsidP="006304AB">
      <w:pPr>
        <w:pBdr>
          <w:top w:val="single" w:sz="4" w:space="1" w:color="auto"/>
          <w:left w:val="single" w:sz="4" w:space="4" w:color="auto"/>
          <w:bottom w:val="single" w:sz="4" w:space="1" w:color="auto"/>
          <w:right w:val="single" w:sz="4" w:space="4" w:color="auto"/>
        </w:pBdr>
        <w:rPr>
          <w:b/>
          <w:color w:val="000000"/>
        </w:rPr>
      </w:pPr>
      <w:r w:rsidRPr="004F5FB4">
        <w:rPr>
          <w:b/>
          <w:color w:val="000000"/>
        </w:rPr>
        <w:t>7</w:t>
      </w:r>
      <w:r w:rsidRPr="004F5FB4">
        <w:rPr>
          <w:b/>
          <w:color w:val="000000"/>
        </w:rPr>
        <w:tab/>
        <w:t>WEITERE WARNHINWEISE, FALLS ERFORDERLICH</w:t>
      </w:r>
    </w:p>
    <w:p w14:paraId="25480B3A" w14:textId="77777777" w:rsidR="00C46587" w:rsidRPr="004F5FB4" w:rsidRDefault="00C46587" w:rsidP="006304AB">
      <w:pPr>
        <w:rPr>
          <w:color w:val="000000"/>
        </w:rPr>
      </w:pPr>
    </w:p>
    <w:p w14:paraId="57E37A53" w14:textId="77777777" w:rsidR="00C46587" w:rsidRPr="004F5FB4" w:rsidRDefault="00C46587" w:rsidP="00982118">
      <w:pPr>
        <w:rPr>
          <w:color w:val="000000"/>
        </w:rPr>
      </w:pPr>
    </w:p>
    <w:p w14:paraId="4CD89C37" w14:textId="77777777" w:rsidR="00C46587" w:rsidRPr="004F5FB4" w:rsidRDefault="00C46587" w:rsidP="00A924EE">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8</w:t>
      </w:r>
      <w:r w:rsidRPr="004F5FB4">
        <w:rPr>
          <w:b/>
          <w:color w:val="000000"/>
        </w:rPr>
        <w:tab/>
        <w:t>VERFALLDATUM</w:t>
      </w:r>
    </w:p>
    <w:p w14:paraId="2CEDD08F" w14:textId="77777777" w:rsidR="00C46587" w:rsidRPr="004F5FB4" w:rsidRDefault="00C46587" w:rsidP="00A924EE">
      <w:pPr>
        <w:keepNext/>
        <w:rPr>
          <w:color w:val="000000"/>
        </w:rPr>
      </w:pPr>
    </w:p>
    <w:p w14:paraId="3A66CAFA" w14:textId="77777777" w:rsidR="00C46587" w:rsidRPr="004F5FB4" w:rsidRDefault="00C46587" w:rsidP="00982118">
      <w:pPr>
        <w:rPr>
          <w:color w:val="000000"/>
        </w:rPr>
      </w:pPr>
      <w:r w:rsidRPr="004F5FB4">
        <w:rPr>
          <w:color w:val="000000"/>
        </w:rPr>
        <w:t>Verwendbar bis</w:t>
      </w:r>
    </w:p>
    <w:p w14:paraId="1485A82C" w14:textId="77777777" w:rsidR="00C46587" w:rsidRPr="004F5FB4" w:rsidRDefault="00C46587" w:rsidP="00982118">
      <w:pPr>
        <w:rPr>
          <w:color w:val="000000"/>
        </w:rPr>
      </w:pPr>
    </w:p>
    <w:p w14:paraId="6691612C" w14:textId="77777777" w:rsidR="00C46587" w:rsidRPr="004F5FB4" w:rsidRDefault="00C46587" w:rsidP="00982118">
      <w:pPr>
        <w:rPr>
          <w:color w:val="000000"/>
        </w:rPr>
      </w:pPr>
    </w:p>
    <w:p w14:paraId="7249AFDF"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9</w:t>
      </w:r>
      <w:r w:rsidRPr="004F5FB4">
        <w:rPr>
          <w:b/>
          <w:color w:val="000000"/>
        </w:rPr>
        <w:tab/>
        <w:t>BESONDERE VORSICHTSMASSNAHMEN FÜR DIE AUFBEWAHRUNG</w:t>
      </w:r>
    </w:p>
    <w:p w14:paraId="0FECE484" w14:textId="77777777" w:rsidR="00C46587" w:rsidRPr="004F5FB4" w:rsidRDefault="00C46587" w:rsidP="00982118">
      <w:pPr>
        <w:rPr>
          <w:color w:val="000000"/>
        </w:rPr>
      </w:pPr>
    </w:p>
    <w:p w14:paraId="0E076204" w14:textId="77777777" w:rsidR="00CA01BA" w:rsidRPr="004F5FB4" w:rsidRDefault="00C46587" w:rsidP="00982118">
      <w:pPr>
        <w:rPr>
          <w:color w:val="000000"/>
        </w:rPr>
      </w:pPr>
      <w:r w:rsidRPr="004F5FB4">
        <w:rPr>
          <w:color w:val="000000"/>
        </w:rPr>
        <w:t>Im Kühlschrank lagern. Nicht einfrieren.</w:t>
      </w:r>
    </w:p>
    <w:p w14:paraId="4C47E08F" w14:textId="77777777" w:rsidR="00C46587" w:rsidRPr="004F5FB4" w:rsidRDefault="00C46587" w:rsidP="00982118">
      <w:pPr>
        <w:rPr>
          <w:color w:val="000000"/>
        </w:rPr>
      </w:pPr>
    </w:p>
    <w:p w14:paraId="7C7EB51F" w14:textId="77777777" w:rsidR="00C46587" w:rsidRPr="004F5FB4" w:rsidRDefault="00C46587" w:rsidP="00982118">
      <w:pPr>
        <w:rPr>
          <w:color w:val="000000"/>
        </w:rPr>
      </w:pPr>
      <w:r w:rsidRPr="004F5FB4">
        <w:rPr>
          <w:color w:val="000000"/>
        </w:rPr>
        <w:t>Die Durchstechflasche im Umkarton aufbewahren, um den Inhalt vor Licht zu schützen.</w:t>
      </w:r>
    </w:p>
    <w:p w14:paraId="23F76B09" w14:textId="77777777" w:rsidR="00C46587" w:rsidRPr="004F5FB4" w:rsidRDefault="00C46587" w:rsidP="00982118">
      <w:pPr>
        <w:rPr>
          <w:color w:val="000000"/>
        </w:rPr>
      </w:pPr>
    </w:p>
    <w:p w14:paraId="65D20D03" w14:textId="77777777" w:rsidR="00C46587" w:rsidRPr="004F5FB4" w:rsidRDefault="00C46587" w:rsidP="00982118">
      <w:pPr>
        <w:rPr>
          <w:color w:val="000000"/>
        </w:rPr>
      </w:pPr>
    </w:p>
    <w:p w14:paraId="464A16A3" w14:textId="77777777" w:rsidR="00C46587" w:rsidRPr="004F5FB4"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10</w:t>
      </w:r>
      <w:r w:rsidRPr="004F5FB4">
        <w:rPr>
          <w:b/>
          <w:color w:val="000000"/>
        </w:rPr>
        <w:tab/>
        <w:t>GEGEBENENFALLS BESONDERE VORSICHTSMASSNAHMEN FÜR DIE BESEITIGUNG VON NICHT VERWENDETEM ARZNEIMITTEL ODER DAVON STAMMENDEN ABFALLMATERIALIEN</w:t>
      </w:r>
    </w:p>
    <w:p w14:paraId="2353504C" w14:textId="77777777" w:rsidR="00C46587" w:rsidRPr="004F5FB4" w:rsidRDefault="00C46587" w:rsidP="00982118">
      <w:pPr>
        <w:rPr>
          <w:color w:val="000000"/>
        </w:rPr>
      </w:pPr>
    </w:p>
    <w:p w14:paraId="4E3C285C" w14:textId="77777777" w:rsidR="00C46587" w:rsidRPr="004F5FB4" w:rsidRDefault="00C46587" w:rsidP="00982118">
      <w:pPr>
        <w:rPr>
          <w:color w:val="000000"/>
        </w:rPr>
      </w:pPr>
    </w:p>
    <w:p w14:paraId="74E52676"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11</w:t>
      </w:r>
      <w:r w:rsidRPr="004F5FB4">
        <w:rPr>
          <w:b/>
          <w:color w:val="000000"/>
        </w:rPr>
        <w:tab/>
        <w:t>NAME UND ANSCHRIFT DES PHARMAZEUTISCHEN UNTERNEHMERS</w:t>
      </w:r>
    </w:p>
    <w:p w14:paraId="1601834B" w14:textId="77777777" w:rsidR="00C46587" w:rsidRPr="004F5FB4" w:rsidRDefault="00C46587" w:rsidP="00982118">
      <w:pPr>
        <w:rPr>
          <w:color w:val="000000"/>
        </w:rPr>
      </w:pPr>
    </w:p>
    <w:p w14:paraId="531682A0" w14:textId="77777777" w:rsidR="00792CD9" w:rsidRPr="00C325BF" w:rsidRDefault="00792CD9" w:rsidP="00982118">
      <w:pPr>
        <w:keepNext/>
        <w:ind w:right="14"/>
        <w:rPr>
          <w:color w:val="000000"/>
          <w:lang w:val="fr-FR"/>
        </w:rPr>
      </w:pPr>
      <w:r w:rsidRPr="00C325BF">
        <w:rPr>
          <w:color w:val="000000"/>
          <w:lang w:val="fr-FR"/>
        </w:rPr>
        <w:t>Pfizer Europe MA EEIG</w:t>
      </w:r>
    </w:p>
    <w:p w14:paraId="219E1EAD" w14:textId="77777777" w:rsidR="0016344D" w:rsidRPr="00C325BF" w:rsidRDefault="0016344D" w:rsidP="00982118">
      <w:pPr>
        <w:pStyle w:val="BodyText"/>
        <w:widowControl/>
        <w:kinsoku w:val="0"/>
        <w:overflowPunct w:val="0"/>
        <w:ind w:left="0"/>
        <w:rPr>
          <w:color w:val="000000"/>
          <w:lang w:val="fr-FR"/>
        </w:rPr>
      </w:pPr>
      <w:r w:rsidRPr="00C325BF">
        <w:rPr>
          <w:color w:val="000000"/>
          <w:lang w:val="fr-FR"/>
        </w:rPr>
        <w:t>Boulevard de la Plaine 17</w:t>
      </w:r>
    </w:p>
    <w:p w14:paraId="4A0B9190" w14:textId="77777777" w:rsidR="0016344D" w:rsidRPr="004F5FB4" w:rsidRDefault="0016344D" w:rsidP="00982118">
      <w:pPr>
        <w:pStyle w:val="BodyText"/>
        <w:widowControl/>
        <w:kinsoku w:val="0"/>
        <w:overflowPunct w:val="0"/>
        <w:ind w:left="0"/>
        <w:rPr>
          <w:color w:val="000000"/>
        </w:rPr>
      </w:pPr>
      <w:r w:rsidRPr="004F5FB4">
        <w:rPr>
          <w:color w:val="000000"/>
        </w:rPr>
        <w:t>1050 Br</w:t>
      </w:r>
      <w:r w:rsidR="006A5811" w:rsidRPr="004F5FB4">
        <w:rPr>
          <w:color w:val="000000"/>
        </w:rPr>
        <w:t>üssel</w:t>
      </w:r>
    </w:p>
    <w:p w14:paraId="38DC1C6D" w14:textId="77777777" w:rsidR="0016344D" w:rsidRPr="004F5FB4" w:rsidRDefault="0016344D" w:rsidP="00982118">
      <w:pPr>
        <w:pStyle w:val="BodyText"/>
        <w:widowControl/>
        <w:kinsoku w:val="0"/>
        <w:overflowPunct w:val="0"/>
        <w:ind w:left="0"/>
        <w:rPr>
          <w:color w:val="000000"/>
        </w:rPr>
      </w:pPr>
      <w:r w:rsidRPr="004F5FB4">
        <w:rPr>
          <w:color w:val="000000"/>
        </w:rPr>
        <w:t>Belgien</w:t>
      </w:r>
    </w:p>
    <w:p w14:paraId="6F3B56A4" w14:textId="77777777" w:rsidR="00C46587" w:rsidRPr="004F5FB4" w:rsidRDefault="00C46587" w:rsidP="00982118">
      <w:pPr>
        <w:rPr>
          <w:color w:val="000000"/>
        </w:rPr>
      </w:pPr>
    </w:p>
    <w:p w14:paraId="5277B1A3" w14:textId="77777777" w:rsidR="00C46587" w:rsidRPr="004F5FB4" w:rsidRDefault="00C46587" w:rsidP="00982118">
      <w:pPr>
        <w:rPr>
          <w:color w:val="000000"/>
        </w:rPr>
      </w:pPr>
    </w:p>
    <w:p w14:paraId="54E68EF5"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12</w:t>
      </w:r>
      <w:r w:rsidRPr="004F5FB4">
        <w:rPr>
          <w:b/>
          <w:color w:val="000000"/>
        </w:rPr>
        <w:tab/>
        <w:t>ZULASSUNGSNUMMER</w:t>
      </w:r>
    </w:p>
    <w:p w14:paraId="2C07378E" w14:textId="77777777" w:rsidR="00C46587" w:rsidRPr="004F5FB4" w:rsidRDefault="00C46587" w:rsidP="00982118">
      <w:pPr>
        <w:rPr>
          <w:color w:val="000000"/>
        </w:rPr>
      </w:pPr>
    </w:p>
    <w:p w14:paraId="2BEB014D" w14:textId="77777777" w:rsidR="00C46587" w:rsidRPr="004F5FB4" w:rsidRDefault="003971C5" w:rsidP="00982118">
      <w:pPr>
        <w:rPr>
          <w:color w:val="000000"/>
        </w:rPr>
      </w:pPr>
      <w:r w:rsidRPr="00986ED0">
        <w:rPr>
          <w:color w:val="000000"/>
        </w:rPr>
        <w:t>EU/1/19/1415/002</w:t>
      </w:r>
    </w:p>
    <w:p w14:paraId="719DC215" w14:textId="77777777" w:rsidR="00A924EE" w:rsidRDefault="00A924EE" w:rsidP="00982118">
      <w:pPr>
        <w:rPr>
          <w:color w:val="000000"/>
        </w:rPr>
      </w:pPr>
    </w:p>
    <w:p w14:paraId="4C2B9B09" w14:textId="77777777" w:rsidR="00A65FE9" w:rsidRPr="004F5FB4" w:rsidRDefault="00A65FE9" w:rsidP="00982118">
      <w:pPr>
        <w:rPr>
          <w:color w:val="000000"/>
        </w:rPr>
      </w:pPr>
    </w:p>
    <w:p w14:paraId="3FE78867"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13</w:t>
      </w:r>
      <w:r w:rsidRPr="004F5FB4">
        <w:rPr>
          <w:b/>
          <w:color w:val="000000"/>
        </w:rPr>
        <w:tab/>
        <w:t>CHARGENBEZEICHNUNG</w:t>
      </w:r>
    </w:p>
    <w:p w14:paraId="3068B2FB" w14:textId="77777777" w:rsidR="00C46587" w:rsidRPr="004F5FB4" w:rsidRDefault="00C46587" w:rsidP="00982118">
      <w:pPr>
        <w:rPr>
          <w:color w:val="000000"/>
        </w:rPr>
      </w:pPr>
    </w:p>
    <w:p w14:paraId="3BA71FAD" w14:textId="77777777" w:rsidR="00C46587" w:rsidRPr="004F5FB4" w:rsidRDefault="00C46587" w:rsidP="00982118">
      <w:pPr>
        <w:rPr>
          <w:color w:val="000000"/>
        </w:rPr>
      </w:pPr>
      <w:r w:rsidRPr="004F5FB4">
        <w:rPr>
          <w:color w:val="000000"/>
        </w:rPr>
        <w:t>Ch.-B.</w:t>
      </w:r>
    </w:p>
    <w:p w14:paraId="1576F72F" w14:textId="77777777" w:rsidR="00C46587" w:rsidRPr="004F5FB4" w:rsidRDefault="00C46587" w:rsidP="00982118">
      <w:pPr>
        <w:rPr>
          <w:color w:val="000000"/>
        </w:rPr>
      </w:pPr>
    </w:p>
    <w:p w14:paraId="0FF5768E" w14:textId="77777777" w:rsidR="00C46587" w:rsidRPr="004F5FB4" w:rsidRDefault="00C46587" w:rsidP="00982118">
      <w:pPr>
        <w:rPr>
          <w:color w:val="000000"/>
        </w:rPr>
      </w:pPr>
    </w:p>
    <w:p w14:paraId="56D1ED11"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14</w:t>
      </w:r>
      <w:r w:rsidRPr="004F5FB4">
        <w:rPr>
          <w:b/>
          <w:color w:val="000000"/>
        </w:rPr>
        <w:tab/>
        <w:t>VERKAUFSABGRENZUNG</w:t>
      </w:r>
    </w:p>
    <w:p w14:paraId="4E8089F4" w14:textId="77777777" w:rsidR="00C46587" w:rsidRPr="004F5FB4" w:rsidRDefault="00C46587" w:rsidP="00982118">
      <w:pPr>
        <w:rPr>
          <w:color w:val="000000"/>
        </w:rPr>
      </w:pPr>
    </w:p>
    <w:p w14:paraId="34393B3F" w14:textId="77777777" w:rsidR="00C46587" w:rsidRPr="004F5FB4" w:rsidRDefault="00C46587" w:rsidP="00982118">
      <w:pPr>
        <w:rPr>
          <w:color w:val="000000"/>
        </w:rPr>
      </w:pPr>
    </w:p>
    <w:p w14:paraId="12A29F0E"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15</w:t>
      </w:r>
      <w:r w:rsidRPr="004F5FB4">
        <w:rPr>
          <w:b/>
          <w:color w:val="000000"/>
        </w:rPr>
        <w:tab/>
        <w:t>HINWEISE FÜR DEN GEBRAUCH</w:t>
      </w:r>
    </w:p>
    <w:p w14:paraId="03BC9449" w14:textId="77777777" w:rsidR="00C46587" w:rsidRPr="004F5FB4" w:rsidRDefault="00C46587" w:rsidP="00982118">
      <w:pPr>
        <w:rPr>
          <w:color w:val="000000"/>
        </w:rPr>
      </w:pPr>
    </w:p>
    <w:p w14:paraId="749170D5" w14:textId="77777777" w:rsidR="00C46587" w:rsidRPr="004F5FB4" w:rsidRDefault="00C46587" w:rsidP="00982118">
      <w:pPr>
        <w:rPr>
          <w:color w:val="000000"/>
        </w:rPr>
      </w:pPr>
    </w:p>
    <w:p w14:paraId="0AA2A40D"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16</w:t>
      </w:r>
      <w:r w:rsidRPr="004F5FB4">
        <w:rPr>
          <w:b/>
          <w:color w:val="000000"/>
        </w:rPr>
        <w:tab/>
        <w:t>ANGABEN IN BLINDENSCHRIFT</w:t>
      </w:r>
    </w:p>
    <w:p w14:paraId="1C7C4630" w14:textId="77777777" w:rsidR="00C46587" w:rsidRPr="004F5FB4" w:rsidRDefault="00C46587" w:rsidP="00982118">
      <w:pPr>
        <w:keepNext/>
        <w:rPr>
          <w:color w:val="000000"/>
        </w:rPr>
      </w:pPr>
    </w:p>
    <w:p w14:paraId="669D7381" w14:textId="77777777" w:rsidR="00C46587" w:rsidRPr="004F5FB4" w:rsidRDefault="006A1144" w:rsidP="00982118">
      <w:pPr>
        <w:keepNext/>
        <w:rPr>
          <w:color w:val="000000"/>
        </w:rPr>
      </w:pPr>
      <w:r w:rsidRPr="004F5FB4">
        <w:rPr>
          <w:color w:val="000000"/>
        </w:rPr>
        <w:t>Amsparity 40 mg/0,8 ml</w:t>
      </w:r>
    </w:p>
    <w:p w14:paraId="4165146C" w14:textId="77777777" w:rsidR="00515687" w:rsidRPr="004F5FB4" w:rsidRDefault="00515687" w:rsidP="00982118">
      <w:pPr>
        <w:keepNext/>
        <w:rPr>
          <w:color w:val="000000"/>
        </w:rPr>
      </w:pPr>
    </w:p>
    <w:p w14:paraId="5DCD570A" w14:textId="77777777" w:rsidR="00C46587" w:rsidRPr="004F5FB4" w:rsidRDefault="00C46587" w:rsidP="00982118">
      <w:pPr>
        <w:rPr>
          <w:color w:val="000000"/>
        </w:rPr>
      </w:pPr>
    </w:p>
    <w:p w14:paraId="2990F260" w14:textId="77777777" w:rsidR="00C46587" w:rsidRPr="004F5FB4" w:rsidRDefault="00C46587" w:rsidP="006304AB">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17</w:t>
      </w:r>
      <w:r w:rsidRPr="004F5FB4">
        <w:rPr>
          <w:b/>
          <w:color w:val="000000"/>
        </w:rPr>
        <w:tab/>
        <w:t>INDIVIDUELLES ERKENNUNGSMERKMAL – 2D-BARCODE</w:t>
      </w:r>
    </w:p>
    <w:p w14:paraId="38AF1B40" w14:textId="77777777" w:rsidR="00C46587" w:rsidRPr="004F5FB4" w:rsidRDefault="00C46587" w:rsidP="006304AB">
      <w:pPr>
        <w:keepNext/>
        <w:rPr>
          <w:color w:val="000000"/>
        </w:rPr>
      </w:pPr>
    </w:p>
    <w:p w14:paraId="30B53FF1" w14:textId="77777777" w:rsidR="00C46587" w:rsidRPr="004F5FB4" w:rsidRDefault="00C46587" w:rsidP="00982118">
      <w:pPr>
        <w:rPr>
          <w:color w:val="000000"/>
        </w:rPr>
      </w:pPr>
    </w:p>
    <w:p w14:paraId="3462C449" w14:textId="77777777" w:rsidR="00C46587" w:rsidRPr="004F5FB4" w:rsidRDefault="00C46587" w:rsidP="00F17530">
      <w:pPr>
        <w:pBdr>
          <w:top w:val="single" w:sz="4" w:space="1" w:color="auto"/>
          <w:left w:val="single" w:sz="4" w:space="4" w:color="auto"/>
          <w:bottom w:val="single" w:sz="4" w:space="1" w:color="auto"/>
          <w:right w:val="single" w:sz="4" w:space="4" w:color="auto"/>
        </w:pBdr>
        <w:ind w:left="567" w:hanging="567"/>
        <w:rPr>
          <w:b/>
          <w:color w:val="000000"/>
        </w:rPr>
      </w:pPr>
      <w:r w:rsidRPr="004F5FB4">
        <w:rPr>
          <w:b/>
          <w:color w:val="000000"/>
        </w:rPr>
        <w:t>18</w:t>
      </w:r>
      <w:r w:rsidRPr="004F5FB4">
        <w:rPr>
          <w:b/>
          <w:color w:val="000000"/>
        </w:rPr>
        <w:tab/>
        <w:t>INDIVIDUELLES ERKENNUNGSMERKMAL – VOM MENSCHEN LESBARES FORMAT</w:t>
      </w:r>
    </w:p>
    <w:p w14:paraId="4C110627" w14:textId="77777777" w:rsidR="00CB744D" w:rsidRPr="004F5FB4" w:rsidRDefault="00CB744D" w:rsidP="00982118">
      <w:pPr>
        <w:rPr>
          <w:color w:val="000000"/>
        </w:rPr>
      </w:pPr>
    </w:p>
    <w:p w14:paraId="4425D3A5" w14:textId="77777777" w:rsidR="00C46587" w:rsidRPr="004F5FB4" w:rsidRDefault="00C46587" w:rsidP="00982118">
      <w:pPr>
        <w:rPr>
          <w:color w:val="000000"/>
        </w:rPr>
      </w:pPr>
      <w:r w:rsidRPr="004F5FB4">
        <w:rPr>
          <w:color w:val="000000"/>
        </w:rPr>
        <w:br w:type="page"/>
      </w:r>
    </w:p>
    <w:p w14:paraId="7A3533BC"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MINDESTANGABEN AUF KLEINEN BEHÄLTNISSEN</w:t>
      </w:r>
    </w:p>
    <w:p w14:paraId="660EA87C"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p>
    <w:p w14:paraId="5B627A2E" w14:textId="77777777" w:rsidR="00C46587" w:rsidRPr="004F5FB4" w:rsidRDefault="000E7C79"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ETIKETT</w:t>
      </w:r>
      <w:r w:rsidR="00C244A9" w:rsidRPr="004F5FB4">
        <w:rPr>
          <w:b/>
          <w:color w:val="000000"/>
        </w:rPr>
        <w:t xml:space="preserve"> (DURCHSTECHFLASCHE 40 mg/0,8 ml)</w:t>
      </w:r>
    </w:p>
    <w:p w14:paraId="6BF62E72" w14:textId="77777777" w:rsidR="00C46587" w:rsidRPr="004F5FB4" w:rsidRDefault="00C46587" w:rsidP="00982118">
      <w:pPr>
        <w:rPr>
          <w:color w:val="000000"/>
        </w:rPr>
      </w:pPr>
    </w:p>
    <w:p w14:paraId="5E60AF4B" w14:textId="77777777" w:rsidR="00C46587" w:rsidRPr="004F5FB4" w:rsidRDefault="00C46587" w:rsidP="00982118">
      <w:pPr>
        <w:rPr>
          <w:color w:val="000000"/>
        </w:rPr>
      </w:pPr>
    </w:p>
    <w:p w14:paraId="3E31AF08"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 SOWIE ART DER ANWENDUNG</w:t>
      </w:r>
    </w:p>
    <w:p w14:paraId="13149722" w14:textId="77777777" w:rsidR="00C46587" w:rsidRPr="004F5FB4" w:rsidRDefault="00C46587" w:rsidP="00982118">
      <w:pPr>
        <w:rPr>
          <w:color w:val="000000"/>
        </w:rPr>
      </w:pPr>
    </w:p>
    <w:p w14:paraId="17F6A2EF" w14:textId="77777777" w:rsidR="00C46587" w:rsidRPr="00E26A2B" w:rsidRDefault="006A1144" w:rsidP="00982118">
      <w:pPr>
        <w:rPr>
          <w:color w:val="000000"/>
        </w:rPr>
      </w:pPr>
      <w:r w:rsidRPr="00E26A2B">
        <w:rPr>
          <w:color w:val="000000"/>
        </w:rPr>
        <w:t>Amsparity 40 mg/0,8 ml Injektion</w:t>
      </w:r>
    </w:p>
    <w:p w14:paraId="6BD56B69" w14:textId="77777777" w:rsidR="00C46587" w:rsidRPr="00E26A2B" w:rsidRDefault="00C46587" w:rsidP="00982118">
      <w:pPr>
        <w:rPr>
          <w:color w:val="000000"/>
        </w:rPr>
      </w:pPr>
      <w:r w:rsidRPr="00E26A2B">
        <w:rPr>
          <w:color w:val="000000"/>
        </w:rPr>
        <w:t>Adalimumab</w:t>
      </w:r>
    </w:p>
    <w:p w14:paraId="75868B02" w14:textId="77777777" w:rsidR="00BC5A1F" w:rsidRPr="00E26A2B" w:rsidRDefault="004C14CB" w:rsidP="00982118">
      <w:pPr>
        <w:rPr>
          <w:color w:val="000000"/>
        </w:rPr>
      </w:pPr>
      <w:r w:rsidRPr="00E26A2B">
        <w:rPr>
          <w:color w:val="000000"/>
        </w:rPr>
        <w:t>s.c.</w:t>
      </w:r>
    </w:p>
    <w:p w14:paraId="458FD346" w14:textId="77777777" w:rsidR="00C46587" w:rsidRPr="00E26A2B" w:rsidRDefault="00C46587" w:rsidP="00982118">
      <w:pPr>
        <w:rPr>
          <w:color w:val="000000"/>
        </w:rPr>
      </w:pPr>
    </w:p>
    <w:p w14:paraId="39A8EE89" w14:textId="77777777" w:rsidR="00C46587" w:rsidRPr="00E26A2B" w:rsidRDefault="00C46587" w:rsidP="00982118">
      <w:pPr>
        <w:rPr>
          <w:color w:val="000000"/>
        </w:rPr>
      </w:pPr>
    </w:p>
    <w:p w14:paraId="20D3C9E6"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HINWEISE ZUR ANWENDUNG</w:t>
      </w:r>
    </w:p>
    <w:p w14:paraId="77F54502" w14:textId="77777777" w:rsidR="00C46587" w:rsidRPr="004F5FB4" w:rsidRDefault="00C46587" w:rsidP="00982118">
      <w:pPr>
        <w:rPr>
          <w:color w:val="000000"/>
        </w:rPr>
      </w:pPr>
    </w:p>
    <w:p w14:paraId="1765505F" w14:textId="77777777" w:rsidR="00C46587" w:rsidRPr="004F5FB4" w:rsidRDefault="00C46587" w:rsidP="00982118">
      <w:pPr>
        <w:rPr>
          <w:color w:val="000000"/>
        </w:rPr>
      </w:pPr>
    </w:p>
    <w:p w14:paraId="24C8FCB1"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VERFALLDATUM</w:t>
      </w:r>
    </w:p>
    <w:p w14:paraId="4D92E446" w14:textId="77777777" w:rsidR="00C46587" w:rsidRPr="004F5FB4" w:rsidRDefault="00C46587" w:rsidP="00982118">
      <w:pPr>
        <w:rPr>
          <w:color w:val="000000"/>
        </w:rPr>
      </w:pPr>
    </w:p>
    <w:p w14:paraId="174C2055" w14:textId="77777777" w:rsidR="00C46587" w:rsidRPr="004F5FB4" w:rsidRDefault="00C46587" w:rsidP="00982118">
      <w:pPr>
        <w:rPr>
          <w:color w:val="000000"/>
        </w:rPr>
      </w:pPr>
      <w:r w:rsidRPr="004F5FB4">
        <w:rPr>
          <w:color w:val="000000"/>
        </w:rPr>
        <w:t>Verwendbar bis</w:t>
      </w:r>
    </w:p>
    <w:p w14:paraId="5E811A9E" w14:textId="77777777" w:rsidR="00C46587" w:rsidRPr="004F5FB4" w:rsidRDefault="00C46587" w:rsidP="00982118">
      <w:pPr>
        <w:rPr>
          <w:color w:val="000000"/>
        </w:rPr>
      </w:pPr>
    </w:p>
    <w:p w14:paraId="19E71304" w14:textId="77777777" w:rsidR="00C46587" w:rsidRPr="004F5FB4" w:rsidRDefault="00C46587" w:rsidP="00982118">
      <w:pPr>
        <w:rPr>
          <w:color w:val="000000"/>
        </w:rPr>
      </w:pPr>
    </w:p>
    <w:p w14:paraId="50D13E58"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CHARGENBEZEICHNUNG</w:t>
      </w:r>
    </w:p>
    <w:p w14:paraId="06519129" w14:textId="77777777" w:rsidR="00C46587" w:rsidRPr="004F5FB4" w:rsidRDefault="00C46587" w:rsidP="00982118">
      <w:pPr>
        <w:rPr>
          <w:color w:val="000000"/>
        </w:rPr>
      </w:pPr>
    </w:p>
    <w:p w14:paraId="023A878C" w14:textId="77777777" w:rsidR="00C46587" w:rsidRPr="004F5FB4" w:rsidRDefault="00C46587" w:rsidP="00982118">
      <w:pPr>
        <w:rPr>
          <w:color w:val="000000"/>
        </w:rPr>
      </w:pPr>
      <w:r w:rsidRPr="004F5FB4">
        <w:rPr>
          <w:color w:val="000000"/>
        </w:rPr>
        <w:t>Ch.-B.</w:t>
      </w:r>
    </w:p>
    <w:p w14:paraId="1A6EBB70" w14:textId="77777777" w:rsidR="00C46587" w:rsidRPr="004F5FB4" w:rsidRDefault="00C46587" w:rsidP="00982118">
      <w:pPr>
        <w:rPr>
          <w:color w:val="000000"/>
        </w:rPr>
      </w:pPr>
    </w:p>
    <w:p w14:paraId="2519664C" w14:textId="77777777" w:rsidR="00C46587" w:rsidRPr="004F5FB4" w:rsidRDefault="00C46587" w:rsidP="00982118">
      <w:pPr>
        <w:rPr>
          <w:color w:val="000000"/>
        </w:rPr>
      </w:pPr>
    </w:p>
    <w:p w14:paraId="5A763B56"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5</w:t>
      </w:r>
      <w:r w:rsidR="007246BB" w:rsidRPr="004F5FB4">
        <w:rPr>
          <w:b/>
          <w:color w:val="000000"/>
        </w:rPr>
        <w:tab/>
      </w:r>
      <w:r w:rsidRPr="004F5FB4">
        <w:rPr>
          <w:b/>
          <w:color w:val="000000"/>
        </w:rPr>
        <w:t>INHALT NACH GEWICHT, VOLUMEN ODER EINHEITEN</w:t>
      </w:r>
    </w:p>
    <w:p w14:paraId="04CF4842" w14:textId="77777777" w:rsidR="00C46587" w:rsidRPr="004F5FB4" w:rsidRDefault="00C46587" w:rsidP="00982118">
      <w:pPr>
        <w:rPr>
          <w:color w:val="000000"/>
        </w:rPr>
      </w:pPr>
    </w:p>
    <w:p w14:paraId="1F13C2AD" w14:textId="77777777" w:rsidR="00C46587" w:rsidRPr="004F5FB4" w:rsidRDefault="00C46587" w:rsidP="00982118">
      <w:pPr>
        <w:rPr>
          <w:color w:val="000000"/>
        </w:rPr>
      </w:pPr>
      <w:r w:rsidRPr="004F5FB4">
        <w:rPr>
          <w:color w:val="000000"/>
          <w:highlight w:val="lightGray"/>
        </w:rPr>
        <w:t>40 mg/0,8 ml</w:t>
      </w:r>
    </w:p>
    <w:p w14:paraId="54203140" w14:textId="77777777" w:rsidR="00C46587" w:rsidRPr="004F5FB4" w:rsidRDefault="00C46587" w:rsidP="00982118">
      <w:pPr>
        <w:rPr>
          <w:color w:val="000000"/>
        </w:rPr>
      </w:pPr>
    </w:p>
    <w:p w14:paraId="720E4C3F" w14:textId="77777777" w:rsidR="00C46587" w:rsidRPr="004F5FB4" w:rsidRDefault="00C46587" w:rsidP="00982118">
      <w:pPr>
        <w:rPr>
          <w:color w:val="000000"/>
        </w:rPr>
      </w:pPr>
    </w:p>
    <w:p w14:paraId="29901196"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6</w:t>
      </w:r>
      <w:r w:rsidR="007246BB" w:rsidRPr="004F5FB4">
        <w:rPr>
          <w:b/>
          <w:color w:val="000000"/>
        </w:rPr>
        <w:tab/>
      </w:r>
      <w:r w:rsidRPr="004F5FB4">
        <w:rPr>
          <w:b/>
          <w:color w:val="000000"/>
        </w:rPr>
        <w:t>WEITERE ANGABEN</w:t>
      </w:r>
    </w:p>
    <w:p w14:paraId="16FF7558" w14:textId="77777777" w:rsidR="004C14CB" w:rsidRPr="004F5FB4" w:rsidRDefault="004C14CB" w:rsidP="00982118">
      <w:pPr>
        <w:rPr>
          <w:color w:val="000000"/>
        </w:rPr>
      </w:pPr>
    </w:p>
    <w:p w14:paraId="6145803E" w14:textId="77777777" w:rsidR="00C46587" w:rsidRPr="004F5FB4" w:rsidRDefault="00C46587" w:rsidP="00982118">
      <w:pPr>
        <w:rPr>
          <w:color w:val="000000"/>
        </w:rPr>
      </w:pPr>
      <w:r w:rsidRPr="004F5FB4">
        <w:rPr>
          <w:color w:val="000000"/>
        </w:rPr>
        <w:br w:type="page"/>
      </w:r>
    </w:p>
    <w:p w14:paraId="4255AB1B"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ANGABEN AUF DER ÄUSSEREN UMHÜLLUNG</w:t>
      </w:r>
    </w:p>
    <w:p w14:paraId="6B9209D1"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p>
    <w:p w14:paraId="5C8F7D0D"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UMKARTON</w:t>
      </w:r>
      <w:r w:rsidR="007E0DC1" w:rsidRPr="004F5FB4">
        <w:rPr>
          <w:b/>
          <w:color w:val="000000"/>
        </w:rPr>
        <w:t xml:space="preserve"> </w:t>
      </w:r>
      <w:r w:rsidR="007E0DC1" w:rsidRPr="004F5FB4">
        <w:rPr>
          <w:b/>
          <w:bCs/>
          <w:color w:val="000000"/>
        </w:rPr>
        <w:t>(FERTIGSPRITZE 40 mg/0,8 ml)</w:t>
      </w:r>
    </w:p>
    <w:p w14:paraId="07BD4BBF" w14:textId="77777777" w:rsidR="00C46587" w:rsidRPr="004F5FB4" w:rsidRDefault="00C46587" w:rsidP="00982118">
      <w:pPr>
        <w:rPr>
          <w:color w:val="000000"/>
        </w:rPr>
      </w:pPr>
    </w:p>
    <w:p w14:paraId="040F80B5" w14:textId="77777777" w:rsidR="00C46587" w:rsidRPr="004F5FB4" w:rsidRDefault="00C46587" w:rsidP="00982118">
      <w:pPr>
        <w:rPr>
          <w:color w:val="000000"/>
        </w:rPr>
      </w:pPr>
    </w:p>
    <w:p w14:paraId="61C95A92"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w:t>
      </w:r>
    </w:p>
    <w:p w14:paraId="04A4836F" w14:textId="77777777" w:rsidR="00C46587" w:rsidRPr="004F5FB4" w:rsidRDefault="00C46587" w:rsidP="00982118">
      <w:pPr>
        <w:rPr>
          <w:color w:val="000000"/>
        </w:rPr>
      </w:pPr>
    </w:p>
    <w:p w14:paraId="3652FE7C" w14:textId="77777777" w:rsidR="00C46587" w:rsidRPr="004F5FB4" w:rsidRDefault="006A1144" w:rsidP="00982118">
      <w:pPr>
        <w:rPr>
          <w:color w:val="000000"/>
        </w:rPr>
      </w:pPr>
      <w:r w:rsidRPr="004F5FB4">
        <w:rPr>
          <w:color w:val="000000"/>
        </w:rPr>
        <w:t>Amsparity 40 mg Injektionslösung in einer Fertigspritze</w:t>
      </w:r>
    </w:p>
    <w:p w14:paraId="28F9A7A0" w14:textId="77777777" w:rsidR="00C46587" w:rsidRPr="004F5FB4" w:rsidRDefault="00C46587" w:rsidP="00982118">
      <w:pPr>
        <w:rPr>
          <w:color w:val="000000"/>
        </w:rPr>
      </w:pPr>
      <w:r w:rsidRPr="004F5FB4">
        <w:rPr>
          <w:color w:val="000000"/>
        </w:rPr>
        <w:t>Adalimumab</w:t>
      </w:r>
    </w:p>
    <w:p w14:paraId="0CA07108" w14:textId="77777777" w:rsidR="00C46587" w:rsidRPr="004F5FB4" w:rsidRDefault="00C46587" w:rsidP="00982118">
      <w:pPr>
        <w:rPr>
          <w:color w:val="000000"/>
        </w:rPr>
      </w:pPr>
    </w:p>
    <w:p w14:paraId="021CF376" w14:textId="77777777" w:rsidR="00C46587" w:rsidRPr="004F5FB4" w:rsidRDefault="00C46587" w:rsidP="00982118">
      <w:pPr>
        <w:rPr>
          <w:color w:val="000000"/>
        </w:rPr>
      </w:pPr>
    </w:p>
    <w:p w14:paraId="2BB4A825"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WIRKSTOFF</w:t>
      </w:r>
    </w:p>
    <w:p w14:paraId="4CA368B6" w14:textId="77777777" w:rsidR="00C46587" w:rsidRPr="004F5FB4" w:rsidRDefault="00C46587" w:rsidP="00982118">
      <w:pPr>
        <w:rPr>
          <w:color w:val="000000"/>
        </w:rPr>
      </w:pPr>
    </w:p>
    <w:p w14:paraId="33F4F3B9" w14:textId="77777777" w:rsidR="00C46587" w:rsidRPr="004F5FB4" w:rsidRDefault="00C46587" w:rsidP="00982118">
      <w:pPr>
        <w:rPr>
          <w:color w:val="000000"/>
        </w:rPr>
      </w:pPr>
      <w:r w:rsidRPr="004F5FB4">
        <w:rPr>
          <w:color w:val="000000"/>
        </w:rPr>
        <w:t>Eine 0,8-ml-Fertigspritze enthält 40 mg Adalimumab.</w:t>
      </w:r>
    </w:p>
    <w:p w14:paraId="5736BF5F" w14:textId="77777777" w:rsidR="00C46587" w:rsidRPr="004F5FB4" w:rsidRDefault="00C46587" w:rsidP="00982118">
      <w:pPr>
        <w:rPr>
          <w:color w:val="000000"/>
        </w:rPr>
      </w:pPr>
    </w:p>
    <w:p w14:paraId="6A587E12" w14:textId="77777777" w:rsidR="00C46587" w:rsidRPr="004F5FB4" w:rsidRDefault="00C46587" w:rsidP="00982118">
      <w:pPr>
        <w:rPr>
          <w:color w:val="000000"/>
        </w:rPr>
      </w:pPr>
    </w:p>
    <w:p w14:paraId="5FE95B38"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SONSTIGE BESTANDTEILE</w:t>
      </w:r>
    </w:p>
    <w:p w14:paraId="165D55A7" w14:textId="77777777" w:rsidR="00C46587" w:rsidRPr="004F5FB4" w:rsidRDefault="00C46587" w:rsidP="00982118">
      <w:pPr>
        <w:rPr>
          <w:color w:val="000000"/>
        </w:rPr>
      </w:pPr>
    </w:p>
    <w:p w14:paraId="15ABA723" w14:textId="77777777" w:rsidR="00165543" w:rsidRPr="004F5FB4" w:rsidRDefault="00C46587" w:rsidP="00982118">
      <w:pPr>
        <w:rPr>
          <w:color w:val="000000"/>
        </w:rPr>
      </w:pPr>
      <w:r w:rsidRPr="004F5FB4">
        <w:rPr>
          <w:color w:val="000000"/>
        </w:rPr>
        <w:t>Sonstige Bestandteile: L-Histidin, L-Histidin-Hydrochlorid-Monohydrat, Sucrose, EDTA-Dinatrium-Dihydrat, L-Methionin, Polysorbat 80 und Wasser für Injektionszwecke.</w:t>
      </w:r>
    </w:p>
    <w:p w14:paraId="7537976B" w14:textId="77777777" w:rsidR="00C46587" w:rsidRPr="004F5FB4" w:rsidRDefault="00CB6495" w:rsidP="00982118">
      <w:pPr>
        <w:rPr>
          <w:color w:val="000000"/>
        </w:rPr>
      </w:pPr>
      <w:r w:rsidRPr="004F5FB4">
        <w:rPr>
          <w:color w:val="000000"/>
          <w:highlight w:val="lightGray"/>
        </w:rPr>
        <w:t xml:space="preserve"> Siehe Packungsbeilage für weitere Informationen.</w:t>
      </w:r>
    </w:p>
    <w:p w14:paraId="70B8DC6E" w14:textId="77777777" w:rsidR="00C46587" w:rsidRPr="004F5FB4" w:rsidRDefault="00C46587" w:rsidP="00982118">
      <w:pPr>
        <w:tabs>
          <w:tab w:val="left" w:pos="562"/>
        </w:tabs>
        <w:rPr>
          <w:color w:val="000000"/>
        </w:rPr>
      </w:pPr>
    </w:p>
    <w:p w14:paraId="7EED4BD6" w14:textId="77777777" w:rsidR="00C46587" w:rsidRPr="004F5FB4" w:rsidRDefault="00C46587" w:rsidP="00982118">
      <w:pPr>
        <w:tabs>
          <w:tab w:val="left" w:pos="562"/>
        </w:tabs>
        <w:rPr>
          <w:color w:val="000000"/>
        </w:rPr>
      </w:pPr>
    </w:p>
    <w:p w14:paraId="708355E3"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DARREICHUNGSFORM UND INHALT</w:t>
      </w:r>
    </w:p>
    <w:p w14:paraId="7982DD1F" w14:textId="77777777" w:rsidR="00C46587" w:rsidRPr="004F5FB4" w:rsidRDefault="00C46587" w:rsidP="00982118">
      <w:pPr>
        <w:rPr>
          <w:color w:val="000000"/>
        </w:rPr>
      </w:pPr>
    </w:p>
    <w:p w14:paraId="2C69F19D" w14:textId="77777777" w:rsidR="00BC5A1F" w:rsidRPr="004F5FB4" w:rsidRDefault="00BC5A1F" w:rsidP="00982118">
      <w:pPr>
        <w:rPr>
          <w:color w:val="000000"/>
        </w:rPr>
      </w:pPr>
      <w:r w:rsidRPr="004F5FB4">
        <w:rPr>
          <w:color w:val="000000"/>
          <w:highlight w:val="lightGray"/>
        </w:rPr>
        <w:t>Injektionslösung</w:t>
      </w:r>
    </w:p>
    <w:p w14:paraId="7766D78B" w14:textId="77777777" w:rsidR="00C46587" w:rsidRPr="004F5FB4" w:rsidRDefault="00C46587" w:rsidP="00982118">
      <w:pPr>
        <w:rPr>
          <w:color w:val="000000"/>
        </w:rPr>
      </w:pPr>
      <w:r w:rsidRPr="004F5FB4">
        <w:rPr>
          <w:color w:val="000000"/>
        </w:rPr>
        <w:t>1 Fertigspritze</w:t>
      </w:r>
    </w:p>
    <w:p w14:paraId="3F67E296" w14:textId="77777777" w:rsidR="00C46587" w:rsidRPr="004F5FB4" w:rsidRDefault="00CF3EFE" w:rsidP="00982118">
      <w:pPr>
        <w:rPr>
          <w:color w:val="000000"/>
        </w:rPr>
      </w:pPr>
      <w:r w:rsidRPr="004F5FB4">
        <w:rPr>
          <w:color w:val="000000"/>
        </w:rPr>
        <w:t>2 Alkoholtupfer</w:t>
      </w:r>
    </w:p>
    <w:p w14:paraId="0F6C6E56" w14:textId="77777777" w:rsidR="00BC5A1F" w:rsidRPr="004F5FB4" w:rsidRDefault="00BC5A1F" w:rsidP="007C4B2C">
      <w:pPr>
        <w:pStyle w:val="BodyText"/>
        <w:widowControl/>
        <w:kinsoku w:val="0"/>
        <w:overflowPunct w:val="0"/>
        <w:ind w:left="0" w:right="447"/>
        <w:rPr>
          <w:color w:val="000000"/>
        </w:rPr>
      </w:pPr>
    </w:p>
    <w:p w14:paraId="4DD1848D" w14:textId="77777777" w:rsidR="00BC5A1F" w:rsidRPr="004F5FB4" w:rsidRDefault="00BC5A1F" w:rsidP="00982118">
      <w:pPr>
        <w:rPr>
          <w:color w:val="000000"/>
          <w:highlight w:val="lightGray"/>
        </w:rPr>
      </w:pPr>
      <w:r w:rsidRPr="004F5FB4">
        <w:rPr>
          <w:color w:val="000000"/>
          <w:highlight w:val="lightGray"/>
        </w:rPr>
        <w:t>2 Fertigspritzen</w:t>
      </w:r>
    </w:p>
    <w:p w14:paraId="79D6EE9C" w14:textId="77777777" w:rsidR="00BC5A1F" w:rsidRPr="004F5FB4" w:rsidRDefault="00BC5A1F" w:rsidP="00982118">
      <w:pPr>
        <w:rPr>
          <w:color w:val="000000"/>
          <w:highlight w:val="lightGray"/>
        </w:rPr>
      </w:pPr>
      <w:r w:rsidRPr="004F5FB4">
        <w:rPr>
          <w:color w:val="000000"/>
          <w:highlight w:val="lightGray"/>
        </w:rPr>
        <w:t>2 Alkoholtupfer</w:t>
      </w:r>
    </w:p>
    <w:p w14:paraId="458CCB43" w14:textId="77777777" w:rsidR="00BC5A1F" w:rsidRPr="004F5FB4" w:rsidRDefault="00BC5A1F" w:rsidP="007C4B2C">
      <w:pPr>
        <w:pStyle w:val="BodyText"/>
        <w:widowControl/>
        <w:kinsoku w:val="0"/>
        <w:overflowPunct w:val="0"/>
        <w:ind w:left="0" w:right="447"/>
        <w:rPr>
          <w:color w:val="000000"/>
          <w:highlight w:val="lightGray"/>
        </w:rPr>
      </w:pPr>
    </w:p>
    <w:p w14:paraId="455E9518" w14:textId="77777777" w:rsidR="00BC5A1F" w:rsidRPr="004F5FB4" w:rsidRDefault="00BC5A1F" w:rsidP="00982118">
      <w:pPr>
        <w:rPr>
          <w:color w:val="000000"/>
          <w:highlight w:val="lightGray"/>
        </w:rPr>
      </w:pPr>
      <w:r w:rsidRPr="004F5FB4">
        <w:rPr>
          <w:color w:val="000000"/>
          <w:highlight w:val="lightGray"/>
        </w:rPr>
        <w:t>4 Fertigspritzen</w:t>
      </w:r>
    </w:p>
    <w:p w14:paraId="588A85B2" w14:textId="77777777" w:rsidR="00BC5A1F" w:rsidRPr="004F5FB4" w:rsidRDefault="00BC5A1F" w:rsidP="00982118">
      <w:pPr>
        <w:rPr>
          <w:color w:val="000000"/>
          <w:highlight w:val="lightGray"/>
        </w:rPr>
      </w:pPr>
      <w:r w:rsidRPr="004F5FB4">
        <w:rPr>
          <w:color w:val="000000"/>
          <w:highlight w:val="lightGray"/>
        </w:rPr>
        <w:t>4 Alkoholtupfer</w:t>
      </w:r>
    </w:p>
    <w:p w14:paraId="5537DE8C" w14:textId="77777777" w:rsidR="00BC5A1F" w:rsidRPr="004F5FB4" w:rsidRDefault="00BC5A1F" w:rsidP="007C4B2C">
      <w:pPr>
        <w:pStyle w:val="BodyText"/>
        <w:widowControl/>
        <w:kinsoku w:val="0"/>
        <w:overflowPunct w:val="0"/>
        <w:ind w:left="0" w:right="447"/>
        <w:rPr>
          <w:b/>
          <w:color w:val="000000"/>
          <w:highlight w:val="lightGray"/>
        </w:rPr>
      </w:pPr>
    </w:p>
    <w:p w14:paraId="5B617561" w14:textId="77777777" w:rsidR="00BC5A1F" w:rsidRPr="004F5FB4" w:rsidRDefault="00BC5A1F" w:rsidP="00982118">
      <w:pPr>
        <w:rPr>
          <w:color w:val="000000"/>
          <w:highlight w:val="lightGray"/>
        </w:rPr>
      </w:pPr>
      <w:r w:rsidRPr="004F5FB4">
        <w:rPr>
          <w:color w:val="000000"/>
          <w:highlight w:val="lightGray"/>
        </w:rPr>
        <w:t>6 Fertigspritzen</w:t>
      </w:r>
    </w:p>
    <w:p w14:paraId="44E0DFE2" w14:textId="77777777" w:rsidR="00BC5A1F" w:rsidRPr="004F5FB4" w:rsidRDefault="00BC5A1F" w:rsidP="00982118">
      <w:pPr>
        <w:rPr>
          <w:color w:val="000000"/>
        </w:rPr>
      </w:pPr>
      <w:r w:rsidRPr="004F5FB4">
        <w:rPr>
          <w:color w:val="000000"/>
          <w:highlight w:val="lightGray"/>
        </w:rPr>
        <w:t>6 Alkoholtupfer</w:t>
      </w:r>
    </w:p>
    <w:p w14:paraId="01F9AC2F" w14:textId="77777777" w:rsidR="00C46587" w:rsidRPr="004F5FB4" w:rsidRDefault="00C46587" w:rsidP="007C4B2C">
      <w:pPr>
        <w:pStyle w:val="BodyText"/>
        <w:widowControl/>
        <w:kinsoku w:val="0"/>
        <w:overflowPunct w:val="0"/>
        <w:ind w:left="0" w:right="447"/>
        <w:rPr>
          <w:color w:val="000000"/>
        </w:rPr>
      </w:pPr>
    </w:p>
    <w:p w14:paraId="624F3AB3" w14:textId="77777777" w:rsidR="00C46587" w:rsidRPr="004F5FB4" w:rsidRDefault="00C46587" w:rsidP="00982118">
      <w:pPr>
        <w:rPr>
          <w:color w:val="000000"/>
        </w:rPr>
      </w:pPr>
    </w:p>
    <w:p w14:paraId="148BC4A4"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5</w:t>
      </w:r>
      <w:r w:rsidRPr="004F5FB4">
        <w:rPr>
          <w:b/>
          <w:color w:val="000000"/>
        </w:rPr>
        <w:tab/>
        <w:t>HINWEISE ZUR UND ART DER ANWENDUNG</w:t>
      </w:r>
    </w:p>
    <w:p w14:paraId="5103895D" w14:textId="77777777" w:rsidR="00C46587" w:rsidRPr="004F5FB4" w:rsidRDefault="00C46587" w:rsidP="00982118">
      <w:pPr>
        <w:keepNext/>
        <w:rPr>
          <w:color w:val="000000"/>
        </w:rPr>
      </w:pPr>
    </w:p>
    <w:p w14:paraId="0FB9A10F" w14:textId="77777777" w:rsidR="00C46587" w:rsidRPr="004F5FB4" w:rsidRDefault="00C46587" w:rsidP="00982118">
      <w:pPr>
        <w:keepNext/>
        <w:rPr>
          <w:color w:val="000000"/>
        </w:rPr>
      </w:pPr>
      <w:r w:rsidRPr="004F5FB4">
        <w:rPr>
          <w:color w:val="000000"/>
        </w:rPr>
        <w:t>Subkutane Anwendung</w:t>
      </w:r>
    </w:p>
    <w:p w14:paraId="5F6481FB" w14:textId="77777777" w:rsidR="00C46587" w:rsidRPr="004F5FB4" w:rsidRDefault="00C46587" w:rsidP="00982118">
      <w:pPr>
        <w:keepNext/>
        <w:rPr>
          <w:color w:val="000000"/>
        </w:rPr>
      </w:pPr>
    </w:p>
    <w:p w14:paraId="2DDB699A" w14:textId="77777777" w:rsidR="00C46587" w:rsidRPr="004F5FB4" w:rsidRDefault="00C46587" w:rsidP="00982118">
      <w:pPr>
        <w:keepNext/>
        <w:rPr>
          <w:color w:val="000000"/>
        </w:rPr>
      </w:pPr>
      <w:r w:rsidRPr="004F5FB4">
        <w:rPr>
          <w:color w:val="000000"/>
        </w:rPr>
        <w:t>Packungsbeilage beachten.</w:t>
      </w:r>
    </w:p>
    <w:p w14:paraId="556F169B" w14:textId="77777777" w:rsidR="00BC5A1F" w:rsidRPr="004F5FB4" w:rsidRDefault="00BC5A1F" w:rsidP="00982118">
      <w:pPr>
        <w:keepNext/>
        <w:rPr>
          <w:color w:val="000000"/>
        </w:rPr>
      </w:pPr>
    </w:p>
    <w:p w14:paraId="21C31419" w14:textId="77777777" w:rsidR="00BC5A1F" w:rsidRPr="004F5FB4" w:rsidRDefault="00BC5A1F" w:rsidP="00982118">
      <w:pPr>
        <w:keepNext/>
        <w:rPr>
          <w:color w:val="000000"/>
        </w:rPr>
      </w:pPr>
      <w:r w:rsidRPr="004F5FB4">
        <w:rPr>
          <w:color w:val="000000"/>
        </w:rPr>
        <w:t>Nur zur einmaligen Anwendung</w:t>
      </w:r>
    </w:p>
    <w:p w14:paraId="53E6CA1D" w14:textId="77777777" w:rsidR="00C46587" w:rsidRPr="004F5FB4" w:rsidRDefault="00C46587" w:rsidP="00982118">
      <w:pPr>
        <w:keepNext/>
        <w:rPr>
          <w:color w:val="000000"/>
        </w:rPr>
      </w:pPr>
    </w:p>
    <w:p w14:paraId="57E49BDE" w14:textId="77777777" w:rsidR="00C46587" w:rsidRPr="004F5FB4" w:rsidRDefault="00C46587" w:rsidP="00982118">
      <w:pPr>
        <w:rPr>
          <w:color w:val="000000"/>
        </w:rPr>
      </w:pPr>
    </w:p>
    <w:p w14:paraId="783C6B9C" w14:textId="77777777" w:rsidR="00C46587" w:rsidRPr="004F5FB4"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6</w:t>
      </w:r>
      <w:r w:rsidRPr="004F5FB4">
        <w:rPr>
          <w:b/>
          <w:color w:val="000000"/>
        </w:rPr>
        <w:tab/>
        <w:t>WARNHINWEIS, DASS DAS ARZNEIMITTEL FÜR KINDER UNZUGÄNGLICH AUFZUBEWAHREN IST</w:t>
      </w:r>
    </w:p>
    <w:p w14:paraId="40F94951" w14:textId="77777777" w:rsidR="00C46587" w:rsidRPr="004F5FB4" w:rsidRDefault="00C46587" w:rsidP="00A924EE">
      <w:pPr>
        <w:keepNext/>
        <w:rPr>
          <w:color w:val="000000"/>
        </w:rPr>
      </w:pPr>
    </w:p>
    <w:p w14:paraId="367E75D4" w14:textId="77777777" w:rsidR="00C46587" w:rsidRPr="004F5FB4" w:rsidRDefault="00C46587" w:rsidP="00982118">
      <w:pPr>
        <w:rPr>
          <w:color w:val="000000"/>
        </w:rPr>
      </w:pPr>
      <w:r w:rsidRPr="004F5FB4">
        <w:rPr>
          <w:color w:val="000000"/>
        </w:rPr>
        <w:t>Arzneimittel für Kinder unzugänglich aufbewahren.</w:t>
      </w:r>
    </w:p>
    <w:p w14:paraId="2C7B11D8" w14:textId="77777777" w:rsidR="00C46587" w:rsidRPr="004F5FB4" w:rsidRDefault="00C46587" w:rsidP="00982118">
      <w:pPr>
        <w:rPr>
          <w:color w:val="000000"/>
        </w:rPr>
      </w:pPr>
    </w:p>
    <w:p w14:paraId="08685E6B" w14:textId="77777777" w:rsidR="00C46587" w:rsidRPr="004F5FB4" w:rsidRDefault="00C46587" w:rsidP="00982118">
      <w:pPr>
        <w:rPr>
          <w:color w:val="000000"/>
        </w:rPr>
      </w:pPr>
    </w:p>
    <w:p w14:paraId="26FAE545" w14:textId="77777777" w:rsidR="00C46587" w:rsidRPr="004F5FB4" w:rsidRDefault="00C46587" w:rsidP="003146E9">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7</w:t>
      </w:r>
      <w:r w:rsidRPr="004F5FB4">
        <w:rPr>
          <w:b/>
          <w:color w:val="000000"/>
        </w:rPr>
        <w:tab/>
        <w:t xml:space="preserve">WEITERE WARNHINWEISE, FALLS ERFORDERLICH </w:t>
      </w:r>
    </w:p>
    <w:p w14:paraId="023A5CF7" w14:textId="77777777" w:rsidR="00C46587" w:rsidRPr="004F5FB4" w:rsidRDefault="00C46587" w:rsidP="003146E9">
      <w:pPr>
        <w:keepNext/>
        <w:rPr>
          <w:color w:val="000000"/>
        </w:rPr>
      </w:pPr>
    </w:p>
    <w:p w14:paraId="140D1B7E" w14:textId="77777777" w:rsidR="00C46587" w:rsidRPr="004F5FB4" w:rsidRDefault="00C46587" w:rsidP="003146E9">
      <w:pPr>
        <w:keepNext/>
        <w:rPr>
          <w:color w:val="000000"/>
        </w:rPr>
      </w:pPr>
    </w:p>
    <w:p w14:paraId="55E4673F"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8</w:t>
      </w:r>
      <w:r w:rsidRPr="004F5FB4">
        <w:rPr>
          <w:b/>
          <w:color w:val="000000"/>
        </w:rPr>
        <w:tab/>
        <w:t>VERFALLDATUM</w:t>
      </w:r>
    </w:p>
    <w:p w14:paraId="3659CEC1" w14:textId="77777777" w:rsidR="00C46587" w:rsidRPr="004F5FB4" w:rsidRDefault="00C46587" w:rsidP="00982118">
      <w:pPr>
        <w:rPr>
          <w:color w:val="000000"/>
        </w:rPr>
      </w:pPr>
    </w:p>
    <w:p w14:paraId="2E5D870C" w14:textId="77777777" w:rsidR="00C46587" w:rsidRPr="004F5FB4" w:rsidRDefault="00C46587" w:rsidP="00982118">
      <w:pPr>
        <w:rPr>
          <w:color w:val="000000"/>
        </w:rPr>
      </w:pPr>
      <w:r w:rsidRPr="004F5FB4">
        <w:rPr>
          <w:color w:val="000000"/>
        </w:rPr>
        <w:t>Verwendbar bis</w:t>
      </w:r>
    </w:p>
    <w:p w14:paraId="5512B565" w14:textId="77777777" w:rsidR="00C46587" w:rsidRPr="004F5FB4" w:rsidRDefault="00C46587" w:rsidP="00982118">
      <w:pPr>
        <w:rPr>
          <w:color w:val="000000"/>
        </w:rPr>
      </w:pPr>
    </w:p>
    <w:p w14:paraId="49C5BBF5" w14:textId="77777777" w:rsidR="00C46587" w:rsidRPr="004F5FB4" w:rsidRDefault="00C46587" w:rsidP="00982118">
      <w:pPr>
        <w:rPr>
          <w:color w:val="000000"/>
        </w:rPr>
      </w:pPr>
    </w:p>
    <w:p w14:paraId="41C87ECB"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9</w:t>
      </w:r>
      <w:r w:rsidRPr="004F5FB4">
        <w:rPr>
          <w:b/>
          <w:color w:val="000000"/>
        </w:rPr>
        <w:tab/>
        <w:t>BESONDERE VORSICHTSMASSNAHMEN FÜR DIE AUFBEWAHRUNG</w:t>
      </w:r>
    </w:p>
    <w:p w14:paraId="43B514F4" w14:textId="77777777" w:rsidR="00C46587" w:rsidRPr="004F5FB4" w:rsidRDefault="00C46587" w:rsidP="00982118">
      <w:pPr>
        <w:keepNext/>
        <w:rPr>
          <w:color w:val="000000"/>
        </w:rPr>
      </w:pPr>
    </w:p>
    <w:p w14:paraId="14F19B00" w14:textId="77777777" w:rsidR="00C46587" w:rsidRPr="004F5FB4" w:rsidRDefault="00C46587" w:rsidP="00982118">
      <w:pPr>
        <w:rPr>
          <w:color w:val="000000"/>
        </w:rPr>
      </w:pPr>
      <w:r w:rsidRPr="004F5FB4">
        <w:rPr>
          <w:color w:val="000000"/>
        </w:rPr>
        <w:t>Im Kühlschrank lagern. Nicht einfrieren.</w:t>
      </w:r>
    </w:p>
    <w:p w14:paraId="13D417FC" w14:textId="77777777" w:rsidR="00C46587" w:rsidRPr="004F5FB4" w:rsidRDefault="00C46587" w:rsidP="00982118">
      <w:pPr>
        <w:rPr>
          <w:color w:val="000000"/>
        </w:rPr>
      </w:pPr>
    </w:p>
    <w:p w14:paraId="4AA8CEE0" w14:textId="77777777" w:rsidR="00C46587" w:rsidRPr="004F5FB4" w:rsidRDefault="00C46587" w:rsidP="00982118">
      <w:pPr>
        <w:rPr>
          <w:color w:val="000000"/>
        </w:rPr>
      </w:pPr>
      <w:r w:rsidRPr="004F5FB4">
        <w:rPr>
          <w:color w:val="000000"/>
        </w:rPr>
        <w:t>Die Spritze im Umkarton aufbewahren, um den Inhalt vor Licht zu schützen.</w:t>
      </w:r>
    </w:p>
    <w:p w14:paraId="49154748" w14:textId="77777777" w:rsidR="00C46587" w:rsidRPr="004F5FB4" w:rsidRDefault="00C46587" w:rsidP="00982118">
      <w:pPr>
        <w:rPr>
          <w:color w:val="000000"/>
        </w:rPr>
      </w:pPr>
    </w:p>
    <w:p w14:paraId="505C822D" w14:textId="77777777" w:rsidR="00C46587" w:rsidRPr="004F5FB4" w:rsidRDefault="00C46587" w:rsidP="00982118">
      <w:pPr>
        <w:rPr>
          <w:color w:val="000000"/>
        </w:rPr>
      </w:pPr>
    </w:p>
    <w:p w14:paraId="07FADD34" w14:textId="77777777" w:rsidR="00C46587" w:rsidRPr="004F5FB4"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10</w:t>
      </w:r>
      <w:r w:rsidRPr="004F5FB4">
        <w:rPr>
          <w:b/>
          <w:color w:val="000000"/>
        </w:rPr>
        <w:tab/>
        <w:t>GEGEBENENFALLS BESONDERE VORSICHTSMASSNAHMEN FÜR DIE BESEITIGUNG VON NICHT VERWENDETEM ARZNEIMITTEL ODER DAVON STAMMENDEN ABFALLMATERIALIEN</w:t>
      </w:r>
    </w:p>
    <w:p w14:paraId="3E04DA19" w14:textId="77777777" w:rsidR="00C46587" w:rsidRPr="004F5FB4" w:rsidRDefault="00C46587" w:rsidP="00982118">
      <w:pPr>
        <w:rPr>
          <w:color w:val="000000"/>
        </w:rPr>
      </w:pPr>
    </w:p>
    <w:p w14:paraId="5B2FD27D" w14:textId="77777777" w:rsidR="00C46587" w:rsidRPr="004F5FB4" w:rsidRDefault="00C46587" w:rsidP="00982118">
      <w:pPr>
        <w:rPr>
          <w:color w:val="000000"/>
        </w:rPr>
      </w:pPr>
    </w:p>
    <w:p w14:paraId="54AAE458"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11</w:t>
      </w:r>
      <w:r w:rsidRPr="004F5FB4">
        <w:rPr>
          <w:b/>
          <w:color w:val="000000"/>
        </w:rPr>
        <w:tab/>
        <w:t>NAME UND ANSCHRIFT DES PHARMAZEUTISCHEN UNTERNEHMERS</w:t>
      </w:r>
    </w:p>
    <w:p w14:paraId="3B06E321" w14:textId="77777777" w:rsidR="00C46587" w:rsidRPr="004F5FB4" w:rsidRDefault="00C46587" w:rsidP="00982118">
      <w:pPr>
        <w:rPr>
          <w:color w:val="000000"/>
        </w:rPr>
      </w:pPr>
    </w:p>
    <w:p w14:paraId="124436B1" w14:textId="77777777" w:rsidR="00DD75F2" w:rsidRPr="00C325BF" w:rsidRDefault="00DD75F2" w:rsidP="00982118">
      <w:pPr>
        <w:keepNext/>
        <w:ind w:right="14"/>
        <w:rPr>
          <w:color w:val="000000"/>
          <w:lang w:val="fr-FR"/>
        </w:rPr>
      </w:pPr>
      <w:r w:rsidRPr="00C325BF">
        <w:rPr>
          <w:color w:val="000000"/>
          <w:lang w:val="fr-FR"/>
        </w:rPr>
        <w:t>Pfizer Europe MA EEIG</w:t>
      </w:r>
    </w:p>
    <w:p w14:paraId="5DF2E5A3" w14:textId="77777777" w:rsidR="0016344D" w:rsidRPr="00C325BF" w:rsidRDefault="0016344D" w:rsidP="00982118">
      <w:pPr>
        <w:pStyle w:val="BodyText"/>
        <w:widowControl/>
        <w:kinsoku w:val="0"/>
        <w:overflowPunct w:val="0"/>
        <w:ind w:left="0"/>
        <w:rPr>
          <w:color w:val="000000"/>
          <w:lang w:val="fr-FR"/>
        </w:rPr>
      </w:pPr>
      <w:r w:rsidRPr="00C325BF">
        <w:rPr>
          <w:color w:val="000000"/>
          <w:lang w:val="fr-FR"/>
        </w:rPr>
        <w:t>Boulevard de la Plaine 17</w:t>
      </w:r>
    </w:p>
    <w:p w14:paraId="4A60870A" w14:textId="77777777" w:rsidR="0016344D" w:rsidRPr="004F5FB4" w:rsidRDefault="0016344D" w:rsidP="00982118">
      <w:pPr>
        <w:pStyle w:val="BodyText"/>
        <w:widowControl/>
        <w:kinsoku w:val="0"/>
        <w:overflowPunct w:val="0"/>
        <w:ind w:left="0"/>
        <w:rPr>
          <w:color w:val="000000"/>
        </w:rPr>
      </w:pPr>
      <w:r w:rsidRPr="004F5FB4">
        <w:rPr>
          <w:color w:val="000000"/>
        </w:rPr>
        <w:t>1050 Br</w:t>
      </w:r>
      <w:r w:rsidR="006A5811" w:rsidRPr="004F5FB4">
        <w:rPr>
          <w:color w:val="000000"/>
        </w:rPr>
        <w:t>üssel</w:t>
      </w:r>
    </w:p>
    <w:p w14:paraId="742968E4" w14:textId="77777777" w:rsidR="0016344D" w:rsidRPr="004F5FB4" w:rsidRDefault="0016344D" w:rsidP="00982118">
      <w:pPr>
        <w:pStyle w:val="BodyText"/>
        <w:widowControl/>
        <w:kinsoku w:val="0"/>
        <w:overflowPunct w:val="0"/>
        <w:ind w:left="0"/>
        <w:rPr>
          <w:color w:val="000000"/>
        </w:rPr>
      </w:pPr>
      <w:r w:rsidRPr="004F5FB4">
        <w:rPr>
          <w:color w:val="000000"/>
        </w:rPr>
        <w:t>Belgien</w:t>
      </w:r>
    </w:p>
    <w:p w14:paraId="73A9DFFF" w14:textId="77777777" w:rsidR="00C46587" w:rsidRPr="004F5FB4" w:rsidRDefault="00C46587" w:rsidP="00982118">
      <w:pPr>
        <w:rPr>
          <w:color w:val="000000"/>
        </w:rPr>
      </w:pPr>
    </w:p>
    <w:p w14:paraId="57032C80" w14:textId="77777777" w:rsidR="00C46587" w:rsidRPr="004F5FB4" w:rsidRDefault="00C46587" w:rsidP="00982118">
      <w:pPr>
        <w:rPr>
          <w:color w:val="000000"/>
        </w:rPr>
      </w:pPr>
    </w:p>
    <w:p w14:paraId="2FCF15E0"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12</w:t>
      </w:r>
      <w:r w:rsidRPr="004F5FB4">
        <w:rPr>
          <w:b/>
          <w:color w:val="000000"/>
        </w:rPr>
        <w:tab/>
        <w:t>ZULASSUNGSNUMMER</w:t>
      </w:r>
    </w:p>
    <w:p w14:paraId="3686F104" w14:textId="77777777" w:rsidR="00C46587" w:rsidRPr="004F5FB4" w:rsidRDefault="00C46587" w:rsidP="00982118">
      <w:pPr>
        <w:keepNext/>
        <w:rPr>
          <w:color w:val="000000"/>
        </w:rPr>
      </w:pPr>
    </w:p>
    <w:p w14:paraId="71D8FA98" w14:textId="77777777" w:rsidR="003971C5" w:rsidRPr="004F5FB4" w:rsidRDefault="003971C5" w:rsidP="003971C5">
      <w:pPr>
        <w:keepNext/>
        <w:rPr>
          <w:color w:val="000000"/>
        </w:rPr>
      </w:pPr>
      <w:r w:rsidRPr="004F5FB4">
        <w:rPr>
          <w:color w:val="000000"/>
        </w:rPr>
        <w:t>EU/1/19/1415/003</w:t>
      </w:r>
    </w:p>
    <w:p w14:paraId="2C1298C0" w14:textId="77777777" w:rsidR="003971C5" w:rsidRPr="004F5FB4" w:rsidRDefault="003971C5" w:rsidP="003971C5">
      <w:pPr>
        <w:keepNext/>
        <w:rPr>
          <w:color w:val="000000"/>
        </w:rPr>
      </w:pPr>
      <w:r w:rsidRPr="004F5FB4">
        <w:rPr>
          <w:color w:val="000000"/>
        </w:rPr>
        <w:t>EU/1/19/1415/004</w:t>
      </w:r>
    </w:p>
    <w:p w14:paraId="607AB738" w14:textId="77777777" w:rsidR="003971C5" w:rsidRPr="004F5FB4" w:rsidRDefault="003971C5" w:rsidP="003971C5">
      <w:pPr>
        <w:keepNext/>
        <w:rPr>
          <w:color w:val="000000"/>
        </w:rPr>
      </w:pPr>
      <w:r w:rsidRPr="004F5FB4">
        <w:rPr>
          <w:color w:val="000000"/>
        </w:rPr>
        <w:t>EU/1/19/1415/005</w:t>
      </w:r>
    </w:p>
    <w:p w14:paraId="5ED3C565" w14:textId="77777777" w:rsidR="00C46587" w:rsidRPr="004F5FB4" w:rsidRDefault="003971C5" w:rsidP="00982118">
      <w:pPr>
        <w:rPr>
          <w:color w:val="000000"/>
        </w:rPr>
      </w:pPr>
      <w:r w:rsidRPr="00986ED0">
        <w:rPr>
          <w:color w:val="000000"/>
        </w:rPr>
        <w:t>EU/1/19/1415/006</w:t>
      </w:r>
    </w:p>
    <w:p w14:paraId="7D489CAA" w14:textId="77777777" w:rsidR="002803DB" w:rsidRDefault="002803DB" w:rsidP="00982118">
      <w:pPr>
        <w:rPr>
          <w:color w:val="000000"/>
        </w:rPr>
      </w:pPr>
    </w:p>
    <w:p w14:paraId="65AF11F4" w14:textId="77777777" w:rsidR="00A65FE9" w:rsidRPr="004F5FB4" w:rsidRDefault="00A65FE9" w:rsidP="00982118">
      <w:pPr>
        <w:rPr>
          <w:color w:val="000000"/>
        </w:rPr>
      </w:pPr>
    </w:p>
    <w:p w14:paraId="0850A293"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13</w:t>
      </w:r>
      <w:r w:rsidRPr="004F5FB4">
        <w:rPr>
          <w:b/>
          <w:color w:val="000000"/>
        </w:rPr>
        <w:tab/>
        <w:t>CHARGENBEZEICHNUNG</w:t>
      </w:r>
    </w:p>
    <w:p w14:paraId="18798838" w14:textId="77777777" w:rsidR="00C46587" w:rsidRPr="004F5FB4" w:rsidRDefault="00C46587" w:rsidP="00982118">
      <w:pPr>
        <w:rPr>
          <w:color w:val="000000"/>
        </w:rPr>
      </w:pPr>
    </w:p>
    <w:p w14:paraId="096B8345" w14:textId="77777777" w:rsidR="00C46587" w:rsidRPr="004F5FB4" w:rsidRDefault="00C46587" w:rsidP="00982118">
      <w:pPr>
        <w:rPr>
          <w:color w:val="000000"/>
        </w:rPr>
      </w:pPr>
      <w:r w:rsidRPr="004F5FB4">
        <w:rPr>
          <w:color w:val="000000"/>
        </w:rPr>
        <w:t>Ch.-B.</w:t>
      </w:r>
    </w:p>
    <w:p w14:paraId="7C97A702" w14:textId="77777777" w:rsidR="00C46587" w:rsidRPr="004F5FB4" w:rsidRDefault="00C46587" w:rsidP="00982118">
      <w:pPr>
        <w:rPr>
          <w:color w:val="000000"/>
        </w:rPr>
      </w:pPr>
    </w:p>
    <w:p w14:paraId="60EEF9BA" w14:textId="77777777" w:rsidR="00C46587" w:rsidRPr="004F5FB4" w:rsidRDefault="00C46587" w:rsidP="00982118">
      <w:pPr>
        <w:rPr>
          <w:color w:val="000000"/>
        </w:rPr>
      </w:pPr>
    </w:p>
    <w:p w14:paraId="4AEF341B"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14</w:t>
      </w:r>
      <w:r w:rsidRPr="004F5FB4">
        <w:rPr>
          <w:b/>
          <w:color w:val="000000"/>
        </w:rPr>
        <w:tab/>
        <w:t>VERKAUFSABGRENZUNG</w:t>
      </w:r>
    </w:p>
    <w:p w14:paraId="55AEB9FD" w14:textId="77777777" w:rsidR="00C46587" w:rsidRPr="004F5FB4" w:rsidRDefault="00C46587" w:rsidP="00982118">
      <w:pPr>
        <w:rPr>
          <w:color w:val="000000"/>
        </w:rPr>
      </w:pPr>
    </w:p>
    <w:p w14:paraId="2B21F202" w14:textId="77777777" w:rsidR="00C46587" w:rsidRPr="004F5FB4" w:rsidRDefault="00C46587" w:rsidP="00982118">
      <w:pPr>
        <w:rPr>
          <w:color w:val="000000"/>
        </w:rPr>
      </w:pPr>
    </w:p>
    <w:p w14:paraId="504DFB0F"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15</w:t>
      </w:r>
      <w:r w:rsidRPr="004F5FB4">
        <w:rPr>
          <w:b/>
          <w:color w:val="000000"/>
        </w:rPr>
        <w:tab/>
        <w:t>HINWEISE FÜR DEN GEBRAUCH</w:t>
      </w:r>
    </w:p>
    <w:p w14:paraId="5AA56176" w14:textId="77777777" w:rsidR="00C46587" w:rsidRPr="004F5FB4" w:rsidRDefault="00C46587" w:rsidP="00982118">
      <w:pPr>
        <w:rPr>
          <w:color w:val="000000"/>
        </w:rPr>
      </w:pPr>
    </w:p>
    <w:p w14:paraId="1598E51B" w14:textId="77777777" w:rsidR="00C46587" w:rsidRPr="004F5FB4" w:rsidRDefault="00C46587" w:rsidP="00982118">
      <w:pPr>
        <w:rPr>
          <w:color w:val="000000"/>
        </w:rPr>
      </w:pPr>
    </w:p>
    <w:p w14:paraId="2599EC3D"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16</w:t>
      </w:r>
      <w:r w:rsidRPr="004F5FB4">
        <w:rPr>
          <w:b/>
          <w:color w:val="000000"/>
        </w:rPr>
        <w:tab/>
        <w:t>ANGABEN IN BLINDENSCHRIFT</w:t>
      </w:r>
    </w:p>
    <w:p w14:paraId="1D08B92D" w14:textId="77777777" w:rsidR="00C46587" w:rsidRPr="004F5FB4" w:rsidRDefault="00C46587" w:rsidP="00982118">
      <w:pPr>
        <w:rPr>
          <w:color w:val="000000"/>
        </w:rPr>
      </w:pPr>
    </w:p>
    <w:p w14:paraId="72B4C517" w14:textId="77777777" w:rsidR="00C46587" w:rsidRPr="004F5FB4" w:rsidRDefault="006A1144" w:rsidP="00982118">
      <w:pPr>
        <w:rPr>
          <w:color w:val="000000"/>
        </w:rPr>
      </w:pPr>
      <w:r w:rsidRPr="004F5FB4">
        <w:rPr>
          <w:color w:val="000000"/>
        </w:rPr>
        <w:t>Amsparity 40 mg</w:t>
      </w:r>
    </w:p>
    <w:p w14:paraId="1BFA0A14" w14:textId="77777777" w:rsidR="00C46587" w:rsidRPr="004F5FB4" w:rsidRDefault="00C46587" w:rsidP="00982118">
      <w:pPr>
        <w:rPr>
          <w:color w:val="000000"/>
        </w:rPr>
      </w:pPr>
    </w:p>
    <w:p w14:paraId="62616B85" w14:textId="77777777" w:rsidR="00C46587" w:rsidRPr="004F5FB4" w:rsidRDefault="00C46587" w:rsidP="00771BD7">
      <w:pPr>
        <w:rPr>
          <w:color w:val="000000"/>
        </w:rPr>
      </w:pPr>
    </w:p>
    <w:p w14:paraId="4E66A761" w14:textId="77777777" w:rsidR="00C46587" w:rsidRPr="004F5FB4" w:rsidRDefault="00C46587" w:rsidP="00A65FE9">
      <w:pPr>
        <w:keepNext/>
        <w:keepLines/>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17</w:t>
      </w:r>
      <w:r w:rsidRPr="004F5FB4">
        <w:rPr>
          <w:b/>
          <w:color w:val="000000"/>
        </w:rPr>
        <w:tab/>
        <w:t>INDIVIDUELLES ERKENNUNGSMERKMAL – 2D-BARCODE</w:t>
      </w:r>
    </w:p>
    <w:p w14:paraId="53301AD0" w14:textId="77777777" w:rsidR="00C46587" w:rsidRPr="004F5FB4" w:rsidRDefault="00C46587" w:rsidP="00A65FE9">
      <w:pPr>
        <w:keepNext/>
        <w:keepLines/>
        <w:rPr>
          <w:color w:val="000000"/>
        </w:rPr>
      </w:pPr>
    </w:p>
    <w:p w14:paraId="778190F3" w14:textId="77777777" w:rsidR="00C46587" w:rsidRPr="004F5FB4" w:rsidRDefault="00C46587" w:rsidP="00771BD7">
      <w:pPr>
        <w:rPr>
          <w:color w:val="000000"/>
        </w:rPr>
      </w:pPr>
      <w:r w:rsidRPr="004F5FB4">
        <w:rPr>
          <w:color w:val="000000"/>
          <w:highlight w:val="lightGray"/>
        </w:rPr>
        <w:t>2D-Barcode mit individuellem Erkennungsmerkmal.</w:t>
      </w:r>
    </w:p>
    <w:p w14:paraId="40A2AFFD" w14:textId="77777777" w:rsidR="00C46587" w:rsidRPr="004F5FB4" w:rsidRDefault="00C46587" w:rsidP="00771BD7">
      <w:pPr>
        <w:rPr>
          <w:color w:val="000000"/>
        </w:rPr>
      </w:pPr>
    </w:p>
    <w:p w14:paraId="3C466489" w14:textId="77777777" w:rsidR="00C46587" w:rsidRPr="004F5FB4" w:rsidRDefault="00C46587" w:rsidP="00982118">
      <w:pPr>
        <w:rPr>
          <w:color w:val="000000"/>
        </w:rPr>
      </w:pPr>
    </w:p>
    <w:p w14:paraId="738BBDA0" w14:textId="77777777" w:rsidR="00C46587" w:rsidRPr="004F5FB4" w:rsidRDefault="00C46587" w:rsidP="00F17530">
      <w:pPr>
        <w:pBdr>
          <w:top w:val="single" w:sz="4" w:space="1" w:color="auto"/>
          <w:left w:val="single" w:sz="4" w:space="4" w:color="auto"/>
          <w:bottom w:val="single" w:sz="4" w:space="1" w:color="auto"/>
          <w:right w:val="single" w:sz="4" w:space="4" w:color="auto"/>
        </w:pBdr>
        <w:ind w:left="567" w:hanging="567"/>
        <w:rPr>
          <w:b/>
          <w:color w:val="000000"/>
        </w:rPr>
      </w:pPr>
      <w:r w:rsidRPr="004F5FB4">
        <w:rPr>
          <w:b/>
          <w:color w:val="000000"/>
        </w:rPr>
        <w:t>18</w:t>
      </w:r>
      <w:r w:rsidRPr="004F5FB4">
        <w:rPr>
          <w:b/>
          <w:color w:val="000000"/>
        </w:rPr>
        <w:tab/>
        <w:t>INDIVIDUELLES ERKENNUNGSMERKMAL – VOM MENSCHEN LESBARES FORMAT</w:t>
      </w:r>
    </w:p>
    <w:p w14:paraId="52F68581" w14:textId="77777777" w:rsidR="00C46587" w:rsidRPr="004F5FB4" w:rsidRDefault="00C46587" w:rsidP="00982118">
      <w:pPr>
        <w:rPr>
          <w:color w:val="000000"/>
        </w:rPr>
      </w:pPr>
    </w:p>
    <w:p w14:paraId="566C92BC" w14:textId="77777777" w:rsidR="00C46587" w:rsidRPr="004F5FB4" w:rsidRDefault="00C46587" w:rsidP="00982118">
      <w:pPr>
        <w:rPr>
          <w:color w:val="000000"/>
          <w:highlight w:val="lightGray"/>
        </w:rPr>
      </w:pPr>
      <w:r w:rsidRPr="004F5FB4">
        <w:rPr>
          <w:color w:val="000000"/>
        </w:rPr>
        <w:t>PC</w:t>
      </w:r>
    </w:p>
    <w:p w14:paraId="1E460D37" w14:textId="77777777" w:rsidR="00C46587" w:rsidRPr="004F5FB4" w:rsidRDefault="00C46587" w:rsidP="00982118">
      <w:pPr>
        <w:rPr>
          <w:color w:val="000000"/>
          <w:highlight w:val="lightGray"/>
        </w:rPr>
      </w:pPr>
      <w:r w:rsidRPr="004F5FB4">
        <w:rPr>
          <w:color w:val="000000"/>
        </w:rPr>
        <w:t>SN</w:t>
      </w:r>
    </w:p>
    <w:p w14:paraId="0075C56F" w14:textId="77777777" w:rsidR="00C46587" w:rsidRPr="004F5FB4" w:rsidRDefault="00C46587" w:rsidP="00982118">
      <w:pPr>
        <w:rPr>
          <w:color w:val="000000"/>
        </w:rPr>
      </w:pPr>
      <w:r w:rsidRPr="004F5FB4">
        <w:rPr>
          <w:color w:val="000000"/>
        </w:rPr>
        <w:t>NN</w:t>
      </w:r>
    </w:p>
    <w:p w14:paraId="4123ED9E" w14:textId="77777777" w:rsidR="00B23549" w:rsidRPr="004F5FB4" w:rsidRDefault="00C46587" w:rsidP="00982118">
      <w:pPr>
        <w:rPr>
          <w:color w:val="000000"/>
        </w:rPr>
      </w:pPr>
      <w:r w:rsidRPr="004F5FB4">
        <w:rPr>
          <w:color w:val="000000"/>
        </w:rPr>
        <w:br w:type="page"/>
      </w:r>
    </w:p>
    <w:p w14:paraId="1A5FAC61" w14:textId="77777777" w:rsidR="00B23549" w:rsidRPr="004F5FB4" w:rsidRDefault="00B23549" w:rsidP="00982118">
      <w:pPr>
        <w:pBdr>
          <w:top w:val="single" w:sz="4" w:space="1" w:color="auto"/>
          <w:left w:val="single" w:sz="4" w:space="4" w:color="auto"/>
          <w:bottom w:val="single" w:sz="4" w:space="1" w:color="auto"/>
          <w:right w:val="single" w:sz="4" w:space="4" w:color="auto"/>
        </w:pBdr>
        <w:rPr>
          <w:color w:val="000000"/>
        </w:rPr>
      </w:pPr>
      <w:r w:rsidRPr="004F5FB4">
        <w:rPr>
          <w:b/>
          <w:color w:val="000000"/>
        </w:rPr>
        <w:lastRenderedPageBreak/>
        <w:t>MINDESTANGABEN AUF BLISTERPACKUNGEN ODER FOLIENSTREIFEN</w:t>
      </w:r>
    </w:p>
    <w:p w14:paraId="6364CC58" w14:textId="77777777" w:rsidR="00B23549" w:rsidRPr="004F5FB4" w:rsidRDefault="00B23549" w:rsidP="00982118">
      <w:pPr>
        <w:pBdr>
          <w:top w:val="single" w:sz="4" w:space="1" w:color="auto"/>
          <w:left w:val="single" w:sz="4" w:space="4" w:color="auto"/>
          <w:bottom w:val="single" w:sz="4" w:space="1" w:color="auto"/>
          <w:right w:val="single" w:sz="4" w:space="4" w:color="auto"/>
        </w:pBdr>
        <w:rPr>
          <w:b/>
          <w:color w:val="000000"/>
        </w:rPr>
      </w:pPr>
    </w:p>
    <w:p w14:paraId="2D003445" w14:textId="77777777" w:rsidR="00B23549" w:rsidRPr="004F5FB4" w:rsidRDefault="00B23549" w:rsidP="00982118">
      <w:pPr>
        <w:pBdr>
          <w:top w:val="single" w:sz="4" w:space="1" w:color="auto"/>
          <w:left w:val="single" w:sz="4" w:space="4" w:color="auto"/>
          <w:bottom w:val="single" w:sz="4" w:space="1" w:color="auto"/>
          <w:right w:val="single" w:sz="4" w:space="4" w:color="auto"/>
        </w:pBdr>
        <w:rPr>
          <w:b/>
          <w:color w:val="000000"/>
        </w:rPr>
      </w:pPr>
      <w:r w:rsidRPr="004F5FB4">
        <w:rPr>
          <w:b/>
          <w:bCs/>
          <w:color w:val="000000"/>
        </w:rPr>
        <w:t>VERSCHLUSSFOLIE BLISTERPACKUNG</w:t>
      </w:r>
      <w:r w:rsidR="007E0DC1" w:rsidRPr="004F5FB4">
        <w:rPr>
          <w:b/>
          <w:bCs/>
          <w:color w:val="000000"/>
        </w:rPr>
        <w:t xml:space="preserve"> (FERTIGSPRITZE 40 mg/0,8 ml)</w:t>
      </w:r>
    </w:p>
    <w:p w14:paraId="7BE20EE8" w14:textId="77777777" w:rsidR="00B23549" w:rsidRPr="004F5FB4" w:rsidRDefault="00B23549" w:rsidP="00982118">
      <w:pPr>
        <w:rPr>
          <w:color w:val="000000"/>
        </w:rPr>
      </w:pPr>
    </w:p>
    <w:p w14:paraId="2A62E44D" w14:textId="77777777" w:rsidR="00B23549" w:rsidRPr="004F5FB4" w:rsidRDefault="00B23549" w:rsidP="00982118">
      <w:pPr>
        <w:rPr>
          <w:color w:val="000000"/>
        </w:rPr>
      </w:pPr>
    </w:p>
    <w:p w14:paraId="2EDD27EE" w14:textId="77777777" w:rsidR="00DF5384" w:rsidRPr="004F5FB4"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w:t>
      </w:r>
    </w:p>
    <w:p w14:paraId="755193A6" w14:textId="77777777" w:rsidR="00C46587" w:rsidRPr="004F5FB4" w:rsidRDefault="00C46587" w:rsidP="00982118">
      <w:pPr>
        <w:rPr>
          <w:color w:val="000000"/>
        </w:rPr>
      </w:pPr>
    </w:p>
    <w:p w14:paraId="559A3E5D" w14:textId="77777777" w:rsidR="00C46587" w:rsidRPr="004F5FB4" w:rsidRDefault="006A1144" w:rsidP="00982118">
      <w:pPr>
        <w:rPr>
          <w:color w:val="000000"/>
        </w:rPr>
      </w:pPr>
      <w:r w:rsidRPr="004F5FB4">
        <w:rPr>
          <w:color w:val="000000"/>
        </w:rPr>
        <w:t>Amsparity 40 mg Injektionslösung in einer Fertigspritze</w:t>
      </w:r>
    </w:p>
    <w:p w14:paraId="195767C1" w14:textId="77777777" w:rsidR="00C46587" w:rsidRPr="004F5FB4" w:rsidRDefault="00C46587" w:rsidP="00982118">
      <w:pPr>
        <w:rPr>
          <w:color w:val="000000"/>
        </w:rPr>
      </w:pPr>
      <w:r w:rsidRPr="004F5FB4">
        <w:rPr>
          <w:color w:val="000000"/>
        </w:rPr>
        <w:t>Adalimumab</w:t>
      </w:r>
    </w:p>
    <w:p w14:paraId="49341527" w14:textId="77777777" w:rsidR="00C46587" w:rsidRPr="004F5FB4" w:rsidRDefault="00C46587" w:rsidP="00982118">
      <w:pPr>
        <w:rPr>
          <w:color w:val="000000"/>
        </w:rPr>
      </w:pPr>
    </w:p>
    <w:p w14:paraId="6E1C624A" w14:textId="77777777" w:rsidR="00DF5384" w:rsidRPr="004F5FB4" w:rsidRDefault="00DF5384" w:rsidP="00982118">
      <w:pPr>
        <w:rPr>
          <w:color w:val="000000"/>
        </w:rPr>
      </w:pPr>
    </w:p>
    <w:p w14:paraId="51F3AB04" w14:textId="77777777" w:rsidR="00DF5384" w:rsidRPr="004F5FB4"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NAME DES PHARMAZEUTISCHEN UNTERNEHMERS</w:t>
      </w:r>
    </w:p>
    <w:p w14:paraId="0BF4954B" w14:textId="77777777" w:rsidR="00DF5384" w:rsidRPr="004F5FB4" w:rsidRDefault="00DF5384" w:rsidP="00982118">
      <w:pPr>
        <w:rPr>
          <w:color w:val="000000"/>
        </w:rPr>
      </w:pPr>
    </w:p>
    <w:p w14:paraId="411013BF" w14:textId="77777777" w:rsidR="00C46587" w:rsidRPr="004F5FB4" w:rsidRDefault="00DD75F2" w:rsidP="00982118">
      <w:pPr>
        <w:rPr>
          <w:color w:val="000000"/>
        </w:rPr>
      </w:pPr>
      <w:r w:rsidRPr="004F5FB4">
        <w:rPr>
          <w:color w:val="000000"/>
        </w:rPr>
        <w:t>Pfizer Europe MA EEIG</w:t>
      </w:r>
    </w:p>
    <w:p w14:paraId="20D25464" w14:textId="77777777" w:rsidR="00DD75F2" w:rsidRPr="004F5FB4" w:rsidRDefault="00DD75F2" w:rsidP="00982118">
      <w:pPr>
        <w:rPr>
          <w:color w:val="000000"/>
        </w:rPr>
      </w:pPr>
    </w:p>
    <w:p w14:paraId="3FFC372D" w14:textId="77777777" w:rsidR="00DF5384" w:rsidRPr="004F5FB4" w:rsidRDefault="00DF5384" w:rsidP="00982118">
      <w:pPr>
        <w:rPr>
          <w:color w:val="000000"/>
        </w:rPr>
      </w:pPr>
    </w:p>
    <w:p w14:paraId="49DD91B0" w14:textId="77777777" w:rsidR="00DF5384" w:rsidRPr="004F5FB4"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VERFALLDATUM</w:t>
      </w:r>
    </w:p>
    <w:p w14:paraId="542AECB2" w14:textId="77777777" w:rsidR="00DF5384" w:rsidRPr="004F5FB4" w:rsidRDefault="00DF5384" w:rsidP="00982118">
      <w:pPr>
        <w:rPr>
          <w:color w:val="000000"/>
        </w:rPr>
      </w:pPr>
    </w:p>
    <w:p w14:paraId="0DC747C0" w14:textId="77777777" w:rsidR="00C46587" w:rsidRPr="004F5FB4" w:rsidRDefault="00C46587" w:rsidP="00982118">
      <w:pPr>
        <w:rPr>
          <w:color w:val="000000"/>
        </w:rPr>
      </w:pPr>
      <w:r w:rsidRPr="004F5FB4">
        <w:rPr>
          <w:color w:val="000000"/>
        </w:rPr>
        <w:t>Verwendbar bis</w:t>
      </w:r>
    </w:p>
    <w:p w14:paraId="3118577C" w14:textId="77777777" w:rsidR="00C46587" w:rsidRPr="004F5FB4" w:rsidRDefault="00C46587" w:rsidP="00982118">
      <w:pPr>
        <w:rPr>
          <w:color w:val="000000"/>
        </w:rPr>
      </w:pPr>
    </w:p>
    <w:p w14:paraId="0DE0F582" w14:textId="77777777" w:rsidR="00C46587" w:rsidRPr="004F5FB4" w:rsidRDefault="00C46587" w:rsidP="00982118">
      <w:pPr>
        <w:rPr>
          <w:color w:val="000000"/>
        </w:rPr>
      </w:pPr>
    </w:p>
    <w:p w14:paraId="0A373E51" w14:textId="77777777" w:rsidR="00DF5384" w:rsidRPr="004F5FB4"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CHARGENBEZEICHNUNG</w:t>
      </w:r>
    </w:p>
    <w:p w14:paraId="045E64D9" w14:textId="77777777" w:rsidR="00DF5384" w:rsidRPr="004F5FB4" w:rsidRDefault="00DF5384" w:rsidP="00982118">
      <w:pPr>
        <w:rPr>
          <w:color w:val="000000"/>
        </w:rPr>
      </w:pPr>
    </w:p>
    <w:p w14:paraId="344F8DE2" w14:textId="77777777" w:rsidR="00C46587" w:rsidRPr="004F5FB4" w:rsidRDefault="00C46587" w:rsidP="00982118">
      <w:pPr>
        <w:rPr>
          <w:color w:val="000000"/>
        </w:rPr>
      </w:pPr>
      <w:r w:rsidRPr="004F5FB4">
        <w:rPr>
          <w:color w:val="000000"/>
        </w:rPr>
        <w:t>Ch.-B.</w:t>
      </w:r>
    </w:p>
    <w:p w14:paraId="6B02E1A7" w14:textId="77777777" w:rsidR="00C46587" w:rsidRPr="004F5FB4" w:rsidRDefault="00C46587" w:rsidP="00982118">
      <w:pPr>
        <w:rPr>
          <w:color w:val="000000"/>
        </w:rPr>
      </w:pPr>
    </w:p>
    <w:p w14:paraId="6897B99A" w14:textId="77777777" w:rsidR="00DF5384" w:rsidRPr="004F5FB4" w:rsidRDefault="00DF5384" w:rsidP="00982118">
      <w:pPr>
        <w:rPr>
          <w:color w:val="000000"/>
        </w:rPr>
      </w:pPr>
    </w:p>
    <w:p w14:paraId="1FB8458E" w14:textId="77777777" w:rsidR="00DF5384" w:rsidRPr="004F5FB4" w:rsidRDefault="00DF5384" w:rsidP="00982118">
      <w:pPr>
        <w:pBdr>
          <w:top w:val="single" w:sz="4" w:space="1" w:color="auto"/>
          <w:left w:val="single" w:sz="4" w:space="4" w:color="auto"/>
          <w:bottom w:val="single" w:sz="4" w:space="1" w:color="auto"/>
          <w:right w:val="single" w:sz="4" w:space="4" w:color="auto"/>
        </w:pBdr>
        <w:tabs>
          <w:tab w:val="left" w:pos="562"/>
        </w:tabs>
        <w:rPr>
          <w:color w:val="000000"/>
        </w:rPr>
      </w:pPr>
      <w:r w:rsidRPr="004F5FB4">
        <w:rPr>
          <w:b/>
          <w:color w:val="000000"/>
        </w:rPr>
        <w:t>5</w:t>
      </w:r>
      <w:r w:rsidRPr="004F5FB4">
        <w:rPr>
          <w:b/>
          <w:color w:val="000000"/>
        </w:rPr>
        <w:tab/>
        <w:t>WEITERE ANGABEN</w:t>
      </w:r>
    </w:p>
    <w:p w14:paraId="7B510EAE" w14:textId="77777777" w:rsidR="00DF5384" w:rsidRPr="004F5FB4" w:rsidRDefault="00DF5384" w:rsidP="00982118">
      <w:pPr>
        <w:rPr>
          <w:color w:val="000000"/>
        </w:rPr>
      </w:pPr>
    </w:p>
    <w:p w14:paraId="6FAD2EF5" w14:textId="77777777" w:rsidR="00C46587" w:rsidRPr="004F5FB4" w:rsidRDefault="00C46587" w:rsidP="00982118">
      <w:pPr>
        <w:rPr>
          <w:color w:val="000000"/>
        </w:rPr>
      </w:pPr>
      <w:r w:rsidRPr="004F5FB4">
        <w:rPr>
          <w:color w:val="000000"/>
        </w:rPr>
        <w:t>Zu Lagerungshinweisen siehe Packungsbeilage.</w:t>
      </w:r>
    </w:p>
    <w:p w14:paraId="61EF4FAF" w14:textId="77777777" w:rsidR="00C46587" w:rsidRPr="004F5FB4" w:rsidRDefault="00C46587" w:rsidP="00982118">
      <w:pPr>
        <w:rPr>
          <w:color w:val="000000"/>
        </w:rPr>
      </w:pPr>
    </w:p>
    <w:p w14:paraId="34D0CEF5" w14:textId="77777777" w:rsidR="00DF5384" w:rsidRPr="004F5FB4" w:rsidRDefault="00C46587" w:rsidP="00982118">
      <w:pPr>
        <w:rPr>
          <w:color w:val="000000"/>
        </w:rPr>
      </w:pPr>
      <w:r w:rsidRPr="004F5FB4">
        <w:rPr>
          <w:color w:val="000000"/>
        </w:rPr>
        <w:t>Nur zur einmaligen Anwendung</w:t>
      </w:r>
    </w:p>
    <w:p w14:paraId="49A05370" w14:textId="77777777" w:rsidR="00C46587" w:rsidRPr="004F5FB4" w:rsidRDefault="00C46587" w:rsidP="00982118">
      <w:pPr>
        <w:rPr>
          <w:color w:val="000000"/>
        </w:rPr>
      </w:pPr>
      <w:r w:rsidRPr="004F5FB4">
        <w:rPr>
          <w:color w:val="000000"/>
        </w:rPr>
        <w:br w:type="page"/>
      </w:r>
    </w:p>
    <w:p w14:paraId="26ADBFA3"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MINDESTANGABEN AUF KLEINEN BEHÄLTNISSEN</w:t>
      </w:r>
    </w:p>
    <w:p w14:paraId="729DA2C8"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p>
    <w:p w14:paraId="247AD94E"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SPRITZENETIKETT</w:t>
      </w:r>
      <w:r w:rsidR="007E0DC1" w:rsidRPr="004F5FB4">
        <w:rPr>
          <w:b/>
          <w:color w:val="000000"/>
        </w:rPr>
        <w:t xml:space="preserve"> </w:t>
      </w:r>
      <w:r w:rsidR="007E0DC1" w:rsidRPr="004F5FB4">
        <w:rPr>
          <w:b/>
          <w:bCs/>
          <w:color w:val="000000"/>
        </w:rPr>
        <w:t>(FERTIGSPRITZE 40 mg/0,8 ml)</w:t>
      </w:r>
    </w:p>
    <w:p w14:paraId="17EF488D" w14:textId="77777777" w:rsidR="00C46587" w:rsidRPr="004F5FB4" w:rsidRDefault="00C46587" w:rsidP="00982118">
      <w:pPr>
        <w:rPr>
          <w:color w:val="000000"/>
        </w:rPr>
      </w:pPr>
    </w:p>
    <w:p w14:paraId="51BEFA13" w14:textId="77777777" w:rsidR="00C46587" w:rsidRPr="004F5FB4" w:rsidRDefault="00C46587" w:rsidP="00982118">
      <w:pPr>
        <w:rPr>
          <w:color w:val="000000"/>
        </w:rPr>
      </w:pPr>
    </w:p>
    <w:p w14:paraId="268C953A"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 SOWIE ART DER ANWENDUNG</w:t>
      </w:r>
    </w:p>
    <w:p w14:paraId="7A45A23E" w14:textId="77777777" w:rsidR="00C46587" w:rsidRPr="004F5FB4" w:rsidRDefault="00C46587" w:rsidP="00982118">
      <w:pPr>
        <w:rPr>
          <w:color w:val="000000"/>
        </w:rPr>
      </w:pPr>
    </w:p>
    <w:p w14:paraId="5C6E0BFF" w14:textId="77777777" w:rsidR="00C46587" w:rsidRPr="00E26A2B" w:rsidRDefault="006A1144" w:rsidP="00982118">
      <w:pPr>
        <w:rPr>
          <w:color w:val="000000"/>
        </w:rPr>
      </w:pPr>
      <w:r w:rsidRPr="00E26A2B">
        <w:rPr>
          <w:color w:val="000000"/>
        </w:rPr>
        <w:t>Amsparity 40 mg Injektion</w:t>
      </w:r>
    </w:p>
    <w:p w14:paraId="04CF3000" w14:textId="77777777" w:rsidR="00C46587" w:rsidRPr="00E26A2B" w:rsidRDefault="00C46587" w:rsidP="00982118">
      <w:pPr>
        <w:rPr>
          <w:color w:val="000000"/>
        </w:rPr>
      </w:pPr>
      <w:r w:rsidRPr="00E26A2B">
        <w:rPr>
          <w:color w:val="000000"/>
        </w:rPr>
        <w:t>Adalimumab</w:t>
      </w:r>
    </w:p>
    <w:p w14:paraId="1B7114DE" w14:textId="77777777" w:rsidR="00C46587" w:rsidRPr="00E26A2B" w:rsidRDefault="00211CB9" w:rsidP="00982118">
      <w:pPr>
        <w:rPr>
          <w:color w:val="000000"/>
        </w:rPr>
      </w:pPr>
      <w:r w:rsidRPr="00E26A2B">
        <w:rPr>
          <w:color w:val="000000"/>
        </w:rPr>
        <w:t>s.c.</w:t>
      </w:r>
    </w:p>
    <w:p w14:paraId="5C3A4A36" w14:textId="77777777" w:rsidR="00211CB9" w:rsidRPr="00E26A2B" w:rsidRDefault="00211CB9" w:rsidP="00982118">
      <w:pPr>
        <w:rPr>
          <w:color w:val="000000"/>
        </w:rPr>
      </w:pPr>
    </w:p>
    <w:p w14:paraId="433DD0FC" w14:textId="77777777" w:rsidR="00C46587" w:rsidRPr="00E26A2B" w:rsidRDefault="00C46587" w:rsidP="00982118">
      <w:pPr>
        <w:rPr>
          <w:color w:val="000000"/>
        </w:rPr>
      </w:pPr>
    </w:p>
    <w:p w14:paraId="35872572"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HINWEISE ZUR ANWENDUNG</w:t>
      </w:r>
    </w:p>
    <w:p w14:paraId="1CB44E59" w14:textId="77777777" w:rsidR="00C46587" w:rsidRPr="004F5FB4" w:rsidRDefault="00C46587" w:rsidP="00982118">
      <w:pPr>
        <w:rPr>
          <w:color w:val="000000"/>
        </w:rPr>
      </w:pPr>
    </w:p>
    <w:p w14:paraId="4C2E6E32" w14:textId="77777777" w:rsidR="00C46587" w:rsidRPr="004F5FB4" w:rsidRDefault="00C46587" w:rsidP="00982118">
      <w:pPr>
        <w:rPr>
          <w:color w:val="000000"/>
        </w:rPr>
      </w:pPr>
    </w:p>
    <w:p w14:paraId="2C46410B"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VERFALLDATUM</w:t>
      </w:r>
    </w:p>
    <w:p w14:paraId="1E3A0469" w14:textId="77777777" w:rsidR="00C46587" w:rsidRPr="004F5FB4" w:rsidRDefault="00C46587" w:rsidP="00982118">
      <w:pPr>
        <w:rPr>
          <w:color w:val="000000"/>
        </w:rPr>
      </w:pPr>
    </w:p>
    <w:p w14:paraId="32C7F993" w14:textId="77777777" w:rsidR="00C46587" w:rsidRPr="004F5FB4" w:rsidRDefault="00C46587" w:rsidP="00982118">
      <w:pPr>
        <w:rPr>
          <w:color w:val="000000"/>
        </w:rPr>
      </w:pPr>
      <w:r w:rsidRPr="004F5FB4">
        <w:rPr>
          <w:color w:val="000000"/>
        </w:rPr>
        <w:t>Verwendbar bis</w:t>
      </w:r>
    </w:p>
    <w:p w14:paraId="3CBE568B" w14:textId="77777777" w:rsidR="00C46587" w:rsidRPr="004F5FB4" w:rsidRDefault="00C46587" w:rsidP="00982118">
      <w:pPr>
        <w:rPr>
          <w:color w:val="000000"/>
        </w:rPr>
      </w:pPr>
    </w:p>
    <w:p w14:paraId="6D0AD9AD" w14:textId="77777777" w:rsidR="00C46587" w:rsidRPr="004F5FB4" w:rsidRDefault="00C46587" w:rsidP="00982118">
      <w:pPr>
        <w:rPr>
          <w:color w:val="000000"/>
        </w:rPr>
      </w:pPr>
    </w:p>
    <w:p w14:paraId="544DB11E"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CHARGENBEZEICHNUNG</w:t>
      </w:r>
    </w:p>
    <w:p w14:paraId="43909BB2" w14:textId="77777777" w:rsidR="00C46587" w:rsidRPr="004F5FB4" w:rsidRDefault="00C46587" w:rsidP="00982118">
      <w:pPr>
        <w:rPr>
          <w:color w:val="000000"/>
        </w:rPr>
      </w:pPr>
    </w:p>
    <w:p w14:paraId="1DB1E6AA" w14:textId="77777777" w:rsidR="00C46587" w:rsidRPr="004F5FB4" w:rsidRDefault="00C46587" w:rsidP="00982118">
      <w:pPr>
        <w:rPr>
          <w:color w:val="000000"/>
        </w:rPr>
      </w:pPr>
      <w:r w:rsidRPr="004F5FB4">
        <w:rPr>
          <w:color w:val="000000"/>
        </w:rPr>
        <w:t xml:space="preserve">Ch.-B. </w:t>
      </w:r>
    </w:p>
    <w:p w14:paraId="4CEAC9EB" w14:textId="77777777" w:rsidR="00C46587" w:rsidRPr="004F5FB4" w:rsidRDefault="00C46587" w:rsidP="00982118">
      <w:pPr>
        <w:rPr>
          <w:color w:val="000000"/>
        </w:rPr>
      </w:pPr>
    </w:p>
    <w:p w14:paraId="6651251E" w14:textId="77777777" w:rsidR="00C46587" w:rsidRPr="004F5FB4" w:rsidRDefault="00C46587" w:rsidP="00982118">
      <w:pPr>
        <w:rPr>
          <w:color w:val="000000"/>
        </w:rPr>
      </w:pPr>
    </w:p>
    <w:p w14:paraId="5209ED8D"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5</w:t>
      </w:r>
      <w:r w:rsidRPr="004F5FB4">
        <w:rPr>
          <w:b/>
          <w:color w:val="000000"/>
        </w:rPr>
        <w:tab/>
        <w:t>INHALT NACH GEWICHT, VOLUMEN ODER EINHEITEN</w:t>
      </w:r>
    </w:p>
    <w:p w14:paraId="61EB2B83" w14:textId="77777777" w:rsidR="00C46587" w:rsidRPr="004F5FB4" w:rsidRDefault="00C46587" w:rsidP="00982118">
      <w:pPr>
        <w:rPr>
          <w:color w:val="000000"/>
        </w:rPr>
      </w:pPr>
    </w:p>
    <w:p w14:paraId="15F13302" w14:textId="77777777" w:rsidR="00C46587" w:rsidRPr="004F5FB4" w:rsidRDefault="00C46587" w:rsidP="00982118">
      <w:pPr>
        <w:rPr>
          <w:color w:val="000000"/>
        </w:rPr>
      </w:pPr>
      <w:r w:rsidRPr="004F5FB4">
        <w:rPr>
          <w:color w:val="000000"/>
          <w:highlight w:val="lightGray"/>
        </w:rPr>
        <w:t>40 mg/0,8 ml</w:t>
      </w:r>
    </w:p>
    <w:p w14:paraId="613E9536" w14:textId="77777777" w:rsidR="00C46587" w:rsidRPr="004F5FB4" w:rsidRDefault="00C46587" w:rsidP="00982118">
      <w:pPr>
        <w:rPr>
          <w:color w:val="000000"/>
        </w:rPr>
      </w:pPr>
    </w:p>
    <w:p w14:paraId="38EF2F61" w14:textId="77777777" w:rsidR="00C46587" w:rsidRPr="004F5FB4" w:rsidRDefault="00C46587" w:rsidP="00982118">
      <w:pPr>
        <w:rPr>
          <w:color w:val="000000"/>
        </w:rPr>
      </w:pPr>
    </w:p>
    <w:p w14:paraId="4AF97241"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6</w:t>
      </w:r>
      <w:r w:rsidRPr="004F5FB4">
        <w:rPr>
          <w:b/>
          <w:color w:val="000000"/>
        </w:rPr>
        <w:tab/>
        <w:t>WEITERE ANGABEN</w:t>
      </w:r>
    </w:p>
    <w:p w14:paraId="5EA11588" w14:textId="77777777" w:rsidR="00C46587" w:rsidRPr="004F5FB4" w:rsidRDefault="00C46587" w:rsidP="00982118">
      <w:pPr>
        <w:rPr>
          <w:color w:val="000000"/>
        </w:rPr>
      </w:pPr>
    </w:p>
    <w:p w14:paraId="64C3EE27" w14:textId="77777777" w:rsidR="00C46587" w:rsidRPr="004F5FB4" w:rsidRDefault="00C46587" w:rsidP="00982118">
      <w:pPr>
        <w:rPr>
          <w:color w:val="000000"/>
        </w:rPr>
      </w:pPr>
      <w:r w:rsidRPr="004F5FB4">
        <w:rPr>
          <w:color w:val="000000"/>
        </w:rPr>
        <w:br w:type="page"/>
      </w:r>
    </w:p>
    <w:p w14:paraId="4B942FA6"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ANGABEN AUF DER ÄUSSEREN UMHÜLLUNG</w:t>
      </w:r>
    </w:p>
    <w:p w14:paraId="0EF4D936" w14:textId="77777777" w:rsidR="00B34D57" w:rsidRPr="004F5FB4" w:rsidRDefault="00B34D57" w:rsidP="00982118">
      <w:pPr>
        <w:pBdr>
          <w:top w:val="single" w:sz="4" w:space="1" w:color="auto"/>
          <w:left w:val="single" w:sz="4" w:space="4" w:color="auto"/>
          <w:bottom w:val="single" w:sz="4" w:space="1" w:color="auto"/>
          <w:right w:val="single" w:sz="4" w:space="4" w:color="auto"/>
        </w:pBdr>
        <w:rPr>
          <w:b/>
          <w:color w:val="000000"/>
        </w:rPr>
      </w:pPr>
    </w:p>
    <w:p w14:paraId="623DA14A"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UMKARTON</w:t>
      </w:r>
      <w:r w:rsidR="007E0DC1" w:rsidRPr="004F5FB4">
        <w:rPr>
          <w:b/>
          <w:color w:val="000000"/>
        </w:rPr>
        <w:t xml:space="preserve"> (</w:t>
      </w:r>
      <w:r w:rsidR="007E0DC1" w:rsidRPr="004F5FB4">
        <w:rPr>
          <w:b/>
          <w:bCs/>
          <w:color w:val="000000"/>
        </w:rPr>
        <w:t>FERTIGPEN 40 mg/0,8 ml)</w:t>
      </w:r>
    </w:p>
    <w:p w14:paraId="71618852" w14:textId="77777777" w:rsidR="00C46587" w:rsidRPr="004F5FB4" w:rsidRDefault="00C46587" w:rsidP="00982118">
      <w:pPr>
        <w:rPr>
          <w:color w:val="000000"/>
        </w:rPr>
      </w:pPr>
    </w:p>
    <w:p w14:paraId="45B795F8" w14:textId="77777777" w:rsidR="00C46587" w:rsidRPr="004F5FB4" w:rsidRDefault="00C46587" w:rsidP="00982118">
      <w:pPr>
        <w:rPr>
          <w:color w:val="000000"/>
        </w:rPr>
      </w:pPr>
    </w:p>
    <w:p w14:paraId="2F011F64"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w:t>
      </w:r>
    </w:p>
    <w:p w14:paraId="591E0011" w14:textId="77777777" w:rsidR="00C46587" w:rsidRPr="004F5FB4" w:rsidRDefault="00C46587" w:rsidP="00982118">
      <w:pPr>
        <w:rPr>
          <w:color w:val="000000"/>
        </w:rPr>
      </w:pPr>
    </w:p>
    <w:p w14:paraId="6EF5639D" w14:textId="77777777" w:rsidR="00C46587" w:rsidRPr="004F5FB4" w:rsidRDefault="00A924EE" w:rsidP="00982118">
      <w:pPr>
        <w:rPr>
          <w:color w:val="000000"/>
        </w:rPr>
      </w:pPr>
      <w:r w:rsidRPr="004F5FB4">
        <w:rPr>
          <w:color w:val="000000"/>
        </w:rPr>
        <w:t>Amsparity 40 mg Injektionslösung im Fertigpen</w:t>
      </w:r>
    </w:p>
    <w:p w14:paraId="56FB7D43" w14:textId="77777777" w:rsidR="00C46587" w:rsidRPr="004F5FB4" w:rsidRDefault="00C46587" w:rsidP="00982118">
      <w:pPr>
        <w:rPr>
          <w:color w:val="000000"/>
        </w:rPr>
      </w:pPr>
      <w:r w:rsidRPr="004F5FB4">
        <w:rPr>
          <w:color w:val="000000"/>
        </w:rPr>
        <w:t>Adalimumab</w:t>
      </w:r>
    </w:p>
    <w:p w14:paraId="09015DAB" w14:textId="77777777" w:rsidR="00C46587" w:rsidRPr="004F5FB4" w:rsidRDefault="00C46587" w:rsidP="00982118">
      <w:pPr>
        <w:rPr>
          <w:color w:val="000000"/>
        </w:rPr>
      </w:pPr>
    </w:p>
    <w:p w14:paraId="147312EF" w14:textId="77777777" w:rsidR="00C46587" w:rsidRPr="004F5FB4" w:rsidRDefault="00C46587" w:rsidP="00982118">
      <w:pPr>
        <w:rPr>
          <w:color w:val="000000"/>
        </w:rPr>
      </w:pPr>
    </w:p>
    <w:p w14:paraId="1DAA1BF0"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WIRKSTOFF</w:t>
      </w:r>
    </w:p>
    <w:p w14:paraId="21FE9A1C" w14:textId="77777777" w:rsidR="00C46587" w:rsidRPr="004F5FB4" w:rsidRDefault="00C46587" w:rsidP="00982118">
      <w:pPr>
        <w:rPr>
          <w:color w:val="000000"/>
        </w:rPr>
      </w:pPr>
    </w:p>
    <w:p w14:paraId="3F6AE86F" w14:textId="77777777" w:rsidR="00C46587" w:rsidRPr="004F5FB4" w:rsidRDefault="00C46587" w:rsidP="00982118">
      <w:pPr>
        <w:rPr>
          <w:color w:val="000000"/>
        </w:rPr>
      </w:pPr>
      <w:r w:rsidRPr="004F5FB4">
        <w:rPr>
          <w:color w:val="000000"/>
        </w:rPr>
        <w:t>Ein Fertigpen mit 0,8 ml Lösung enthält 40 mg Adalimumab.</w:t>
      </w:r>
    </w:p>
    <w:p w14:paraId="0363B003" w14:textId="77777777" w:rsidR="00C46587" w:rsidRPr="004F5FB4" w:rsidRDefault="00C46587" w:rsidP="00982118">
      <w:pPr>
        <w:rPr>
          <w:color w:val="000000"/>
        </w:rPr>
      </w:pPr>
    </w:p>
    <w:p w14:paraId="226413B8" w14:textId="77777777" w:rsidR="00C46587" w:rsidRPr="004F5FB4" w:rsidRDefault="00C46587" w:rsidP="00982118">
      <w:pPr>
        <w:rPr>
          <w:color w:val="000000"/>
        </w:rPr>
      </w:pPr>
    </w:p>
    <w:p w14:paraId="74554F42"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SONSTIGE BESTANDTEILE</w:t>
      </w:r>
    </w:p>
    <w:p w14:paraId="07CE99E1" w14:textId="77777777" w:rsidR="00C46587" w:rsidRPr="004F5FB4" w:rsidRDefault="00C46587" w:rsidP="00982118">
      <w:pPr>
        <w:rPr>
          <w:color w:val="000000"/>
        </w:rPr>
      </w:pPr>
    </w:p>
    <w:p w14:paraId="1BF20CCE" w14:textId="77777777" w:rsidR="00165543" w:rsidRPr="004F5FB4" w:rsidRDefault="00C46587" w:rsidP="00982118">
      <w:pPr>
        <w:rPr>
          <w:color w:val="000000"/>
        </w:rPr>
      </w:pPr>
      <w:r w:rsidRPr="004F5FB4">
        <w:rPr>
          <w:color w:val="000000"/>
        </w:rPr>
        <w:t>Sonstige Bestandteile: L-Histidin, L-Histidin-Hydrochlorid-Monohydrat, Sucrose, EDTA-Dinatrium-Dihydrat, L-Methionin, Polysorbat 80 und Wasser für Injektionszwecke.</w:t>
      </w:r>
    </w:p>
    <w:p w14:paraId="2FE1F9ED" w14:textId="77777777" w:rsidR="00C46587" w:rsidRPr="004F5FB4" w:rsidRDefault="00CB6495" w:rsidP="00982118">
      <w:pPr>
        <w:rPr>
          <w:color w:val="000000"/>
        </w:rPr>
      </w:pPr>
      <w:r w:rsidRPr="004F5FB4">
        <w:rPr>
          <w:color w:val="000000"/>
          <w:highlight w:val="lightGray"/>
        </w:rPr>
        <w:t>Siehe Packungsbeilage für weitere Informationen.</w:t>
      </w:r>
    </w:p>
    <w:p w14:paraId="0B3DD0B1" w14:textId="77777777" w:rsidR="00C46587" w:rsidRPr="004F5FB4" w:rsidRDefault="00C46587" w:rsidP="00982118">
      <w:pPr>
        <w:tabs>
          <w:tab w:val="left" w:pos="562"/>
        </w:tabs>
        <w:rPr>
          <w:color w:val="000000"/>
        </w:rPr>
      </w:pPr>
    </w:p>
    <w:p w14:paraId="5D7BD6BD" w14:textId="77777777" w:rsidR="00C46587" w:rsidRPr="004F5FB4" w:rsidRDefault="00C46587" w:rsidP="00982118">
      <w:pPr>
        <w:tabs>
          <w:tab w:val="left" w:pos="562"/>
        </w:tabs>
        <w:rPr>
          <w:color w:val="000000"/>
        </w:rPr>
      </w:pPr>
    </w:p>
    <w:p w14:paraId="72E9F297"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DARREICHUNGSFORM UND INHALT</w:t>
      </w:r>
    </w:p>
    <w:p w14:paraId="140C7435" w14:textId="77777777" w:rsidR="00C46587" w:rsidRPr="004F5FB4" w:rsidRDefault="00C46587" w:rsidP="00982118">
      <w:pPr>
        <w:rPr>
          <w:color w:val="000000"/>
        </w:rPr>
      </w:pPr>
    </w:p>
    <w:p w14:paraId="3CD2D7B7" w14:textId="77777777" w:rsidR="003A774D" w:rsidRPr="004F5FB4" w:rsidRDefault="003A774D" w:rsidP="00982118">
      <w:pPr>
        <w:rPr>
          <w:color w:val="000000"/>
        </w:rPr>
      </w:pPr>
      <w:r w:rsidRPr="004F5FB4">
        <w:rPr>
          <w:color w:val="000000"/>
          <w:highlight w:val="lightGray"/>
        </w:rPr>
        <w:t>Injektionslösung</w:t>
      </w:r>
    </w:p>
    <w:p w14:paraId="7FAA65BD" w14:textId="77777777" w:rsidR="00C46587" w:rsidRPr="004F5FB4" w:rsidRDefault="00C46587" w:rsidP="00982118">
      <w:pPr>
        <w:rPr>
          <w:color w:val="000000"/>
        </w:rPr>
      </w:pPr>
      <w:r w:rsidRPr="004F5FB4">
        <w:rPr>
          <w:color w:val="000000"/>
        </w:rPr>
        <w:t>1 Fertigpen</w:t>
      </w:r>
    </w:p>
    <w:p w14:paraId="470DF0D5" w14:textId="77777777" w:rsidR="00C46587" w:rsidRPr="004F5FB4" w:rsidRDefault="00C46587" w:rsidP="00982118">
      <w:pPr>
        <w:rPr>
          <w:color w:val="000000"/>
        </w:rPr>
      </w:pPr>
      <w:r w:rsidRPr="004F5FB4">
        <w:rPr>
          <w:color w:val="000000"/>
        </w:rPr>
        <w:t>2 Alkoholtupfer</w:t>
      </w:r>
    </w:p>
    <w:p w14:paraId="7CDCE7E1" w14:textId="77777777" w:rsidR="003A774D" w:rsidRPr="004F5FB4" w:rsidRDefault="003A774D" w:rsidP="007C4B2C">
      <w:pPr>
        <w:pStyle w:val="BodyText"/>
        <w:widowControl/>
        <w:kinsoku w:val="0"/>
        <w:overflowPunct w:val="0"/>
        <w:ind w:left="0" w:right="447"/>
        <w:rPr>
          <w:color w:val="000000"/>
        </w:rPr>
      </w:pPr>
    </w:p>
    <w:p w14:paraId="41B88E09" w14:textId="77777777" w:rsidR="003A774D" w:rsidRPr="004F5FB4" w:rsidRDefault="003A774D" w:rsidP="00982118">
      <w:pPr>
        <w:rPr>
          <w:color w:val="000000"/>
          <w:highlight w:val="lightGray"/>
        </w:rPr>
      </w:pPr>
      <w:r w:rsidRPr="004F5FB4">
        <w:rPr>
          <w:color w:val="000000"/>
          <w:highlight w:val="lightGray"/>
        </w:rPr>
        <w:t>2 Fertigpens</w:t>
      </w:r>
    </w:p>
    <w:p w14:paraId="602DCD4E" w14:textId="77777777" w:rsidR="003A774D" w:rsidRPr="004F5FB4" w:rsidRDefault="003A774D" w:rsidP="00982118">
      <w:pPr>
        <w:rPr>
          <w:color w:val="000000"/>
          <w:highlight w:val="lightGray"/>
        </w:rPr>
      </w:pPr>
      <w:r w:rsidRPr="004F5FB4">
        <w:rPr>
          <w:color w:val="000000"/>
          <w:highlight w:val="lightGray"/>
        </w:rPr>
        <w:t>2 Alkoholtupfer</w:t>
      </w:r>
    </w:p>
    <w:p w14:paraId="582A019A" w14:textId="77777777" w:rsidR="003A774D" w:rsidRPr="004F5FB4" w:rsidRDefault="003A774D" w:rsidP="007C4B2C">
      <w:pPr>
        <w:pStyle w:val="BodyText"/>
        <w:widowControl/>
        <w:kinsoku w:val="0"/>
        <w:overflowPunct w:val="0"/>
        <w:ind w:left="0" w:right="447"/>
        <w:rPr>
          <w:color w:val="000000"/>
          <w:highlight w:val="lightGray"/>
        </w:rPr>
      </w:pPr>
    </w:p>
    <w:p w14:paraId="5E8C49BC" w14:textId="77777777" w:rsidR="003A774D" w:rsidRPr="004F5FB4" w:rsidRDefault="003A774D" w:rsidP="00982118">
      <w:pPr>
        <w:rPr>
          <w:color w:val="000000"/>
          <w:highlight w:val="lightGray"/>
        </w:rPr>
      </w:pPr>
      <w:r w:rsidRPr="004F5FB4">
        <w:rPr>
          <w:color w:val="000000"/>
          <w:highlight w:val="lightGray"/>
        </w:rPr>
        <w:t>4 Fertigpens</w:t>
      </w:r>
    </w:p>
    <w:p w14:paraId="46F59480" w14:textId="77777777" w:rsidR="003A774D" w:rsidRPr="004F5FB4" w:rsidRDefault="003A774D" w:rsidP="00982118">
      <w:pPr>
        <w:rPr>
          <w:color w:val="000000"/>
          <w:highlight w:val="lightGray"/>
        </w:rPr>
      </w:pPr>
      <w:r w:rsidRPr="004F5FB4">
        <w:rPr>
          <w:color w:val="000000"/>
          <w:highlight w:val="lightGray"/>
        </w:rPr>
        <w:t>4 Alkoholtupfer</w:t>
      </w:r>
    </w:p>
    <w:p w14:paraId="564EDF38" w14:textId="77777777" w:rsidR="003A774D" w:rsidRPr="004F5FB4" w:rsidRDefault="003A774D" w:rsidP="007C4B2C">
      <w:pPr>
        <w:pStyle w:val="BodyText"/>
        <w:widowControl/>
        <w:kinsoku w:val="0"/>
        <w:overflowPunct w:val="0"/>
        <w:ind w:left="0" w:right="447"/>
        <w:rPr>
          <w:color w:val="000000"/>
          <w:highlight w:val="lightGray"/>
        </w:rPr>
      </w:pPr>
    </w:p>
    <w:p w14:paraId="2AD656B0" w14:textId="77777777" w:rsidR="003A774D" w:rsidRPr="004F5FB4" w:rsidRDefault="003A774D" w:rsidP="00982118">
      <w:pPr>
        <w:rPr>
          <w:color w:val="000000"/>
          <w:highlight w:val="lightGray"/>
        </w:rPr>
      </w:pPr>
      <w:r w:rsidRPr="004F5FB4">
        <w:rPr>
          <w:color w:val="000000"/>
          <w:highlight w:val="lightGray"/>
        </w:rPr>
        <w:t>6 Fertigpens</w:t>
      </w:r>
    </w:p>
    <w:p w14:paraId="7BC874A0" w14:textId="77777777" w:rsidR="003A774D" w:rsidRPr="004F5FB4" w:rsidRDefault="003A774D" w:rsidP="00982118">
      <w:pPr>
        <w:rPr>
          <w:color w:val="000000"/>
        </w:rPr>
      </w:pPr>
      <w:r w:rsidRPr="004F5FB4">
        <w:rPr>
          <w:color w:val="000000"/>
          <w:highlight w:val="lightGray"/>
        </w:rPr>
        <w:t>6 Alkoholtupfer</w:t>
      </w:r>
    </w:p>
    <w:p w14:paraId="542F2465" w14:textId="77777777" w:rsidR="00C46587" w:rsidRPr="004F5FB4" w:rsidRDefault="00C46587" w:rsidP="00982118">
      <w:pPr>
        <w:rPr>
          <w:color w:val="000000"/>
        </w:rPr>
      </w:pPr>
    </w:p>
    <w:p w14:paraId="2F9423B7" w14:textId="77777777" w:rsidR="00CB1BA7" w:rsidRPr="004F5FB4" w:rsidRDefault="00CB1BA7" w:rsidP="00982118">
      <w:pPr>
        <w:rPr>
          <w:color w:val="000000"/>
        </w:rPr>
      </w:pPr>
    </w:p>
    <w:p w14:paraId="612AE1F8"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5</w:t>
      </w:r>
      <w:r w:rsidRPr="004F5FB4">
        <w:rPr>
          <w:b/>
          <w:color w:val="000000"/>
        </w:rPr>
        <w:tab/>
        <w:t>HINWEISE ZUR UND ART DER ANWENDUNG</w:t>
      </w:r>
    </w:p>
    <w:p w14:paraId="452BD3AA" w14:textId="77777777" w:rsidR="00C46587" w:rsidRPr="004F5FB4" w:rsidRDefault="00C46587" w:rsidP="00982118">
      <w:pPr>
        <w:keepNext/>
        <w:rPr>
          <w:color w:val="000000"/>
        </w:rPr>
      </w:pPr>
    </w:p>
    <w:p w14:paraId="3D64022A" w14:textId="77777777" w:rsidR="00C46587" w:rsidRPr="004F5FB4" w:rsidRDefault="00C46587" w:rsidP="00982118">
      <w:pPr>
        <w:keepNext/>
        <w:rPr>
          <w:color w:val="000000"/>
        </w:rPr>
      </w:pPr>
      <w:r w:rsidRPr="004F5FB4">
        <w:rPr>
          <w:color w:val="000000"/>
        </w:rPr>
        <w:t>Subkutane Anwendung</w:t>
      </w:r>
    </w:p>
    <w:p w14:paraId="40B3E431" w14:textId="77777777" w:rsidR="00C46587" w:rsidRPr="004F5FB4" w:rsidRDefault="00C46587" w:rsidP="00982118">
      <w:pPr>
        <w:keepNext/>
        <w:rPr>
          <w:color w:val="000000"/>
        </w:rPr>
      </w:pPr>
    </w:p>
    <w:p w14:paraId="50460AF6" w14:textId="77777777" w:rsidR="00C46587" w:rsidRPr="004F5FB4" w:rsidRDefault="00C46587" w:rsidP="00982118">
      <w:pPr>
        <w:keepNext/>
        <w:rPr>
          <w:color w:val="000000"/>
        </w:rPr>
      </w:pPr>
      <w:r w:rsidRPr="004F5FB4">
        <w:rPr>
          <w:color w:val="000000"/>
        </w:rPr>
        <w:t>Packungsbeilage beachten.</w:t>
      </w:r>
    </w:p>
    <w:p w14:paraId="2A1F4D12" w14:textId="77777777" w:rsidR="003A774D" w:rsidRPr="004F5FB4" w:rsidRDefault="003A774D" w:rsidP="00982118">
      <w:pPr>
        <w:keepNext/>
        <w:rPr>
          <w:color w:val="000000"/>
        </w:rPr>
      </w:pPr>
    </w:p>
    <w:p w14:paraId="0DDC6CE1" w14:textId="77777777" w:rsidR="00165543" w:rsidRPr="004F5FB4" w:rsidRDefault="003A774D" w:rsidP="00982118">
      <w:pPr>
        <w:keepNext/>
        <w:rPr>
          <w:color w:val="000000"/>
        </w:rPr>
      </w:pPr>
      <w:r w:rsidRPr="004F5FB4">
        <w:rPr>
          <w:color w:val="000000"/>
        </w:rPr>
        <w:t>Nur zur einmaligen Anwendung</w:t>
      </w:r>
    </w:p>
    <w:p w14:paraId="5C49B633" w14:textId="77777777" w:rsidR="00C46587" w:rsidRPr="004F5FB4" w:rsidRDefault="00C46587" w:rsidP="00982118">
      <w:pPr>
        <w:keepNext/>
        <w:rPr>
          <w:color w:val="000000"/>
        </w:rPr>
      </w:pPr>
    </w:p>
    <w:p w14:paraId="12DFA0CA" w14:textId="77777777" w:rsidR="00C46587" w:rsidRPr="004F5FB4" w:rsidRDefault="00C46587" w:rsidP="00982118">
      <w:pPr>
        <w:rPr>
          <w:color w:val="000000"/>
        </w:rPr>
      </w:pPr>
    </w:p>
    <w:p w14:paraId="28282C31" w14:textId="77777777" w:rsidR="00C46587" w:rsidRPr="004F5FB4"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6</w:t>
      </w:r>
      <w:r w:rsidRPr="004F5FB4">
        <w:rPr>
          <w:b/>
          <w:color w:val="000000"/>
        </w:rPr>
        <w:tab/>
        <w:t>WARNHINWEIS, DASS DAS ARZNEIMITTEL FÜR KINDER UNZUGÄNGLICH AUFZUBEWAHREN IST</w:t>
      </w:r>
    </w:p>
    <w:p w14:paraId="2834203B" w14:textId="77777777" w:rsidR="00C46587" w:rsidRPr="004F5FB4" w:rsidRDefault="00C46587" w:rsidP="00A924EE">
      <w:pPr>
        <w:keepNext/>
        <w:rPr>
          <w:color w:val="000000"/>
        </w:rPr>
      </w:pPr>
    </w:p>
    <w:p w14:paraId="72C53566" w14:textId="77777777" w:rsidR="00C46587" w:rsidRPr="004F5FB4" w:rsidRDefault="00C46587" w:rsidP="00982118">
      <w:pPr>
        <w:rPr>
          <w:color w:val="000000"/>
        </w:rPr>
      </w:pPr>
      <w:r w:rsidRPr="004F5FB4">
        <w:rPr>
          <w:color w:val="000000"/>
        </w:rPr>
        <w:t>Arzneimittel für Kinder unzugänglich aufbewahren.</w:t>
      </w:r>
    </w:p>
    <w:p w14:paraId="129E6C37" w14:textId="77777777" w:rsidR="00C46587" w:rsidRPr="004F5FB4" w:rsidRDefault="00C46587" w:rsidP="00982118">
      <w:pPr>
        <w:rPr>
          <w:color w:val="000000"/>
        </w:rPr>
      </w:pPr>
    </w:p>
    <w:p w14:paraId="62AA2BA8" w14:textId="77777777" w:rsidR="00C46587" w:rsidRPr="004F5FB4" w:rsidRDefault="00C46587" w:rsidP="00982118">
      <w:pPr>
        <w:rPr>
          <w:color w:val="000000"/>
        </w:rPr>
      </w:pPr>
    </w:p>
    <w:p w14:paraId="3559B648" w14:textId="77777777" w:rsidR="00C46587" w:rsidRPr="004F5FB4" w:rsidRDefault="00C46587" w:rsidP="003146E9">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7</w:t>
      </w:r>
      <w:r w:rsidRPr="004F5FB4">
        <w:rPr>
          <w:b/>
          <w:color w:val="000000"/>
        </w:rPr>
        <w:tab/>
        <w:t>WEITERE WARNHINWEISE, FALLS ERFORDERLICH</w:t>
      </w:r>
    </w:p>
    <w:p w14:paraId="4DB2B15C" w14:textId="77777777" w:rsidR="00C46587" w:rsidRPr="004F5FB4" w:rsidRDefault="00C46587" w:rsidP="003146E9">
      <w:pPr>
        <w:keepNext/>
        <w:rPr>
          <w:color w:val="000000"/>
        </w:rPr>
      </w:pPr>
    </w:p>
    <w:p w14:paraId="5B4B0204" w14:textId="77777777" w:rsidR="00C46587" w:rsidRPr="004F5FB4" w:rsidRDefault="00C46587" w:rsidP="003146E9">
      <w:pPr>
        <w:keepNext/>
        <w:rPr>
          <w:color w:val="000000"/>
        </w:rPr>
      </w:pPr>
    </w:p>
    <w:p w14:paraId="67994D5C"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8</w:t>
      </w:r>
      <w:r w:rsidRPr="004F5FB4">
        <w:rPr>
          <w:b/>
          <w:color w:val="000000"/>
        </w:rPr>
        <w:tab/>
        <w:t>VERFALLDATUM</w:t>
      </w:r>
    </w:p>
    <w:p w14:paraId="7F39B090" w14:textId="77777777" w:rsidR="00C46587" w:rsidRPr="004F5FB4" w:rsidRDefault="00C46587" w:rsidP="00982118">
      <w:pPr>
        <w:rPr>
          <w:color w:val="000000"/>
        </w:rPr>
      </w:pPr>
    </w:p>
    <w:p w14:paraId="633784F6" w14:textId="77777777" w:rsidR="00C46587" w:rsidRPr="004F5FB4" w:rsidRDefault="00C46587" w:rsidP="00982118">
      <w:pPr>
        <w:rPr>
          <w:color w:val="000000"/>
        </w:rPr>
      </w:pPr>
      <w:r w:rsidRPr="004F5FB4">
        <w:rPr>
          <w:color w:val="000000"/>
        </w:rPr>
        <w:t>Verwendbar bis</w:t>
      </w:r>
    </w:p>
    <w:p w14:paraId="63F4CCEC" w14:textId="77777777" w:rsidR="00C46587" w:rsidRPr="004F5FB4" w:rsidRDefault="00C46587" w:rsidP="00982118">
      <w:pPr>
        <w:rPr>
          <w:color w:val="000000"/>
        </w:rPr>
      </w:pPr>
    </w:p>
    <w:p w14:paraId="416667BB" w14:textId="77777777" w:rsidR="00C46587" w:rsidRPr="004F5FB4" w:rsidRDefault="00C46587" w:rsidP="00982118">
      <w:pPr>
        <w:rPr>
          <w:color w:val="000000"/>
        </w:rPr>
      </w:pPr>
    </w:p>
    <w:p w14:paraId="10A63D4A"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9</w:t>
      </w:r>
      <w:r w:rsidRPr="004F5FB4">
        <w:rPr>
          <w:b/>
          <w:color w:val="000000"/>
        </w:rPr>
        <w:tab/>
        <w:t>BESONDERE VORSICHTSMASSNAHMEN FÜR DIE AUFBEWAHRUNG</w:t>
      </w:r>
    </w:p>
    <w:p w14:paraId="5489F6E1" w14:textId="77777777" w:rsidR="00C46587" w:rsidRPr="004F5FB4" w:rsidRDefault="00C46587" w:rsidP="00982118">
      <w:pPr>
        <w:rPr>
          <w:color w:val="000000"/>
        </w:rPr>
      </w:pPr>
    </w:p>
    <w:p w14:paraId="4BD0FC04" w14:textId="77777777" w:rsidR="00C46587" w:rsidRPr="004F5FB4" w:rsidRDefault="00C46587" w:rsidP="00982118">
      <w:pPr>
        <w:rPr>
          <w:color w:val="000000"/>
        </w:rPr>
      </w:pPr>
      <w:r w:rsidRPr="004F5FB4">
        <w:rPr>
          <w:color w:val="000000"/>
        </w:rPr>
        <w:t>Im Kühlschrank lagern. Nicht einfrieren.</w:t>
      </w:r>
    </w:p>
    <w:p w14:paraId="2B60FCF9" w14:textId="77777777" w:rsidR="00C46587" w:rsidRPr="004F5FB4" w:rsidRDefault="00C46587" w:rsidP="00982118">
      <w:pPr>
        <w:rPr>
          <w:color w:val="000000"/>
        </w:rPr>
      </w:pPr>
    </w:p>
    <w:p w14:paraId="42D595ED" w14:textId="77777777" w:rsidR="00C46587" w:rsidRPr="004F5FB4" w:rsidRDefault="00C46587" w:rsidP="00982118">
      <w:pPr>
        <w:rPr>
          <w:color w:val="000000"/>
        </w:rPr>
      </w:pPr>
      <w:r w:rsidRPr="004F5FB4">
        <w:rPr>
          <w:color w:val="000000"/>
        </w:rPr>
        <w:t>Den Fertigpen im Umkarton aufbewahren, um den Inhalt vor Licht zu schützen.</w:t>
      </w:r>
    </w:p>
    <w:p w14:paraId="16E58B27" w14:textId="77777777" w:rsidR="00C46587" w:rsidRPr="004F5FB4" w:rsidRDefault="00C46587" w:rsidP="00982118">
      <w:pPr>
        <w:rPr>
          <w:color w:val="000000"/>
        </w:rPr>
      </w:pPr>
    </w:p>
    <w:p w14:paraId="7F1819C7" w14:textId="77777777" w:rsidR="00C46587" w:rsidRPr="004F5FB4" w:rsidRDefault="00C46587" w:rsidP="00982118">
      <w:pPr>
        <w:rPr>
          <w:color w:val="000000"/>
        </w:rPr>
      </w:pPr>
    </w:p>
    <w:p w14:paraId="5AA1D37D" w14:textId="77777777" w:rsidR="00C46587" w:rsidRPr="004F5FB4"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F5FB4">
        <w:rPr>
          <w:b/>
          <w:color w:val="000000"/>
        </w:rPr>
        <w:t>10</w:t>
      </w:r>
      <w:r w:rsidRPr="004F5FB4">
        <w:rPr>
          <w:b/>
          <w:color w:val="000000"/>
        </w:rPr>
        <w:tab/>
        <w:t>GEGEBENENFALLS BESONDERE VORSICHTSMASSNAHMEN FÜR DIE BESEITIGUNG VON NICHT VERWENDETEM ARZNEIMITTEL ODER DAVON STAMMENDEN ABFALLMATERIALIEN</w:t>
      </w:r>
    </w:p>
    <w:p w14:paraId="0D3B4758" w14:textId="77777777" w:rsidR="00C46587" w:rsidRPr="004F5FB4" w:rsidRDefault="00C46587" w:rsidP="00982118">
      <w:pPr>
        <w:rPr>
          <w:color w:val="000000"/>
        </w:rPr>
      </w:pPr>
    </w:p>
    <w:p w14:paraId="362CA1C8" w14:textId="77777777" w:rsidR="00C46587" w:rsidRPr="004F5FB4" w:rsidRDefault="00C46587" w:rsidP="00982118">
      <w:pPr>
        <w:rPr>
          <w:color w:val="000000"/>
        </w:rPr>
      </w:pPr>
    </w:p>
    <w:p w14:paraId="694752F1"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11</w:t>
      </w:r>
      <w:r w:rsidRPr="004F5FB4">
        <w:rPr>
          <w:b/>
          <w:color w:val="000000"/>
        </w:rPr>
        <w:tab/>
        <w:t>NAME UND ANSCHRIFT DES PHARMAZEUTISCHEN UNTERNEHMERS</w:t>
      </w:r>
    </w:p>
    <w:p w14:paraId="7045C6DB" w14:textId="77777777" w:rsidR="00C46587" w:rsidRPr="004F5FB4" w:rsidRDefault="00C46587" w:rsidP="00982118">
      <w:pPr>
        <w:rPr>
          <w:color w:val="000000"/>
        </w:rPr>
      </w:pPr>
    </w:p>
    <w:p w14:paraId="3FEAC18F" w14:textId="77777777" w:rsidR="00DD75F2" w:rsidRPr="00C325BF" w:rsidRDefault="00DD75F2" w:rsidP="00982118">
      <w:pPr>
        <w:keepNext/>
        <w:ind w:right="14"/>
        <w:rPr>
          <w:color w:val="000000"/>
          <w:lang w:val="fr-FR"/>
        </w:rPr>
      </w:pPr>
      <w:r w:rsidRPr="00C325BF">
        <w:rPr>
          <w:color w:val="000000"/>
          <w:lang w:val="fr-FR"/>
        </w:rPr>
        <w:t>Pfizer Europe MA EEIG</w:t>
      </w:r>
    </w:p>
    <w:p w14:paraId="2C106A7C" w14:textId="77777777" w:rsidR="0016344D" w:rsidRPr="00C325BF" w:rsidRDefault="0016344D" w:rsidP="00982118">
      <w:pPr>
        <w:pStyle w:val="BodyText"/>
        <w:widowControl/>
        <w:kinsoku w:val="0"/>
        <w:overflowPunct w:val="0"/>
        <w:ind w:left="0"/>
        <w:rPr>
          <w:color w:val="000000"/>
          <w:lang w:val="fr-FR"/>
        </w:rPr>
      </w:pPr>
      <w:r w:rsidRPr="00C325BF">
        <w:rPr>
          <w:color w:val="000000"/>
          <w:lang w:val="fr-FR"/>
        </w:rPr>
        <w:t>Boulevard de la Plaine 17</w:t>
      </w:r>
    </w:p>
    <w:p w14:paraId="0CD1E13B" w14:textId="77777777" w:rsidR="0016344D" w:rsidRPr="004F5FB4" w:rsidRDefault="0016344D" w:rsidP="00982118">
      <w:pPr>
        <w:pStyle w:val="BodyText"/>
        <w:widowControl/>
        <w:kinsoku w:val="0"/>
        <w:overflowPunct w:val="0"/>
        <w:ind w:left="0"/>
        <w:rPr>
          <w:color w:val="000000"/>
        </w:rPr>
      </w:pPr>
      <w:r w:rsidRPr="004F5FB4">
        <w:rPr>
          <w:color w:val="000000"/>
        </w:rPr>
        <w:t>1050 Br</w:t>
      </w:r>
      <w:r w:rsidR="006A5811" w:rsidRPr="004F5FB4">
        <w:rPr>
          <w:color w:val="000000"/>
        </w:rPr>
        <w:t>üssel</w:t>
      </w:r>
    </w:p>
    <w:p w14:paraId="6ABA412A" w14:textId="77777777" w:rsidR="0016344D" w:rsidRPr="004F5FB4" w:rsidRDefault="0016344D" w:rsidP="00982118">
      <w:pPr>
        <w:pStyle w:val="BodyText"/>
        <w:widowControl/>
        <w:kinsoku w:val="0"/>
        <w:overflowPunct w:val="0"/>
        <w:ind w:left="0"/>
        <w:rPr>
          <w:color w:val="000000"/>
        </w:rPr>
      </w:pPr>
      <w:r w:rsidRPr="004F5FB4">
        <w:rPr>
          <w:color w:val="000000"/>
        </w:rPr>
        <w:t>Belgien</w:t>
      </w:r>
    </w:p>
    <w:p w14:paraId="0662D2F6" w14:textId="77777777" w:rsidR="00C46587" w:rsidRPr="004F5FB4" w:rsidRDefault="00C46587" w:rsidP="00982118">
      <w:pPr>
        <w:rPr>
          <w:color w:val="000000"/>
        </w:rPr>
      </w:pPr>
    </w:p>
    <w:p w14:paraId="1843CDA9" w14:textId="77777777" w:rsidR="00C46587" w:rsidRPr="004F5FB4" w:rsidRDefault="00C46587" w:rsidP="00982118">
      <w:pPr>
        <w:rPr>
          <w:color w:val="000000"/>
        </w:rPr>
      </w:pPr>
    </w:p>
    <w:p w14:paraId="7C3578E6" w14:textId="77777777" w:rsidR="00C46587" w:rsidRPr="004F5FB4"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t>12</w:t>
      </w:r>
      <w:r w:rsidRPr="004F5FB4">
        <w:rPr>
          <w:b/>
          <w:color w:val="000000"/>
        </w:rPr>
        <w:tab/>
        <w:t xml:space="preserve">ZULASSUNGSNUMMER </w:t>
      </w:r>
    </w:p>
    <w:p w14:paraId="2A6C0BB6" w14:textId="77777777" w:rsidR="00C46587" w:rsidRPr="004F5FB4" w:rsidRDefault="00C46587" w:rsidP="00982118">
      <w:pPr>
        <w:keepNext/>
        <w:rPr>
          <w:color w:val="000000"/>
        </w:rPr>
      </w:pPr>
    </w:p>
    <w:p w14:paraId="0E0A1E36" w14:textId="77777777" w:rsidR="003971C5" w:rsidRPr="004F5FB4" w:rsidRDefault="003971C5" w:rsidP="003971C5">
      <w:pPr>
        <w:keepNext/>
        <w:rPr>
          <w:color w:val="000000"/>
        </w:rPr>
      </w:pPr>
      <w:r w:rsidRPr="004F5FB4">
        <w:rPr>
          <w:color w:val="000000"/>
        </w:rPr>
        <w:t>EU/1/19/1415/007</w:t>
      </w:r>
    </w:p>
    <w:p w14:paraId="3535AFF8" w14:textId="77777777" w:rsidR="003971C5" w:rsidRPr="004F5FB4" w:rsidRDefault="003971C5" w:rsidP="003971C5">
      <w:pPr>
        <w:keepNext/>
        <w:rPr>
          <w:color w:val="000000"/>
        </w:rPr>
      </w:pPr>
      <w:r w:rsidRPr="004F5FB4">
        <w:rPr>
          <w:color w:val="000000"/>
        </w:rPr>
        <w:t>EU/1/19/1415/008</w:t>
      </w:r>
    </w:p>
    <w:p w14:paraId="67AC9954" w14:textId="77777777" w:rsidR="003971C5" w:rsidRPr="004F5FB4" w:rsidRDefault="003971C5" w:rsidP="003971C5">
      <w:pPr>
        <w:keepNext/>
        <w:rPr>
          <w:color w:val="000000"/>
        </w:rPr>
      </w:pPr>
      <w:r w:rsidRPr="004F5FB4">
        <w:rPr>
          <w:color w:val="000000"/>
        </w:rPr>
        <w:t>EU/1/19/1415/009</w:t>
      </w:r>
    </w:p>
    <w:p w14:paraId="63831C5B" w14:textId="77777777" w:rsidR="003971C5" w:rsidRPr="00986ED0" w:rsidRDefault="003971C5" w:rsidP="003971C5">
      <w:pPr>
        <w:keepNext/>
        <w:rPr>
          <w:color w:val="000000"/>
        </w:rPr>
      </w:pPr>
      <w:r w:rsidRPr="00986ED0">
        <w:rPr>
          <w:color w:val="000000"/>
        </w:rPr>
        <w:t>EU/1/19/1415/010</w:t>
      </w:r>
    </w:p>
    <w:p w14:paraId="37E3BE07" w14:textId="77777777" w:rsidR="00C46587" w:rsidRPr="004F5FB4" w:rsidRDefault="00C46587" w:rsidP="00982118">
      <w:pPr>
        <w:keepNext/>
        <w:rPr>
          <w:color w:val="000000"/>
        </w:rPr>
      </w:pPr>
    </w:p>
    <w:p w14:paraId="36FDECC2" w14:textId="77777777" w:rsidR="00C46587" w:rsidRPr="004F5FB4" w:rsidRDefault="00C46587" w:rsidP="00982118">
      <w:pPr>
        <w:rPr>
          <w:color w:val="000000"/>
        </w:rPr>
      </w:pPr>
    </w:p>
    <w:p w14:paraId="46709CA0"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13</w:t>
      </w:r>
      <w:r w:rsidRPr="004F5FB4">
        <w:rPr>
          <w:b/>
          <w:color w:val="000000"/>
        </w:rPr>
        <w:tab/>
        <w:t xml:space="preserve">CHARGENBEZEICHNUNG </w:t>
      </w:r>
    </w:p>
    <w:p w14:paraId="69359145" w14:textId="77777777" w:rsidR="00C46587" w:rsidRPr="004F5FB4" w:rsidRDefault="00C46587" w:rsidP="00982118">
      <w:pPr>
        <w:rPr>
          <w:color w:val="000000"/>
        </w:rPr>
      </w:pPr>
    </w:p>
    <w:p w14:paraId="4712FA87" w14:textId="77777777" w:rsidR="00C46587" w:rsidRPr="004F5FB4" w:rsidRDefault="00C46587" w:rsidP="00982118">
      <w:pPr>
        <w:rPr>
          <w:color w:val="000000"/>
        </w:rPr>
      </w:pPr>
      <w:r w:rsidRPr="004F5FB4">
        <w:rPr>
          <w:color w:val="000000"/>
        </w:rPr>
        <w:t xml:space="preserve">Ch.-B. </w:t>
      </w:r>
    </w:p>
    <w:p w14:paraId="3E21ED8D" w14:textId="77777777" w:rsidR="00C46587" w:rsidRPr="004F5FB4" w:rsidRDefault="00C46587" w:rsidP="00982118">
      <w:pPr>
        <w:rPr>
          <w:color w:val="000000"/>
        </w:rPr>
      </w:pPr>
    </w:p>
    <w:p w14:paraId="36A31244" w14:textId="77777777" w:rsidR="00C46587" w:rsidRPr="004F5FB4" w:rsidRDefault="00C46587" w:rsidP="00982118">
      <w:pPr>
        <w:rPr>
          <w:color w:val="000000"/>
        </w:rPr>
      </w:pPr>
    </w:p>
    <w:p w14:paraId="29007E97"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14</w:t>
      </w:r>
      <w:r w:rsidRPr="004F5FB4">
        <w:rPr>
          <w:b/>
          <w:color w:val="000000"/>
        </w:rPr>
        <w:tab/>
        <w:t>VERKAUFSABGRENZUNG</w:t>
      </w:r>
    </w:p>
    <w:p w14:paraId="13053010" w14:textId="77777777" w:rsidR="00C46587" w:rsidRPr="004F5FB4" w:rsidRDefault="00C46587" w:rsidP="00982118">
      <w:pPr>
        <w:rPr>
          <w:color w:val="000000"/>
        </w:rPr>
      </w:pPr>
    </w:p>
    <w:p w14:paraId="49119B0C" w14:textId="77777777" w:rsidR="00C46587" w:rsidRPr="004F5FB4" w:rsidRDefault="00C46587" w:rsidP="00982118">
      <w:pPr>
        <w:rPr>
          <w:color w:val="000000"/>
        </w:rPr>
      </w:pPr>
    </w:p>
    <w:p w14:paraId="4375EEE8"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15</w:t>
      </w:r>
      <w:r w:rsidRPr="004F5FB4">
        <w:rPr>
          <w:b/>
          <w:color w:val="000000"/>
        </w:rPr>
        <w:tab/>
        <w:t>HINWEISE FÜR DEN GEBRAUCH</w:t>
      </w:r>
    </w:p>
    <w:p w14:paraId="1E5B0211" w14:textId="77777777" w:rsidR="00C46587" w:rsidRPr="004F5FB4" w:rsidRDefault="00C46587" w:rsidP="00982118">
      <w:pPr>
        <w:rPr>
          <w:color w:val="000000"/>
        </w:rPr>
      </w:pPr>
    </w:p>
    <w:p w14:paraId="246AFA1A" w14:textId="77777777" w:rsidR="00C46587" w:rsidRPr="004F5FB4" w:rsidRDefault="00C46587" w:rsidP="00982118">
      <w:pPr>
        <w:rPr>
          <w:color w:val="000000"/>
        </w:rPr>
      </w:pPr>
    </w:p>
    <w:p w14:paraId="37098C91"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16</w:t>
      </w:r>
      <w:r w:rsidRPr="004F5FB4">
        <w:rPr>
          <w:b/>
          <w:color w:val="000000"/>
        </w:rPr>
        <w:tab/>
        <w:t>ANGABEN IN BLINDENSCHRIFT</w:t>
      </w:r>
    </w:p>
    <w:p w14:paraId="04625758" w14:textId="77777777" w:rsidR="00C46587" w:rsidRPr="004F5FB4" w:rsidRDefault="00C46587" w:rsidP="00982118">
      <w:pPr>
        <w:rPr>
          <w:color w:val="000000"/>
        </w:rPr>
      </w:pPr>
    </w:p>
    <w:p w14:paraId="4BBD7514" w14:textId="77777777" w:rsidR="00C46587" w:rsidRPr="004F5FB4" w:rsidRDefault="006A1144" w:rsidP="00982118">
      <w:pPr>
        <w:rPr>
          <w:color w:val="000000"/>
        </w:rPr>
      </w:pPr>
      <w:r w:rsidRPr="004F5FB4">
        <w:rPr>
          <w:color w:val="000000"/>
        </w:rPr>
        <w:t>Amsparity 40 mg</w:t>
      </w:r>
    </w:p>
    <w:p w14:paraId="3E415D41" w14:textId="77777777" w:rsidR="00C46587" w:rsidRPr="004F5FB4" w:rsidRDefault="00C46587" w:rsidP="00982118">
      <w:pPr>
        <w:rPr>
          <w:color w:val="000000"/>
        </w:rPr>
      </w:pPr>
    </w:p>
    <w:p w14:paraId="6CA34A0C" w14:textId="77777777" w:rsidR="00C46587" w:rsidRPr="004F5FB4" w:rsidRDefault="00C46587" w:rsidP="00982118">
      <w:pPr>
        <w:rPr>
          <w:color w:val="000000"/>
        </w:rPr>
      </w:pPr>
    </w:p>
    <w:p w14:paraId="4F5C9A7B" w14:textId="77777777" w:rsidR="00C46587" w:rsidRPr="004F5FB4" w:rsidRDefault="00C46587" w:rsidP="003146E9">
      <w:pPr>
        <w:keepNext/>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17</w:t>
      </w:r>
      <w:r w:rsidRPr="004F5FB4">
        <w:rPr>
          <w:b/>
          <w:color w:val="000000"/>
        </w:rPr>
        <w:tab/>
        <w:t>INDIVIDUELLES ERKENNUNGSMERKMAL – 2D-BARCODE</w:t>
      </w:r>
    </w:p>
    <w:p w14:paraId="2E9F3EB8" w14:textId="77777777" w:rsidR="00C46587" w:rsidRPr="004F5FB4" w:rsidRDefault="00C46587" w:rsidP="003146E9">
      <w:pPr>
        <w:keepNext/>
        <w:rPr>
          <w:color w:val="000000"/>
        </w:rPr>
      </w:pPr>
    </w:p>
    <w:p w14:paraId="2E35F11C" w14:textId="77777777" w:rsidR="00C46587" w:rsidRPr="004F5FB4" w:rsidRDefault="00C46587" w:rsidP="00982118">
      <w:pPr>
        <w:rPr>
          <w:color w:val="000000"/>
        </w:rPr>
      </w:pPr>
      <w:r w:rsidRPr="004F5FB4">
        <w:rPr>
          <w:color w:val="000000"/>
          <w:highlight w:val="lightGray"/>
        </w:rPr>
        <w:t>2D-Barcode mit individuellem Erkennungsmerkmal.</w:t>
      </w:r>
    </w:p>
    <w:p w14:paraId="666F97F6" w14:textId="77777777" w:rsidR="00C46587" w:rsidRPr="004F5FB4" w:rsidRDefault="00C46587" w:rsidP="00982118">
      <w:pPr>
        <w:rPr>
          <w:color w:val="000000"/>
        </w:rPr>
      </w:pPr>
    </w:p>
    <w:p w14:paraId="62259B92" w14:textId="77777777" w:rsidR="00C46587" w:rsidRPr="004F5FB4" w:rsidRDefault="00C46587" w:rsidP="00982118">
      <w:pPr>
        <w:rPr>
          <w:color w:val="000000"/>
        </w:rPr>
      </w:pPr>
    </w:p>
    <w:p w14:paraId="57CE1CC2" w14:textId="77777777" w:rsidR="00C46587" w:rsidRPr="004F5FB4" w:rsidRDefault="00C46587" w:rsidP="00F17530">
      <w:pPr>
        <w:pBdr>
          <w:top w:val="single" w:sz="4" w:space="1" w:color="auto"/>
          <w:left w:val="single" w:sz="4" w:space="4" w:color="auto"/>
          <w:bottom w:val="single" w:sz="4" w:space="1" w:color="auto"/>
          <w:right w:val="single" w:sz="4" w:space="4" w:color="auto"/>
        </w:pBdr>
        <w:ind w:left="567" w:hanging="567"/>
        <w:rPr>
          <w:b/>
          <w:color w:val="000000"/>
        </w:rPr>
      </w:pPr>
      <w:r w:rsidRPr="004F5FB4">
        <w:rPr>
          <w:b/>
          <w:color w:val="000000"/>
        </w:rPr>
        <w:t>18</w:t>
      </w:r>
      <w:r w:rsidRPr="004F5FB4">
        <w:rPr>
          <w:b/>
          <w:color w:val="000000"/>
        </w:rPr>
        <w:tab/>
        <w:t>INDIVIDUELLES ERKENNUNGSMERKMAL – VOM MENSCHEN LESBARES FORMAT</w:t>
      </w:r>
    </w:p>
    <w:p w14:paraId="19322DD3" w14:textId="77777777" w:rsidR="00C46587" w:rsidRPr="004F5FB4" w:rsidRDefault="00C46587" w:rsidP="00982118">
      <w:pPr>
        <w:rPr>
          <w:color w:val="000000"/>
        </w:rPr>
      </w:pPr>
    </w:p>
    <w:p w14:paraId="3514A7FB" w14:textId="77777777" w:rsidR="00C46587" w:rsidRPr="004F5FB4" w:rsidRDefault="00C46587" w:rsidP="00982118">
      <w:pPr>
        <w:rPr>
          <w:color w:val="000000"/>
        </w:rPr>
      </w:pPr>
      <w:r w:rsidRPr="004F5FB4">
        <w:rPr>
          <w:color w:val="000000"/>
        </w:rPr>
        <w:t>PC</w:t>
      </w:r>
    </w:p>
    <w:p w14:paraId="747D2817" w14:textId="77777777" w:rsidR="00C46587" w:rsidRPr="004F5FB4" w:rsidRDefault="00C46587" w:rsidP="00982118">
      <w:pPr>
        <w:rPr>
          <w:color w:val="000000"/>
        </w:rPr>
      </w:pPr>
      <w:r w:rsidRPr="004F5FB4">
        <w:rPr>
          <w:color w:val="000000"/>
        </w:rPr>
        <w:t>SN</w:t>
      </w:r>
    </w:p>
    <w:p w14:paraId="0077E761" w14:textId="77777777" w:rsidR="00C46587" w:rsidRPr="004F5FB4" w:rsidRDefault="00C46587" w:rsidP="00982118">
      <w:pPr>
        <w:rPr>
          <w:color w:val="000000"/>
        </w:rPr>
      </w:pPr>
      <w:r w:rsidRPr="004F5FB4">
        <w:rPr>
          <w:color w:val="000000"/>
        </w:rPr>
        <w:t>NN</w:t>
      </w:r>
    </w:p>
    <w:p w14:paraId="12F432CE" w14:textId="77777777" w:rsidR="00C46587" w:rsidRPr="004F5FB4" w:rsidRDefault="00C46587" w:rsidP="00982118">
      <w:pPr>
        <w:rPr>
          <w:color w:val="000000"/>
        </w:rPr>
      </w:pPr>
      <w:r w:rsidRPr="004F5FB4">
        <w:rPr>
          <w:color w:val="000000"/>
        </w:rPr>
        <w:br w:type="page"/>
      </w:r>
    </w:p>
    <w:p w14:paraId="3D4DD604"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lastRenderedPageBreak/>
        <w:t>MINDESTANGABEN AUF KLEINEN BEHÄLTNISSEN</w:t>
      </w:r>
    </w:p>
    <w:p w14:paraId="6E1819E0" w14:textId="77777777" w:rsidR="007E0DC1" w:rsidRPr="004F5FB4" w:rsidRDefault="007E0DC1" w:rsidP="00982118">
      <w:pPr>
        <w:pBdr>
          <w:top w:val="single" w:sz="4" w:space="1" w:color="auto"/>
          <w:left w:val="single" w:sz="4" w:space="4" w:color="auto"/>
          <w:bottom w:val="single" w:sz="4" w:space="1" w:color="auto"/>
          <w:right w:val="single" w:sz="4" w:space="4" w:color="auto"/>
        </w:pBdr>
        <w:rPr>
          <w:b/>
          <w:color w:val="000000"/>
        </w:rPr>
      </w:pPr>
    </w:p>
    <w:p w14:paraId="2DA5945F" w14:textId="77777777" w:rsidR="00C46587" w:rsidRPr="004F5FB4" w:rsidRDefault="00C46587" w:rsidP="00982118">
      <w:pPr>
        <w:pBdr>
          <w:top w:val="single" w:sz="4" w:space="1" w:color="auto"/>
          <w:left w:val="single" w:sz="4" w:space="4" w:color="auto"/>
          <w:bottom w:val="single" w:sz="4" w:space="1" w:color="auto"/>
          <w:right w:val="single" w:sz="4" w:space="4" w:color="auto"/>
        </w:pBdr>
        <w:rPr>
          <w:b/>
          <w:color w:val="000000"/>
        </w:rPr>
      </w:pPr>
      <w:r w:rsidRPr="004F5FB4">
        <w:rPr>
          <w:b/>
          <w:color w:val="000000"/>
        </w:rPr>
        <w:t>ETIKETT</w:t>
      </w:r>
      <w:r w:rsidR="007E0DC1" w:rsidRPr="004F5FB4">
        <w:rPr>
          <w:b/>
          <w:color w:val="000000"/>
        </w:rPr>
        <w:t xml:space="preserve"> (</w:t>
      </w:r>
      <w:r w:rsidR="007E0DC1" w:rsidRPr="004F5FB4">
        <w:rPr>
          <w:b/>
          <w:bCs/>
          <w:color w:val="000000"/>
        </w:rPr>
        <w:t>FERTIGPEN 40 mg/0,8 ml)</w:t>
      </w:r>
    </w:p>
    <w:p w14:paraId="4439CCDD" w14:textId="77777777" w:rsidR="00C46587" w:rsidRPr="004F5FB4" w:rsidRDefault="00C46587" w:rsidP="00982118">
      <w:pPr>
        <w:rPr>
          <w:color w:val="000000"/>
        </w:rPr>
      </w:pPr>
    </w:p>
    <w:p w14:paraId="787517A5" w14:textId="77777777" w:rsidR="00C46587" w:rsidRPr="004F5FB4" w:rsidRDefault="00C46587" w:rsidP="00982118">
      <w:pPr>
        <w:rPr>
          <w:color w:val="000000"/>
        </w:rPr>
      </w:pPr>
    </w:p>
    <w:p w14:paraId="3F18FB38"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1</w:t>
      </w:r>
      <w:r w:rsidRPr="004F5FB4">
        <w:rPr>
          <w:b/>
          <w:color w:val="000000"/>
        </w:rPr>
        <w:tab/>
        <w:t>BEZEICHNUNG DES ARZNEIMITTELS SOWIE ART DER ANWENDUNG</w:t>
      </w:r>
    </w:p>
    <w:p w14:paraId="3C6A6AEF" w14:textId="77777777" w:rsidR="00C46587" w:rsidRPr="004F5FB4" w:rsidRDefault="00C46587" w:rsidP="00982118">
      <w:pPr>
        <w:rPr>
          <w:color w:val="000000"/>
        </w:rPr>
      </w:pPr>
    </w:p>
    <w:p w14:paraId="599539A0" w14:textId="77777777" w:rsidR="00C46587" w:rsidRPr="00E26A2B" w:rsidRDefault="006A1144" w:rsidP="00982118">
      <w:pPr>
        <w:rPr>
          <w:color w:val="000000"/>
        </w:rPr>
      </w:pPr>
      <w:r w:rsidRPr="00E26A2B">
        <w:rPr>
          <w:color w:val="000000"/>
        </w:rPr>
        <w:t>Amsparity 40 mg Injektion</w:t>
      </w:r>
    </w:p>
    <w:p w14:paraId="4CD0910E" w14:textId="77777777" w:rsidR="00C46587" w:rsidRPr="00E26A2B" w:rsidRDefault="00C46587" w:rsidP="00982118">
      <w:pPr>
        <w:rPr>
          <w:color w:val="000000"/>
        </w:rPr>
      </w:pPr>
      <w:r w:rsidRPr="00E26A2B">
        <w:rPr>
          <w:color w:val="000000"/>
        </w:rPr>
        <w:t>Adalimumab</w:t>
      </w:r>
    </w:p>
    <w:p w14:paraId="7859AF6F" w14:textId="77777777" w:rsidR="00C46587" w:rsidRPr="00E26A2B" w:rsidRDefault="00AA1625" w:rsidP="00982118">
      <w:pPr>
        <w:rPr>
          <w:color w:val="000000"/>
        </w:rPr>
      </w:pPr>
      <w:r w:rsidRPr="00E26A2B">
        <w:rPr>
          <w:color w:val="000000"/>
        </w:rPr>
        <w:t>s.c.</w:t>
      </w:r>
    </w:p>
    <w:p w14:paraId="23AC1E00" w14:textId="77777777" w:rsidR="00C46587" w:rsidRPr="00E26A2B" w:rsidRDefault="00C46587" w:rsidP="00982118">
      <w:pPr>
        <w:rPr>
          <w:color w:val="000000"/>
        </w:rPr>
      </w:pPr>
    </w:p>
    <w:p w14:paraId="1D07B667" w14:textId="77777777" w:rsidR="00C46587" w:rsidRPr="00E26A2B" w:rsidRDefault="00C46587" w:rsidP="00982118">
      <w:pPr>
        <w:rPr>
          <w:color w:val="000000"/>
        </w:rPr>
      </w:pPr>
    </w:p>
    <w:p w14:paraId="4BED3D12"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2</w:t>
      </w:r>
      <w:r w:rsidRPr="004F5FB4">
        <w:rPr>
          <w:b/>
          <w:color w:val="000000"/>
        </w:rPr>
        <w:tab/>
        <w:t>HINWEISE ZUR ANWENDUNG</w:t>
      </w:r>
    </w:p>
    <w:p w14:paraId="674CC975" w14:textId="77777777" w:rsidR="00C46587" w:rsidRPr="004F5FB4" w:rsidRDefault="00C46587" w:rsidP="00982118">
      <w:pPr>
        <w:rPr>
          <w:color w:val="000000"/>
        </w:rPr>
      </w:pPr>
    </w:p>
    <w:p w14:paraId="07D97941" w14:textId="77777777" w:rsidR="00C46587" w:rsidRPr="004F5FB4" w:rsidRDefault="00C46587" w:rsidP="00982118">
      <w:pPr>
        <w:rPr>
          <w:color w:val="000000"/>
        </w:rPr>
      </w:pPr>
    </w:p>
    <w:p w14:paraId="3D0D6DBB"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3</w:t>
      </w:r>
      <w:r w:rsidRPr="004F5FB4">
        <w:rPr>
          <w:b/>
          <w:color w:val="000000"/>
        </w:rPr>
        <w:tab/>
        <w:t>VERFALLDATUM</w:t>
      </w:r>
    </w:p>
    <w:p w14:paraId="473784D6" w14:textId="77777777" w:rsidR="00C46587" w:rsidRPr="004F5FB4" w:rsidRDefault="00C46587" w:rsidP="00982118">
      <w:pPr>
        <w:rPr>
          <w:color w:val="000000"/>
        </w:rPr>
      </w:pPr>
    </w:p>
    <w:p w14:paraId="37EFE0C8" w14:textId="77777777" w:rsidR="00C46587" w:rsidRPr="004F5FB4" w:rsidRDefault="00C46587" w:rsidP="00982118">
      <w:pPr>
        <w:rPr>
          <w:color w:val="000000"/>
        </w:rPr>
      </w:pPr>
      <w:r w:rsidRPr="004F5FB4">
        <w:rPr>
          <w:color w:val="000000"/>
        </w:rPr>
        <w:t>Verwendbar bis</w:t>
      </w:r>
    </w:p>
    <w:p w14:paraId="088F26BC" w14:textId="77777777" w:rsidR="00C46587" w:rsidRPr="004F5FB4" w:rsidRDefault="00C46587" w:rsidP="00982118">
      <w:pPr>
        <w:rPr>
          <w:color w:val="000000"/>
        </w:rPr>
      </w:pPr>
    </w:p>
    <w:p w14:paraId="76CDB81C" w14:textId="77777777" w:rsidR="00C46587" w:rsidRPr="004F5FB4" w:rsidRDefault="00C46587" w:rsidP="00982118">
      <w:pPr>
        <w:rPr>
          <w:color w:val="000000"/>
        </w:rPr>
      </w:pPr>
    </w:p>
    <w:p w14:paraId="4D1D04C1"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4</w:t>
      </w:r>
      <w:r w:rsidRPr="004F5FB4">
        <w:rPr>
          <w:b/>
          <w:color w:val="000000"/>
        </w:rPr>
        <w:tab/>
        <w:t>CHARGENBEZEICHNUNG</w:t>
      </w:r>
    </w:p>
    <w:p w14:paraId="6D4C403E" w14:textId="77777777" w:rsidR="00C46587" w:rsidRPr="004F5FB4" w:rsidRDefault="00C46587" w:rsidP="00982118">
      <w:pPr>
        <w:rPr>
          <w:color w:val="000000"/>
        </w:rPr>
      </w:pPr>
    </w:p>
    <w:p w14:paraId="21498C74" w14:textId="77777777" w:rsidR="00C46587" w:rsidRPr="004F5FB4" w:rsidRDefault="00C46587" w:rsidP="00982118">
      <w:pPr>
        <w:rPr>
          <w:color w:val="000000"/>
        </w:rPr>
      </w:pPr>
      <w:r w:rsidRPr="004F5FB4">
        <w:rPr>
          <w:color w:val="000000"/>
        </w:rPr>
        <w:t>Ch.-B.</w:t>
      </w:r>
    </w:p>
    <w:p w14:paraId="1D9DF06C" w14:textId="77777777" w:rsidR="00C46587" w:rsidRPr="004F5FB4" w:rsidRDefault="00C46587" w:rsidP="00982118">
      <w:pPr>
        <w:rPr>
          <w:color w:val="000000"/>
        </w:rPr>
      </w:pPr>
    </w:p>
    <w:p w14:paraId="4F1D0E24" w14:textId="77777777" w:rsidR="00C46587" w:rsidRPr="004F5FB4" w:rsidRDefault="00C46587" w:rsidP="00982118">
      <w:pPr>
        <w:rPr>
          <w:color w:val="000000"/>
        </w:rPr>
      </w:pPr>
    </w:p>
    <w:p w14:paraId="28B449AE"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5</w:t>
      </w:r>
      <w:r w:rsidRPr="004F5FB4">
        <w:rPr>
          <w:b/>
          <w:color w:val="000000"/>
        </w:rPr>
        <w:tab/>
        <w:t>INHALT NACH GEWICHT, VOLUMEN ODER EINHEITEN</w:t>
      </w:r>
    </w:p>
    <w:p w14:paraId="277B6072" w14:textId="77777777" w:rsidR="00C46587" w:rsidRPr="004F5FB4" w:rsidRDefault="00C46587" w:rsidP="00982118">
      <w:pPr>
        <w:rPr>
          <w:color w:val="000000"/>
        </w:rPr>
      </w:pPr>
    </w:p>
    <w:p w14:paraId="432FACC9" w14:textId="77777777" w:rsidR="00C46587" w:rsidRPr="004F5FB4" w:rsidRDefault="00C46587" w:rsidP="00982118">
      <w:pPr>
        <w:rPr>
          <w:color w:val="000000"/>
        </w:rPr>
      </w:pPr>
      <w:r w:rsidRPr="004F5FB4">
        <w:rPr>
          <w:color w:val="000000"/>
          <w:highlight w:val="lightGray"/>
        </w:rPr>
        <w:t>40 mg/0,8 ml</w:t>
      </w:r>
    </w:p>
    <w:p w14:paraId="17047DC7" w14:textId="77777777" w:rsidR="00C46587" w:rsidRPr="004F5FB4" w:rsidRDefault="00C46587" w:rsidP="00982118">
      <w:pPr>
        <w:rPr>
          <w:color w:val="000000"/>
        </w:rPr>
      </w:pPr>
    </w:p>
    <w:p w14:paraId="2259FE35" w14:textId="77777777" w:rsidR="00CB1BA7" w:rsidRPr="004F5FB4" w:rsidRDefault="00CB1BA7" w:rsidP="00982118">
      <w:pPr>
        <w:rPr>
          <w:color w:val="000000"/>
        </w:rPr>
      </w:pPr>
    </w:p>
    <w:p w14:paraId="7179F298" w14:textId="77777777" w:rsidR="00C46587" w:rsidRPr="004F5FB4"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F5FB4">
        <w:rPr>
          <w:b/>
          <w:color w:val="000000"/>
        </w:rPr>
        <w:t>6</w:t>
      </w:r>
      <w:r w:rsidRPr="004F5FB4">
        <w:rPr>
          <w:b/>
          <w:color w:val="000000"/>
        </w:rPr>
        <w:tab/>
        <w:t>WEITERE ANGABEN</w:t>
      </w:r>
    </w:p>
    <w:p w14:paraId="6E5CAC06" w14:textId="77777777" w:rsidR="00C46587" w:rsidRPr="004F5FB4" w:rsidRDefault="00C46587" w:rsidP="00982118">
      <w:pPr>
        <w:rPr>
          <w:color w:val="000000"/>
        </w:rPr>
      </w:pPr>
    </w:p>
    <w:p w14:paraId="7440574A" w14:textId="77777777" w:rsidR="00C46587" w:rsidRPr="004F5FB4" w:rsidRDefault="00C46587" w:rsidP="00982118">
      <w:pPr>
        <w:rPr>
          <w:color w:val="000000"/>
        </w:rPr>
      </w:pPr>
      <w:r w:rsidRPr="004F5FB4">
        <w:rPr>
          <w:color w:val="000000"/>
        </w:rPr>
        <w:br w:type="page"/>
      </w:r>
    </w:p>
    <w:p w14:paraId="6361AE7D" w14:textId="77777777" w:rsidR="00C46587" w:rsidRPr="004F5FB4" w:rsidRDefault="00C46587" w:rsidP="00982118">
      <w:pPr>
        <w:rPr>
          <w:color w:val="000000"/>
        </w:rPr>
      </w:pPr>
    </w:p>
    <w:p w14:paraId="356FCDF3" w14:textId="77777777" w:rsidR="00C46587" w:rsidRPr="004F5FB4" w:rsidRDefault="00C46587" w:rsidP="00982118">
      <w:pPr>
        <w:rPr>
          <w:color w:val="000000"/>
        </w:rPr>
      </w:pPr>
    </w:p>
    <w:p w14:paraId="1D3CA345" w14:textId="77777777" w:rsidR="00C46587" w:rsidRPr="004F5FB4" w:rsidRDefault="00C46587" w:rsidP="00982118">
      <w:pPr>
        <w:rPr>
          <w:color w:val="000000"/>
        </w:rPr>
      </w:pPr>
    </w:p>
    <w:p w14:paraId="3A504630" w14:textId="77777777" w:rsidR="00C46587" w:rsidRPr="004F5FB4" w:rsidRDefault="00C46587" w:rsidP="00982118">
      <w:pPr>
        <w:rPr>
          <w:color w:val="000000"/>
        </w:rPr>
      </w:pPr>
    </w:p>
    <w:p w14:paraId="34A17B27" w14:textId="77777777" w:rsidR="00C46587" w:rsidRPr="004F5FB4" w:rsidRDefault="00C46587" w:rsidP="00982118">
      <w:pPr>
        <w:rPr>
          <w:color w:val="000000"/>
        </w:rPr>
      </w:pPr>
    </w:p>
    <w:p w14:paraId="31FE473C" w14:textId="77777777" w:rsidR="00C46587" w:rsidRPr="004F5FB4" w:rsidRDefault="00C46587" w:rsidP="00982118">
      <w:pPr>
        <w:rPr>
          <w:color w:val="000000"/>
        </w:rPr>
      </w:pPr>
    </w:p>
    <w:p w14:paraId="02FF87E4" w14:textId="77777777" w:rsidR="00C46587" w:rsidRPr="004F5FB4" w:rsidRDefault="00C46587" w:rsidP="00982118">
      <w:pPr>
        <w:rPr>
          <w:color w:val="000000"/>
        </w:rPr>
      </w:pPr>
    </w:p>
    <w:p w14:paraId="200CE70F" w14:textId="77777777" w:rsidR="00C46587" w:rsidRPr="004F5FB4" w:rsidRDefault="00C46587" w:rsidP="00982118">
      <w:pPr>
        <w:rPr>
          <w:color w:val="000000"/>
        </w:rPr>
      </w:pPr>
    </w:p>
    <w:p w14:paraId="2A08EAE4" w14:textId="77777777" w:rsidR="00C46587" w:rsidRPr="004F5FB4" w:rsidRDefault="00C46587" w:rsidP="00982118">
      <w:pPr>
        <w:rPr>
          <w:color w:val="000000"/>
        </w:rPr>
      </w:pPr>
    </w:p>
    <w:p w14:paraId="3327FF66" w14:textId="77777777" w:rsidR="00C46587" w:rsidRPr="004F5FB4" w:rsidRDefault="00C46587" w:rsidP="00982118">
      <w:pPr>
        <w:rPr>
          <w:color w:val="000000"/>
        </w:rPr>
      </w:pPr>
    </w:p>
    <w:p w14:paraId="207DCC57" w14:textId="77777777" w:rsidR="00C46587" w:rsidRPr="004F5FB4" w:rsidRDefault="00C46587" w:rsidP="00982118">
      <w:pPr>
        <w:rPr>
          <w:color w:val="000000"/>
        </w:rPr>
      </w:pPr>
    </w:p>
    <w:p w14:paraId="1514E8BF" w14:textId="77777777" w:rsidR="00C46587" w:rsidRPr="004F5FB4" w:rsidRDefault="00C46587" w:rsidP="00982118">
      <w:pPr>
        <w:rPr>
          <w:color w:val="000000"/>
        </w:rPr>
      </w:pPr>
    </w:p>
    <w:p w14:paraId="5E319145" w14:textId="77777777" w:rsidR="00C46587" w:rsidRPr="004F5FB4" w:rsidRDefault="00C46587" w:rsidP="00982118">
      <w:pPr>
        <w:rPr>
          <w:color w:val="000000"/>
        </w:rPr>
      </w:pPr>
    </w:p>
    <w:p w14:paraId="2E9EF283" w14:textId="77777777" w:rsidR="00C46587" w:rsidRPr="004F5FB4" w:rsidRDefault="00C46587" w:rsidP="00982118">
      <w:pPr>
        <w:rPr>
          <w:color w:val="000000"/>
        </w:rPr>
      </w:pPr>
    </w:p>
    <w:p w14:paraId="22CA5B64" w14:textId="77777777" w:rsidR="00C46587" w:rsidRPr="004F5FB4" w:rsidRDefault="00C46587" w:rsidP="00982118">
      <w:pPr>
        <w:rPr>
          <w:color w:val="000000"/>
        </w:rPr>
      </w:pPr>
    </w:p>
    <w:p w14:paraId="4820CFF6" w14:textId="77777777" w:rsidR="00C46587" w:rsidRPr="004F5FB4" w:rsidRDefault="00C46587" w:rsidP="00982118">
      <w:pPr>
        <w:rPr>
          <w:color w:val="000000"/>
        </w:rPr>
      </w:pPr>
    </w:p>
    <w:p w14:paraId="2DD6F8E5" w14:textId="77777777" w:rsidR="00C46587" w:rsidRPr="004F5FB4" w:rsidRDefault="00C46587" w:rsidP="00982118">
      <w:pPr>
        <w:rPr>
          <w:color w:val="000000"/>
        </w:rPr>
      </w:pPr>
    </w:p>
    <w:p w14:paraId="2B172B94" w14:textId="77777777" w:rsidR="00C46587" w:rsidRPr="004F5FB4" w:rsidRDefault="00C46587" w:rsidP="00982118">
      <w:pPr>
        <w:rPr>
          <w:color w:val="000000"/>
        </w:rPr>
      </w:pPr>
    </w:p>
    <w:p w14:paraId="32EFA40F" w14:textId="77777777" w:rsidR="00C46587" w:rsidRPr="004F5FB4" w:rsidRDefault="00C46587" w:rsidP="00982118">
      <w:pPr>
        <w:rPr>
          <w:color w:val="000000"/>
        </w:rPr>
      </w:pPr>
    </w:p>
    <w:p w14:paraId="2E759E61" w14:textId="77777777" w:rsidR="00C46587" w:rsidRPr="004F5FB4" w:rsidRDefault="00C46587" w:rsidP="00982118">
      <w:pPr>
        <w:rPr>
          <w:color w:val="000000"/>
        </w:rPr>
      </w:pPr>
    </w:p>
    <w:p w14:paraId="7149BB4A" w14:textId="77777777" w:rsidR="00C46587" w:rsidRPr="004F5FB4" w:rsidRDefault="00C46587" w:rsidP="00982118">
      <w:pPr>
        <w:rPr>
          <w:color w:val="000000"/>
        </w:rPr>
      </w:pPr>
    </w:p>
    <w:p w14:paraId="34A2EDBC" w14:textId="77777777" w:rsidR="00C46587" w:rsidRPr="004F5FB4" w:rsidRDefault="00C46587" w:rsidP="00982118">
      <w:pPr>
        <w:rPr>
          <w:color w:val="000000"/>
        </w:rPr>
      </w:pPr>
    </w:p>
    <w:p w14:paraId="78F17665" w14:textId="77777777" w:rsidR="009F4C1B" w:rsidRDefault="009F4C1B" w:rsidP="00206AEA">
      <w:pPr>
        <w:pStyle w:val="Heading1"/>
        <w:jc w:val="center"/>
      </w:pPr>
    </w:p>
    <w:p w14:paraId="698715D8" w14:textId="6FCBCFD8" w:rsidR="00C46587" w:rsidRPr="004F5FB4" w:rsidRDefault="00C46587" w:rsidP="00206AEA">
      <w:pPr>
        <w:pStyle w:val="Heading1"/>
        <w:jc w:val="center"/>
      </w:pPr>
      <w:r w:rsidRPr="004F5FB4">
        <w:t>B. PACKUNGSBEILAGE</w:t>
      </w:r>
    </w:p>
    <w:p w14:paraId="7E5DE36B" w14:textId="77777777" w:rsidR="00B466EE" w:rsidRPr="004F5FB4" w:rsidRDefault="00B466EE" w:rsidP="004E705D">
      <w:pPr>
        <w:pStyle w:val="BodyText"/>
        <w:widowControl/>
        <w:kinsoku w:val="0"/>
        <w:overflowPunct w:val="0"/>
        <w:ind w:left="0"/>
        <w:jc w:val="center"/>
        <w:rPr>
          <w:color w:val="000000"/>
        </w:rPr>
      </w:pPr>
      <w:r w:rsidRPr="004F5FB4">
        <w:rPr>
          <w:color w:val="000000"/>
        </w:rPr>
        <w:br w:type="page"/>
      </w:r>
      <w:r w:rsidRPr="004F5FB4">
        <w:rPr>
          <w:b/>
          <w:bCs/>
          <w:color w:val="000000"/>
        </w:rPr>
        <w:lastRenderedPageBreak/>
        <w:t>Gebrauchsinformation: Information für Patienten</w:t>
      </w:r>
    </w:p>
    <w:p w14:paraId="72EA8BE9" w14:textId="77777777" w:rsidR="00B466EE" w:rsidRPr="004F5FB4" w:rsidRDefault="00B466EE" w:rsidP="004E705D">
      <w:pPr>
        <w:pStyle w:val="BodyText"/>
        <w:widowControl/>
        <w:kinsoku w:val="0"/>
        <w:overflowPunct w:val="0"/>
        <w:ind w:left="0"/>
        <w:rPr>
          <w:b/>
          <w:bCs/>
          <w:color w:val="000000"/>
        </w:rPr>
      </w:pPr>
    </w:p>
    <w:p w14:paraId="2B065638" w14:textId="77777777" w:rsidR="00B466EE" w:rsidRPr="004F5FB4" w:rsidRDefault="006A1144" w:rsidP="004E705D">
      <w:pPr>
        <w:pStyle w:val="BodyText"/>
        <w:widowControl/>
        <w:kinsoku w:val="0"/>
        <w:overflowPunct w:val="0"/>
        <w:spacing w:line="253" w:lineRule="exact"/>
        <w:ind w:left="0"/>
        <w:jc w:val="center"/>
        <w:rPr>
          <w:color w:val="000000"/>
        </w:rPr>
      </w:pPr>
      <w:r w:rsidRPr="004F5FB4">
        <w:rPr>
          <w:b/>
          <w:color w:val="000000"/>
        </w:rPr>
        <w:t>Amsparity 20 mg Injektionslösung in einer Fertigspritze</w:t>
      </w:r>
    </w:p>
    <w:p w14:paraId="2D265D77" w14:textId="77777777" w:rsidR="00B466EE" w:rsidRPr="004F5FB4" w:rsidRDefault="00F106C1" w:rsidP="004E705D">
      <w:pPr>
        <w:pStyle w:val="BodyText"/>
        <w:widowControl/>
        <w:kinsoku w:val="0"/>
        <w:overflowPunct w:val="0"/>
        <w:spacing w:line="253" w:lineRule="exact"/>
        <w:ind w:left="0"/>
        <w:jc w:val="center"/>
        <w:rPr>
          <w:color w:val="000000"/>
        </w:rPr>
      </w:pPr>
      <w:r w:rsidRPr="004F5FB4">
        <w:rPr>
          <w:color w:val="000000"/>
        </w:rPr>
        <w:t>Adalimumab</w:t>
      </w:r>
    </w:p>
    <w:p w14:paraId="33DC5DC5" w14:textId="77777777" w:rsidR="008E4207" w:rsidRPr="00BC6257" w:rsidRDefault="008E4207" w:rsidP="007A2E16">
      <w:pPr>
        <w:pStyle w:val="BodyText"/>
        <w:widowControl/>
        <w:kinsoku w:val="0"/>
        <w:overflowPunct w:val="0"/>
        <w:spacing w:line="253" w:lineRule="exact"/>
        <w:ind w:left="0"/>
        <w:rPr>
          <w:color w:val="000000"/>
        </w:rPr>
      </w:pPr>
    </w:p>
    <w:p w14:paraId="2806299B" w14:textId="77777777" w:rsidR="00A65FE9" w:rsidRPr="00BC6257" w:rsidRDefault="00A65FE9" w:rsidP="007A2E16">
      <w:pPr>
        <w:pStyle w:val="BodyText"/>
        <w:widowControl/>
        <w:kinsoku w:val="0"/>
        <w:overflowPunct w:val="0"/>
        <w:spacing w:line="253" w:lineRule="exact"/>
        <w:ind w:left="0"/>
        <w:rPr>
          <w:color w:val="000000"/>
        </w:rPr>
      </w:pPr>
    </w:p>
    <w:p w14:paraId="0F76ED63" w14:textId="77777777" w:rsidR="00A65FE9" w:rsidRPr="00BC6257" w:rsidRDefault="00A65FE9" w:rsidP="007A2E16">
      <w:pPr>
        <w:pStyle w:val="BodyText"/>
        <w:widowControl/>
        <w:kinsoku w:val="0"/>
        <w:overflowPunct w:val="0"/>
        <w:spacing w:line="253" w:lineRule="exact"/>
        <w:ind w:left="0"/>
        <w:rPr>
          <w:color w:val="000000"/>
        </w:rPr>
      </w:pPr>
    </w:p>
    <w:p w14:paraId="607DACC7" w14:textId="77777777" w:rsidR="00A65FE9" w:rsidRPr="00BC6257" w:rsidRDefault="00A65FE9" w:rsidP="007A2E16">
      <w:pPr>
        <w:pStyle w:val="BodyText"/>
        <w:widowControl/>
        <w:kinsoku w:val="0"/>
        <w:overflowPunct w:val="0"/>
        <w:spacing w:line="253" w:lineRule="exact"/>
        <w:ind w:left="0"/>
        <w:rPr>
          <w:color w:val="000000"/>
        </w:rPr>
      </w:pPr>
    </w:p>
    <w:p w14:paraId="505A48E0" w14:textId="77777777" w:rsidR="00A65FE9" w:rsidRPr="00BC6257" w:rsidRDefault="00A65FE9" w:rsidP="007A2E16">
      <w:pPr>
        <w:pStyle w:val="BodyText"/>
        <w:widowControl/>
        <w:kinsoku w:val="0"/>
        <w:overflowPunct w:val="0"/>
        <w:spacing w:line="253" w:lineRule="exact"/>
        <w:ind w:left="0"/>
        <w:rPr>
          <w:color w:val="000000"/>
        </w:rPr>
      </w:pPr>
    </w:p>
    <w:p w14:paraId="32AA9982" w14:textId="77777777" w:rsidR="00A65FE9" w:rsidRPr="00BC6257" w:rsidRDefault="00A65FE9" w:rsidP="007A2E16">
      <w:pPr>
        <w:pStyle w:val="BodyText"/>
        <w:widowControl/>
        <w:kinsoku w:val="0"/>
        <w:overflowPunct w:val="0"/>
        <w:spacing w:line="253" w:lineRule="exact"/>
        <w:ind w:left="0"/>
        <w:rPr>
          <w:color w:val="000000"/>
        </w:rPr>
      </w:pPr>
    </w:p>
    <w:p w14:paraId="55CFEBCA" w14:textId="77777777" w:rsidR="00A65FE9" w:rsidRPr="00BC6257" w:rsidRDefault="00A65FE9" w:rsidP="007A2E16">
      <w:pPr>
        <w:pStyle w:val="BodyText"/>
        <w:widowControl/>
        <w:kinsoku w:val="0"/>
        <w:overflowPunct w:val="0"/>
        <w:spacing w:line="253" w:lineRule="exact"/>
        <w:ind w:left="0"/>
        <w:rPr>
          <w:color w:val="000000"/>
        </w:rPr>
      </w:pPr>
    </w:p>
    <w:p w14:paraId="24957CE0" w14:textId="77777777" w:rsidR="00A65FE9" w:rsidRPr="00BC6257" w:rsidRDefault="00A65FE9" w:rsidP="007A2E16">
      <w:pPr>
        <w:pStyle w:val="BodyText"/>
        <w:widowControl/>
        <w:kinsoku w:val="0"/>
        <w:overflowPunct w:val="0"/>
        <w:spacing w:line="253" w:lineRule="exact"/>
        <w:ind w:left="0"/>
        <w:rPr>
          <w:color w:val="000000"/>
        </w:rPr>
      </w:pPr>
    </w:p>
    <w:p w14:paraId="15E464B6" w14:textId="77777777" w:rsidR="00A65FE9" w:rsidRPr="00BC6257" w:rsidRDefault="00A65FE9" w:rsidP="007A2E16">
      <w:pPr>
        <w:pStyle w:val="BodyText"/>
        <w:widowControl/>
        <w:kinsoku w:val="0"/>
        <w:overflowPunct w:val="0"/>
        <w:spacing w:line="253" w:lineRule="exact"/>
        <w:ind w:left="0"/>
        <w:rPr>
          <w:color w:val="000000"/>
        </w:rPr>
      </w:pPr>
    </w:p>
    <w:p w14:paraId="75F84A98" w14:textId="4D649374" w:rsidR="00A65FE9" w:rsidRPr="004F5FB4" w:rsidRDefault="00032CD3" w:rsidP="004E705D">
      <w:pPr>
        <w:pStyle w:val="BodyText"/>
        <w:widowControl/>
        <w:kinsoku w:val="0"/>
        <w:overflowPunct w:val="0"/>
        <w:spacing w:line="253" w:lineRule="exact"/>
        <w:ind w:left="0"/>
        <w:jc w:val="center"/>
        <w:rPr>
          <w:color w:val="000000"/>
        </w:rPr>
      </w:pPr>
      <w:r w:rsidRPr="004F5FB4">
        <w:rPr>
          <w:noProof/>
          <w:color w:val="000000"/>
          <w:lang w:val="en-GB"/>
        </w:rPr>
        <w:drawing>
          <wp:anchor distT="0" distB="0" distL="114300" distR="114300" simplePos="0" relativeHeight="251658341" behindDoc="0" locked="0" layoutInCell="1" allowOverlap="1" wp14:anchorId="6E2ED2C1" wp14:editId="5E31235B">
            <wp:simplePos x="0" y="0"/>
            <wp:positionH relativeFrom="column">
              <wp:posOffset>863691</wp:posOffset>
            </wp:positionH>
            <wp:positionV relativeFrom="paragraph">
              <wp:posOffset>-1097371</wp:posOffset>
            </wp:positionV>
            <wp:extent cx="4037965" cy="1228725"/>
            <wp:effectExtent l="0" t="0" r="0" b="9525"/>
            <wp:wrapNone/>
            <wp:docPr id="288" name="Bild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7965" cy="1228725"/>
                    </a:xfrm>
                    <a:prstGeom prst="rect">
                      <a:avLst/>
                    </a:prstGeom>
                    <a:noFill/>
                  </pic:spPr>
                </pic:pic>
              </a:graphicData>
            </a:graphic>
            <wp14:sizeRelH relativeFrom="page">
              <wp14:pctWidth>0</wp14:pctWidth>
            </wp14:sizeRelH>
            <wp14:sizeRelV relativeFrom="page">
              <wp14:pctHeight>0</wp14:pctHeight>
            </wp14:sizeRelV>
          </wp:anchor>
        </w:drawing>
      </w:r>
    </w:p>
    <w:p w14:paraId="687A25BD" w14:textId="77777777" w:rsidR="00B466EE" w:rsidRPr="004F5FB4" w:rsidRDefault="00B466EE" w:rsidP="004E705D">
      <w:pPr>
        <w:pStyle w:val="BodyText"/>
        <w:widowControl/>
        <w:kinsoku w:val="0"/>
        <w:overflowPunct w:val="0"/>
        <w:ind w:left="0"/>
        <w:rPr>
          <w:color w:val="000000"/>
        </w:rPr>
      </w:pPr>
    </w:p>
    <w:p w14:paraId="3106B733" w14:textId="77777777" w:rsidR="00B466EE" w:rsidRPr="004F5FB4" w:rsidRDefault="00B466EE" w:rsidP="00F60620">
      <w:pPr>
        <w:pStyle w:val="BodyText"/>
        <w:widowControl/>
        <w:kinsoku w:val="0"/>
        <w:overflowPunct w:val="0"/>
        <w:ind w:left="0"/>
        <w:rPr>
          <w:b/>
          <w:bCs/>
          <w:color w:val="000000"/>
        </w:rPr>
      </w:pPr>
      <w:r w:rsidRPr="00F60620">
        <w:rPr>
          <w:b/>
          <w:bCs/>
          <w:color w:val="000000"/>
        </w:rPr>
        <w:t>Lesen Sie die gesamte Packungsbeilage sorgfältig durch, bevor Ihr Kind mit der Anwendung dieses Arzneimittels beginnt, denn sie enthält wichtige Informationen.</w:t>
      </w:r>
    </w:p>
    <w:p w14:paraId="69AEFCD0" w14:textId="77777777" w:rsidR="00B466EE" w:rsidRPr="004F5FB4" w:rsidRDefault="00B466EE" w:rsidP="007431C8">
      <w:pPr>
        <w:pStyle w:val="BodyText"/>
        <w:widowControl/>
        <w:numPr>
          <w:ilvl w:val="0"/>
          <w:numId w:val="25"/>
        </w:numPr>
        <w:kinsoku w:val="0"/>
        <w:overflowPunct w:val="0"/>
        <w:autoSpaceDE w:val="0"/>
        <w:autoSpaceDN w:val="0"/>
        <w:adjustRightInd w:val="0"/>
        <w:ind w:left="562" w:hanging="562"/>
        <w:rPr>
          <w:color w:val="000000"/>
        </w:rPr>
      </w:pPr>
      <w:r w:rsidRPr="004F5FB4">
        <w:rPr>
          <w:color w:val="000000"/>
        </w:rPr>
        <w:t>Heben Sie die Packungsbeilage auf. Vielleicht möchten Sie diese später nochmals lesen.</w:t>
      </w:r>
    </w:p>
    <w:p w14:paraId="792596DE" w14:textId="77777777" w:rsidR="00B466EE" w:rsidRPr="004F5FB4" w:rsidRDefault="00B466EE" w:rsidP="003533D2">
      <w:pPr>
        <w:pStyle w:val="BodyText"/>
        <w:widowControl/>
        <w:numPr>
          <w:ilvl w:val="0"/>
          <w:numId w:val="25"/>
        </w:numPr>
        <w:kinsoku w:val="0"/>
        <w:overflowPunct w:val="0"/>
        <w:autoSpaceDE w:val="0"/>
        <w:autoSpaceDN w:val="0"/>
        <w:adjustRightInd w:val="0"/>
        <w:ind w:left="567" w:hanging="567"/>
        <w:rPr>
          <w:color w:val="000000"/>
        </w:rPr>
      </w:pPr>
      <w:r w:rsidRPr="004F5FB4">
        <w:rPr>
          <w:color w:val="000000"/>
        </w:rPr>
        <w:t>Der Arzt Ihres Kindes wird Ihnen auch einen Patientenpass aushändigen, der wichtige Informationen zur Sicherheit enthält, die Sie vor und während der Behandlung Ihres Kindes mit Amsparity beachten sollten. Sie oder Ihr Kind sollten diesen Patientenpass mit sich führen.</w:t>
      </w:r>
    </w:p>
    <w:p w14:paraId="3219C4A6" w14:textId="77777777" w:rsidR="00B466EE" w:rsidRPr="004F5FB4" w:rsidRDefault="00B466EE" w:rsidP="003533D2">
      <w:pPr>
        <w:pStyle w:val="BodyText"/>
        <w:widowControl/>
        <w:numPr>
          <w:ilvl w:val="0"/>
          <w:numId w:val="25"/>
        </w:numPr>
        <w:kinsoku w:val="0"/>
        <w:overflowPunct w:val="0"/>
        <w:autoSpaceDE w:val="0"/>
        <w:autoSpaceDN w:val="0"/>
        <w:adjustRightInd w:val="0"/>
        <w:ind w:left="567" w:hanging="567"/>
        <w:rPr>
          <w:color w:val="000000"/>
        </w:rPr>
      </w:pPr>
      <w:r w:rsidRPr="004F5FB4">
        <w:rPr>
          <w:color w:val="000000"/>
        </w:rPr>
        <w:t>Wenn Sie weitere Fragen haben, wenden Sie sich an den Arzt oder Apotheker Ihres Kindes.</w:t>
      </w:r>
    </w:p>
    <w:p w14:paraId="2199F3D7" w14:textId="77777777" w:rsidR="00B466EE" w:rsidRPr="004F5FB4" w:rsidRDefault="00B466EE" w:rsidP="003533D2">
      <w:pPr>
        <w:pStyle w:val="BodyText"/>
        <w:widowControl/>
        <w:numPr>
          <w:ilvl w:val="0"/>
          <w:numId w:val="25"/>
        </w:numPr>
        <w:kinsoku w:val="0"/>
        <w:overflowPunct w:val="0"/>
        <w:autoSpaceDE w:val="0"/>
        <w:autoSpaceDN w:val="0"/>
        <w:adjustRightInd w:val="0"/>
        <w:ind w:left="567" w:hanging="567"/>
        <w:rPr>
          <w:color w:val="000000"/>
        </w:rPr>
      </w:pPr>
      <w:r w:rsidRPr="004F5FB4">
        <w:rPr>
          <w:color w:val="000000"/>
        </w:rPr>
        <w:t>Dieses Arzneimittel wurde Ihrem Kind persönlich verschrieben. Geben Sie es nicht an Dritte weiter. Es kann anderen Menschen schaden, auch wenn diese die gleichen Beschwerden haben wie Ihr Kind.</w:t>
      </w:r>
    </w:p>
    <w:p w14:paraId="2A2C4949" w14:textId="77777777" w:rsidR="00B466EE" w:rsidRPr="004F5FB4" w:rsidRDefault="00B466EE" w:rsidP="003533D2">
      <w:pPr>
        <w:pStyle w:val="BodyText"/>
        <w:widowControl/>
        <w:numPr>
          <w:ilvl w:val="0"/>
          <w:numId w:val="25"/>
        </w:numPr>
        <w:kinsoku w:val="0"/>
        <w:overflowPunct w:val="0"/>
        <w:autoSpaceDE w:val="0"/>
        <w:autoSpaceDN w:val="0"/>
        <w:adjustRightInd w:val="0"/>
        <w:ind w:left="567" w:hanging="567"/>
        <w:rPr>
          <w:color w:val="000000"/>
        </w:rPr>
      </w:pPr>
      <w:r w:rsidRPr="004F5FB4">
        <w:rPr>
          <w:color w:val="000000"/>
        </w:rPr>
        <w:t>Wenn Ihr Kind Nebenwirkungen bekommt, wenden Sie sich an den Arzt oder Apotheker Ihres Kindes. Dies gilt auch für Nebenwirkungen, die nicht in dieser Packungsbeilage angegeben sind. Siehe Abschnitt</w:t>
      </w:r>
      <w:r w:rsidR="00A87FE1" w:rsidRPr="004F5FB4">
        <w:rPr>
          <w:color w:val="000000"/>
        </w:rPr>
        <w:t> </w:t>
      </w:r>
      <w:r w:rsidRPr="004F5FB4">
        <w:rPr>
          <w:color w:val="000000"/>
        </w:rPr>
        <w:t>4.</w:t>
      </w:r>
    </w:p>
    <w:p w14:paraId="0004489F" w14:textId="77777777" w:rsidR="00B466EE" w:rsidRPr="004F5FB4" w:rsidRDefault="00B466EE" w:rsidP="004E705D">
      <w:pPr>
        <w:pStyle w:val="BodyText"/>
        <w:widowControl/>
        <w:kinsoku w:val="0"/>
        <w:overflowPunct w:val="0"/>
        <w:ind w:left="0"/>
        <w:rPr>
          <w:color w:val="000000"/>
          <w:lang w:val="en-GB"/>
        </w:rPr>
      </w:pPr>
    </w:p>
    <w:p w14:paraId="3F6299BC" w14:textId="77777777" w:rsidR="003A2AD2" w:rsidRPr="00F60620" w:rsidRDefault="00B466EE" w:rsidP="00F60620">
      <w:pPr>
        <w:pStyle w:val="BodyText"/>
        <w:widowControl/>
        <w:kinsoku w:val="0"/>
        <w:overflowPunct w:val="0"/>
        <w:ind w:left="0"/>
        <w:rPr>
          <w:b/>
          <w:bCs/>
          <w:color w:val="000000"/>
        </w:rPr>
      </w:pPr>
      <w:r w:rsidRPr="00F60620">
        <w:rPr>
          <w:b/>
          <w:bCs/>
          <w:color w:val="000000"/>
        </w:rPr>
        <w:t>Was in dieser Packungsbeilage steht</w:t>
      </w:r>
    </w:p>
    <w:p w14:paraId="44B08DF3" w14:textId="77777777" w:rsidR="003A2AD2" w:rsidRPr="00F60620" w:rsidRDefault="003A2AD2" w:rsidP="00F60620">
      <w:pPr>
        <w:pStyle w:val="BodyText"/>
        <w:widowControl/>
        <w:kinsoku w:val="0"/>
        <w:overflowPunct w:val="0"/>
        <w:ind w:left="0"/>
        <w:rPr>
          <w:b/>
          <w:bCs/>
          <w:color w:val="000000"/>
        </w:rPr>
      </w:pPr>
    </w:p>
    <w:p w14:paraId="44428403" w14:textId="77777777" w:rsidR="00B466EE" w:rsidRPr="004F5FB4" w:rsidRDefault="00B466EE" w:rsidP="004E705D">
      <w:pPr>
        <w:pStyle w:val="BodyText"/>
        <w:widowControl/>
        <w:numPr>
          <w:ilvl w:val="0"/>
          <w:numId w:val="56"/>
        </w:numPr>
        <w:kinsoku w:val="0"/>
        <w:overflowPunct w:val="0"/>
        <w:autoSpaceDE w:val="0"/>
        <w:autoSpaceDN w:val="0"/>
        <w:adjustRightInd w:val="0"/>
        <w:ind w:left="562" w:hanging="562"/>
        <w:rPr>
          <w:color w:val="000000"/>
        </w:rPr>
      </w:pPr>
      <w:r w:rsidRPr="004F5FB4">
        <w:rPr>
          <w:color w:val="000000"/>
        </w:rPr>
        <w:t>Was ist Amsparity und wofür wird es angewendet?</w:t>
      </w:r>
    </w:p>
    <w:p w14:paraId="46CF2DAC" w14:textId="77777777" w:rsidR="00B466EE" w:rsidRPr="004F5FB4" w:rsidRDefault="00B466EE" w:rsidP="004E705D">
      <w:pPr>
        <w:pStyle w:val="BodyText"/>
        <w:widowControl/>
        <w:numPr>
          <w:ilvl w:val="0"/>
          <w:numId w:val="56"/>
        </w:numPr>
        <w:kinsoku w:val="0"/>
        <w:overflowPunct w:val="0"/>
        <w:autoSpaceDE w:val="0"/>
        <w:autoSpaceDN w:val="0"/>
        <w:adjustRightInd w:val="0"/>
        <w:spacing w:line="253" w:lineRule="exact"/>
        <w:ind w:left="562" w:hanging="562"/>
        <w:rPr>
          <w:color w:val="000000"/>
        </w:rPr>
      </w:pPr>
      <w:r w:rsidRPr="004F5FB4">
        <w:rPr>
          <w:color w:val="000000"/>
        </w:rPr>
        <w:t>Was sollten Sie vor der Anwendung von Amsparity bei Ihrem Kind beachten?</w:t>
      </w:r>
    </w:p>
    <w:p w14:paraId="1517FD5F" w14:textId="77777777" w:rsidR="00B466EE" w:rsidRPr="004F5FB4" w:rsidRDefault="00B466EE" w:rsidP="004E705D">
      <w:pPr>
        <w:pStyle w:val="BodyText"/>
        <w:widowControl/>
        <w:numPr>
          <w:ilvl w:val="0"/>
          <w:numId w:val="56"/>
        </w:numPr>
        <w:kinsoku w:val="0"/>
        <w:overflowPunct w:val="0"/>
        <w:autoSpaceDE w:val="0"/>
        <w:autoSpaceDN w:val="0"/>
        <w:adjustRightInd w:val="0"/>
        <w:ind w:left="562" w:hanging="562"/>
        <w:rPr>
          <w:color w:val="000000"/>
        </w:rPr>
      </w:pPr>
      <w:r w:rsidRPr="004F5FB4">
        <w:rPr>
          <w:color w:val="000000"/>
        </w:rPr>
        <w:t>Wie ist Amsparity anzuwenden?</w:t>
      </w:r>
    </w:p>
    <w:p w14:paraId="545FEFD7" w14:textId="77777777" w:rsidR="00B466EE" w:rsidRPr="004F5FB4" w:rsidRDefault="00B466EE" w:rsidP="004E705D">
      <w:pPr>
        <w:pStyle w:val="BodyText"/>
        <w:widowControl/>
        <w:numPr>
          <w:ilvl w:val="0"/>
          <w:numId w:val="56"/>
        </w:numPr>
        <w:kinsoku w:val="0"/>
        <w:overflowPunct w:val="0"/>
        <w:autoSpaceDE w:val="0"/>
        <w:autoSpaceDN w:val="0"/>
        <w:adjustRightInd w:val="0"/>
        <w:ind w:left="562" w:hanging="562"/>
        <w:rPr>
          <w:color w:val="000000"/>
        </w:rPr>
      </w:pPr>
      <w:r w:rsidRPr="004F5FB4">
        <w:rPr>
          <w:color w:val="000000"/>
        </w:rPr>
        <w:t>Welche Nebenwirkungen sind möglich?</w:t>
      </w:r>
    </w:p>
    <w:p w14:paraId="7F80EC22" w14:textId="77777777" w:rsidR="00B466EE" w:rsidRPr="004F5FB4" w:rsidRDefault="00B466EE" w:rsidP="004E705D">
      <w:pPr>
        <w:pStyle w:val="BodyText"/>
        <w:widowControl/>
        <w:numPr>
          <w:ilvl w:val="0"/>
          <w:numId w:val="56"/>
        </w:numPr>
        <w:kinsoku w:val="0"/>
        <w:overflowPunct w:val="0"/>
        <w:ind w:left="562" w:hanging="562"/>
        <w:rPr>
          <w:color w:val="000000"/>
        </w:rPr>
      </w:pPr>
      <w:r w:rsidRPr="004F5FB4">
        <w:rPr>
          <w:color w:val="000000"/>
        </w:rPr>
        <w:t>Wie ist Amsparity aufzubewahren?</w:t>
      </w:r>
    </w:p>
    <w:p w14:paraId="0FEFDD2D" w14:textId="77777777" w:rsidR="00B466EE" w:rsidRPr="004F5FB4" w:rsidRDefault="00B466EE" w:rsidP="004E705D">
      <w:pPr>
        <w:pStyle w:val="BodyText"/>
        <w:widowControl/>
        <w:numPr>
          <w:ilvl w:val="0"/>
          <w:numId w:val="23"/>
        </w:numPr>
        <w:kinsoku w:val="0"/>
        <w:overflowPunct w:val="0"/>
        <w:autoSpaceDE w:val="0"/>
        <w:autoSpaceDN w:val="0"/>
        <w:adjustRightInd w:val="0"/>
        <w:ind w:left="562" w:hanging="562"/>
        <w:rPr>
          <w:color w:val="000000"/>
        </w:rPr>
      </w:pPr>
      <w:r w:rsidRPr="004F5FB4">
        <w:rPr>
          <w:color w:val="000000"/>
        </w:rPr>
        <w:t>Inhalt der Packung und weitere Informationen</w:t>
      </w:r>
    </w:p>
    <w:p w14:paraId="0004AE8A" w14:textId="77777777" w:rsidR="00B466EE" w:rsidRPr="004F5FB4" w:rsidRDefault="00B466EE" w:rsidP="004E705D">
      <w:pPr>
        <w:pStyle w:val="BodyText"/>
        <w:widowControl/>
        <w:kinsoku w:val="0"/>
        <w:overflowPunct w:val="0"/>
        <w:ind w:left="0"/>
        <w:rPr>
          <w:color w:val="000000"/>
        </w:rPr>
      </w:pPr>
    </w:p>
    <w:p w14:paraId="4EA89788" w14:textId="77777777" w:rsidR="00B466EE" w:rsidRPr="004F5FB4" w:rsidRDefault="00B466EE" w:rsidP="004E705D">
      <w:pPr>
        <w:pStyle w:val="BodyText"/>
        <w:widowControl/>
        <w:kinsoku w:val="0"/>
        <w:overflowPunct w:val="0"/>
        <w:ind w:left="0"/>
        <w:rPr>
          <w:color w:val="000000"/>
        </w:rPr>
      </w:pPr>
    </w:p>
    <w:p w14:paraId="34CA2D7A" w14:textId="77777777" w:rsidR="00B466EE" w:rsidRPr="004F5FB4" w:rsidRDefault="004E705D" w:rsidP="00F60620">
      <w:pPr>
        <w:pStyle w:val="BodyText"/>
        <w:widowControl/>
        <w:kinsoku w:val="0"/>
        <w:overflowPunct w:val="0"/>
        <w:ind w:left="0"/>
        <w:rPr>
          <w:b/>
          <w:bCs/>
          <w:color w:val="000000"/>
        </w:rPr>
      </w:pPr>
      <w:r w:rsidRPr="00F60620">
        <w:rPr>
          <w:b/>
          <w:bCs/>
          <w:color w:val="000000"/>
        </w:rPr>
        <w:t>1</w:t>
      </w:r>
      <w:r w:rsidR="003A2AD2" w:rsidRPr="00F60620">
        <w:rPr>
          <w:b/>
          <w:bCs/>
          <w:color w:val="000000"/>
        </w:rPr>
        <w:t>.</w:t>
      </w:r>
      <w:r w:rsidRPr="00F60620">
        <w:rPr>
          <w:b/>
          <w:bCs/>
          <w:color w:val="000000"/>
        </w:rPr>
        <w:tab/>
        <w:t>Was ist Amsparity und wofür wird es angewendet?</w:t>
      </w:r>
    </w:p>
    <w:p w14:paraId="4B3F6654" w14:textId="77777777" w:rsidR="00B466EE" w:rsidRPr="004F5FB4" w:rsidRDefault="00B466EE" w:rsidP="004E705D">
      <w:pPr>
        <w:pStyle w:val="BodyText"/>
        <w:widowControl/>
        <w:kinsoku w:val="0"/>
        <w:overflowPunct w:val="0"/>
        <w:ind w:left="0"/>
        <w:rPr>
          <w:bCs/>
          <w:color w:val="000000"/>
          <w:szCs w:val="21"/>
        </w:rPr>
      </w:pPr>
    </w:p>
    <w:p w14:paraId="5A458985" w14:textId="77777777" w:rsidR="00B466EE" w:rsidRPr="004F5FB4" w:rsidRDefault="006A1144" w:rsidP="004E705D">
      <w:pPr>
        <w:pStyle w:val="BodyText"/>
        <w:widowControl/>
        <w:kinsoku w:val="0"/>
        <w:overflowPunct w:val="0"/>
        <w:ind w:left="0"/>
        <w:rPr>
          <w:color w:val="000000"/>
        </w:rPr>
      </w:pPr>
      <w:r w:rsidRPr="004F5FB4">
        <w:rPr>
          <w:color w:val="000000"/>
        </w:rPr>
        <w:t xml:space="preserve">Amsparity enthält den Wirkstoff Adalimumab, ein Arzneimittel, das auf das Abwehrsystem (Immunsystem) </w:t>
      </w:r>
      <w:r w:rsidR="00525AAF" w:rsidRPr="004F5FB4">
        <w:rPr>
          <w:color w:val="000000"/>
        </w:rPr>
        <w:t xml:space="preserve">des </w:t>
      </w:r>
      <w:r w:rsidRPr="004F5FB4">
        <w:rPr>
          <w:color w:val="000000"/>
        </w:rPr>
        <w:t xml:space="preserve">Körpers </w:t>
      </w:r>
      <w:r w:rsidR="00525AAF" w:rsidRPr="004F5FB4">
        <w:rPr>
          <w:color w:val="000000"/>
        </w:rPr>
        <w:t xml:space="preserve">Ihres Kindes </w:t>
      </w:r>
      <w:r w:rsidRPr="004F5FB4">
        <w:rPr>
          <w:color w:val="000000"/>
        </w:rPr>
        <w:t>einwirkt.</w:t>
      </w:r>
    </w:p>
    <w:p w14:paraId="38B98776" w14:textId="77777777" w:rsidR="00B466EE" w:rsidRPr="004F5FB4" w:rsidRDefault="00B466EE" w:rsidP="004E705D">
      <w:pPr>
        <w:pStyle w:val="BodyText"/>
        <w:widowControl/>
        <w:kinsoku w:val="0"/>
        <w:overflowPunct w:val="0"/>
        <w:ind w:left="0"/>
        <w:rPr>
          <w:color w:val="000000"/>
          <w:szCs w:val="21"/>
        </w:rPr>
      </w:pPr>
    </w:p>
    <w:p w14:paraId="408E9308" w14:textId="77777777" w:rsidR="00B466EE" w:rsidRPr="004F5FB4" w:rsidRDefault="006A1144" w:rsidP="004E705D">
      <w:pPr>
        <w:pStyle w:val="BodyText"/>
        <w:widowControl/>
        <w:kinsoku w:val="0"/>
        <w:overflowPunct w:val="0"/>
        <w:ind w:left="0"/>
        <w:rPr>
          <w:color w:val="000000"/>
        </w:rPr>
      </w:pPr>
      <w:r w:rsidRPr="004F5FB4">
        <w:rPr>
          <w:color w:val="000000"/>
        </w:rPr>
        <w:t>Amsparity ist für die Behandlung folgender entzündlicher Erkrankungen vorgesehen:</w:t>
      </w:r>
    </w:p>
    <w:p w14:paraId="38AB7997" w14:textId="77777777" w:rsidR="00B466EE" w:rsidRPr="004F5FB4" w:rsidRDefault="007F1985" w:rsidP="004E705D">
      <w:pPr>
        <w:pStyle w:val="BodyText"/>
        <w:widowControl/>
        <w:numPr>
          <w:ilvl w:val="1"/>
          <w:numId w:val="22"/>
        </w:numPr>
        <w:kinsoku w:val="0"/>
        <w:overflowPunct w:val="0"/>
        <w:autoSpaceDE w:val="0"/>
        <w:autoSpaceDN w:val="0"/>
        <w:adjustRightInd w:val="0"/>
        <w:spacing w:line="269" w:lineRule="exact"/>
        <w:ind w:left="0" w:firstLine="0"/>
        <w:rPr>
          <w:color w:val="000000"/>
        </w:rPr>
      </w:pPr>
      <w:r w:rsidRPr="004F5FB4">
        <w:rPr>
          <w:color w:val="000000"/>
        </w:rPr>
        <w:t>p</w:t>
      </w:r>
      <w:r w:rsidR="007224D7" w:rsidRPr="004F5FB4">
        <w:rPr>
          <w:color w:val="000000"/>
        </w:rPr>
        <w:t>olyartikuläre juvenile idiopathische Arthritis,</w:t>
      </w:r>
    </w:p>
    <w:p w14:paraId="25646DF9" w14:textId="77777777" w:rsidR="00B466EE" w:rsidRPr="004F5FB4" w:rsidRDefault="00461BCB" w:rsidP="004E705D">
      <w:pPr>
        <w:pStyle w:val="BodyText"/>
        <w:widowControl/>
        <w:numPr>
          <w:ilvl w:val="1"/>
          <w:numId w:val="22"/>
        </w:numPr>
        <w:kinsoku w:val="0"/>
        <w:overflowPunct w:val="0"/>
        <w:autoSpaceDE w:val="0"/>
        <w:autoSpaceDN w:val="0"/>
        <w:adjustRightInd w:val="0"/>
        <w:spacing w:line="269" w:lineRule="exact"/>
        <w:ind w:left="0" w:firstLine="0"/>
        <w:rPr>
          <w:color w:val="000000"/>
        </w:rPr>
      </w:pPr>
      <w:r w:rsidRPr="004F5FB4">
        <w:rPr>
          <w:color w:val="000000"/>
        </w:rPr>
        <w:t>Enthesitis-assoziierte Arthritis bei Kindern und Jugendlichen,</w:t>
      </w:r>
    </w:p>
    <w:p w14:paraId="18DBB450" w14:textId="77777777" w:rsidR="00B466EE" w:rsidRPr="004F5FB4"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rPr>
      </w:pPr>
      <w:r w:rsidRPr="004F5FB4">
        <w:rPr>
          <w:color w:val="000000"/>
        </w:rPr>
        <w:t>Plaque-Psoriasis bei Kindern und Jugendlichen,</w:t>
      </w:r>
    </w:p>
    <w:p w14:paraId="3FA12626" w14:textId="77777777" w:rsidR="00B466EE" w:rsidRPr="004F5FB4"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rPr>
      </w:pPr>
      <w:r w:rsidRPr="004F5FB4">
        <w:rPr>
          <w:color w:val="000000"/>
        </w:rPr>
        <w:t>Morbus Crohn bei Kindern und Jugendlichen,</w:t>
      </w:r>
    </w:p>
    <w:p w14:paraId="2441456A" w14:textId="77777777" w:rsidR="00B466EE" w:rsidRPr="004F5FB4"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rPr>
      </w:pPr>
      <w:r w:rsidRPr="004F5FB4">
        <w:rPr>
          <w:color w:val="000000"/>
        </w:rPr>
        <w:t>Uveitis bei Kindern und Jugendlichen.</w:t>
      </w:r>
    </w:p>
    <w:p w14:paraId="7710C387" w14:textId="77777777" w:rsidR="00B466EE" w:rsidRPr="004F5FB4" w:rsidRDefault="00B466EE" w:rsidP="004E705D">
      <w:pPr>
        <w:pStyle w:val="BodyText"/>
        <w:widowControl/>
        <w:kinsoku w:val="0"/>
        <w:overflowPunct w:val="0"/>
        <w:ind w:left="0"/>
        <w:rPr>
          <w:color w:val="000000"/>
          <w:szCs w:val="21"/>
        </w:rPr>
      </w:pPr>
    </w:p>
    <w:p w14:paraId="592A11F2" w14:textId="77777777" w:rsidR="00B466EE" w:rsidRPr="004F5FB4" w:rsidRDefault="00B466EE" w:rsidP="004E705D">
      <w:pPr>
        <w:pStyle w:val="BodyText"/>
        <w:widowControl/>
        <w:kinsoku w:val="0"/>
        <w:overflowPunct w:val="0"/>
        <w:ind w:left="0"/>
        <w:rPr>
          <w:color w:val="000000"/>
        </w:rPr>
      </w:pPr>
      <w:r w:rsidRPr="004F5FB4">
        <w:rPr>
          <w:color w:val="000000"/>
        </w:rPr>
        <w:t>Der Wirkstoff von Amsparity, Adalimumab, ist ein monoklonaler Antikörper. Monoklonale Antikörper sind Eiweiße, die sich an ein bestimmtes Ziel im Körper anheften.</w:t>
      </w:r>
    </w:p>
    <w:p w14:paraId="3DFF4D27" w14:textId="77777777" w:rsidR="00B466EE" w:rsidRPr="004F5FB4" w:rsidRDefault="00B466EE" w:rsidP="004E705D">
      <w:pPr>
        <w:pStyle w:val="BodyText"/>
        <w:widowControl/>
        <w:kinsoku w:val="0"/>
        <w:overflowPunct w:val="0"/>
        <w:ind w:left="0"/>
        <w:rPr>
          <w:color w:val="000000"/>
          <w:szCs w:val="21"/>
        </w:rPr>
      </w:pPr>
    </w:p>
    <w:p w14:paraId="063F9BA7" w14:textId="77777777" w:rsidR="00B466EE" w:rsidRPr="004F5FB4" w:rsidRDefault="00B466EE" w:rsidP="004E705D">
      <w:pPr>
        <w:pStyle w:val="BodyText"/>
        <w:widowControl/>
        <w:kinsoku w:val="0"/>
        <w:overflowPunct w:val="0"/>
        <w:ind w:left="0"/>
        <w:rPr>
          <w:color w:val="000000"/>
        </w:rPr>
      </w:pPr>
      <w:r w:rsidRPr="004F5FB4">
        <w:rPr>
          <w:color w:val="000000"/>
        </w:rPr>
        <w:t xml:space="preserve">Das Ziel von Adalimumab ist das Eiweiß Tumornekrosefaktor-alpha (TNFα). TNFα ist beteiligt an Abwehrreaktionen des Körpers. Bei den oben genannten Erkrankungen ist die Menge an TNFα erhöht. </w:t>
      </w:r>
      <w:r w:rsidRPr="004F5FB4">
        <w:rPr>
          <w:color w:val="000000"/>
        </w:rPr>
        <w:lastRenderedPageBreak/>
        <w:t>Amsparity heftet sich an TNFα und verringert dadurch die entzündlichen Vorgänge bei diesen Erkrankungen.</w:t>
      </w:r>
    </w:p>
    <w:p w14:paraId="5142F7E9" w14:textId="77777777" w:rsidR="00351BAA" w:rsidRPr="004F5FB4" w:rsidRDefault="00351BAA" w:rsidP="004E705D">
      <w:pPr>
        <w:pStyle w:val="BodyText"/>
        <w:widowControl/>
        <w:kinsoku w:val="0"/>
        <w:overflowPunct w:val="0"/>
        <w:ind w:left="0"/>
        <w:rPr>
          <w:color w:val="000000"/>
        </w:rPr>
      </w:pPr>
    </w:p>
    <w:p w14:paraId="112D7FDD" w14:textId="77777777" w:rsidR="00B466EE" w:rsidRPr="004F5FB4" w:rsidRDefault="00B466EE" w:rsidP="004E705D">
      <w:pPr>
        <w:pStyle w:val="BodyText"/>
        <w:keepNext/>
        <w:widowControl/>
        <w:kinsoku w:val="0"/>
        <w:overflowPunct w:val="0"/>
        <w:ind w:left="0"/>
        <w:rPr>
          <w:color w:val="000000"/>
        </w:rPr>
      </w:pPr>
      <w:bookmarkStart w:id="11" w:name="_Hlk26995220"/>
      <w:r w:rsidRPr="004F5FB4">
        <w:rPr>
          <w:color w:val="000000"/>
          <w:u w:val="single"/>
        </w:rPr>
        <w:t>Polyartikuläre juvenile idiopathische Arthritis</w:t>
      </w:r>
    </w:p>
    <w:p w14:paraId="198EE913" w14:textId="77777777" w:rsidR="00B466EE" w:rsidRPr="004F5FB4" w:rsidRDefault="00B466EE" w:rsidP="004E705D">
      <w:pPr>
        <w:pStyle w:val="BodyText"/>
        <w:widowControl/>
        <w:kinsoku w:val="0"/>
        <w:overflowPunct w:val="0"/>
        <w:ind w:left="0"/>
        <w:rPr>
          <w:color w:val="000000"/>
        </w:rPr>
      </w:pPr>
      <w:r w:rsidRPr="004F5FB4">
        <w:rPr>
          <w:color w:val="000000"/>
        </w:rPr>
        <w:t xml:space="preserve">Die polyartikuläre juvenile idiopathische Arthritis </w:t>
      </w:r>
      <w:r w:rsidR="00525AAF" w:rsidRPr="004F5FB4">
        <w:rPr>
          <w:color w:val="000000"/>
        </w:rPr>
        <w:t>ist eine</w:t>
      </w:r>
      <w:r w:rsidRPr="004F5FB4">
        <w:rPr>
          <w:color w:val="000000"/>
        </w:rPr>
        <w:t xml:space="preserve"> entzündliche Erkrankung der Gelenke, die üblicherweise das erste Mal in der Kindheit auftr</w:t>
      </w:r>
      <w:r w:rsidR="00C3787B" w:rsidRPr="004F5FB4">
        <w:rPr>
          <w:color w:val="000000"/>
        </w:rPr>
        <w:t>itt</w:t>
      </w:r>
      <w:r w:rsidRPr="004F5FB4">
        <w:rPr>
          <w:color w:val="000000"/>
        </w:rPr>
        <w:t>.</w:t>
      </w:r>
    </w:p>
    <w:p w14:paraId="1A9042B0" w14:textId="77777777" w:rsidR="00B466EE" w:rsidRPr="004F5FB4" w:rsidRDefault="00B466EE" w:rsidP="004E705D">
      <w:pPr>
        <w:pStyle w:val="BodyText"/>
        <w:widowControl/>
        <w:kinsoku w:val="0"/>
        <w:overflowPunct w:val="0"/>
        <w:ind w:left="0"/>
        <w:rPr>
          <w:color w:val="000000"/>
        </w:rPr>
      </w:pPr>
    </w:p>
    <w:p w14:paraId="2B5B2A0A" w14:textId="77777777" w:rsidR="00B466EE" w:rsidRPr="004F5FB4" w:rsidRDefault="006A1144" w:rsidP="004E705D">
      <w:pPr>
        <w:pStyle w:val="BodyText"/>
        <w:widowControl/>
        <w:kinsoku w:val="0"/>
        <w:overflowPunct w:val="0"/>
        <w:ind w:left="0"/>
        <w:rPr>
          <w:color w:val="000000"/>
        </w:rPr>
      </w:pPr>
      <w:r w:rsidRPr="004F5FB4">
        <w:rPr>
          <w:color w:val="000000"/>
        </w:rPr>
        <w:t>Amsparity wird angewendet, um die polyartikuläre idiopathische Arthritis bei Kindern und Jugendlichen im Alter von 2 bis 17 Jahren zu behandeln. Möglicherweise bekommt Ihr Kind zunächst andere Arzneimittel</w:t>
      </w:r>
      <w:r w:rsidR="00183DF2" w:rsidRPr="004F5FB4">
        <w:rPr>
          <w:color w:val="000000"/>
        </w:rPr>
        <w:t xml:space="preserve"> (Basistherapeutika </w:t>
      </w:r>
      <w:r w:rsidRPr="004F5FB4">
        <w:rPr>
          <w:color w:val="000000"/>
        </w:rPr>
        <w:t>wie Methotrexat</w:t>
      </w:r>
      <w:r w:rsidR="00183DF2" w:rsidRPr="004F5FB4">
        <w:rPr>
          <w:color w:val="000000"/>
        </w:rPr>
        <w:t>)</w:t>
      </w:r>
      <w:r w:rsidRPr="004F5FB4">
        <w:rPr>
          <w:color w:val="000000"/>
        </w:rPr>
        <w:t>. Wenn diese nicht ausreichend wirken, erhält Ihr Kind Amsparity, um die polyartikuläre juvenile idiopathische Arthritis zu behandeln.</w:t>
      </w:r>
    </w:p>
    <w:p w14:paraId="63687BC6" w14:textId="77777777" w:rsidR="00B466EE" w:rsidRPr="004F5FB4" w:rsidRDefault="00B466EE" w:rsidP="004E705D">
      <w:pPr>
        <w:pStyle w:val="BodyText"/>
        <w:widowControl/>
        <w:kinsoku w:val="0"/>
        <w:overflowPunct w:val="0"/>
        <w:ind w:left="0"/>
        <w:rPr>
          <w:color w:val="000000"/>
        </w:rPr>
      </w:pPr>
    </w:p>
    <w:p w14:paraId="3A615956" w14:textId="77777777" w:rsidR="00525AAF" w:rsidRPr="004F5FB4" w:rsidRDefault="00525AAF" w:rsidP="00687087">
      <w:pPr>
        <w:pStyle w:val="BodyText"/>
        <w:keepNext/>
        <w:widowControl/>
        <w:kinsoku w:val="0"/>
        <w:overflowPunct w:val="0"/>
        <w:ind w:left="0"/>
        <w:rPr>
          <w:color w:val="000000"/>
          <w:u w:val="single"/>
        </w:rPr>
      </w:pPr>
      <w:r w:rsidRPr="004F5FB4">
        <w:rPr>
          <w:color w:val="000000"/>
          <w:u w:val="single"/>
        </w:rPr>
        <w:t>Enthesitis-assoziierte Arthritis bei Kindern und Jugendlichen</w:t>
      </w:r>
    </w:p>
    <w:p w14:paraId="43ACFC21" w14:textId="77777777" w:rsidR="00525AAF" w:rsidRPr="004F5FB4" w:rsidRDefault="00525AAF" w:rsidP="00687087">
      <w:pPr>
        <w:pStyle w:val="BodyText"/>
        <w:keepNext/>
        <w:widowControl/>
        <w:kinsoku w:val="0"/>
        <w:overflowPunct w:val="0"/>
        <w:ind w:left="0"/>
        <w:rPr>
          <w:color w:val="000000"/>
        </w:rPr>
      </w:pPr>
    </w:p>
    <w:p w14:paraId="5E514731" w14:textId="77777777" w:rsidR="00525AAF" w:rsidRPr="004F5FB4" w:rsidRDefault="00183DF2" w:rsidP="004E705D">
      <w:pPr>
        <w:pStyle w:val="BodyText"/>
        <w:widowControl/>
        <w:kinsoku w:val="0"/>
        <w:overflowPunct w:val="0"/>
        <w:ind w:left="0"/>
        <w:rPr>
          <w:color w:val="000000"/>
        </w:rPr>
      </w:pPr>
      <w:r w:rsidRPr="004F5FB4">
        <w:rPr>
          <w:color w:val="000000"/>
        </w:rPr>
        <w:t xml:space="preserve">Die </w:t>
      </w:r>
      <w:r w:rsidR="00525AAF" w:rsidRPr="004F5FB4">
        <w:rPr>
          <w:color w:val="000000"/>
        </w:rPr>
        <w:t xml:space="preserve">Enthesitis-assoziierte Arthritis bei Kindern und Jugendlichen ist eine entzündliche Erkrankung der Gelenke </w:t>
      </w:r>
      <w:r w:rsidRPr="004F5FB4">
        <w:rPr>
          <w:color w:val="000000"/>
        </w:rPr>
        <w:t xml:space="preserve">und </w:t>
      </w:r>
      <w:r w:rsidR="00872495" w:rsidRPr="004F5FB4">
        <w:rPr>
          <w:color w:val="000000"/>
        </w:rPr>
        <w:t xml:space="preserve">der </w:t>
      </w:r>
      <w:r w:rsidRPr="004F5FB4">
        <w:rPr>
          <w:color w:val="000000"/>
        </w:rPr>
        <w:t>Übergänge von</w:t>
      </w:r>
      <w:r w:rsidR="00F46C85" w:rsidRPr="004F5FB4">
        <w:rPr>
          <w:color w:val="000000"/>
        </w:rPr>
        <w:t xml:space="preserve"> Sehnen</w:t>
      </w:r>
      <w:r w:rsidRPr="004F5FB4">
        <w:rPr>
          <w:color w:val="000000"/>
        </w:rPr>
        <w:t xml:space="preserve"> auf</w:t>
      </w:r>
      <w:r w:rsidR="00F46C85" w:rsidRPr="004F5FB4">
        <w:rPr>
          <w:color w:val="000000"/>
        </w:rPr>
        <w:t xml:space="preserve"> Knochen.</w:t>
      </w:r>
    </w:p>
    <w:p w14:paraId="6F250E65" w14:textId="77777777" w:rsidR="00F46C85" w:rsidRPr="004F5FB4" w:rsidRDefault="00F46C85" w:rsidP="004E705D">
      <w:pPr>
        <w:pStyle w:val="BodyText"/>
        <w:widowControl/>
        <w:kinsoku w:val="0"/>
        <w:overflowPunct w:val="0"/>
        <w:ind w:left="0"/>
        <w:rPr>
          <w:color w:val="000000"/>
        </w:rPr>
      </w:pPr>
    </w:p>
    <w:p w14:paraId="7BA63299" w14:textId="77777777" w:rsidR="00F46C85" w:rsidRPr="004F5FB4" w:rsidRDefault="00F46C85" w:rsidP="004E705D">
      <w:pPr>
        <w:pStyle w:val="BodyText"/>
        <w:widowControl/>
        <w:kinsoku w:val="0"/>
        <w:overflowPunct w:val="0"/>
        <w:ind w:left="0"/>
        <w:rPr>
          <w:color w:val="000000"/>
        </w:rPr>
      </w:pPr>
      <w:r w:rsidRPr="004F5FB4">
        <w:rPr>
          <w:color w:val="000000"/>
        </w:rPr>
        <w:t xml:space="preserve">Amsparity wird angewendet, um Enthesitis-assoziierte Arthritis bei Kindern und Jugendlichen im Alter von 6 bis 17 Jahren zu behandeln. </w:t>
      </w:r>
      <w:r w:rsidR="00104C1E" w:rsidRPr="004F5FB4">
        <w:rPr>
          <w:color w:val="000000"/>
        </w:rPr>
        <w:t>Möglicherweise bekommt Ihr Kind</w:t>
      </w:r>
      <w:r w:rsidRPr="004F5FB4">
        <w:rPr>
          <w:color w:val="000000"/>
        </w:rPr>
        <w:t xml:space="preserve"> zunächst andere Arzneimittel </w:t>
      </w:r>
      <w:r w:rsidR="00183DF2" w:rsidRPr="004F5FB4">
        <w:rPr>
          <w:color w:val="000000"/>
        </w:rPr>
        <w:t>(Basistherapeutika wie</w:t>
      </w:r>
      <w:r w:rsidR="00183DF2" w:rsidRPr="004F5FB4" w:rsidDel="00183DF2">
        <w:rPr>
          <w:color w:val="000000"/>
        </w:rPr>
        <w:t xml:space="preserve"> </w:t>
      </w:r>
      <w:r w:rsidRPr="004F5FB4">
        <w:rPr>
          <w:color w:val="000000"/>
        </w:rPr>
        <w:t>Methotrexat</w:t>
      </w:r>
      <w:r w:rsidR="00183DF2" w:rsidRPr="004F5FB4">
        <w:rPr>
          <w:color w:val="000000"/>
        </w:rPr>
        <w:t>)</w:t>
      </w:r>
      <w:r w:rsidRPr="004F5FB4">
        <w:rPr>
          <w:color w:val="000000"/>
        </w:rPr>
        <w:t xml:space="preserve">. Wenn </w:t>
      </w:r>
      <w:r w:rsidR="00104C1E" w:rsidRPr="004F5FB4">
        <w:rPr>
          <w:color w:val="000000"/>
        </w:rPr>
        <w:t>diese nicht ausreichend wirken</w:t>
      </w:r>
      <w:r w:rsidRPr="004F5FB4">
        <w:rPr>
          <w:color w:val="000000"/>
        </w:rPr>
        <w:t>, erhält Ihr Kind Amsparity</w:t>
      </w:r>
      <w:r w:rsidR="00183DF2" w:rsidRPr="004F5FB4">
        <w:rPr>
          <w:color w:val="000000"/>
        </w:rPr>
        <w:t>, um die</w:t>
      </w:r>
      <w:r w:rsidRPr="004F5FB4">
        <w:rPr>
          <w:color w:val="000000"/>
        </w:rPr>
        <w:t xml:space="preserve"> Enthesitis-assoziierte Arthritis</w:t>
      </w:r>
      <w:r w:rsidR="00183DF2" w:rsidRPr="004F5FB4">
        <w:rPr>
          <w:color w:val="000000"/>
        </w:rPr>
        <w:t xml:space="preserve"> zu behandeln</w:t>
      </w:r>
      <w:r w:rsidRPr="004F5FB4">
        <w:rPr>
          <w:color w:val="000000"/>
        </w:rPr>
        <w:t>.</w:t>
      </w:r>
    </w:p>
    <w:bookmarkEnd w:id="11"/>
    <w:p w14:paraId="31F005CE" w14:textId="77777777" w:rsidR="00525AAF" w:rsidRPr="004F5FB4" w:rsidRDefault="00525AAF" w:rsidP="004E705D">
      <w:pPr>
        <w:pStyle w:val="BodyText"/>
        <w:widowControl/>
        <w:kinsoku w:val="0"/>
        <w:overflowPunct w:val="0"/>
        <w:ind w:left="0"/>
        <w:rPr>
          <w:color w:val="000000"/>
        </w:rPr>
      </w:pPr>
    </w:p>
    <w:p w14:paraId="601B6ACE" w14:textId="77777777" w:rsidR="00B466EE" w:rsidRPr="004F5FB4" w:rsidRDefault="00B466EE" w:rsidP="00687087">
      <w:pPr>
        <w:pStyle w:val="BodyText"/>
        <w:keepNext/>
        <w:widowControl/>
        <w:kinsoku w:val="0"/>
        <w:overflowPunct w:val="0"/>
        <w:ind w:left="0"/>
        <w:rPr>
          <w:color w:val="000000"/>
        </w:rPr>
      </w:pPr>
      <w:r w:rsidRPr="004F5FB4">
        <w:rPr>
          <w:color w:val="000000"/>
          <w:u w:val="single"/>
        </w:rPr>
        <w:t>Plaque-Psoriasis bei Kindern und Jugendlichen</w:t>
      </w:r>
    </w:p>
    <w:p w14:paraId="16DD38CE" w14:textId="77777777" w:rsidR="00B466EE" w:rsidRPr="004F5FB4" w:rsidRDefault="00B466EE" w:rsidP="00687087">
      <w:pPr>
        <w:pStyle w:val="BodyText"/>
        <w:keepNext/>
        <w:widowControl/>
        <w:kinsoku w:val="0"/>
        <w:overflowPunct w:val="0"/>
        <w:ind w:left="0"/>
        <w:rPr>
          <w:color w:val="000000"/>
        </w:rPr>
      </w:pPr>
    </w:p>
    <w:p w14:paraId="3FD8F3C1" w14:textId="77777777" w:rsidR="00B466EE" w:rsidRPr="004F5FB4" w:rsidRDefault="00B466EE" w:rsidP="004E705D">
      <w:pPr>
        <w:pStyle w:val="BodyText"/>
        <w:widowControl/>
        <w:kinsoku w:val="0"/>
        <w:overflowPunct w:val="0"/>
        <w:ind w:left="0"/>
        <w:rPr>
          <w:color w:val="000000"/>
        </w:rPr>
      </w:pPr>
      <w:r w:rsidRPr="004F5FB4">
        <w:rPr>
          <w:color w:val="000000"/>
        </w:rPr>
        <w:t>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w:t>
      </w:r>
    </w:p>
    <w:p w14:paraId="010C0072" w14:textId="77777777" w:rsidR="00B466EE" w:rsidRPr="004F5FB4" w:rsidRDefault="00B466EE" w:rsidP="004E705D">
      <w:pPr>
        <w:pStyle w:val="BodyText"/>
        <w:widowControl/>
        <w:kinsoku w:val="0"/>
        <w:overflowPunct w:val="0"/>
        <w:ind w:left="0"/>
        <w:rPr>
          <w:color w:val="000000"/>
        </w:rPr>
      </w:pPr>
    </w:p>
    <w:p w14:paraId="4479B3E9" w14:textId="77777777" w:rsidR="00B466EE" w:rsidRPr="004F5FB4" w:rsidRDefault="006A1144" w:rsidP="004E705D">
      <w:pPr>
        <w:pStyle w:val="BodyText"/>
        <w:widowControl/>
        <w:kinsoku w:val="0"/>
        <w:overflowPunct w:val="0"/>
        <w:ind w:left="0"/>
        <w:rPr>
          <w:color w:val="000000"/>
        </w:rPr>
      </w:pPr>
      <w:r w:rsidRPr="004F5FB4">
        <w:rPr>
          <w:color w:val="000000"/>
        </w:rPr>
        <w:t>Amsparity wird angewendet, um die schwere chronische Plaque-Psoriasis bei Kindern und Jugendlichen zwischen 4 und 17 Jahren zu behandeln, bei denen Medikamente, die auf die Haut aufgetragen werden, und Behandlungen mit UV-Licht entweder nicht sehr gut gewirkt haben oder nicht geeignet sind.</w:t>
      </w:r>
    </w:p>
    <w:p w14:paraId="0BF7C8B7" w14:textId="77777777" w:rsidR="00B466EE" w:rsidRPr="004F5FB4" w:rsidRDefault="00B466EE" w:rsidP="004E705D">
      <w:pPr>
        <w:pStyle w:val="BodyText"/>
        <w:widowControl/>
        <w:kinsoku w:val="0"/>
        <w:overflowPunct w:val="0"/>
        <w:ind w:left="0"/>
        <w:rPr>
          <w:color w:val="000000"/>
        </w:rPr>
      </w:pPr>
    </w:p>
    <w:p w14:paraId="3BDBD5F8" w14:textId="77777777" w:rsidR="00B466EE" w:rsidRPr="004F5FB4" w:rsidRDefault="00B466EE" w:rsidP="00687087">
      <w:pPr>
        <w:pStyle w:val="BodyText"/>
        <w:keepNext/>
        <w:widowControl/>
        <w:kinsoku w:val="0"/>
        <w:overflowPunct w:val="0"/>
        <w:ind w:left="0"/>
        <w:rPr>
          <w:color w:val="000000"/>
        </w:rPr>
      </w:pPr>
      <w:r w:rsidRPr="004F5FB4">
        <w:rPr>
          <w:color w:val="000000"/>
          <w:u w:val="single"/>
        </w:rPr>
        <w:t>Morbus Crohn bei Kindern und Jugendlichen</w:t>
      </w:r>
    </w:p>
    <w:p w14:paraId="7BAC5B7D" w14:textId="77777777" w:rsidR="00B466EE" w:rsidRPr="004F5FB4" w:rsidRDefault="00B466EE" w:rsidP="00687087">
      <w:pPr>
        <w:pStyle w:val="BodyText"/>
        <w:keepNext/>
        <w:widowControl/>
        <w:kinsoku w:val="0"/>
        <w:overflowPunct w:val="0"/>
        <w:ind w:left="0"/>
        <w:rPr>
          <w:color w:val="000000"/>
        </w:rPr>
      </w:pPr>
    </w:p>
    <w:p w14:paraId="1E3EC6CB" w14:textId="77777777" w:rsidR="00B466EE" w:rsidRPr="004F5FB4" w:rsidRDefault="00B466EE" w:rsidP="004E705D">
      <w:pPr>
        <w:pStyle w:val="BodyText"/>
        <w:widowControl/>
        <w:kinsoku w:val="0"/>
        <w:overflowPunct w:val="0"/>
        <w:ind w:left="0"/>
        <w:rPr>
          <w:color w:val="000000"/>
        </w:rPr>
      </w:pPr>
      <w:r w:rsidRPr="004F5FB4">
        <w:rPr>
          <w:color w:val="000000"/>
        </w:rPr>
        <w:t>Morbus Crohn ist eine entzündliche Erkrankung des Darms.</w:t>
      </w:r>
    </w:p>
    <w:p w14:paraId="695D214D" w14:textId="77777777" w:rsidR="00B466EE" w:rsidRPr="004F5FB4" w:rsidRDefault="00B466EE" w:rsidP="004E705D">
      <w:pPr>
        <w:pStyle w:val="BodyText"/>
        <w:widowControl/>
        <w:kinsoku w:val="0"/>
        <w:overflowPunct w:val="0"/>
        <w:ind w:left="0"/>
        <w:rPr>
          <w:color w:val="000000"/>
        </w:rPr>
      </w:pPr>
    </w:p>
    <w:p w14:paraId="34D372B8" w14:textId="77777777" w:rsidR="00B466EE" w:rsidRPr="004F5FB4" w:rsidRDefault="006A1144" w:rsidP="004E705D">
      <w:pPr>
        <w:pStyle w:val="BodyText"/>
        <w:widowControl/>
        <w:kinsoku w:val="0"/>
        <w:overflowPunct w:val="0"/>
        <w:ind w:left="0" w:hanging="1"/>
        <w:rPr>
          <w:color w:val="000000"/>
        </w:rPr>
      </w:pPr>
      <w:r w:rsidRPr="004F5FB4">
        <w:rPr>
          <w:color w:val="000000"/>
        </w:rPr>
        <w:t>Amsparity wird angewendet zur Behandlung von Morbus Crohn bei Kindern und Jugendlichen zwischen 6 und 17 Jahren.</w:t>
      </w:r>
    </w:p>
    <w:p w14:paraId="2EE4DE54" w14:textId="77777777" w:rsidR="00B466EE" w:rsidRPr="004F5FB4" w:rsidRDefault="00B466EE" w:rsidP="004E705D">
      <w:pPr>
        <w:pStyle w:val="BodyText"/>
        <w:widowControl/>
        <w:kinsoku w:val="0"/>
        <w:overflowPunct w:val="0"/>
        <w:ind w:left="0"/>
        <w:rPr>
          <w:color w:val="000000"/>
        </w:rPr>
      </w:pPr>
    </w:p>
    <w:p w14:paraId="1D31FC0F" w14:textId="77777777" w:rsidR="00B466EE" w:rsidRPr="004F5FB4" w:rsidRDefault="00396862" w:rsidP="004E705D">
      <w:pPr>
        <w:pStyle w:val="BodyText"/>
        <w:widowControl/>
        <w:kinsoku w:val="0"/>
        <w:overflowPunct w:val="0"/>
        <w:ind w:left="0"/>
        <w:rPr>
          <w:color w:val="000000"/>
        </w:rPr>
      </w:pPr>
      <w:r w:rsidRPr="004F5FB4">
        <w:rPr>
          <w:color w:val="000000"/>
        </w:rPr>
        <w:t>Wenn Ihr Kind an Morbus Crohn erkrankt ist, wird es zunächst mit anderen Arzneimitteln behandelt. Wenn Ihr Kind nicht ausreichend auf diese Arzneimittel anspricht, erhält es Amsparity, um die Anzeichen und Beschwerden von Morbus Crohn zu vermindern.</w:t>
      </w:r>
    </w:p>
    <w:p w14:paraId="219F8020" w14:textId="77777777" w:rsidR="00B466EE" w:rsidRPr="004F5FB4" w:rsidRDefault="00B466EE" w:rsidP="004E705D">
      <w:pPr>
        <w:pStyle w:val="BodyText"/>
        <w:widowControl/>
        <w:kinsoku w:val="0"/>
        <w:overflowPunct w:val="0"/>
        <w:ind w:left="0"/>
        <w:rPr>
          <w:color w:val="000000"/>
        </w:rPr>
      </w:pPr>
    </w:p>
    <w:p w14:paraId="7F0319B2" w14:textId="77777777" w:rsidR="00B466EE" w:rsidRPr="004F5FB4" w:rsidRDefault="00B466EE" w:rsidP="004E705D">
      <w:pPr>
        <w:pStyle w:val="BodyText"/>
        <w:widowControl/>
        <w:kinsoku w:val="0"/>
        <w:overflowPunct w:val="0"/>
        <w:ind w:left="0"/>
        <w:rPr>
          <w:color w:val="000000"/>
        </w:rPr>
      </w:pPr>
      <w:r w:rsidRPr="004F5FB4">
        <w:rPr>
          <w:color w:val="000000"/>
          <w:u w:val="single"/>
        </w:rPr>
        <w:t>Uveitis bei Kindern und Jugendlichen</w:t>
      </w:r>
    </w:p>
    <w:p w14:paraId="34FDCC35" w14:textId="77777777" w:rsidR="00B466EE" w:rsidRPr="004F5FB4" w:rsidRDefault="00B466EE" w:rsidP="004E705D">
      <w:pPr>
        <w:pStyle w:val="BodyText"/>
        <w:widowControl/>
        <w:kinsoku w:val="0"/>
        <w:overflowPunct w:val="0"/>
        <w:ind w:left="0"/>
        <w:rPr>
          <w:color w:val="000000"/>
        </w:rPr>
      </w:pPr>
    </w:p>
    <w:p w14:paraId="078FE18D" w14:textId="77777777" w:rsidR="00B466EE" w:rsidRPr="004F5FB4" w:rsidRDefault="00B466EE" w:rsidP="004E705D">
      <w:pPr>
        <w:pStyle w:val="BodyText"/>
        <w:widowControl/>
        <w:kinsoku w:val="0"/>
        <w:overflowPunct w:val="0"/>
        <w:ind w:left="0"/>
        <w:rPr>
          <w:color w:val="000000"/>
        </w:rPr>
      </w:pPr>
      <w:r w:rsidRPr="004F5FB4">
        <w:rPr>
          <w:color w:val="000000"/>
        </w:rPr>
        <w:t>Die nicht infektiöse Uveitis ist eine entzündliche Erkrankung, die bestimmte Teile des Auges betrifft. Diese Entzündung kann dazu führen, dass man schlechter sieht und/</w:t>
      </w:r>
      <w:r w:rsidR="00AD6699" w:rsidRPr="004F5FB4">
        <w:rPr>
          <w:color w:val="000000"/>
        </w:rPr>
        <w:t xml:space="preserve"> </w:t>
      </w:r>
      <w:r w:rsidRPr="004F5FB4">
        <w:rPr>
          <w:color w:val="000000"/>
        </w:rPr>
        <w:t>oder dass man Schwebeteile sieht (schwarze Punkte oder Schlieren, die sich durch das Blickfeld bewegen). Amsparity wirkt, indem es diese Entzündung verringert.</w:t>
      </w:r>
    </w:p>
    <w:p w14:paraId="35CC9EF6" w14:textId="77777777" w:rsidR="00B466EE" w:rsidRPr="004F5FB4" w:rsidRDefault="00B466EE" w:rsidP="004E705D">
      <w:pPr>
        <w:pStyle w:val="BodyText"/>
        <w:widowControl/>
        <w:kinsoku w:val="0"/>
        <w:overflowPunct w:val="0"/>
        <w:ind w:left="0"/>
        <w:rPr>
          <w:color w:val="000000"/>
          <w:szCs w:val="21"/>
        </w:rPr>
      </w:pPr>
    </w:p>
    <w:p w14:paraId="05FB1AD0" w14:textId="77777777" w:rsidR="00B466EE" w:rsidRPr="004F5FB4" w:rsidRDefault="006A1144" w:rsidP="004E705D">
      <w:pPr>
        <w:pStyle w:val="BodyText"/>
        <w:widowControl/>
        <w:kinsoku w:val="0"/>
        <w:overflowPunct w:val="0"/>
        <w:ind w:left="0"/>
        <w:rPr>
          <w:color w:val="000000"/>
        </w:rPr>
      </w:pPr>
      <w:r w:rsidRPr="004F5FB4">
        <w:rPr>
          <w:color w:val="000000"/>
        </w:rPr>
        <w:t>Amsparity wird angewendet zur Behandlung von Kindern</w:t>
      </w:r>
      <w:r w:rsidR="00F46C85" w:rsidRPr="004F5FB4">
        <w:rPr>
          <w:color w:val="000000"/>
        </w:rPr>
        <w:t xml:space="preserve"> und Jugendlichen</w:t>
      </w:r>
      <w:r w:rsidRPr="004F5FB4">
        <w:rPr>
          <w:color w:val="000000"/>
        </w:rPr>
        <w:t xml:space="preserve"> mit chronischer nicht infektiöser Uveitis ab 2 Jahren mit einer Entzündung im vorderen Bereich des Auges.</w:t>
      </w:r>
    </w:p>
    <w:p w14:paraId="0D405011" w14:textId="77777777" w:rsidR="00B466EE" w:rsidRPr="004F5FB4" w:rsidRDefault="00B466EE" w:rsidP="004E705D">
      <w:pPr>
        <w:pStyle w:val="BodyText"/>
        <w:widowControl/>
        <w:kinsoku w:val="0"/>
        <w:overflowPunct w:val="0"/>
        <w:ind w:left="0"/>
        <w:rPr>
          <w:color w:val="000000"/>
          <w:szCs w:val="21"/>
        </w:rPr>
      </w:pPr>
    </w:p>
    <w:p w14:paraId="774C5FFC" w14:textId="77777777" w:rsidR="00B466EE" w:rsidRPr="004F5FB4" w:rsidRDefault="008428F0" w:rsidP="004E705D">
      <w:pPr>
        <w:pStyle w:val="BodyText"/>
        <w:widowControl/>
        <w:kinsoku w:val="0"/>
        <w:overflowPunct w:val="0"/>
        <w:ind w:left="0"/>
        <w:rPr>
          <w:color w:val="000000"/>
        </w:rPr>
      </w:pPr>
      <w:r w:rsidRPr="004F5FB4">
        <w:rPr>
          <w:color w:val="000000"/>
        </w:rPr>
        <w:lastRenderedPageBreak/>
        <w:t>Möglicherweise bekommt Ihr Kind zunächst andere Arzneimittel. Wenn diese nicht ausreichend wirken, erhält Ihr Kind Amsparity, um die Anzeichen und Beschwerden der Erkrankung zu vermindern.</w:t>
      </w:r>
    </w:p>
    <w:p w14:paraId="480B2F26" w14:textId="77777777" w:rsidR="00B466EE" w:rsidRPr="004F5FB4" w:rsidRDefault="00B466EE" w:rsidP="004E705D">
      <w:pPr>
        <w:pStyle w:val="BodyText"/>
        <w:widowControl/>
        <w:kinsoku w:val="0"/>
        <w:overflowPunct w:val="0"/>
        <w:ind w:left="0"/>
        <w:rPr>
          <w:color w:val="000000"/>
        </w:rPr>
      </w:pPr>
    </w:p>
    <w:p w14:paraId="701C8E28" w14:textId="77777777" w:rsidR="00764B9A" w:rsidRPr="00F60620" w:rsidRDefault="00764B9A" w:rsidP="004E705D">
      <w:pPr>
        <w:pStyle w:val="BodyText"/>
        <w:widowControl/>
        <w:kinsoku w:val="0"/>
        <w:overflowPunct w:val="0"/>
        <w:ind w:left="0"/>
        <w:rPr>
          <w:b/>
          <w:bCs/>
          <w:color w:val="000000"/>
        </w:rPr>
      </w:pPr>
    </w:p>
    <w:p w14:paraId="12868E11" w14:textId="77777777" w:rsidR="00C76100" w:rsidRPr="00F60620" w:rsidRDefault="004E705D" w:rsidP="00F60620">
      <w:pPr>
        <w:pStyle w:val="BodyText"/>
        <w:widowControl/>
        <w:kinsoku w:val="0"/>
        <w:overflowPunct w:val="0"/>
        <w:ind w:left="0"/>
        <w:rPr>
          <w:b/>
          <w:bCs/>
          <w:color w:val="000000"/>
        </w:rPr>
      </w:pPr>
      <w:r w:rsidRPr="00F60620">
        <w:rPr>
          <w:b/>
          <w:bCs/>
          <w:color w:val="000000"/>
        </w:rPr>
        <w:t>2</w:t>
      </w:r>
      <w:r w:rsidR="003A2AD2" w:rsidRPr="00F60620">
        <w:rPr>
          <w:b/>
          <w:bCs/>
          <w:color w:val="000000"/>
        </w:rPr>
        <w:t>.</w:t>
      </w:r>
      <w:r w:rsidRPr="00F60620">
        <w:rPr>
          <w:b/>
          <w:bCs/>
          <w:color w:val="000000"/>
        </w:rPr>
        <w:tab/>
        <w:t xml:space="preserve">Was sollten Sie vor der Anwendung von Amsparity bei Ihrem Kind beachten? </w:t>
      </w:r>
    </w:p>
    <w:p w14:paraId="4F04EDA1" w14:textId="77777777" w:rsidR="004E705D" w:rsidRPr="00F60620" w:rsidRDefault="004E705D" w:rsidP="00F60620">
      <w:pPr>
        <w:pStyle w:val="BodyText"/>
        <w:widowControl/>
        <w:kinsoku w:val="0"/>
        <w:overflowPunct w:val="0"/>
        <w:ind w:left="0"/>
        <w:rPr>
          <w:b/>
          <w:bCs/>
          <w:color w:val="000000"/>
        </w:rPr>
      </w:pPr>
    </w:p>
    <w:p w14:paraId="0B1D0FF6" w14:textId="77777777" w:rsidR="004E705D" w:rsidRPr="00F60620" w:rsidRDefault="00B466EE" w:rsidP="00F60620">
      <w:pPr>
        <w:pStyle w:val="BodyText"/>
        <w:widowControl/>
        <w:kinsoku w:val="0"/>
        <w:overflowPunct w:val="0"/>
        <w:ind w:left="0"/>
        <w:rPr>
          <w:b/>
          <w:bCs/>
          <w:color w:val="000000"/>
        </w:rPr>
      </w:pPr>
      <w:r w:rsidRPr="00F60620">
        <w:rPr>
          <w:b/>
          <w:bCs/>
          <w:color w:val="000000"/>
        </w:rPr>
        <w:t>Amsparity darf nicht angewendet werden,</w:t>
      </w:r>
    </w:p>
    <w:p w14:paraId="74F9F501" w14:textId="77777777" w:rsidR="00B466EE" w:rsidRPr="004F5FB4" w:rsidRDefault="00B466EE" w:rsidP="00F60620">
      <w:pPr>
        <w:pStyle w:val="BodyText"/>
        <w:widowControl/>
        <w:kinsoku w:val="0"/>
        <w:overflowPunct w:val="0"/>
        <w:ind w:left="0"/>
        <w:rPr>
          <w:b/>
          <w:bCs/>
          <w:color w:val="000000"/>
        </w:rPr>
      </w:pPr>
    </w:p>
    <w:p w14:paraId="343920C0" w14:textId="77777777" w:rsidR="00B466EE" w:rsidRPr="004F5FB4" w:rsidRDefault="003A4A16"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wenn Ihr Kind allergisch gegen Adalimumab oder einen der in Abschnitt</w:t>
      </w:r>
      <w:r w:rsidR="00AD6699" w:rsidRPr="004F5FB4">
        <w:rPr>
          <w:color w:val="000000"/>
        </w:rPr>
        <w:t> </w:t>
      </w:r>
      <w:r w:rsidRPr="004F5FB4">
        <w:rPr>
          <w:color w:val="000000"/>
        </w:rPr>
        <w:t>6. genannten sonstigen Bestandteile dieses Arzneimittels ist</w:t>
      </w:r>
      <w:r w:rsidR="00452A38" w:rsidRPr="004F5FB4">
        <w:rPr>
          <w:color w:val="000000"/>
        </w:rPr>
        <w:t>,</w:t>
      </w:r>
    </w:p>
    <w:p w14:paraId="0EAA231F" w14:textId="77777777" w:rsidR="00B466EE" w:rsidRPr="004F5FB4" w:rsidRDefault="00B466EE" w:rsidP="004E705D">
      <w:pPr>
        <w:pStyle w:val="BodyText"/>
        <w:widowControl/>
        <w:kinsoku w:val="0"/>
        <w:overflowPunct w:val="0"/>
        <w:ind w:left="562" w:hanging="562"/>
        <w:rPr>
          <w:color w:val="000000"/>
          <w:szCs w:val="21"/>
        </w:rPr>
      </w:pPr>
    </w:p>
    <w:p w14:paraId="301206AC" w14:textId="77777777" w:rsidR="00B466EE" w:rsidRPr="004F5FB4" w:rsidRDefault="003A4A16"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Ihr Kind an einer schweren Infektion erkrankt ist, einschließlich Tuberkulose, Blutvergiftung </w:t>
      </w:r>
      <w:r w:rsidRPr="004F5FB4">
        <w:rPr>
          <w:i/>
          <w:color w:val="000000"/>
        </w:rPr>
        <w:t>(Sepsis)</w:t>
      </w:r>
      <w:r w:rsidRPr="004F5FB4">
        <w:rPr>
          <w:color w:val="000000"/>
        </w:rPr>
        <w:t xml:space="preserve"> oder ungewöhnlicher Infektionen, die bei einem geschwächten Immunsystem entstehen </w:t>
      </w:r>
      <w:r w:rsidRPr="004F5FB4">
        <w:rPr>
          <w:i/>
          <w:color w:val="000000"/>
        </w:rPr>
        <w:t>(opportunistische Infektionen)</w:t>
      </w:r>
      <w:r w:rsidRPr="004F5FB4">
        <w:rPr>
          <w:color w:val="000000"/>
        </w:rPr>
        <w:t>. Es ist wichtig, dass Sie den Arzt Ihres Kindes informieren, wenn bei Ihrem Kind Anzeichen von Infektionen, z. B. Fieber, Wunden, Abgeschlagenheit, Zahnprobleme, vorliegen (siehe „Warnhinweise und Vorsichtsmaßnahmen“).</w:t>
      </w:r>
    </w:p>
    <w:p w14:paraId="3E96C6FB" w14:textId="77777777" w:rsidR="00B466EE" w:rsidRPr="004F5FB4" w:rsidRDefault="00B466EE" w:rsidP="004E705D">
      <w:pPr>
        <w:pStyle w:val="BodyText"/>
        <w:widowControl/>
        <w:kinsoku w:val="0"/>
        <w:overflowPunct w:val="0"/>
        <w:ind w:left="562" w:hanging="562"/>
        <w:rPr>
          <w:color w:val="000000"/>
        </w:rPr>
      </w:pPr>
    </w:p>
    <w:p w14:paraId="395C6480" w14:textId="77777777" w:rsidR="00B466EE" w:rsidRPr="004F5FB4" w:rsidRDefault="00452A38"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w:t>
      </w:r>
      <w:r w:rsidR="003A4A16" w:rsidRPr="004F5FB4">
        <w:rPr>
          <w:color w:val="000000"/>
        </w:rPr>
        <w:t xml:space="preserve">enn Ihr Kind an mäßiger bis schwerer Herzschwäche </w:t>
      </w:r>
      <w:r w:rsidR="003A4A16" w:rsidRPr="004F5FB4">
        <w:rPr>
          <w:i/>
          <w:color w:val="000000"/>
        </w:rPr>
        <w:t>(Herzinsuffizienz)</w:t>
      </w:r>
      <w:r w:rsidR="003A4A16" w:rsidRPr="004F5FB4">
        <w:rPr>
          <w:color w:val="000000"/>
        </w:rPr>
        <w:t xml:space="preserve"> erkrankt ist. Es ist wichtig, dass Sie Ihren Arzt informieren, wenn Ihr Kind ernsthafte Herzbeschwerden hatte oder hat (siehe „Warnhinweise und Vorsichtsmaßnahmen“).</w:t>
      </w:r>
    </w:p>
    <w:p w14:paraId="288849C2" w14:textId="77777777" w:rsidR="00B466EE" w:rsidRPr="004F5FB4" w:rsidRDefault="00B466EE" w:rsidP="004E705D">
      <w:pPr>
        <w:pStyle w:val="BodyText"/>
        <w:widowControl/>
        <w:kinsoku w:val="0"/>
        <w:overflowPunct w:val="0"/>
        <w:ind w:left="562" w:hanging="562"/>
        <w:rPr>
          <w:color w:val="000000"/>
        </w:rPr>
      </w:pPr>
    </w:p>
    <w:p w14:paraId="0F82675A" w14:textId="77777777" w:rsidR="00B466EE" w:rsidRPr="00F60620" w:rsidRDefault="00B466EE" w:rsidP="00F60620">
      <w:pPr>
        <w:pStyle w:val="BodyText"/>
        <w:widowControl/>
        <w:kinsoku w:val="0"/>
        <w:overflowPunct w:val="0"/>
        <w:ind w:left="0"/>
        <w:rPr>
          <w:b/>
          <w:bCs/>
          <w:color w:val="000000"/>
        </w:rPr>
      </w:pPr>
      <w:r w:rsidRPr="00F60620">
        <w:rPr>
          <w:b/>
          <w:bCs/>
          <w:color w:val="000000"/>
        </w:rPr>
        <w:t>Warnhinweise und Vorsichtsmaßnahmen</w:t>
      </w:r>
    </w:p>
    <w:p w14:paraId="18C3B34D" w14:textId="77777777" w:rsidR="00CC21A7" w:rsidRPr="00F60620" w:rsidRDefault="00CC21A7" w:rsidP="00F60620">
      <w:pPr>
        <w:pStyle w:val="BodyText"/>
        <w:widowControl/>
        <w:kinsoku w:val="0"/>
        <w:overflowPunct w:val="0"/>
        <w:ind w:left="0"/>
        <w:rPr>
          <w:b/>
          <w:bCs/>
          <w:color w:val="000000"/>
        </w:rPr>
      </w:pPr>
    </w:p>
    <w:p w14:paraId="26C24F04" w14:textId="77777777" w:rsidR="000558D3" w:rsidRPr="004F5FB4" w:rsidRDefault="00B466EE" w:rsidP="004E705D">
      <w:pPr>
        <w:pStyle w:val="BodyText"/>
        <w:widowControl/>
        <w:tabs>
          <w:tab w:val="left" w:pos="6480"/>
        </w:tabs>
        <w:kinsoku w:val="0"/>
        <w:overflowPunct w:val="0"/>
        <w:ind w:left="0"/>
        <w:rPr>
          <w:color w:val="000000"/>
        </w:rPr>
      </w:pPr>
      <w:r w:rsidRPr="004F5FB4">
        <w:rPr>
          <w:color w:val="000000"/>
        </w:rPr>
        <w:t xml:space="preserve">Bitte sprechen Sie mit dem Arzt Ihres Kindes oder dem Apotheker, bevor Ihr Kind Amsparity anwendet. </w:t>
      </w:r>
    </w:p>
    <w:p w14:paraId="075E0F38" w14:textId="77777777" w:rsidR="005D4E3C" w:rsidRPr="004F5FB4" w:rsidRDefault="005D4E3C" w:rsidP="004E705D">
      <w:pPr>
        <w:pStyle w:val="BodyText"/>
        <w:widowControl/>
        <w:tabs>
          <w:tab w:val="left" w:pos="720"/>
        </w:tabs>
        <w:ind w:left="0"/>
        <w:rPr>
          <w:color w:val="000000"/>
        </w:rPr>
      </w:pPr>
    </w:p>
    <w:p w14:paraId="3E7A84C0" w14:textId="77777777" w:rsidR="00767BFA" w:rsidRPr="004F5FB4" w:rsidRDefault="00767BFA" w:rsidP="004E705D">
      <w:pPr>
        <w:pStyle w:val="BodyText"/>
        <w:widowControl/>
        <w:tabs>
          <w:tab w:val="left" w:pos="720"/>
        </w:tabs>
        <w:ind w:left="0"/>
        <w:rPr>
          <w:color w:val="000000"/>
        </w:rPr>
      </w:pPr>
      <w:r w:rsidRPr="004F5FB4">
        <w:rPr>
          <w:color w:val="000000"/>
        </w:rPr>
        <w:t>Es ist wichtig, dass Sie und der Arzt Ihres Kindes den Markennamen und die Chargenbezeichnung des Arzneimittels Ihres Kindes notieren.</w:t>
      </w:r>
    </w:p>
    <w:p w14:paraId="7D43966F" w14:textId="77777777" w:rsidR="005D4E3C" w:rsidRPr="004F5FB4" w:rsidRDefault="005D4E3C" w:rsidP="004E705D">
      <w:pPr>
        <w:pStyle w:val="BodyText"/>
        <w:widowControl/>
        <w:tabs>
          <w:tab w:val="left" w:pos="6480"/>
        </w:tabs>
        <w:kinsoku w:val="0"/>
        <w:overflowPunct w:val="0"/>
        <w:ind w:left="0"/>
        <w:rPr>
          <w:color w:val="000000"/>
        </w:rPr>
      </w:pPr>
    </w:p>
    <w:p w14:paraId="24EF149D" w14:textId="77777777" w:rsidR="00B466EE" w:rsidRPr="004F5FB4" w:rsidRDefault="00B466EE" w:rsidP="004E705D">
      <w:pPr>
        <w:pStyle w:val="BodyText"/>
        <w:widowControl/>
        <w:tabs>
          <w:tab w:val="left" w:pos="6480"/>
        </w:tabs>
        <w:kinsoku w:val="0"/>
        <w:overflowPunct w:val="0"/>
        <w:ind w:left="0"/>
        <w:rPr>
          <w:color w:val="000000"/>
          <w:u w:val="single"/>
        </w:rPr>
      </w:pPr>
      <w:r w:rsidRPr="004F5FB4">
        <w:rPr>
          <w:color w:val="000000"/>
          <w:u w:val="single"/>
        </w:rPr>
        <w:t>Allergische Reaktionen</w:t>
      </w:r>
    </w:p>
    <w:p w14:paraId="02F6A148" w14:textId="77777777" w:rsidR="004E705D" w:rsidRPr="004F5FB4" w:rsidRDefault="004E705D" w:rsidP="004E705D">
      <w:pPr>
        <w:pStyle w:val="BodyText"/>
        <w:widowControl/>
        <w:tabs>
          <w:tab w:val="left" w:pos="6480"/>
        </w:tabs>
        <w:kinsoku w:val="0"/>
        <w:overflowPunct w:val="0"/>
        <w:ind w:left="0"/>
        <w:rPr>
          <w:color w:val="000000"/>
          <w:lang w:val="en-GB"/>
        </w:rPr>
      </w:pPr>
    </w:p>
    <w:p w14:paraId="4A95FD41"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Sollten bei Ihrem Kind allergische Reaktionen mit Symptomen wie Engegefühl in der Brust, pfeifende Atemgeräusche, Schwindel, Schwellungen oder Hautausschlag</w:t>
      </w:r>
      <w:r w:rsidR="0073373B" w:rsidRPr="004F5FB4">
        <w:rPr>
          <w:color w:val="000000"/>
        </w:rPr>
        <w:t xml:space="preserve"> auftreten</w:t>
      </w:r>
      <w:r w:rsidRPr="004F5FB4">
        <w:rPr>
          <w:color w:val="000000"/>
        </w:rPr>
        <w:t>, spritzen Sie Ihrem Kind kein weiteres Amsparity mehr und setzen Sie sich unverzüglich mit dem Arzt Ihres Kindes in Verbindung, da diese Reaktionen in seltenen Fällen lebensbedrohlich sein können.</w:t>
      </w:r>
    </w:p>
    <w:p w14:paraId="772185FF" w14:textId="77777777" w:rsidR="00B466EE" w:rsidRPr="004F5FB4" w:rsidRDefault="00B466EE" w:rsidP="004E705D">
      <w:pPr>
        <w:pStyle w:val="BodyText"/>
        <w:widowControl/>
        <w:kinsoku w:val="0"/>
        <w:overflowPunct w:val="0"/>
        <w:ind w:left="0"/>
        <w:rPr>
          <w:color w:val="000000"/>
        </w:rPr>
      </w:pPr>
    </w:p>
    <w:p w14:paraId="5C1E813E" w14:textId="77777777" w:rsidR="00B466EE" w:rsidRPr="004F5FB4" w:rsidRDefault="00B466EE" w:rsidP="004E705D">
      <w:pPr>
        <w:pStyle w:val="BodyText"/>
        <w:widowControl/>
        <w:kinsoku w:val="0"/>
        <w:overflowPunct w:val="0"/>
        <w:ind w:left="0"/>
        <w:rPr>
          <w:color w:val="000000"/>
        </w:rPr>
      </w:pPr>
      <w:r w:rsidRPr="004F5FB4">
        <w:rPr>
          <w:color w:val="000000"/>
          <w:u w:val="single"/>
        </w:rPr>
        <w:t>Infektionen</w:t>
      </w:r>
    </w:p>
    <w:p w14:paraId="1951203C" w14:textId="77777777" w:rsidR="00B466EE" w:rsidRPr="004F5FB4" w:rsidRDefault="00B466EE" w:rsidP="004E705D">
      <w:pPr>
        <w:pStyle w:val="BodyText"/>
        <w:widowControl/>
        <w:kinsoku w:val="0"/>
        <w:overflowPunct w:val="0"/>
        <w:ind w:left="0"/>
        <w:rPr>
          <w:color w:val="000000"/>
          <w:szCs w:val="16"/>
          <w:lang w:val="en-GB"/>
        </w:rPr>
      </w:pPr>
    </w:p>
    <w:p w14:paraId="584E692C"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Ihr Kind eine Infektion hat, sprechen Sie mit </w:t>
      </w:r>
      <w:r w:rsidR="000303D4" w:rsidRPr="004F5FB4">
        <w:rPr>
          <w:color w:val="000000"/>
        </w:rPr>
        <w:t>dem</w:t>
      </w:r>
      <w:r w:rsidRPr="004F5FB4">
        <w:rPr>
          <w:color w:val="000000"/>
        </w:rPr>
        <w:t xml:space="preserve"> Arzt</w:t>
      </w:r>
      <w:r w:rsidR="000303D4" w:rsidRPr="004F5FB4">
        <w:rPr>
          <w:color w:val="000000"/>
        </w:rPr>
        <w:t xml:space="preserve"> Ihres Kindes</w:t>
      </w:r>
      <w:r w:rsidRPr="004F5FB4">
        <w:rPr>
          <w:color w:val="000000"/>
        </w:rPr>
        <w:t>, bevor mit der Amsparity-Behandlung begonnen wird; auch dann, wenn Ihr Kind die Infektion schon länger hat oder die Infektion örtlich begrenzt ist (z. B. ein Unterschenkelgeschwür). Wenn Sie unsicher sind, fragen Sie den Arzt Ihres Kindes.</w:t>
      </w:r>
    </w:p>
    <w:p w14:paraId="5325B2D9" w14:textId="77777777" w:rsidR="00B466EE" w:rsidRPr="004F5FB4" w:rsidRDefault="00B466EE" w:rsidP="004E705D">
      <w:pPr>
        <w:pStyle w:val="BodyText"/>
        <w:widowControl/>
        <w:kinsoku w:val="0"/>
        <w:overflowPunct w:val="0"/>
        <w:ind w:left="0"/>
        <w:rPr>
          <w:color w:val="000000"/>
        </w:rPr>
      </w:pPr>
    </w:p>
    <w:p w14:paraId="684AFDF4"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Während der Behandlung mit Amsparity kann Ihr Kind leichter an Infektionen erkranken. Dieses Risiko kann sich zusätzlich erhöhen, wenn Ihr Kind Probleme mit seiner Lunge hat. Diese Infektionen können schwerwiegend sein und umfassen Tuberkulose, Infektionen, die durch Viren, Pilze, Parasiten oder Bakterien verursacht werden, oder andere Infektionen, die auftreten, wenn die Widerstandskraft gegenüber Krankheiten vermindert ist (opportunistische Infektionen durch ungewöhnliche infektiöse Organismen), sowie Blutvergiftung </w:t>
      </w:r>
      <w:r w:rsidRPr="004F5FB4">
        <w:rPr>
          <w:i/>
          <w:color w:val="000000"/>
        </w:rPr>
        <w:t>(Sepsis)</w:t>
      </w:r>
      <w:r w:rsidRPr="004F5FB4">
        <w:rPr>
          <w:color w:val="000000"/>
        </w:rPr>
        <w:t xml:space="preserve">. Diese Infektionen können in seltenen Fällen lebensbedrohlich sein. Es ist wichtig, dass Sie den Arzt Ihres Kindes informieren, wenn bei Ihrem Kind Anzeichen wie Fieber, Wunden, Abgeschlagenheit oder Zahnprobleme auftreten. </w:t>
      </w:r>
      <w:r w:rsidR="00A51FCE" w:rsidRPr="004F5FB4">
        <w:rPr>
          <w:color w:val="000000"/>
        </w:rPr>
        <w:t>Der</w:t>
      </w:r>
      <w:r w:rsidRPr="004F5FB4">
        <w:rPr>
          <w:color w:val="000000"/>
        </w:rPr>
        <w:t xml:space="preserve"> Arzt</w:t>
      </w:r>
      <w:r w:rsidR="00A51FCE" w:rsidRPr="004F5FB4">
        <w:rPr>
          <w:color w:val="000000"/>
        </w:rPr>
        <w:t xml:space="preserve"> Ihres Kindes</w:t>
      </w:r>
      <w:r w:rsidRPr="004F5FB4">
        <w:rPr>
          <w:color w:val="000000"/>
        </w:rPr>
        <w:t xml:space="preserve"> wird Ihnen dann möglicherweise sagen, dass die Anwendung von Amsparity für eine bestimmte Zeit unterbrochen werden soll.</w:t>
      </w:r>
    </w:p>
    <w:p w14:paraId="1FFD72A7" w14:textId="77777777" w:rsidR="00033670" w:rsidRPr="004F5FB4" w:rsidRDefault="00033670" w:rsidP="004E705D">
      <w:pPr>
        <w:rPr>
          <w:color w:val="000000"/>
          <w:highlight w:val="yellow"/>
          <w:u w:val="single"/>
        </w:rPr>
      </w:pPr>
    </w:p>
    <w:p w14:paraId="5924318E" w14:textId="77777777" w:rsidR="003E4EE4" w:rsidRPr="004F5FB4" w:rsidRDefault="003E4EE4" w:rsidP="004E705D">
      <w:pPr>
        <w:pStyle w:val="BodyText"/>
        <w:keepNext/>
        <w:widowControl/>
        <w:kinsoku w:val="0"/>
        <w:overflowPunct w:val="0"/>
        <w:ind w:left="0"/>
        <w:rPr>
          <w:color w:val="000000"/>
        </w:rPr>
      </w:pPr>
      <w:r w:rsidRPr="004F5FB4">
        <w:rPr>
          <w:color w:val="000000"/>
          <w:u w:val="single"/>
        </w:rPr>
        <w:lastRenderedPageBreak/>
        <w:t>Tuberkulose</w:t>
      </w:r>
    </w:p>
    <w:p w14:paraId="5C8DF9F6" w14:textId="77777777" w:rsidR="003E4EE4" w:rsidRPr="004F5FB4" w:rsidRDefault="003E4EE4" w:rsidP="004E705D">
      <w:pPr>
        <w:pStyle w:val="BodyText"/>
        <w:keepNext/>
        <w:widowControl/>
        <w:kinsoku w:val="0"/>
        <w:overflowPunct w:val="0"/>
        <w:ind w:left="0"/>
        <w:rPr>
          <w:color w:val="000000"/>
          <w:lang w:val="en-GB"/>
        </w:rPr>
      </w:pPr>
    </w:p>
    <w:p w14:paraId="4DBB495A" w14:textId="77777777" w:rsidR="003E4EE4" w:rsidRPr="004F5FB4" w:rsidRDefault="00A51FC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Der</w:t>
      </w:r>
      <w:r w:rsidR="003E4EE4" w:rsidRPr="004F5FB4">
        <w:rPr>
          <w:color w:val="000000"/>
        </w:rPr>
        <w:t xml:space="preserve"> Arzt </w:t>
      </w:r>
      <w:r w:rsidRPr="004F5FB4">
        <w:rPr>
          <w:color w:val="000000"/>
        </w:rPr>
        <w:t xml:space="preserve">Ihres Kindes </w:t>
      </w:r>
      <w:r w:rsidR="003E4EE4" w:rsidRPr="004F5FB4">
        <w:rPr>
          <w:color w:val="000000"/>
        </w:rPr>
        <w:t>wird Ihr Kind vor Beginn der Behandlung mit Amsparity auf Anzeichen und Krankheitserscheinungen einer Tuberkulose untersuchen, da bei mit Adalimumab behandelten Patienten von Tuberkulosefällen berichtet wurde. Zu dieser gründlichen Untersuchung gehören die Aufnahme einer umfassenden medizinischen Vorgeschichte Ihres Kindes und geeignete Tests (z.</w:t>
      </w:r>
      <w:r w:rsidR="00AD6699" w:rsidRPr="004F5FB4">
        <w:rPr>
          <w:color w:val="000000"/>
        </w:rPr>
        <w:t> </w:t>
      </w:r>
      <w:r w:rsidR="003E4EE4" w:rsidRPr="004F5FB4">
        <w:rPr>
          <w:color w:val="000000"/>
        </w:rPr>
        <w:t>B. eine Röntgen-Aufnahme des Brustkorbs und ein Tuberkulintest). Die Durchführung und Ergebnisse dieser Tests sollten im Patientenpass Ihres Kindes dokumentiert werden.</w:t>
      </w:r>
    </w:p>
    <w:p w14:paraId="24F9EC9F" w14:textId="77777777" w:rsidR="004E705D" w:rsidRPr="004F5FB4" w:rsidRDefault="004E705D" w:rsidP="004E705D">
      <w:pPr>
        <w:pStyle w:val="BodyText"/>
        <w:widowControl/>
        <w:kinsoku w:val="0"/>
        <w:overflowPunct w:val="0"/>
        <w:autoSpaceDE w:val="0"/>
        <w:autoSpaceDN w:val="0"/>
        <w:adjustRightInd w:val="0"/>
        <w:ind w:left="562"/>
        <w:rPr>
          <w:color w:val="000000"/>
        </w:rPr>
      </w:pPr>
    </w:p>
    <w:p w14:paraId="22F74AF5" w14:textId="77777777" w:rsidR="003E4EE4" w:rsidRPr="004F5FB4" w:rsidRDefault="003E4EE4"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Es ist sehr wichtig, dass Sie </w:t>
      </w:r>
      <w:r w:rsidR="00A51FCE" w:rsidRPr="004F5FB4">
        <w:rPr>
          <w:color w:val="000000"/>
        </w:rPr>
        <w:t>d</w:t>
      </w:r>
      <w:r w:rsidRPr="004F5FB4">
        <w:rPr>
          <w:color w:val="000000"/>
        </w:rPr>
        <w:t>em Arzt</w:t>
      </w:r>
      <w:r w:rsidR="00A51FCE" w:rsidRPr="004F5FB4">
        <w:rPr>
          <w:color w:val="000000"/>
        </w:rPr>
        <w:t xml:space="preserve"> Ihres Kindes</w:t>
      </w:r>
      <w:r w:rsidRPr="004F5FB4">
        <w:rPr>
          <w:color w:val="000000"/>
        </w:rPr>
        <w:t xml:space="preserve"> mitteilen, wenn Ihr Kind jemals Tuberkulose hatte oder wenn es engen Kontakt mit jemandem hatte, der Tuberkulose hatte. Wenn Ihr Kind eine aktive Tuberkulose hat, darf Amsparity nicht angewendet werden.</w:t>
      </w:r>
    </w:p>
    <w:p w14:paraId="04035F84" w14:textId="77777777" w:rsidR="004E705D" w:rsidRPr="004F5FB4" w:rsidRDefault="004E705D" w:rsidP="004E705D">
      <w:pPr>
        <w:pStyle w:val="BodyText"/>
        <w:widowControl/>
        <w:tabs>
          <w:tab w:val="left" w:pos="802"/>
        </w:tabs>
        <w:kinsoku w:val="0"/>
        <w:overflowPunct w:val="0"/>
        <w:autoSpaceDE w:val="0"/>
        <w:autoSpaceDN w:val="0"/>
        <w:adjustRightInd w:val="0"/>
        <w:ind w:left="0"/>
        <w:rPr>
          <w:color w:val="000000"/>
        </w:rPr>
      </w:pPr>
    </w:p>
    <w:p w14:paraId="1073FB83" w14:textId="77777777" w:rsidR="003E4EE4" w:rsidRPr="004F5FB4" w:rsidRDefault="003E4EE4"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Tuberkulose kann sich während der Behandlung entwickeln, sogar dann, wenn Ihr Kind eine Behandlung zur Vorbeugung gegen Tuberkulose bekommen hat.</w:t>
      </w:r>
    </w:p>
    <w:p w14:paraId="4C8478AD" w14:textId="77777777" w:rsidR="004E705D" w:rsidRPr="004F5FB4" w:rsidRDefault="004E705D" w:rsidP="004E705D">
      <w:pPr>
        <w:pStyle w:val="BodyText"/>
        <w:widowControl/>
        <w:tabs>
          <w:tab w:val="left" w:pos="802"/>
        </w:tabs>
        <w:kinsoku w:val="0"/>
        <w:overflowPunct w:val="0"/>
        <w:autoSpaceDE w:val="0"/>
        <w:autoSpaceDN w:val="0"/>
        <w:adjustRightInd w:val="0"/>
        <w:ind w:left="0"/>
        <w:rPr>
          <w:color w:val="000000"/>
        </w:rPr>
      </w:pPr>
    </w:p>
    <w:p w14:paraId="11166582" w14:textId="77777777" w:rsidR="003E4EE4" w:rsidRPr="004F5FB4" w:rsidRDefault="003E4EE4"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Benachrichtigen Sie unverzüglich den Arzt Ihres Kindes, wenn bei Ihrem Kind Anzeichen einer Tuberkulose oder einer anderen Infektion während oder nach der Behandlung auftreten. Anzeichen einer Tuberkulose können z.</w:t>
      </w:r>
      <w:r w:rsidR="00AD6699" w:rsidRPr="004F5FB4">
        <w:rPr>
          <w:color w:val="000000"/>
        </w:rPr>
        <w:t> </w:t>
      </w:r>
      <w:r w:rsidRPr="004F5FB4">
        <w:rPr>
          <w:color w:val="000000"/>
        </w:rPr>
        <w:t>B. sein: anhaltender Husten, Gewichtsverlust, das Gefühl, keine Energie zu haben, leichtes Fieber.</w:t>
      </w:r>
    </w:p>
    <w:p w14:paraId="2340EBD8" w14:textId="77777777" w:rsidR="004E705D" w:rsidRPr="004F5FB4" w:rsidRDefault="004E705D" w:rsidP="004E705D">
      <w:pPr>
        <w:pStyle w:val="ListParagraph"/>
        <w:rPr>
          <w:color w:val="000000"/>
        </w:rPr>
      </w:pPr>
    </w:p>
    <w:p w14:paraId="0CA4791D" w14:textId="77777777" w:rsidR="00033670" w:rsidRPr="004F5FB4" w:rsidRDefault="00033670" w:rsidP="004E705D">
      <w:pPr>
        <w:keepNext/>
        <w:rPr>
          <w:color w:val="000000"/>
          <w:u w:val="single"/>
        </w:rPr>
      </w:pPr>
      <w:r w:rsidRPr="004F5FB4">
        <w:rPr>
          <w:color w:val="000000"/>
          <w:u w:val="single"/>
        </w:rPr>
        <w:t>Reisen/</w:t>
      </w:r>
      <w:r w:rsidR="00452A38" w:rsidRPr="004F5FB4">
        <w:rPr>
          <w:color w:val="000000"/>
          <w:u w:val="single"/>
        </w:rPr>
        <w:t xml:space="preserve"> </w:t>
      </w:r>
      <w:r w:rsidRPr="004F5FB4">
        <w:rPr>
          <w:color w:val="000000"/>
          <w:u w:val="single"/>
        </w:rPr>
        <w:t>wiederkehrende Infektionen</w:t>
      </w:r>
    </w:p>
    <w:p w14:paraId="1CC7177E" w14:textId="77777777" w:rsidR="00B466EE" w:rsidRPr="004F5FB4" w:rsidRDefault="00B466EE" w:rsidP="004E705D">
      <w:pPr>
        <w:pStyle w:val="BodyText"/>
        <w:keepNext/>
        <w:widowControl/>
        <w:kinsoku w:val="0"/>
        <w:overflowPunct w:val="0"/>
        <w:ind w:left="0"/>
        <w:rPr>
          <w:color w:val="000000"/>
          <w:szCs w:val="21"/>
          <w:lang w:val="en-GB"/>
        </w:rPr>
      </w:pPr>
    </w:p>
    <w:p w14:paraId="1CDCFAF7" w14:textId="77777777" w:rsidR="00B466EE" w:rsidRPr="004F5FB4" w:rsidRDefault="00B466EE" w:rsidP="00687087">
      <w:pPr>
        <w:pStyle w:val="BodyText"/>
        <w:widowControl/>
        <w:numPr>
          <w:ilvl w:val="1"/>
          <w:numId w:val="22"/>
        </w:numPr>
        <w:kinsoku w:val="0"/>
        <w:overflowPunct w:val="0"/>
        <w:autoSpaceDE w:val="0"/>
        <w:autoSpaceDN w:val="0"/>
        <w:adjustRightInd w:val="0"/>
        <w:ind w:left="561" w:hanging="561"/>
        <w:rPr>
          <w:color w:val="000000"/>
        </w:rPr>
      </w:pPr>
      <w:r w:rsidRPr="004F5FB4">
        <w:rPr>
          <w:color w:val="000000"/>
        </w:rPr>
        <w:t xml:space="preserve">Informieren Sie den Arzt Ihres Kindes, wenn Ihr Kind in Regionen gelebt hat oder gereist ist, in denen Pilzinfektionen vorkommen (z. B. </w:t>
      </w:r>
      <w:r w:rsidRPr="004F5FB4">
        <w:rPr>
          <w:i/>
          <w:color w:val="000000"/>
        </w:rPr>
        <w:t>Histoplasmose, Kokzidioidomykose</w:t>
      </w:r>
      <w:r w:rsidRPr="004F5FB4">
        <w:rPr>
          <w:color w:val="000000"/>
        </w:rPr>
        <w:t xml:space="preserve"> oder </w:t>
      </w:r>
      <w:r w:rsidRPr="004F5FB4">
        <w:rPr>
          <w:i/>
          <w:color w:val="000000"/>
        </w:rPr>
        <w:t>Blastomykose</w:t>
      </w:r>
      <w:r w:rsidRPr="004F5FB4">
        <w:rPr>
          <w:color w:val="000000"/>
        </w:rPr>
        <w:t>).</w:t>
      </w:r>
    </w:p>
    <w:p w14:paraId="6494A66D" w14:textId="77777777" w:rsidR="00B466EE" w:rsidRPr="004F5FB4" w:rsidRDefault="00B466EE" w:rsidP="004E705D">
      <w:pPr>
        <w:pStyle w:val="BodyText"/>
        <w:widowControl/>
        <w:kinsoku w:val="0"/>
        <w:overflowPunct w:val="0"/>
        <w:ind w:left="562" w:hanging="562"/>
        <w:rPr>
          <w:color w:val="000000"/>
        </w:rPr>
      </w:pPr>
    </w:p>
    <w:p w14:paraId="35C1957D"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Informieren Sie den Arzt Ihres Kindes, wenn Ihr Kind in der Vergangenheit Infektionen gehabt hat, die immer wieder aufgetreten sind oder wenn es andere Krankheiten gehabt hat, die das Risiko einer Infektion erhöhen.</w:t>
      </w:r>
    </w:p>
    <w:p w14:paraId="5E90B9D8" w14:textId="77777777" w:rsidR="00B466EE" w:rsidRPr="004F5FB4" w:rsidRDefault="00B466EE" w:rsidP="004E705D">
      <w:pPr>
        <w:pStyle w:val="BodyText"/>
        <w:widowControl/>
        <w:kinsoku w:val="0"/>
        <w:overflowPunct w:val="0"/>
        <w:ind w:left="562" w:hanging="562"/>
        <w:rPr>
          <w:color w:val="000000"/>
          <w:szCs w:val="21"/>
        </w:rPr>
      </w:pPr>
    </w:p>
    <w:p w14:paraId="713680B6"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Sie und der Arzt Ihres Kindes sollten daher besonders auf Anzeichen einer Infektion achten, während Ihr Kind mit Amsparity behandelt wird. Es ist wichtig, dass Sie den Arzt Ihres Kindes informieren, wenn bei Ihrem Kind Anzeichen von Infektionen wie Fieber, Wunden, Gefühl der Müdigkeit oder Zahnprobleme auftreten.</w:t>
      </w:r>
    </w:p>
    <w:p w14:paraId="52F4BFE0" w14:textId="77777777" w:rsidR="00B466EE" w:rsidRPr="004F5FB4" w:rsidRDefault="00B466EE" w:rsidP="004E705D">
      <w:pPr>
        <w:pStyle w:val="BodyText"/>
        <w:widowControl/>
        <w:kinsoku w:val="0"/>
        <w:overflowPunct w:val="0"/>
        <w:autoSpaceDE w:val="0"/>
        <w:autoSpaceDN w:val="0"/>
        <w:adjustRightInd w:val="0"/>
        <w:ind w:left="0"/>
        <w:rPr>
          <w:color w:val="000000"/>
        </w:rPr>
      </w:pPr>
    </w:p>
    <w:p w14:paraId="1271D4A9" w14:textId="77777777" w:rsidR="00B466EE" w:rsidRPr="004F5FB4" w:rsidRDefault="00B466EE" w:rsidP="00687087">
      <w:pPr>
        <w:pStyle w:val="BodyText"/>
        <w:keepNext/>
        <w:widowControl/>
        <w:kinsoku w:val="0"/>
        <w:overflowPunct w:val="0"/>
        <w:ind w:left="0"/>
        <w:rPr>
          <w:color w:val="000000"/>
        </w:rPr>
      </w:pPr>
      <w:r w:rsidRPr="004F5FB4">
        <w:rPr>
          <w:color w:val="000000"/>
          <w:u w:val="single"/>
        </w:rPr>
        <w:t>Hepatitis B</w:t>
      </w:r>
    </w:p>
    <w:p w14:paraId="33F81A88" w14:textId="77777777" w:rsidR="00B466EE" w:rsidRPr="004F5FB4" w:rsidRDefault="00B466EE" w:rsidP="00687087">
      <w:pPr>
        <w:pStyle w:val="BodyText"/>
        <w:keepNext/>
        <w:widowControl/>
        <w:kinsoku w:val="0"/>
        <w:overflowPunct w:val="0"/>
        <w:ind w:left="0"/>
        <w:rPr>
          <w:color w:val="000000"/>
          <w:lang w:val="en-GB"/>
        </w:rPr>
      </w:pPr>
    </w:p>
    <w:p w14:paraId="501EA3A7" w14:textId="77777777" w:rsidR="00AA4681" w:rsidRPr="004F5FB4" w:rsidRDefault="00AA4681" w:rsidP="00AA4681">
      <w:pPr>
        <w:numPr>
          <w:ilvl w:val="0"/>
          <w:numId w:val="6"/>
        </w:numPr>
        <w:ind w:left="562" w:hanging="562"/>
        <w:rPr>
          <w:color w:val="000000"/>
        </w:rPr>
      </w:pPr>
      <w:r w:rsidRPr="004F5FB4">
        <w:rPr>
          <w:color w:val="000000"/>
        </w:rPr>
        <w:t xml:space="preserve">Informieren Sie </w:t>
      </w:r>
      <w:r w:rsidR="00A51FCE" w:rsidRPr="004F5FB4">
        <w:rPr>
          <w:color w:val="000000"/>
        </w:rPr>
        <w:t>d</w:t>
      </w:r>
      <w:r w:rsidRPr="004F5FB4">
        <w:rPr>
          <w:color w:val="000000"/>
        </w:rPr>
        <w:t>en Arzt</w:t>
      </w:r>
      <w:r w:rsidR="00A51FCE" w:rsidRPr="004F5FB4">
        <w:rPr>
          <w:color w:val="000000"/>
        </w:rPr>
        <w:t xml:space="preserve"> Ihres Kindes</w:t>
      </w:r>
      <w:r w:rsidRPr="004F5FB4">
        <w:rPr>
          <w:color w:val="000000"/>
        </w:rPr>
        <w:t>, wenn Ihr Kind Träger des Hepatitis-B-Virus (HBV) ist, wenn es eine aktive HBV-Infektion hat oder wenn Sie glauben, dass es ein erhöhtes Risiko für eine HBV-Infektion hat. Der Arzt Ihres Kindes sollte Ihr Kind auf HBV untersuchen. Adalimumab kann zu einem erneuten Ausbruch einer HBV-Infektion bei Personen führen, die das Virus tragen. In einigen seltenen Fällen, besonders bei der zusätzlichen Anwendung von weiteren Arzneimitteln, die das körpereigene Abwehrsystem unterdrücken, kann der erneute Ausbruch einer HBV</w:t>
      </w:r>
      <w:r w:rsidRPr="004F5FB4">
        <w:rPr>
          <w:color w:val="000000"/>
        </w:rPr>
        <w:noBreakHyphen/>
        <w:t xml:space="preserve">Infektion lebensbedrohend sein. </w:t>
      </w:r>
    </w:p>
    <w:p w14:paraId="42792C1D" w14:textId="77777777" w:rsidR="00B466EE" w:rsidRPr="004F5FB4" w:rsidRDefault="00B466EE" w:rsidP="004E705D">
      <w:pPr>
        <w:pStyle w:val="BodyText"/>
        <w:widowControl/>
        <w:kinsoku w:val="0"/>
        <w:overflowPunct w:val="0"/>
        <w:ind w:left="0"/>
        <w:rPr>
          <w:color w:val="000000"/>
        </w:rPr>
      </w:pPr>
    </w:p>
    <w:p w14:paraId="3D9E2456" w14:textId="77777777" w:rsidR="00B466EE" w:rsidRPr="004F5FB4" w:rsidRDefault="00B466EE" w:rsidP="00687087">
      <w:pPr>
        <w:pStyle w:val="BodyText"/>
        <w:keepNext/>
        <w:widowControl/>
        <w:kinsoku w:val="0"/>
        <w:overflowPunct w:val="0"/>
        <w:ind w:left="0"/>
        <w:rPr>
          <w:color w:val="000000"/>
        </w:rPr>
      </w:pPr>
      <w:r w:rsidRPr="004F5FB4">
        <w:rPr>
          <w:color w:val="000000"/>
          <w:u w:val="single"/>
        </w:rPr>
        <w:t>Operationen oder Zahnbehandlungen</w:t>
      </w:r>
    </w:p>
    <w:p w14:paraId="76E4BBE0" w14:textId="77777777" w:rsidR="00B466EE" w:rsidRPr="004F5FB4" w:rsidRDefault="00B466EE" w:rsidP="00687087">
      <w:pPr>
        <w:pStyle w:val="BodyText"/>
        <w:keepNext/>
        <w:widowControl/>
        <w:kinsoku w:val="0"/>
        <w:overflowPunct w:val="0"/>
        <w:ind w:left="0"/>
        <w:rPr>
          <w:color w:val="000000"/>
          <w:lang w:val="en-GB"/>
        </w:rPr>
      </w:pPr>
    </w:p>
    <w:p w14:paraId="400868E6"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Informieren Sie bitte den Arzt Ihres Kindes vor einer Operation oder einer Zahnbehandlung über die Behandlung Ihres Kindes mit Amsparity. </w:t>
      </w:r>
      <w:r w:rsidR="00A51FCE" w:rsidRPr="004F5FB4">
        <w:rPr>
          <w:color w:val="000000"/>
        </w:rPr>
        <w:t>Der</w:t>
      </w:r>
      <w:r w:rsidRPr="004F5FB4">
        <w:rPr>
          <w:color w:val="000000"/>
        </w:rPr>
        <w:t xml:space="preserve"> Arzt </w:t>
      </w:r>
      <w:r w:rsidR="00A51FCE" w:rsidRPr="004F5FB4">
        <w:rPr>
          <w:color w:val="000000"/>
        </w:rPr>
        <w:t xml:space="preserve">Ihres Kindes </w:t>
      </w:r>
      <w:r w:rsidRPr="004F5FB4">
        <w:rPr>
          <w:color w:val="000000"/>
        </w:rPr>
        <w:t>wird Ihnen dann möglicherweise sagen, dass die Anwendung von Amsparity für eine bestimmte Zeit unterbrochen werden soll.</w:t>
      </w:r>
    </w:p>
    <w:p w14:paraId="1DAD2862" w14:textId="77777777" w:rsidR="00B466EE" w:rsidRPr="004F5FB4" w:rsidRDefault="00B466EE" w:rsidP="004E705D">
      <w:pPr>
        <w:pStyle w:val="BodyText"/>
        <w:widowControl/>
        <w:kinsoku w:val="0"/>
        <w:overflowPunct w:val="0"/>
        <w:ind w:left="0"/>
        <w:rPr>
          <w:color w:val="000000"/>
        </w:rPr>
      </w:pPr>
    </w:p>
    <w:p w14:paraId="16F2EF80" w14:textId="77777777" w:rsidR="00B466EE" w:rsidRPr="004F5FB4" w:rsidRDefault="00B466EE" w:rsidP="00687087">
      <w:pPr>
        <w:pStyle w:val="BodyText"/>
        <w:keepNext/>
        <w:widowControl/>
        <w:kinsoku w:val="0"/>
        <w:overflowPunct w:val="0"/>
        <w:ind w:left="0"/>
        <w:rPr>
          <w:color w:val="000000"/>
        </w:rPr>
      </w:pPr>
      <w:r w:rsidRPr="004F5FB4">
        <w:rPr>
          <w:color w:val="000000"/>
          <w:u w:val="single"/>
        </w:rPr>
        <w:lastRenderedPageBreak/>
        <w:t>Demyelinisierende Erkrankungen</w:t>
      </w:r>
    </w:p>
    <w:p w14:paraId="00DAC850" w14:textId="77777777" w:rsidR="00B466EE" w:rsidRPr="004F5FB4" w:rsidRDefault="00B466EE" w:rsidP="00687087">
      <w:pPr>
        <w:pStyle w:val="BodyText"/>
        <w:keepNext/>
        <w:widowControl/>
        <w:kinsoku w:val="0"/>
        <w:overflowPunct w:val="0"/>
        <w:ind w:left="0"/>
        <w:rPr>
          <w:color w:val="000000"/>
          <w:lang w:val="en-GB"/>
        </w:rPr>
      </w:pPr>
    </w:p>
    <w:p w14:paraId="64434B20"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Ihr Kind eine Erkrankung </w:t>
      </w:r>
      <w:r w:rsidR="00E062D9" w:rsidRPr="004F5FB4">
        <w:rPr>
          <w:color w:val="000000"/>
        </w:rPr>
        <w:t xml:space="preserve">gerade </w:t>
      </w:r>
      <w:r w:rsidRPr="004F5FB4">
        <w:rPr>
          <w:color w:val="000000"/>
        </w:rPr>
        <w:t>entwickelt oder bereits hat, die die isolierende Schicht um die Nervenzellen beeinflusst (wie z.</w:t>
      </w:r>
      <w:r w:rsidR="00AD6699" w:rsidRPr="004F5FB4">
        <w:rPr>
          <w:color w:val="000000"/>
        </w:rPr>
        <w:t> </w:t>
      </w:r>
      <w:r w:rsidRPr="004F5FB4">
        <w:rPr>
          <w:color w:val="000000"/>
        </w:rPr>
        <w:t xml:space="preserve">B. </w:t>
      </w:r>
      <w:r w:rsidR="00A63F9C" w:rsidRPr="004F5FB4">
        <w:rPr>
          <w:i/>
          <w:color w:val="000000"/>
        </w:rPr>
        <w:t>M</w:t>
      </w:r>
      <w:r w:rsidRPr="004F5FB4">
        <w:rPr>
          <w:i/>
          <w:color w:val="000000"/>
        </w:rPr>
        <w:t>ultiple Sklerose</w:t>
      </w:r>
      <w:r w:rsidRPr="004F5FB4">
        <w:rPr>
          <w:color w:val="000000"/>
        </w:rPr>
        <w:t xml:space="preserve">), wird </w:t>
      </w:r>
      <w:r w:rsidR="0089318C" w:rsidRPr="004F5FB4">
        <w:rPr>
          <w:color w:val="000000"/>
        </w:rPr>
        <w:t>der</w:t>
      </w:r>
      <w:r w:rsidRPr="004F5FB4">
        <w:rPr>
          <w:color w:val="000000"/>
        </w:rPr>
        <w:t xml:space="preserve"> Arzt</w:t>
      </w:r>
      <w:r w:rsidR="0089318C" w:rsidRPr="004F5FB4">
        <w:rPr>
          <w:color w:val="000000"/>
        </w:rPr>
        <w:t xml:space="preserve"> Ihres Kindes</w:t>
      </w:r>
      <w:r w:rsidRPr="004F5FB4">
        <w:rPr>
          <w:color w:val="000000"/>
        </w:rPr>
        <w:t xml:space="preserve"> entscheiden, ob Ihr Kind Amsparity anwenden bzw. weiter anwenden sollte. Informieren Sie bitte umgehend den Arzt Ihres Kindes, wenn es bei Ihrem Kind zu Anzeichen wie verändertem Sehvermögen oder Kraftlosigkeit in den Armen oder Beinen kommt oder wenn sich Körperteile taub oder kribbelig anfühlen.</w:t>
      </w:r>
    </w:p>
    <w:p w14:paraId="04A5EEF6" w14:textId="77777777" w:rsidR="00B466EE" w:rsidRPr="004F5FB4" w:rsidRDefault="00B466EE" w:rsidP="004E705D">
      <w:pPr>
        <w:pStyle w:val="BodyText"/>
        <w:widowControl/>
        <w:kinsoku w:val="0"/>
        <w:overflowPunct w:val="0"/>
        <w:ind w:left="0"/>
        <w:rPr>
          <w:color w:val="000000"/>
        </w:rPr>
      </w:pPr>
    </w:p>
    <w:p w14:paraId="6CCCF442" w14:textId="77777777" w:rsidR="00B466EE" w:rsidRPr="004F5FB4" w:rsidRDefault="008639F1" w:rsidP="00687087">
      <w:pPr>
        <w:pStyle w:val="BodyText"/>
        <w:keepNext/>
        <w:widowControl/>
        <w:kinsoku w:val="0"/>
        <w:overflowPunct w:val="0"/>
        <w:ind w:left="0"/>
        <w:rPr>
          <w:color w:val="000000"/>
        </w:rPr>
      </w:pPr>
      <w:r w:rsidRPr="004F5FB4">
        <w:rPr>
          <w:color w:val="000000"/>
          <w:u w:val="single"/>
        </w:rPr>
        <w:t>Impfungen</w:t>
      </w:r>
    </w:p>
    <w:p w14:paraId="0DC37E38" w14:textId="77777777" w:rsidR="00B466EE" w:rsidRPr="004F5FB4" w:rsidRDefault="00B466EE" w:rsidP="00687087">
      <w:pPr>
        <w:pStyle w:val="BodyText"/>
        <w:keepNext/>
        <w:widowControl/>
        <w:kinsoku w:val="0"/>
        <w:overflowPunct w:val="0"/>
        <w:ind w:left="0"/>
        <w:rPr>
          <w:color w:val="000000"/>
          <w:lang w:val="en-GB"/>
        </w:rPr>
      </w:pPr>
    </w:p>
    <w:p w14:paraId="1FCDCFBC"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Gewisse Impfstoffe enthalten lebende, aber abgeschwächte Formen von Bakterien oder Viren, die Krankheiten verursachen können</w:t>
      </w:r>
      <w:r w:rsidR="00F46C85" w:rsidRPr="004F5FB4">
        <w:rPr>
          <w:color w:val="000000"/>
        </w:rPr>
        <w:t>,</w:t>
      </w:r>
      <w:r w:rsidR="0089318C" w:rsidRPr="004F5FB4">
        <w:rPr>
          <w:color w:val="000000"/>
        </w:rPr>
        <w:t xml:space="preserve"> und </w:t>
      </w:r>
      <w:r w:rsidRPr="004F5FB4">
        <w:rPr>
          <w:color w:val="000000"/>
        </w:rPr>
        <w:t>sollten während der Behandlung mit Amsparity nicht verwendet werden. Besprechen Sie jede Impfung Ihres Kindes vorher mit dem Arzt Ihres Kindes. Bei Kindern und Jugendlichen wird empfohlen, nach Möglichkeit vor Behandlungsbeginn mit Amsparity alle für ihr Alter festgelegten Impfungen auf den aktuellen Stand zu bringen. Wenn Ihr Kind Amsparity erhielt, während es schwanger war, kann für seinen Säugling bis zu 5 Monate nach der letzten Amsparity-Dosis, die während der Schwangerschaft verabreicht wurde, ein erhöhtes Infektionsrisiko bestehen. Es ist wichtig, dass Sie den Ärzten des Neugeborenen und anderem Fachpersonal im Gesundheitswesen mitteilen, dass Ihr Kind während seiner Schwangerschaft Amsparity bekommen hat, sodass diese darüber entscheiden können, ob der Säugling eine Impfung erhalten sollte.</w:t>
      </w:r>
    </w:p>
    <w:p w14:paraId="35A72B46" w14:textId="77777777" w:rsidR="00B466EE" w:rsidRPr="004F5FB4" w:rsidRDefault="00B466EE" w:rsidP="004E705D">
      <w:pPr>
        <w:pStyle w:val="BodyText"/>
        <w:widowControl/>
        <w:kinsoku w:val="0"/>
        <w:overflowPunct w:val="0"/>
        <w:ind w:left="0"/>
        <w:rPr>
          <w:color w:val="000000"/>
          <w:u w:val="single"/>
        </w:rPr>
      </w:pPr>
    </w:p>
    <w:p w14:paraId="6933FD4F" w14:textId="77777777" w:rsidR="00B466EE" w:rsidRPr="004F5FB4" w:rsidRDefault="00B466EE" w:rsidP="004E705D">
      <w:pPr>
        <w:pStyle w:val="BodyText"/>
        <w:keepNext/>
        <w:widowControl/>
        <w:kinsoku w:val="0"/>
        <w:overflowPunct w:val="0"/>
        <w:ind w:left="0"/>
        <w:rPr>
          <w:color w:val="000000"/>
        </w:rPr>
      </w:pPr>
      <w:r w:rsidRPr="004F5FB4">
        <w:rPr>
          <w:color w:val="000000"/>
          <w:u w:val="single"/>
        </w:rPr>
        <w:t>Herzschwäche</w:t>
      </w:r>
    </w:p>
    <w:p w14:paraId="0A89BA96" w14:textId="77777777" w:rsidR="00B466EE" w:rsidRPr="004F5FB4" w:rsidRDefault="00B466EE" w:rsidP="004E705D">
      <w:pPr>
        <w:pStyle w:val="BodyText"/>
        <w:keepNext/>
        <w:widowControl/>
        <w:kinsoku w:val="0"/>
        <w:overflowPunct w:val="0"/>
        <w:ind w:left="0"/>
        <w:rPr>
          <w:color w:val="000000"/>
          <w:lang w:val="en-GB"/>
        </w:rPr>
      </w:pPr>
    </w:p>
    <w:p w14:paraId="60C7BBC5" w14:textId="77777777" w:rsidR="00B466EE" w:rsidRPr="004F5FB4" w:rsidRDefault="001E0CF3" w:rsidP="00687087">
      <w:pPr>
        <w:pStyle w:val="BodyText"/>
        <w:widowControl/>
        <w:numPr>
          <w:ilvl w:val="1"/>
          <w:numId w:val="22"/>
        </w:numPr>
        <w:kinsoku w:val="0"/>
        <w:overflowPunct w:val="0"/>
        <w:autoSpaceDE w:val="0"/>
        <w:autoSpaceDN w:val="0"/>
        <w:adjustRightInd w:val="0"/>
        <w:ind w:left="561" w:hanging="561"/>
        <w:rPr>
          <w:color w:val="000000"/>
        </w:rPr>
      </w:pPr>
      <w:r w:rsidRPr="004F5FB4">
        <w:rPr>
          <w:color w:val="000000"/>
        </w:rPr>
        <w:t xml:space="preserve">Es ist wichtig, dass Sie </w:t>
      </w:r>
      <w:r w:rsidR="0089318C" w:rsidRPr="004F5FB4">
        <w:rPr>
          <w:color w:val="000000"/>
        </w:rPr>
        <w:t>d</w:t>
      </w:r>
      <w:r w:rsidRPr="004F5FB4">
        <w:rPr>
          <w:color w:val="000000"/>
        </w:rPr>
        <w:t>en Arzt</w:t>
      </w:r>
      <w:r w:rsidR="0089318C" w:rsidRPr="004F5FB4">
        <w:rPr>
          <w:color w:val="000000"/>
        </w:rPr>
        <w:t xml:space="preserve"> Ihres Kindes</w:t>
      </w:r>
      <w:r w:rsidRPr="004F5FB4">
        <w:rPr>
          <w:color w:val="000000"/>
        </w:rPr>
        <w:t xml:space="preserve"> darüber informieren, wenn Ihr Kind schwerwiegende Herzprobleme hat oder gehabt hat. Wenn Ihr Kind eine leichte Herzschwäche </w:t>
      </w:r>
      <w:r w:rsidRPr="004F5FB4">
        <w:rPr>
          <w:i/>
          <w:color w:val="000000"/>
        </w:rPr>
        <w:t>(Herzinsuffizienz)</w:t>
      </w:r>
      <w:r w:rsidRPr="004F5FB4">
        <w:rPr>
          <w:color w:val="000000"/>
        </w:rPr>
        <w:t xml:space="preserve"> hat und mit Amsparity behandelt wird, muss die Herzschwäche sorgfältig durch den Arzt Ihres Kindes überwacht werden. Entwickelt es neue oder sich verschlechternde Symptome einer Herzschwäche (z.</w:t>
      </w:r>
      <w:r w:rsidR="00AD6699" w:rsidRPr="004F5FB4">
        <w:rPr>
          <w:color w:val="000000"/>
        </w:rPr>
        <w:t> </w:t>
      </w:r>
      <w:r w:rsidRPr="004F5FB4">
        <w:rPr>
          <w:color w:val="000000"/>
        </w:rPr>
        <w:t xml:space="preserve">B. Kurzatmigkeit oder Anschwellen der Füße), müssen Sie sofort mit dem Arzt Ihres Kindes sprechen. </w:t>
      </w:r>
    </w:p>
    <w:p w14:paraId="697B6601" w14:textId="77777777" w:rsidR="00B466EE" w:rsidRPr="004F5FB4" w:rsidRDefault="00B466EE" w:rsidP="004E705D">
      <w:pPr>
        <w:pStyle w:val="BodyText"/>
        <w:widowControl/>
        <w:kinsoku w:val="0"/>
        <w:overflowPunct w:val="0"/>
        <w:ind w:left="0"/>
        <w:rPr>
          <w:color w:val="000000"/>
        </w:rPr>
      </w:pPr>
    </w:p>
    <w:p w14:paraId="3E0534B7" w14:textId="77777777" w:rsidR="00B466EE" w:rsidRPr="004F5FB4" w:rsidRDefault="00B466EE" w:rsidP="004E705D">
      <w:pPr>
        <w:pStyle w:val="BodyText"/>
        <w:keepNext/>
        <w:widowControl/>
        <w:kinsoku w:val="0"/>
        <w:overflowPunct w:val="0"/>
        <w:ind w:left="0"/>
        <w:rPr>
          <w:color w:val="000000"/>
        </w:rPr>
      </w:pPr>
      <w:r w:rsidRPr="004F5FB4">
        <w:rPr>
          <w:color w:val="000000"/>
          <w:u w:val="single"/>
        </w:rPr>
        <w:t>Fieber, blaue Flecke, Blutungen, blasses Aussehen</w:t>
      </w:r>
    </w:p>
    <w:p w14:paraId="68C43016" w14:textId="77777777" w:rsidR="00B466EE" w:rsidRPr="004F5FB4" w:rsidRDefault="00B466EE" w:rsidP="004E705D">
      <w:pPr>
        <w:pStyle w:val="BodyText"/>
        <w:keepNext/>
        <w:widowControl/>
        <w:kinsoku w:val="0"/>
        <w:overflowPunct w:val="0"/>
        <w:ind w:left="0"/>
        <w:rPr>
          <w:color w:val="000000"/>
        </w:rPr>
      </w:pPr>
    </w:p>
    <w:p w14:paraId="4975B381"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Bei einigen Patienten kann die körpereigene Produktion von bestimmten Blutzellen vermindert sein. Diese Blutzellen helfen dem Körper Ihres Kindes bei der Bekämpfung von Infektionen oder beim Stoppen von Blutungen. Wenn Ihr Kind anhaltendes Fieber bekommt, sehr leicht blaue Flecken entwickelt oder blutet oder sehr blass aussieht, benachrichtigen Sie umgehend </w:t>
      </w:r>
      <w:r w:rsidR="002C79E2" w:rsidRPr="004F5FB4">
        <w:rPr>
          <w:color w:val="000000"/>
        </w:rPr>
        <w:t>d</w:t>
      </w:r>
      <w:r w:rsidRPr="004F5FB4">
        <w:rPr>
          <w:color w:val="000000"/>
        </w:rPr>
        <w:t>en Arzt</w:t>
      </w:r>
      <w:r w:rsidR="002C79E2" w:rsidRPr="004F5FB4">
        <w:rPr>
          <w:color w:val="000000"/>
        </w:rPr>
        <w:t xml:space="preserve"> Ihres Kindes</w:t>
      </w:r>
      <w:r w:rsidRPr="004F5FB4">
        <w:rPr>
          <w:color w:val="000000"/>
        </w:rPr>
        <w:t>. Der Arzt Ihres Kindes wird möglicherweise entscheiden, die Behandlung zu beenden.</w:t>
      </w:r>
    </w:p>
    <w:p w14:paraId="43742AD6" w14:textId="77777777" w:rsidR="00B466EE" w:rsidRPr="004F5FB4" w:rsidRDefault="00B466EE" w:rsidP="004E705D">
      <w:pPr>
        <w:pStyle w:val="BodyText"/>
        <w:widowControl/>
        <w:kinsoku w:val="0"/>
        <w:overflowPunct w:val="0"/>
        <w:ind w:left="0"/>
        <w:rPr>
          <w:color w:val="000000"/>
        </w:rPr>
      </w:pPr>
    </w:p>
    <w:p w14:paraId="5A9C3ED0" w14:textId="77777777" w:rsidR="00B466EE" w:rsidRPr="004F5FB4" w:rsidRDefault="00B466EE" w:rsidP="00A71117">
      <w:pPr>
        <w:pStyle w:val="BodyText"/>
        <w:keepNext/>
        <w:keepLines/>
        <w:widowControl/>
        <w:kinsoku w:val="0"/>
        <w:overflowPunct w:val="0"/>
        <w:ind w:left="0"/>
        <w:rPr>
          <w:color w:val="000000"/>
        </w:rPr>
      </w:pPr>
      <w:r w:rsidRPr="004F5FB4">
        <w:rPr>
          <w:color w:val="000000"/>
          <w:u w:val="single"/>
        </w:rPr>
        <w:t>Krebs</w:t>
      </w:r>
    </w:p>
    <w:p w14:paraId="3722A10F" w14:textId="77777777" w:rsidR="00B466EE" w:rsidRPr="004F5FB4" w:rsidRDefault="00B466EE" w:rsidP="00A71117">
      <w:pPr>
        <w:pStyle w:val="BodyText"/>
        <w:keepNext/>
        <w:keepLines/>
        <w:widowControl/>
        <w:kinsoku w:val="0"/>
        <w:overflowPunct w:val="0"/>
        <w:ind w:left="0"/>
        <w:rPr>
          <w:color w:val="000000"/>
          <w:lang w:val="en-GB"/>
        </w:rPr>
      </w:pPr>
    </w:p>
    <w:p w14:paraId="46897AB7" w14:textId="77777777" w:rsidR="00B466EE" w:rsidRPr="004F5FB4" w:rsidRDefault="00B466EE" w:rsidP="00687087">
      <w:pPr>
        <w:pStyle w:val="BodyText"/>
        <w:widowControl/>
        <w:numPr>
          <w:ilvl w:val="1"/>
          <w:numId w:val="22"/>
        </w:numPr>
        <w:kinsoku w:val="0"/>
        <w:overflowPunct w:val="0"/>
        <w:autoSpaceDE w:val="0"/>
        <w:autoSpaceDN w:val="0"/>
        <w:adjustRightInd w:val="0"/>
        <w:ind w:left="561" w:hanging="561"/>
        <w:rPr>
          <w:color w:val="000000"/>
        </w:rPr>
      </w:pPr>
      <w:r w:rsidRPr="004F5FB4">
        <w:rPr>
          <w:color w:val="000000"/>
        </w:rPr>
        <w:t xml:space="preserve">Es gab sehr selten Fälle bestimmter Krebsarten bei Kindern und Erwachsenen, die Adalimumab oder andere TNFα-Hemmer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Wenn Ihr Kind Amsparity anwendet, kann sich sein Risiko, Lymphome, Leukämie oder andere Krebsformen zu entwickeln, möglicherweise erhöhen. In Ausnahmefällen wurde bei Patienten, die mit Adalimumab behandelt wurden, eine seltene und schwere Form des Lymphoms beobachtet. Einige dieser Patienten wurden gleichzeitig mit dem Wirkstoff Azathioprin oder Mercaptopurin behandelt. Teilen Sie </w:t>
      </w:r>
      <w:r w:rsidR="00DC0DFC" w:rsidRPr="004F5FB4">
        <w:rPr>
          <w:color w:val="000000"/>
        </w:rPr>
        <w:t>d</w:t>
      </w:r>
      <w:r w:rsidRPr="004F5FB4">
        <w:rPr>
          <w:color w:val="000000"/>
        </w:rPr>
        <w:t>em Arzt</w:t>
      </w:r>
      <w:r w:rsidR="00DC0DFC" w:rsidRPr="004F5FB4">
        <w:rPr>
          <w:color w:val="000000"/>
        </w:rPr>
        <w:t xml:space="preserve"> Ihres Kindes</w:t>
      </w:r>
      <w:r w:rsidRPr="004F5FB4">
        <w:rPr>
          <w:color w:val="000000"/>
        </w:rPr>
        <w:t xml:space="preserve"> mit, wenn Ihr Kind Azathioprin oder Mercaptopurin zusammen mit Amsparity einnimmt.</w:t>
      </w:r>
    </w:p>
    <w:p w14:paraId="23359626" w14:textId="77777777" w:rsidR="00905592" w:rsidRPr="004F5FB4" w:rsidRDefault="00905592" w:rsidP="004E705D">
      <w:pPr>
        <w:pStyle w:val="BodyText"/>
        <w:widowControl/>
        <w:kinsoku w:val="0"/>
        <w:overflowPunct w:val="0"/>
        <w:autoSpaceDE w:val="0"/>
        <w:autoSpaceDN w:val="0"/>
        <w:adjustRightInd w:val="0"/>
        <w:ind w:left="0"/>
        <w:rPr>
          <w:color w:val="000000"/>
        </w:rPr>
      </w:pPr>
    </w:p>
    <w:p w14:paraId="59CDF736" w14:textId="77777777" w:rsidR="00B466EE" w:rsidRPr="004F5FB4" w:rsidRDefault="00905592"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Darüber hinaus wurden bei Patienten unter Adalimumab-Therapie Fälle mit Hauttumoren, die keine Melanome waren, beobachtet. Falls während oder nach der Behandlung neue </w:t>
      </w:r>
      <w:r w:rsidRPr="004F5FB4">
        <w:rPr>
          <w:color w:val="000000"/>
        </w:rPr>
        <w:lastRenderedPageBreak/>
        <w:t>Hautschädigungen auftreten oder sich das Aussehen bereits bestehender Hautschädigungen verändert, informieren Sie bitte den Arzt Ihres Kindes.</w:t>
      </w:r>
    </w:p>
    <w:p w14:paraId="4D91B06D" w14:textId="77777777" w:rsidR="00B466EE" w:rsidRPr="004F5FB4" w:rsidRDefault="00B466EE" w:rsidP="004E705D">
      <w:pPr>
        <w:pStyle w:val="BodyText"/>
        <w:widowControl/>
        <w:kinsoku w:val="0"/>
        <w:overflowPunct w:val="0"/>
        <w:ind w:left="562" w:hanging="562"/>
        <w:rPr>
          <w:color w:val="000000"/>
        </w:rPr>
      </w:pPr>
    </w:p>
    <w:p w14:paraId="692A2F52"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Bei Patienten mit einer besonderen Art von Lungenerkrankung, der chronischen obstruktiven Lungenerkrankung (COPD), sind unter Behandlung mit einem anderen TNFα-Hemmer Fälle von Krebs aufgetreten. Unter diesen Fällen waren keine Lymphome. Wenn Ihr Kind COPD hat oder wenn es stark raucht, sollten Sie mit dem Arzt Ihres Kindes besprechen, ob die Behandlung mit einem TNFα-Hemmer für Ihr Kind geeignet ist.</w:t>
      </w:r>
    </w:p>
    <w:p w14:paraId="126641F2" w14:textId="77777777" w:rsidR="00B466EE" w:rsidRPr="004F5FB4" w:rsidRDefault="00B466EE" w:rsidP="004E705D">
      <w:pPr>
        <w:pStyle w:val="BodyText"/>
        <w:widowControl/>
        <w:kinsoku w:val="0"/>
        <w:overflowPunct w:val="0"/>
        <w:ind w:left="0"/>
        <w:rPr>
          <w:color w:val="000000"/>
        </w:rPr>
      </w:pPr>
    </w:p>
    <w:p w14:paraId="77FC9CA1" w14:textId="77777777" w:rsidR="00B466EE" w:rsidRPr="004F5FB4" w:rsidRDefault="00B466EE" w:rsidP="004E705D">
      <w:pPr>
        <w:pStyle w:val="BodyText"/>
        <w:widowControl/>
        <w:kinsoku w:val="0"/>
        <w:overflowPunct w:val="0"/>
        <w:ind w:left="0"/>
        <w:rPr>
          <w:color w:val="000000"/>
        </w:rPr>
      </w:pPr>
      <w:r w:rsidRPr="004F5FB4">
        <w:rPr>
          <w:color w:val="000000"/>
          <w:u w:val="single"/>
        </w:rPr>
        <w:t>Autoimmunerkrankung</w:t>
      </w:r>
    </w:p>
    <w:p w14:paraId="3111C3C6" w14:textId="77777777" w:rsidR="00B466EE" w:rsidRPr="004F5FB4" w:rsidRDefault="00B466EE" w:rsidP="004E705D">
      <w:pPr>
        <w:pStyle w:val="BodyText"/>
        <w:widowControl/>
        <w:kinsoku w:val="0"/>
        <w:overflowPunct w:val="0"/>
        <w:ind w:left="0"/>
        <w:rPr>
          <w:color w:val="000000"/>
          <w:szCs w:val="16"/>
          <w:lang w:val="en-GB"/>
        </w:rPr>
      </w:pPr>
    </w:p>
    <w:p w14:paraId="1190635E" w14:textId="77777777" w:rsidR="00B466EE" w:rsidRPr="004F5FB4" w:rsidRDefault="00B466EE" w:rsidP="004E705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In seltenen Fällen kann die Behandlung mit Amsparity ein lupusähnliches Syndrom auslösen. Kontaktieren Sie den Arzt Ihres Kindes, falls Symptome wie ein anhaltender, nicht erklärbarer Hautausschlag, Fieber, Gelenkschmerzen oder Müdigkeit auftreten.</w:t>
      </w:r>
    </w:p>
    <w:p w14:paraId="6B40B7DB" w14:textId="77777777" w:rsidR="008E1B82" w:rsidRPr="004F5FB4" w:rsidRDefault="008E1B82" w:rsidP="004E705D">
      <w:pPr>
        <w:pStyle w:val="BodyText"/>
        <w:widowControl/>
        <w:kinsoku w:val="0"/>
        <w:overflowPunct w:val="0"/>
        <w:ind w:left="0"/>
        <w:rPr>
          <w:color w:val="000000"/>
        </w:rPr>
      </w:pPr>
    </w:p>
    <w:p w14:paraId="2CDA3AEE" w14:textId="77777777" w:rsidR="00B466EE" w:rsidRPr="004F5FB4" w:rsidRDefault="00B466EE" w:rsidP="00F60620">
      <w:pPr>
        <w:pStyle w:val="BodyText"/>
        <w:widowControl/>
        <w:kinsoku w:val="0"/>
        <w:overflowPunct w:val="0"/>
        <w:ind w:left="0"/>
        <w:rPr>
          <w:b/>
          <w:bCs/>
          <w:color w:val="000000"/>
        </w:rPr>
      </w:pPr>
      <w:r w:rsidRPr="00F60620">
        <w:rPr>
          <w:b/>
          <w:bCs/>
          <w:color w:val="000000"/>
        </w:rPr>
        <w:t>Anwendung von Amsparity zusammen mit anderen Arzneimitteln</w:t>
      </w:r>
    </w:p>
    <w:p w14:paraId="4B13855E" w14:textId="77777777" w:rsidR="00B466EE" w:rsidRPr="004F5FB4" w:rsidRDefault="00B466EE" w:rsidP="004E705D">
      <w:pPr>
        <w:pStyle w:val="BodyText"/>
        <w:widowControl/>
        <w:kinsoku w:val="0"/>
        <w:overflowPunct w:val="0"/>
        <w:ind w:left="0"/>
        <w:rPr>
          <w:b/>
          <w:bCs/>
          <w:color w:val="000000"/>
          <w:szCs w:val="21"/>
        </w:rPr>
      </w:pPr>
    </w:p>
    <w:p w14:paraId="46F036DF" w14:textId="77777777" w:rsidR="00B466EE" w:rsidRPr="004F5FB4" w:rsidRDefault="00B466EE" w:rsidP="004E705D">
      <w:pPr>
        <w:pStyle w:val="BodyText"/>
        <w:widowControl/>
        <w:kinsoku w:val="0"/>
        <w:overflowPunct w:val="0"/>
        <w:ind w:left="0"/>
        <w:rPr>
          <w:color w:val="000000"/>
        </w:rPr>
      </w:pPr>
      <w:r w:rsidRPr="004F5FB4">
        <w:rPr>
          <w:color w:val="000000"/>
        </w:rPr>
        <w:t>Informieren Sie den Arzt Ihres Kindes oder den Apotheker, wenn Ihr Kind andere Arzneimittel einnimmt, kürzlich andere Arzneimittel eingenommen hat oder beabsichtigt, andere Arzneimittel einzunehmen.</w:t>
      </w:r>
    </w:p>
    <w:p w14:paraId="0875ED0B" w14:textId="77777777" w:rsidR="002C203C" w:rsidRPr="004F5FB4" w:rsidRDefault="002C203C" w:rsidP="004E705D">
      <w:pPr>
        <w:pStyle w:val="BodyText"/>
        <w:widowControl/>
        <w:kinsoku w:val="0"/>
        <w:overflowPunct w:val="0"/>
        <w:ind w:left="0"/>
        <w:rPr>
          <w:color w:val="000000"/>
        </w:rPr>
      </w:pPr>
    </w:p>
    <w:p w14:paraId="2F138548" w14:textId="77777777" w:rsidR="002C203C" w:rsidRPr="004F5FB4" w:rsidRDefault="002C203C" w:rsidP="004E705D">
      <w:pPr>
        <w:pStyle w:val="BodyText"/>
        <w:widowControl/>
        <w:kinsoku w:val="0"/>
        <w:overflowPunct w:val="0"/>
        <w:ind w:left="0"/>
        <w:rPr>
          <w:color w:val="000000"/>
        </w:rPr>
      </w:pPr>
      <w:r w:rsidRPr="004F5FB4">
        <w:rPr>
          <w:color w:val="000000"/>
        </w:rPr>
        <w:t>Amsparity kann zusammen mit Methotrexat oder bestimmten krankheitsmodifizierenden Antirheumatika (zum Beispiel Sulfasalazin, Hydroxychloroquin, Leflunomid und injizierbaren Goldzubereitungen) und mit Kortikosteroiden oder Schmerzmitteln, einschließlich nicht steroidhaltiger entzündungshemmender Antirheumatika (NSAR), verwendet werden.</w:t>
      </w:r>
    </w:p>
    <w:p w14:paraId="1AECDD2C" w14:textId="77777777" w:rsidR="002C203C" w:rsidRPr="004F5FB4" w:rsidRDefault="002C203C" w:rsidP="00CC7B42">
      <w:pPr>
        <w:pStyle w:val="BodyText"/>
        <w:widowControl/>
        <w:kinsoku w:val="0"/>
        <w:overflowPunct w:val="0"/>
        <w:ind w:left="0"/>
        <w:rPr>
          <w:color w:val="000000"/>
        </w:rPr>
      </w:pPr>
    </w:p>
    <w:p w14:paraId="0BED9570" w14:textId="77777777" w:rsidR="002C203C" w:rsidRPr="004F5FB4" w:rsidRDefault="00B466EE" w:rsidP="00CC7B42">
      <w:pPr>
        <w:pStyle w:val="BodyText"/>
        <w:widowControl/>
        <w:kinsoku w:val="0"/>
        <w:overflowPunct w:val="0"/>
        <w:ind w:left="0"/>
        <w:rPr>
          <w:color w:val="000000"/>
        </w:rPr>
      </w:pPr>
      <w:r w:rsidRPr="004F5FB4">
        <w:rPr>
          <w:color w:val="000000"/>
        </w:rPr>
        <w:t>Ihr Kind darf Amsparity nicht zusammen mit Arzneimitteln verwenden, die als Wirkstoffe Anakinra oder Abatacept enthalten, da ein erhöhtes Risiko einer schwerwiegenden Infektion besteht. Die Kombination von Adalimumab und anderen TNF</w:t>
      </w:r>
      <w:r w:rsidRPr="004F5FB4">
        <w:rPr>
          <w:color w:val="000000"/>
        </w:rPr>
        <w:noBreakHyphen/>
        <w:t>Antagonisten mit Anakinra oder Abatacept wird aufgrund des möglicherweise erhöhten Risikos für Infektionen, einschließlich schwerwiegender Infektionen, und anderer möglicher Arzneimittelwechselwirkungen, nicht empfohlen. Wenn Sie Fragen haben, wenden Sie sich bitte an den Arzt Ihres Kindes.</w:t>
      </w:r>
    </w:p>
    <w:p w14:paraId="348AA2DC" w14:textId="77777777" w:rsidR="00B466EE" w:rsidRPr="004F5FB4" w:rsidRDefault="00B466EE" w:rsidP="00CC7B42">
      <w:pPr>
        <w:pStyle w:val="BodyText"/>
        <w:widowControl/>
        <w:kinsoku w:val="0"/>
        <w:overflowPunct w:val="0"/>
        <w:ind w:left="0"/>
        <w:rPr>
          <w:color w:val="000000"/>
        </w:rPr>
      </w:pPr>
    </w:p>
    <w:p w14:paraId="45969C1A" w14:textId="77777777" w:rsidR="00B466EE" w:rsidRPr="004F5FB4" w:rsidRDefault="00B466EE" w:rsidP="00F60620">
      <w:pPr>
        <w:pStyle w:val="BodyText"/>
        <w:widowControl/>
        <w:kinsoku w:val="0"/>
        <w:overflowPunct w:val="0"/>
        <w:ind w:left="0"/>
        <w:rPr>
          <w:b/>
          <w:bCs/>
          <w:color w:val="000000"/>
        </w:rPr>
      </w:pPr>
      <w:r w:rsidRPr="00F60620">
        <w:rPr>
          <w:b/>
          <w:bCs/>
          <w:color w:val="000000"/>
        </w:rPr>
        <w:t>Schwangerschaft und Stillzeit</w:t>
      </w:r>
    </w:p>
    <w:p w14:paraId="3DEF648B" w14:textId="77777777" w:rsidR="00B466EE" w:rsidRPr="004F5FB4" w:rsidRDefault="00B466EE" w:rsidP="00CC7B42">
      <w:pPr>
        <w:pStyle w:val="BodyText"/>
        <w:widowControl/>
        <w:kinsoku w:val="0"/>
        <w:overflowPunct w:val="0"/>
        <w:ind w:left="0"/>
        <w:rPr>
          <w:b/>
          <w:bCs/>
          <w:color w:val="000000"/>
          <w:szCs w:val="21"/>
        </w:rPr>
      </w:pPr>
    </w:p>
    <w:p w14:paraId="23F0ECD5" w14:textId="77777777" w:rsidR="00D45E2F" w:rsidRPr="004F5FB4" w:rsidRDefault="00D45E2F" w:rsidP="00ED009A">
      <w:pPr>
        <w:autoSpaceDE w:val="0"/>
        <w:autoSpaceDN w:val="0"/>
        <w:adjustRightInd w:val="0"/>
        <w:rPr>
          <w:color w:val="000000"/>
        </w:rPr>
      </w:pPr>
      <w:r w:rsidRPr="004F5FB4">
        <w:rPr>
          <w:color w:val="000000"/>
        </w:rPr>
        <w:t>Ihr Kind sollte eine geeignete Verhütungsmethode in Erwägung ziehen, um nicht schwanger zu werden, und bis mindestens 5</w:t>
      </w:r>
      <w:r w:rsidR="00AD6699" w:rsidRPr="004F5FB4">
        <w:rPr>
          <w:color w:val="000000"/>
        </w:rPr>
        <w:t> </w:t>
      </w:r>
      <w:r w:rsidRPr="004F5FB4">
        <w:rPr>
          <w:color w:val="000000"/>
        </w:rPr>
        <w:t>Monate nach der letzten Dosis von Amsparity verhüten.</w:t>
      </w:r>
    </w:p>
    <w:p w14:paraId="6CBA7407" w14:textId="77777777" w:rsidR="0023282C" w:rsidRPr="004F5FB4" w:rsidRDefault="0023282C" w:rsidP="00ED009A">
      <w:pPr>
        <w:autoSpaceDE w:val="0"/>
        <w:autoSpaceDN w:val="0"/>
        <w:adjustRightInd w:val="0"/>
        <w:rPr>
          <w:color w:val="000000"/>
        </w:rPr>
      </w:pPr>
    </w:p>
    <w:p w14:paraId="480229C7" w14:textId="77777777" w:rsidR="00D45E2F" w:rsidRPr="004F5FB4" w:rsidRDefault="00D45E2F" w:rsidP="00ED009A">
      <w:pPr>
        <w:autoSpaceDE w:val="0"/>
        <w:autoSpaceDN w:val="0"/>
        <w:adjustRightInd w:val="0"/>
        <w:rPr>
          <w:color w:val="000000"/>
        </w:rPr>
      </w:pPr>
      <w:r w:rsidRPr="004F5FB4">
        <w:rPr>
          <w:color w:val="000000"/>
        </w:rPr>
        <w:t>Wenn Ihr Kind schwanger ist, vermutet, schwanger zu sein, oder beabsichtigt, schwanger zu werden, fragen Sie den Arzt zur Anwendung dieses Arzneimittels um Rat.</w:t>
      </w:r>
    </w:p>
    <w:p w14:paraId="16098D3D" w14:textId="77777777" w:rsidR="0023282C" w:rsidRPr="004F5FB4" w:rsidRDefault="0023282C" w:rsidP="00ED009A">
      <w:pPr>
        <w:autoSpaceDE w:val="0"/>
        <w:autoSpaceDN w:val="0"/>
        <w:adjustRightInd w:val="0"/>
        <w:rPr>
          <w:color w:val="000000"/>
        </w:rPr>
      </w:pPr>
    </w:p>
    <w:p w14:paraId="077C1DC1" w14:textId="77777777" w:rsidR="00D45E2F" w:rsidRPr="004F5FB4" w:rsidRDefault="006A1144" w:rsidP="00ED009A">
      <w:pPr>
        <w:autoSpaceDE w:val="0"/>
        <w:autoSpaceDN w:val="0"/>
        <w:adjustRightInd w:val="0"/>
        <w:rPr>
          <w:color w:val="000000"/>
        </w:rPr>
      </w:pPr>
      <w:r w:rsidRPr="004F5FB4">
        <w:rPr>
          <w:color w:val="000000"/>
        </w:rPr>
        <w:t>Amsparity sollte während einer Schwangerschaft nur angewendet werden, wenn dies erforderlich ist.</w:t>
      </w:r>
    </w:p>
    <w:p w14:paraId="3F8E1841" w14:textId="77777777" w:rsidR="0023282C" w:rsidRPr="004F5FB4" w:rsidRDefault="0023282C" w:rsidP="00ED009A">
      <w:pPr>
        <w:autoSpaceDE w:val="0"/>
        <w:autoSpaceDN w:val="0"/>
        <w:adjustRightInd w:val="0"/>
        <w:rPr>
          <w:color w:val="000000"/>
        </w:rPr>
      </w:pPr>
    </w:p>
    <w:p w14:paraId="494556B8" w14:textId="77777777" w:rsidR="00D45E2F" w:rsidRPr="004F5FB4" w:rsidRDefault="00D45E2F" w:rsidP="00ED009A">
      <w:pPr>
        <w:autoSpaceDE w:val="0"/>
        <w:autoSpaceDN w:val="0"/>
        <w:adjustRightInd w:val="0"/>
        <w:rPr>
          <w:color w:val="000000"/>
        </w:rPr>
      </w:pPr>
      <w:r w:rsidRPr="004F5FB4">
        <w:rPr>
          <w:color w:val="000000"/>
        </w:rPr>
        <w:t>Laut einer Studie mit Schwangeren bestand bei Kindern von Müttern, die während der Schwangerschaft mit Adalimumab behandelt wurden, kein höheres Risiko für Geburtsfehler als bei Kindern von Müttern mit der gleichen Erkrankung, die nicht mit Adalimumab behandelt wurden.</w:t>
      </w:r>
    </w:p>
    <w:p w14:paraId="041CBA46" w14:textId="77777777" w:rsidR="0023282C" w:rsidRPr="004F5FB4" w:rsidRDefault="0023282C" w:rsidP="00ED009A">
      <w:pPr>
        <w:autoSpaceDE w:val="0"/>
        <w:autoSpaceDN w:val="0"/>
        <w:adjustRightInd w:val="0"/>
        <w:rPr>
          <w:color w:val="000000"/>
        </w:rPr>
      </w:pPr>
    </w:p>
    <w:p w14:paraId="5D22B258" w14:textId="77777777" w:rsidR="00D45E2F" w:rsidRPr="004F5FB4" w:rsidRDefault="006A1144" w:rsidP="00ED009A">
      <w:pPr>
        <w:autoSpaceDE w:val="0"/>
        <w:autoSpaceDN w:val="0"/>
        <w:adjustRightInd w:val="0"/>
        <w:rPr>
          <w:color w:val="000000"/>
        </w:rPr>
      </w:pPr>
      <w:r w:rsidRPr="004F5FB4">
        <w:rPr>
          <w:color w:val="000000"/>
        </w:rPr>
        <w:t>Amsparity kann während der Stillzeit angewendet werden.</w:t>
      </w:r>
    </w:p>
    <w:p w14:paraId="1720CC89" w14:textId="77777777" w:rsidR="0023282C" w:rsidRPr="004F5FB4" w:rsidRDefault="0023282C" w:rsidP="00ED009A">
      <w:pPr>
        <w:autoSpaceDE w:val="0"/>
        <w:autoSpaceDN w:val="0"/>
        <w:adjustRightInd w:val="0"/>
        <w:rPr>
          <w:color w:val="000000"/>
        </w:rPr>
      </w:pPr>
    </w:p>
    <w:p w14:paraId="60537331" w14:textId="77777777" w:rsidR="00D45E2F" w:rsidRPr="004F5FB4" w:rsidRDefault="00D45E2F" w:rsidP="00ED009A">
      <w:pPr>
        <w:autoSpaceDE w:val="0"/>
        <w:autoSpaceDN w:val="0"/>
        <w:adjustRightInd w:val="0"/>
        <w:rPr>
          <w:color w:val="000000"/>
        </w:rPr>
      </w:pPr>
      <w:r w:rsidRPr="004F5FB4">
        <w:rPr>
          <w:color w:val="000000"/>
        </w:rPr>
        <w:t xml:space="preserve">Wenn Ihr Kind während </w:t>
      </w:r>
      <w:r w:rsidR="000E58B6" w:rsidRPr="004F5FB4">
        <w:rPr>
          <w:color w:val="000000"/>
        </w:rPr>
        <w:t xml:space="preserve">der </w:t>
      </w:r>
      <w:r w:rsidRPr="004F5FB4">
        <w:rPr>
          <w:color w:val="000000"/>
        </w:rPr>
        <w:t xml:space="preserve">Schwangerschaft Amsparity erhält, kann bei </w:t>
      </w:r>
      <w:r w:rsidR="000E58B6" w:rsidRPr="004F5FB4">
        <w:rPr>
          <w:color w:val="000000"/>
        </w:rPr>
        <w:t xml:space="preserve">dem </w:t>
      </w:r>
      <w:r w:rsidRPr="004F5FB4">
        <w:rPr>
          <w:color w:val="000000"/>
        </w:rPr>
        <w:t>Säugling ein erhöhtes Risiko bestehen, eine Infektion zu bekommen. Es ist wichtig, dass Sie vor einer Impfung des Säuglings dessen Ärzte und anderes Fachpersonal im Gesundheitswesen darüber informieren, dass Amsparity während der Schwangerschaft angewendet wurde. Weitere Information siehe im Abschnitt zu Impfungen unter „Warnhinweise und Vorsichtsmaßnahmen“.</w:t>
      </w:r>
    </w:p>
    <w:p w14:paraId="7C770D51" w14:textId="77777777" w:rsidR="00B466EE" w:rsidRPr="004F5FB4" w:rsidRDefault="00B466EE" w:rsidP="00CC7B42">
      <w:pPr>
        <w:pStyle w:val="BodyText"/>
        <w:widowControl/>
        <w:kinsoku w:val="0"/>
        <w:overflowPunct w:val="0"/>
        <w:ind w:left="0"/>
        <w:rPr>
          <w:color w:val="000000"/>
        </w:rPr>
      </w:pPr>
    </w:p>
    <w:p w14:paraId="7E46D98D" w14:textId="77777777" w:rsidR="00B466EE" w:rsidRPr="004F5FB4" w:rsidRDefault="00B466EE" w:rsidP="00F60620">
      <w:pPr>
        <w:pStyle w:val="BodyText"/>
        <w:widowControl/>
        <w:kinsoku w:val="0"/>
        <w:overflowPunct w:val="0"/>
        <w:ind w:left="0"/>
        <w:rPr>
          <w:b/>
          <w:bCs/>
          <w:color w:val="000000"/>
        </w:rPr>
      </w:pPr>
      <w:r w:rsidRPr="00F60620">
        <w:rPr>
          <w:b/>
          <w:bCs/>
          <w:color w:val="000000"/>
        </w:rPr>
        <w:t>Verkehrstüchtigkeit und Fähigkeit zum Bedienen von Maschinen</w:t>
      </w:r>
    </w:p>
    <w:p w14:paraId="7F15039C" w14:textId="77777777" w:rsidR="00B466EE" w:rsidRPr="004F5FB4" w:rsidRDefault="00B466EE" w:rsidP="00CC7B42">
      <w:pPr>
        <w:pStyle w:val="BodyText"/>
        <w:widowControl/>
        <w:kinsoku w:val="0"/>
        <w:overflowPunct w:val="0"/>
        <w:ind w:left="0"/>
        <w:rPr>
          <w:b/>
          <w:bCs/>
          <w:color w:val="000000"/>
          <w:szCs w:val="21"/>
        </w:rPr>
      </w:pPr>
    </w:p>
    <w:p w14:paraId="64386E95" w14:textId="77777777" w:rsidR="00B466EE" w:rsidRPr="004F5FB4" w:rsidRDefault="006A1144" w:rsidP="00CC7B42">
      <w:pPr>
        <w:pStyle w:val="BodyText"/>
        <w:widowControl/>
        <w:kinsoku w:val="0"/>
        <w:overflowPunct w:val="0"/>
        <w:ind w:left="0"/>
        <w:rPr>
          <w:color w:val="000000"/>
        </w:rPr>
      </w:pPr>
      <w:r w:rsidRPr="004F5FB4">
        <w:rPr>
          <w:color w:val="000000"/>
        </w:rPr>
        <w:lastRenderedPageBreak/>
        <w:t>Amsparity kann einen geringen Einfluss auf die Verkehrstüchtigkeit Ihres Kindes und das Bedienen von Maschinen haben. Bei der Anwendung von Amsparity kann das Sehvermögen beeinträchtigt sein und es kann das Gefühl auftreten, dass sich der Raum dreht (Drehschwindel).</w:t>
      </w:r>
    </w:p>
    <w:p w14:paraId="63F72E28" w14:textId="77777777" w:rsidR="00B466EE" w:rsidRPr="004F5FB4" w:rsidRDefault="00B466EE" w:rsidP="00CC7B42">
      <w:pPr>
        <w:rPr>
          <w:color w:val="000000"/>
        </w:rPr>
      </w:pPr>
    </w:p>
    <w:p w14:paraId="11FC4C38" w14:textId="77777777" w:rsidR="00157D8E" w:rsidRPr="007F47A9" w:rsidRDefault="00157D8E" w:rsidP="00157D8E">
      <w:pPr>
        <w:keepNext/>
        <w:rPr>
          <w:b/>
        </w:rPr>
      </w:pPr>
      <w:r>
        <w:rPr>
          <w:b/>
        </w:rPr>
        <w:t>Amsparity enthält Polysorbat 80</w:t>
      </w:r>
    </w:p>
    <w:p w14:paraId="1704C3B5" w14:textId="77777777" w:rsidR="00157D8E" w:rsidRPr="00272A84" w:rsidRDefault="00157D8E" w:rsidP="00157D8E">
      <w:pPr>
        <w:keepNext/>
        <w:rPr>
          <w:bCs/>
        </w:rPr>
      </w:pPr>
    </w:p>
    <w:p w14:paraId="2CD4B58C" w14:textId="77777777" w:rsidR="00157D8E" w:rsidRPr="007F47A9" w:rsidRDefault="00157D8E" w:rsidP="00157D8E">
      <w:pPr>
        <w:keepNext/>
        <w:rPr>
          <w:bCs/>
        </w:rPr>
      </w:pPr>
      <w:r>
        <w:t>Dieses Arzneimittel enthält 0,08 mg Polysorbat 80 pro Einzeldosis-Fertigspritze mit 0,4 ml, entsprechend 0,2 mg/ml Polysorbat 80. Polysorbate können allergische Reaktionen hervorrufen. Informieren Sie Ihren Arzt, wenn Ihr Kind bekannte Allergien hat.</w:t>
      </w:r>
    </w:p>
    <w:p w14:paraId="77457793" w14:textId="77777777" w:rsidR="00157D8E" w:rsidRPr="00272A84" w:rsidRDefault="00157D8E" w:rsidP="00157D8E">
      <w:pPr>
        <w:keepNext/>
        <w:rPr>
          <w:b/>
        </w:rPr>
      </w:pPr>
    </w:p>
    <w:p w14:paraId="1CB2A12E" w14:textId="77777777" w:rsidR="00DE35E9" w:rsidRPr="004F5FB4" w:rsidRDefault="006A1144" w:rsidP="00CC7B42">
      <w:pPr>
        <w:rPr>
          <w:b/>
          <w:color w:val="000000"/>
        </w:rPr>
      </w:pPr>
      <w:r w:rsidRPr="004F5FB4">
        <w:rPr>
          <w:b/>
          <w:color w:val="000000"/>
        </w:rPr>
        <w:t>Amsparity enthält Natrium</w:t>
      </w:r>
    </w:p>
    <w:p w14:paraId="0BDE23BA" w14:textId="77777777" w:rsidR="00DE35E9" w:rsidRPr="004F5FB4" w:rsidRDefault="00DE35E9" w:rsidP="00CC7B42">
      <w:pPr>
        <w:rPr>
          <w:color w:val="000000"/>
        </w:rPr>
      </w:pPr>
    </w:p>
    <w:p w14:paraId="640D4B05" w14:textId="05C8C3C3" w:rsidR="00DE35E9" w:rsidRPr="004F5FB4" w:rsidRDefault="00DE35E9" w:rsidP="00CC7B42">
      <w:pPr>
        <w:rPr>
          <w:color w:val="000000"/>
        </w:rPr>
      </w:pPr>
      <w:r w:rsidRPr="004F5FB4">
        <w:rPr>
          <w:color w:val="000000"/>
        </w:rPr>
        <w:t xml:space="preserve">Dieses Arzneimittel enthält weniger als 1 mmol Natrium (23 mg) pro </w:t>
      </w:r>
      <w:r w:rsidR="006F0A56">
        <w:rPr>
          <w:color w:val="000000"/>
        </w:rPr>
        <w:t>0,4</w:t>
      </w:r>
      <w:r w:rsidRPr="004F5FB4">
        <w:rPr>
          <w:color w:val="000000"/>
        </w:rPr>
        <w:noBreakHyphen/>
        <w:t>ml-Dosis, d</w:t>
      </w:r>
      <w:r w:rsidR="00452A38" w:rsidRPr="004F5FB4">
        <w:rPr>
          <w:color w:val="000000"/>
        </w:rPr>
        <w:t>. </w:t>
      </w:r>
      <w:r w:rsidRPr="004F5FB4">
        <w:rPr>
          <w:color w:val="000000"/>
        </w:rPr>
        <w:t>h</w:t>
      </w:r>
      <w:r w:rsidR="00452A38" w:rsidRPr="004F5FB4">
        <w:rPr>
          <w:color w:val="000000"/>
        </w:rPr>
        <w:t>.</w:t>
      </w:r>
      <w:r w:rsidR="004F2EA2" w:rsidRPr="004F5FB4">
        <w:rPr>
          <w:color w:val="000000"/>
        </w:rPr>
        <w:t>,</w:t>
      </w:r>
      <w:r w:rsidRPr="004F5FB4">
        <w:rPr>
          <w:color w:val="000000"/>
        </w:rPr>
        <w:t xml:space="preserve"> es ist nahezu „natriumfrei“.</w:t>
      </w:r>
    </w:p>
    <w:p w14:paraId="6D03DE59" w14:textId="77777777" w:rsidR="00B466EE" w:rsidRPr="004F5FB4" w:rsidRDefault="00B466EE" w:rsidP="002B2067">
      <w:pPr>
        <w:rPr>
          <w:color w:val="000000"/>
        </w:rPr>
      </w:pPr>
    </w:p>
    <w:p w14:paraId="4875ECE0" w14:textId="77777777" w:rsidR="00E936BC" w:rsidRPr="004F5FB4" w:rsidRDefault="00E936BC" w:rsidP="002B2067">
      <w:pPr>
        <w:rPr>
          <w:color w:val="000000"/>
        </w:rPr>
      </w:pPr>
    </w:p>
    <w:p w14:paraId="6F0D209E" w14:textId="77777777" w:rsidR="00B466EE" w:rsidRPr="004F5FB4" w:rsidRDefault="00E936BC" w:rsidP="00F60620">
      <w:pPr>
        <w:pStyle w:val="BodyText"/>
        <w:widowControl/>
        <w:kinsoku w:val="0"/>
        <w:overflowPunct w:val="0"/>
        <w:ind w:left="0"/>
        <w:rPr>
          <w:b/>
          <w:bCs/>
          <w:color w:val="000000"/>
        </w:rPr>
      </w:pPr>
      <w:r w:rsidRPr="00F60620">
        <w:rPr>
          <w:b/>
          <w:bCs/>
          <w:color w:val="000000"/>
        </w:rPr>
        <w:t>3</w:t>
      </w:r>
      <w:r w:rsidR="006A26D1" w:rsidRPr="00F60620">
        <w:rPr>
          <w:b/>
          <w:bCs/>
          <w:color w:val="000000"/>
        </w:rPr>
        <w:t>.</w:t>
      </w:r>
      <w:r w:rsidRPr="00F60620">
        <w:rPr>
          <w:b/>
          <w:bCs/>
          <w:color w:val="000000"/>
        </w:rPr>
        <w:tab/>
        <w:t>Wie ist Amsparity anzuwenden?</w:t>
      </w:r>
    </w:p>
    <w:p w14:paraId="65A94608" w14:textId="77777777" w:rsidR="00B466EE" w:rsidRPr="004F5FB4" w:rsidRDefault="00B466EE" w:rsidP="002B2067">
      <w:pPr>
        <w:pStyle w:val="BodyText"/>
        <w:widowControl/>
        <w:kinsoku w:val="0"/>
        <w:overflowPunct w:val="0"/>
        <w:ind w:left="0"/>
        <w:rPr>
          <w:b/>
          <w:bCs/>
          <w:color w:val="000000"/>
          <w:szCs w:val="21"/>
        </w:rPr>
      </w:pPr>
    </w:p>
    <w:p w14:paraId="29F08BD5" w14:textId="77777777" w:rsidR="00B466EE" w:rsidRPr="004F5FB4" w:rsidRDefault="00B466EE" w:rsidP="002B2067">
      <w:pPr>
        <w:pStyle w:val="BodyText"/>
        <w:widowControl/>
        <w:kinsoku w:val="0"/>
        <w:overflowPunct w:val="0"/>
        <w:ind w:left="0"/>
        <w:rPr>
          <w:color w:val="000000"/>
        </w:rPr>
      </w:pPr>
      <w:r w:rsidRPr="004F5FB4">
        <w:rPr>
          <w:color w:val="000000"/>
        </w:rPr>
        <w:t>Wenden Sie dieses Arzneimittel immer genau nach Absprache mit dem Arzt</w:t>
      </w:r>
      <w:r w:rsidR="001A2F7E" w:rsidRPr="004F5FB4">
        <w:rPr>
          <w:color w:val="000000"/>
        </w:rPr>
        <w:t>, medizinischen Fachpersonal</w:t>
      </w:r>
      <w:r w:rsidRPr="004F5FB4">
        <w:rPr>
          <w:color w:val="000000"/>
        </w:rPr>
        <w:t xml:space="preserve"> oder Apotheker Ihres Kindes an. Fragen Sie bei</w:t>
      </w:r>
      <w:r w:rsidR="00443293" w:rsidRPr="004F5FB4">
        <w:rPr>
          <w:color w:val="000000"/>
        </w:rPr>
        <w:t>m</w:t>
      </w:r>
      <w:r w:rsidRPr="004F5FB4">
        <w:rPr>
          <w:color w:val="000000"/>
        </w:rPr>
        <w:t xml:space="preserve"> Arzt</w:t>
      </w:r>
      <w:r w:rsidR="00443293" w:rsidRPr="004F5FB4">
        <w:rPr>
          <w:color w:val="000000"/>
        </w:rPr>
        <w:t>, medizinischen Fachpersonal</w:t>
      </w:r>
      <w:r w:rsidRPr="004F5FB4">
        <w:rPr>
          <w:color w:val="000000"/>
        </w:rPr>
        <w:t xml:space="preserve"> oder Apotheker </w:t>
      </w:r>
      <w:r w:rsidR="009078A9" w:rsidRPr="004F5FB4">
        <w:rPr>
          <w:color w:val="000000"/>
        </w:rPr>
        <w:t xml:space="preserve">Ihres Kindes </w:t>
      </w:r>
      <w:r w:rsidRPr="004F5FB4">
        <w:rPr>
          <w:color w:val="000000"/>
        </w:rPr>
        <w:t>nach, wenn Sie sich nicht sicher sind.</w:t>
      </w:r>
    </w:p>
    <w:p w14:paraId="0C312593" w14:textId="77777777" w:rsidR="00B466EE" w:rsidRPr="004F5FB4" w:rsidRDefault="00B466EE" w:rsidP="002B2067">
      <w:pPr>
        <w:pStyle w:val="BodyText"/>
        <w:widowControl/>
        <w:kinsoku w:val="0"/>
        <w:overflowPunct w:val="0"/>
        <w:ind w:left="0"/>
        <w:rPr>
          <w:color w:val="000000"/>
        </w:rPr>
      </w:pPr>
    </w:p>
    <w:p w14:paraId="547B3EE9" w14:textId="77777777" w:rsidR="00B466EE" w:rsidRPr="004F5FB4" w:rsidRDefault="00B466EE" w:rsidP="002B2067">
      <w:pPr>
        <w:pStyle w:val="BodyText"/>
        <w:widowControl/>
        <w:kinsoku w:val="0"/>
        <w:overflowPunct w:val="0"/>
        <w:ind w:left="0"/>
        <w:rPr>
          <w:color w:val="000000"/>
        </w:rPr>
      </w:pPr>
      <w:r w:rsidRPr="004F5FB4">
        <w:rPr>
          <w:color w:val="000000"/>
        </w:rPr>
        <w:t>Die nachfolgende Tabelle zeigt die empfohlenen Dosen von Amsparity in den genehmigten Anwendungen. Der Arzt Ihres Kindes kann Amsparity in einer anderen Stärke verschreiben, wenn Ihr Kind eine andere Dosierung benötigt.</w:t>
      </w:r>
    </w:p>
    <w:p w14:paraId="17294790" w14:textId="77777777" w:rsidR="0023282C" w:rsidRPr="004F5FB4" w:rsidRDefault="0023282C" w:rsidP="002B2067">
      <w:pPr>
        <w:pStyle w:val="BodyText"/>
        <w:widowControl/>
        <w:kinsoku w:val="0"/>
        <w:overflowPunct w:val="0"/>
        <w:ind w:left="0"/>
        <w:rPr>
          <w:color w:val="000000"/>
        </w:rPr>
      </w:pPr>
    </w:p>
    <w:p w14:paraId="25AB2DC4" w14:textId="77777777" w:rsidR="0023282C" w:rsidRPr="004F5FB4" w:rsidRDefault="0023282C" w:rsidP="002B2067">
      <w:pPr>
        <w:pStyle w:val="BodyText"/>
        <w:widowControl/>
        <w:kinsoku w:val="0"/>
        <w:overflowPunct w:val="0"/>
        <w:ind w:left="0"/>
        <w:rPr>
          <w:color w:val="000000"/>
        </w:rPr>
      </w:pPr>
      <w:r w:rsidRPr="004F5FB4">
        <w:rPr>
          <w:color w:val="000000"/>
        </w:rPr>
        <w:t>Amsparity wird unter die Haut gespritzt (subkutane Anwendung).</w:t>
      </w:r>
    </w:p>
    <w:p w14:paraId="33077280" w14:textId="77777777" w:rsidR="00B466EE" w:rsidRPr="004F5FB4" w:rsidRDefault="00B466EE" w:rsidP="002B2067">
      <w:pPr>
        <w:rPr>
          <w:color w:val="000000"/>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4F5FB4" w14:paraId="5101328A"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3FC0581D" w14:textId="77777777" w:rsidR="00FC5A0A" w:rsidRPr="004F5FB4" w:rsidRDefault="00FC5A0A" w:rsidP="00982118">
            <w:pPr>
              <w:pStyle w:val="TableParagraph"/>
              <w:keepNext/>
              <w:widowControl/>
              <w:kinsoku w:val="0"/>
              <w:overflowPunct w:val="0"/>
              <w:spacing w:line="251" w:lineRule="exact"/>
              <w:ind w:left="101"/>
              <w:rPr>
                <w:rFonts w:ascii="Times New Roman" w:hAnsi="Times New Roman"/>
                <w:color w:val="000000"/>
              </w:rPr>
            </w:pPr>
            <w:r w:rsidRPr="004F5FB4">
              <w:rPr>
                <w:rFonts w:ascii="Times New Roman" w:hAnsi="Times New Roman"/>
                <w:b/>
                <w:bCs/>
                <w:color w:val="000000"/>
              </w:rPr>
              <w:t>Polyartikuläre juvenile idiopathische Arthritis</w:t>
            </w:r>
          </w:p>
        </w:tc>
      </w:tr>
      <w:tr w:rsidR="00FC5A0A" w:rsidRPr="004F5FB4" w14:paraId="08D03A4C"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35FCC874" w14:textId="77777777" w:rsidR="00FC5A0A" w:rsidRPr="004F5FB4" w:rsidRDefault="00FC5A0A" w:rsidP="00982118">
            <w:pPr>
              <w:pStyle w:val="TableParagraph"/>
              <w:keepNext/>
              <w:widowControl/>
              <w:kinsoku w:val="0"/>
              <w:overflowPunct w:val="0"/>
              <w:spacing w:line="252" w:lineRule="exact"/>
              <w:ind w:left="101"/>
              <w:rPr>
                <w:rFonts w:ascii="Times New Roman" w:hAnsi="Times New Roman"/>
                <w:color w:val="000000"/>
              </w:rPr>
            </w:pPr>
            <w:r w:rsidRPr="004F5FB4">
              <w:rPr>
                <w:rFonts w:ascii="Times New Roman" w:hAnsi="Times New Roman"/>
                <w:b/>
                <w:bCs/>
                <w:color w:val="000000"/>
              </w:rPr>
              <w:t>Alter oder Körpergewicht</w:t>
            </w:r>
          </w:p>
        </w:tc>
        <w:tc>
          <w:tcPr>
            <w:tcW w:w="3096" w:type="dxa"/>
            <w:tcBorders>
              <w:top w:val="single" w:sz="4" w:space="0" w:color="000000"/>
              <w:left w:val="single" w:sz="4" w:space="0" w:color="000000"/>
              <w:bottom w:val="single" w:sz="4" w:space="0" w:color="000000"/>
              <w:right w:val="single" w:sz="4" w:space="0" w:color="000000"/>
            </w:tcBorders>
          </w:tcPr>
          <w:p w14:paraId="3DA2C855" w14:textId="77777777" w:rsidR="00FC5A0A" w:rsidRPr="004F5FB4" w:rsidRDefault="00FC5A0A" w:rsidP="00982118">
            <w:pPr>
              <w:pStyle w:val="TableParagraph"/>
              <w:keepNext/>
              <w:widowControl/>
              <w:kinsoku w:val="0"/>
              <w:overflowPunct w:val="0"/>
              <w:ind w:left="101" w:right="334"/>
              <w:rPr>
                <w:rFonts w:ascii="Times New Roman" w:hAnsi="Times New Roman"/>
                <w:color w:val="000000"/>
              </w:rPr>
            </w:pPr>
            <w:r w:rsidRPr="004F5FB4">
              <w:rPr>
                <w:rFonts w:ascii="Times New Roman" w:hAnsi="Times New Roman"/>
                <w:b/>
                <w:bCs/>
                <w:color w:val="000000"/>
              </w:rPr>
              <w:t>Wie viel Amsparity ist anzuwenden und wie oft?</w:t>
            </w:r>
          </w:p>
        </w:tc>
        <w:tc>
          <w:tcPr>
            <w:tcW w:w="3096" w:type="dxa"/>
            <w:tcBorders>
              <w:top w:val="single" w:sz="4" w:space="0" w:color="000000"/>
              <w:left w:val="single" w:sz="4" w:space="0" w:color="000000"/>
              <w:bottom w:val="single" w:sz="4" w:space="0" w:color="000000"/>
              <w:right w:val="single" w:sz="4" w:space="0" w:color="000000"/>
            </w:tcBorders>
          </w:tcPr>
          <w:p w14:paraId="28EC3594" w14:textId="77777777" w:rsidR="00FC5A0A" w:rsidRPr="004F5FB4" w:rsidRDefault="00FC5A0A" w:rsidP="00982118">
            <w:pPr>
              <w:pStyle w:val="TableParagraph"/>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Hinweise</w:t>
            </w:r>
          </w:p>
        </w:tc>
      </w:tr>
      <w:tr w:rsidR="00FC5A0A" w:rsidRPr="004F5FB4" w14:paraId="167542D7" w14:textId="77777777" w:rsidTr="003533D2">
        <w:trPr>
          <w:trHeight w:hRule="exact" w:val="1154"/>
        </w:trPr>
        <w:tc>
          <w:tcPr>
            <w:tcW w:w="3095" w:type="dxa"/>
            <w:tcBorders>
              <w:top w:val="single" w:sz="4" w:space="0" w:color="000000"/>
              <w:left w:val="single" w:sz="4" w:space="0" w:color="000000"/>
              <w:bottom w:val="single" w:sz="4" w:space="0" w:color="000000"/>
              <w:right w:val="single" w:sz="4" w:space="0" w:color="000000"/>
            </w:tcBorders>
          </w:tcPr>
          <w:p w14:paraId="37592CAF" w14:textId="77777777" w:rsidR="00FC5A0A" w:rsidRPr="004F5FB4" w:rsidRDefault="00FC5A0A" w:rsidP="001A2F7E">
            <w:pPr>
              <w:pStyle w:val="TableParagraph"/>
              <w:widowControl/>
              <w:kinsoku w:val="0"/>
              <w:overflowPunct w:val="0"/>
              <w:spacing w:line="239" w:lineRule="auto"/>
              <w:ind w:left="102" w:right="120"/>
              <w:rPr>
                <w:rFonts w:ascii="Times New Roman" w:hAnsi="Times New Roman"/>
                <w:color w:val="000000"/>
              </w:rPr>
            </w:pPr>
            <w:r w:rsidRPr="004F5FB4">
              <w:rPr>
                <w:rFonts w:ascii="Times New Roman" w:hAnsi="Times New Roman"/>
                <w:color w:val="000000"/>
              </w:rPr>
              <w:t>Kinder ab 2</w:t>
            </w:r>
            <w:r w:rsidR="00AD6699" w:rsidRPr="004F5FB4">
              <w:rPr>
                <w:rFonts w:ascii="Times New Roman" w:hAnsi="Times New Roman"/>
                <w:color w:val="000000"/>
              </w:rPr>
              <w:t> </w:t>
            </w:r>
            <w:r w:rsidRPr="004F5FB4">
              <w:rPr>
                <w:rFonts w:ascii="Times New Roman" w:hAnsi="Times New Roman"/>
                <w:color w:val="000000"/>
              </w:rPr>
              <w:t>Jahren</w:t>
            </w:r>
            <w:r w:rsidR="001A2F7E" w:rsidRPr="004F5FB4">
              <w:rPr>
                <w:rFonts w:ascii="Times New Roman" w:hAnsi="Times New Roman"/>
                <w:color w:val="000000"/>
              </w:rPr>
              <w:t xml:space="preserve"> und </w:t>
            </w:r>
            <w:r w:rsidRPr="004F5FB4">
              <w:rPr>
                <w:rFonts w:ascii="Times New Roman" w:hAnsi="Times New Roman"/>
                <w:color w:val="000000"/>
              </w:rPr>
              <w:t>Jugendliche mit einem Körpergewicht von 30</w:t>
            </w:r>
            <w:r w:rsidR="00AD6699" w:rsidRPr="004F5FB4">
              <w:rPr>
                <w:rFonts w:ascii="Times New Roman" w:hAnsi="Times New Roman"/>
                <w:color w:val="000000"/>
              </w:rPr>
              <w:t> </w:t>
            </w:r>
            <w:r w:rsidRPr="004F5FB4">
              <w:rPr>
                <w:rFonts w:ascii="Times New Roman" w:hAnsi="Times New Roman"/>
                <w:color w:val="000000"/>
              </w:rPr>
              <w:t>kg oder mehr</w:t>
            </w:r>
          </w:p>
        </w:tc>
        <w:tc>
          <w:tcPr>
            <w:tcW w:w="3096" w:type="dxa"/>
            <w:tcBorders>
              <w:top w:val="single" w:sz="4" w:space="0" w:color="000000"/>
              <w:left w:val="single" w:sz="4" w:space="0" w:color="000000"/>
              <w:bottom w:val="single" w:sz="4" w:space="0" w:color="000000"/>
              <w:right w:val="single" w:sz="4" w:space="0" w:color="000000"/>
            </w:tcBorders>
          </w:tcPr>
          <w:p w14:paraId="7313FC74" w14:textId="77777777" w:rsidR="00FC5A0A" w:rsidRPr="004F5FB4" w:rsidRDefault="00FC5A0A" w:rsidP="00982118">
            <w:pPr>
              <w:pStyle w:val="TableParagraph"/>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40</w:t>
            </w:r>
            <w:r w:rsidR="00AD6699"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60C8E7E6" w14:textId="77777777" w:rsidR="00FC5A0A" w:rsidRPr="004F5FB4" w:rsidRDefault="00FC5A0A" w:rsidP="00982118">
            <w:pPr>
              <w:pStyle w:val="TableParagraph"/>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Keine</w:t>
            </w:r>
          </w:p>
        </w:tc>
      </w:tr>
      <w:tr w:rsidR="00FC5A0A" w:rsidRPr="004F5FB4" w14:paraId="127F99E4" w14:textId="77777777" w:rsidTr="003533D2">
        <w:trPr>
          <w:trHeight w:hRule="exact" w:val="1128"/>
        </w:trPr>
        <w:tc>
          <w:tcPr>
            <w:tcW w:w="3095" w:type="dxa"/>
            <w:tcBorders>
              <w:top w:val="single" w:sz="4" w:space="0" w:color="000000"/>
              <w:left w:val="single" w:sz="4" w:space="0" w:color="000000"/>
              <w:bottom w:val="single" w:sz="4" w:space="0" w:color="000000"/>
              <w:right w:val="single" w:sz="4" w:space="0" w:color="000000"/>
            </w:tcBorders>
          </w:tcPr>
          <w:p w14:paraId="2B91F53E" w14:textId="77777777" w:rsidR="00FC5A0A" w:rsidRPr="004F5FB4" w:rsidRDefault="00FC5A0A" w:rsidP="001A2F7E">
            <w:pPr>
              <w:pStyle w:val="TableParagraph"/>
              <w:widowControl/>
              <w:kinsoku w:val="0"/>
              <w:overflowPunct w:val="0"/>
              <w:ind w:left="102" w:right="120"/>
              <w:rPr>
                <w:rFonts w:ascii="Times New Roman" w:hAnsi="Times New Roman"/>
                <w:color w:val="000000"/>
              </w:rPr>
            </w:pPr>
            <w:r w:rsidRPr="004F5FB4">
              <w:rPr>
                <w:rFonts w:ascii="Times New Roman" w:hAnsi="Times New Roman"/>
                <w:color w:val="000000"/>
              </w:rPr>
              <w:t>Kinder ab 2</w:t>
            </w:r>
            <w:r w:rsidR="00AD6699" w:rsidRPr="004F5FB4">
              <w:rPr>
                <w:rFonts w:ascii="Times New Roman" w:hAnsi="Times New Roman"/>
                <w:color w:val="000000"/>
              </w:rPr>
              <w:t> </w:t>
            </w:r>
            <w:r w:rsidRPr="004F5FB4">
              <w:rPr>
                <w:rFonts w:ascii="Times New Roman" w:hAnsi="Times New Roman"/>
                <w:color w:val="000000"/>
              </w:rPr>
              <w:t xml:space="preserve">Jahren </w:t>
            </w:r>
            <w:r w:rsidR="001A2F7E" w:rsidRPr="004F5FB4">
              <w:rPr>
                <w:rFonts w:ascii="Times New Roman" w:hAnsi="Times New Roman"/>
                <w:color w:val="000000"/>
              </w:rPr>
              <w:t xml:space="preserve">und Jugendliche </w:t>
            </w:r>
            <w:r w:rsidRPr="004F5FB4">
              <w:rPr>
                <w:rFonts w:ascii="Times New Roman" w:hAnsi="Times New Roman"/>
                <w:color w:val="000000"/>
              </w:rPr>
              <w:t>mit einem Körpergewicht zwischen 10</w:t>
            </w:r>
            <w:r w:rsidR="00AD6699" w:rsidRPr="004F5FB4">
              <w:rPr>
                <w:rFonts w:ascii="Times New Roman" w:hAnsi="Times New Roman"/>
                <w:color w:val="000000"/>
              </w:rPr>
              <w:t> </w:t>
            </w:r>
            <w:r w:rsidRPr="004F5FB4">
              <w:rPr>
                <w:rFonts w:ascii="Times New Roman" w:hAnsi="Times New Roman"/>
                <w:color w:val="000000"/>
              </w:rPr>
              <w:t>kg und unter 30</w:t>
            </w:r>
            <w:r w:rsidR="00AD6699" w:rsidRPr="004F5FB4">
              <w:rPr>
                <w:rFonts w:ascii="Times New Roman" w:hAnsi="Times New Roman"/>
                <w:color w:val="000000"/>
              </w:rPr>
              <w:t> </w:t>
            </w:r>
            <w:r w:rsidRPr="004F5FB4">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tcPr>
          <w:p w14:paraId="197A1BC6" w14:textId="77777777" w:rsidR="00FC5A0A" w:rsidRPr="004F5FB4" w:rsidRDefault="00FC5A0A" w:rsidP="00982118">
            <w:pPr>
              <w:pStyle w:val="TableParagraph"/>
              <w:widowControl/>
              <w:kinsoku w:val="0"/>
              <w:overflowPunct w:val="0"/>
              <w:spacing w:line="249" w:lineRule="exact"/>
              <w:ind w:left="102"/>
              <w:rPr>
                <w:rFonts w:ascii="Times New Roman" w:hAnsi="Times New Roman"/>
                <w:color w:val="000000"/>
              </w:rPr>
            </w:pPr>
            <w:r w:rsidRPr="004F5FB4">
              <w:rPr>
                <w:rFonts w:ascii="Times New Roman" w:hAnsi="Times New Roman"/>
                <w:color w:val="000000"/>
              </w:rPr>
              <w:t>20</w:t>
            </w:r>
            <w:r w:rsidR="00AD6699"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7C884302" w14:textId="77777777" w:rsidR="00FC5A0A" w:rsidRPr="004F5FB4" w:rsidRDefault="00FC5A0A" w:rsidP="00982118">
            <w:pPr>
              <w:pStyle w:val="TableParagraph"/>
              <w:widowControl/>
              <w:kinsoku w:val="0"/>
              <w:overflowPunct w:val="0"/>
              <w:spacing w:line="249" w:lineRule="exact"/>
              <w:ind w:left="102"/>
              <w:rPr>
                <w:rFonts w:ascii="Times New Roman" w:hAnsi="Times New Roman"/>
                <w:color w:val="000000"/>
              </w:rPr>
            </w:pPr>
            <w:r w:rsidRPr="004F5FB4">
              <w:rPr>
                <w:rFonts w:ascii="Times New Roman" w:hAnsi="Times New Roman"/>
                <w:color w:val="000000"/>
              </w:rPr>
              <w:t>Keine</w:t>
            </w:r>
          </w:p>
        </w:tc>
      </w:tr>
    </w:tbl>
    <w:p w14:paraId="443F848A" w14:textId="77777777" w:rsidR="00B466EE" w:rsidRPr="004F5FB4" w:rsidRDefault="00B466EE" w:rsidP="00982118">
      <w:pPr>
        <w:rPr>
          <w:color w:val="000000"/>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4F5FB4" w14:paraId="643BCDF7" w14:textId="77777777" w:rsidTr="00687087">
        <w:trPr>
          <w:cantSplit/>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53CC6B43" w14:textId="77777777" w:rsidR="00FC5A0A" w:rsidRPr="004F5FB4" w:rsidRDefault="00240C6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b/>
                <w:bCs/>
                <w:color w:val="000000"/>
              </w:rPr>
              <w:t>Enthesitis-assoziierte Arthritis bei Kindern und Jugendlichen</w:t>
            </w:r>
          </w:p>
        </w:tc>
      </w:tr>
      <w:tr w:rsidR="00FC5A0A" w:rsidRPr="004F5FB4" w14:paraId="07DF4E64" w14:textId="77777777" w:rsidTr="00687087">
        <w:trPr>
          <w:cantSplit/>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65597AC2"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Alter oder Körpergewicht</w:t>
            </w:r>
          </w:p>
        </w:tc>
        <w:tc>
          <w:tcPr>
            <w:tcW w:w="3096" w:type="dxa"/>
            <w:tcBorders>
              <w:top w:val="single" w:sz="4" w:space="0" w:color="000000"/>
              <w:left w:val="single" w:sz="4" w:space="0" w:color="000000"/>
              <w:bottom w:val="single" w:sz="4" w:space="0" w:color="000000"/>
              <w:right w:val="single" w:sz="4" w:space="0" w:color="000000"/>
            </w:tcBorders>
          </w:tcPr>
          <w:p w14:paraId="34C7523F" w14:textId="77777777" w:rsidR="00FC5A0A" w:rsidRPr="004F5FB4" w:rsidRDefault="00FC5A0A" w:rsidP="00687087">
            <w:pPr>
              <w:pStyle w:val="TableParagraph"/>
              <w:keepNext/>
              <w:keepLines/>
              <w:widowControl/>
              <w:kinsoku w:val="0"/>
              <w:overflowPunct w:val="0"/>
              <w:ind w:left="102" w:right="334"/>
              <w:rPr>
                <w:rFonts w:ascii="Times New Roman" w:hAnsi="Times New Roman"/>
                <w:color w:val="000000"/>
              </w:rPr>
            </w:pPr>
            <w:r w:rsidRPr="004F5FB4">
              <w:rPr>
                <w:rFonts w:ascii="Times New Roman" w:hAnsi="Times New Roman"/>
                <w:b/>
                <w:bCs/>
                <w:color w:val="000000"/>
              </w:rPr>
              <w:t>Wie viel Amsparity ist anzuwenden und wie oft?</w:t>
            </w:r>
          </w:p>
        </w:tc>
        <w:tc>
          <w:tcPr>
            <w:tcW w:w="3096" w:type="dxa"/>
            <w:tcBorders>
              <w:top w:val="single" w:sz="4" w:space="0" w:color="000000"/>
              <w:left w:val="single" w:sz="4" w:space="0" w:color="000000"/>
              <w:bottom w:val="single" w:sz="4" w:space="0" w:color="000000"/>
              <w:right w:val="single" w:sz="4" w:space="0" w:color="000000"/>
            </w:tcBorders>
          </w:tcPr>
          <w:p w14:paraId="5DAB18B2"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Hinweise</w:t>
            </w:r>
          </w:p>
        </w:tc>
      </w:tr>
      <w:tr w:rsidR="00FC5A0A" w:rsidRPr="004F5FB4" w14:paraId="058E973F" w14:textId="77777777" w:rsidTr="00687087">
        <w:trPr>
          <w:cantSplit/>
          <w:trHeight w:hRule="exact" w:val="1074"/>
        </w:trPr>
        <w:tc>
          <w:tcPr>
            <w:tcW w:w="3095" w:type="dxa"/>
            <w:tcBorders>
              <w:top w:val="single" w:sz="4" w:space="0" w:color="000000"/>
              <w:left w:val="single" w:sz="4" w:space="0" w:color="000000"/>
              <w:bottom w:val="single" w:sz="4" w:space="0" w:color="000000"/>
              <w:right w:val="single" w:sz="4" w:space="0" w:color="000000"/>
            </w:tcBorders>
          </w:tcPr>
          <w:p w14:paraId="1CCF111F" w14:textId="77777777" w:rsidR="00FC5A0A" w:rsidRPr="004F5FB4" w:rsidRDefault="00FC5A0A" w:rsidP="00687087">
            <w:pPr>
              <w:pStyle w:val="TableParagraph"/>
              <w:keepNext/>
              <w:keepLines/>
              <w:widowControl/>
              <w:kinsoku w:val="0"/>
              <w:overflowPunct w:val="0"/>
              <w:spacing w:line="239" w:lineRule="auto"/>
              <w:ind w:left="102" w:right="120"/>
              <w:rPr>
                <w:rFonts w:ascii="Times New Roman" w:hAnsi="Times New Roman"/>
                <w:color w:val="000000"/>
              </w:rPr>
            </w:pPr>
            <w:r w:rsidRPr="004F5FB4">
              <w:rPr>
                <w:rFonts w:ascii="Times New Roman" w:hAnsi="Times New Roman"/>
                <w:color w:val="000000"/>
              </w:rPr>
              <w:t>Kinder ab 6</w:t>
            </w:r>
            <w:r w:rsidR="00AD6699" w:rsidRPr="004F5FB4">
              <w:rPr>
                <w:rFonts w:ascii="Times New Roman" w:hAnsi="Times New Roman"/>
                <w:color w:val="000000"/>
              </w:rPr>
              <w:t> </w:t>
            </w:r>
            <w:r w:rsidRPr="004F5FB4">
              <w:rPr>
                <w:rFonts w:ascii="Times New Roman" w:hAnsi="Times New Roman"/>
                <w:color w:val="000000"/>
              </w:rPr>
              <w:t>Jahren</w:t>
            </w:r>
            <w:r w:rsidR="001A2F7E" w:rsidRPr="004F5FB4">
              <w:rPr>
                <w:rFonts w:ascii="Times New Roman" w:hAnsi="Times New Roman"/>
                <w:color w:val="000000"/>
              </w:rPr>
              <w:t xml:space="preserve"> und</w:t>
            </w:r>
            <w:r w:rsidRPr="004F5FB4">
              <w:rPr>
                <w:rFonts w:ascii="Times New Roman" w:hAnsi="Times New Roman"/>
                <w:color w:val="000000"/>
              </w:rPr>
              <w:t xml:space="preserve"> Jugendliche mit einem Körpergewicht von 30</w:t>
            </w:r>
            <w:r w:rsidR="00AD6699" w:rsidRPr="004F5FB4">
              <w:rPr>
                <w:rFonts w:ascii="Times New Roman" w:hAnsi="Times New Roman"/>
                <w:color w:val="000000"/>
              </w:rPr>
              <w:t> </w:t>
            </w:r>
            <w:r w:rsidRPr="004F5FB4">
              <w:rPr>
                <w:rFonts w:ascii="Times New Roman" w:hAnsi="Times New Roman"/>
                <w:color w:val="000000"/>
              </w:rPr>
              <w:t>kg oder mehr</w:t>
            </w:r>
          </w:p>
        </w:tc>
        <w:tc>
          <w:tcPr>
            <w:tcW w:w="3096" w:type="dxa"/>
            <w:tcBorders>
              <w:top w:val="single" w:sz="4" w:space="0" w:color="000000"/>
              <w:left w:val="single" w:sz="4" w:space="0" w:color="000000"/>
              <w:bottom w:val="single" w:sz="4" w:space="0" w:color="000000"/>
              <w:right w:val="single" w:sz="4" w:space="0" w:color="000000"/>
            </w:tcBorders>
          </w:tcPr>
          <w:p w14:paraId="4ED08DFB" w14:textId="77777777" w:rsidR="00FC5A0A" w:rsidRPr="004F5FB4" w:rsidRDefault="00FC5A0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40</w:t>
            </w:r>
            <w:r w:rsidR="00AD6699"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31E3A71B" w14:textId="77777777" w:rsidR="00FC5A0A" w:rsidRPr="004F5FB4" w:rsidRDefault="00FC5A0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Keine</w:t>
            </w:r>
          </w:p>
        </w:tc>
      </w:tr>
      <w:tr w:rsidR="00FC5A0A" w:rsidRPr="004F5FB4" w14:paraId="44F538B1" w14:textId="77777777" w:rsidTr="00687087">
        <w:trPr>
          <w:cantSplit/>
          <w:trHeight w:hRule="exact" w:val="1060"/>
        </w:trPr>
        <w:tc>
          <w:tcPr>
            <w:tcW w:w="3095" w:type="dxa"/>
            <w:tcBorders>
              <w:top w:val="single" w:sz="4" w:space="0" w:color="000000"/>
              <w:left w:val="single" w:sz="4" w:space="0" w:color="000000"/>
              <w:bottom w:val="single" w:sz="4" w:space="0" w:color="000000"/>
              <w:right w:val="single" w:sz="4" w:space="0" w:color="000000"/>
            </w:tcBorders>
          </w:tcPr>
          <w:p w14:paraId="4A4CF698" w14:textId="77777777" w:rsidR="00FC5A0A" w:rsidRPr="004F5FB4" w:rsidRDefault="00FC5A0A" w:rsidP="00687087">
            <w:pPr>
              <w:pStyle w:val="TableParagraph"/>
              <w:keepNext/>
              <w:keepLines/>
              <w:widowControl/>
              <w:kinsoku w:val="0"/>
              <w:overflowPunct w:val="0"/>
              <w:spacing w:line="239" w:lineRule="auto"/>
              <w:ind w:left="102" w:right="120"/>
              <w:rPr>
                <w:rFonts w:ascii="Times New Roman" w:hAnsi="Times New Roman"/>
                <w:color w:val="000000"/>
              </w:rPr>
            </w:pPr>
            <w:r w:rsidRPr="004F5FB4">
              <w:rPr>
                <w:rFonts w:ascii="Times New Roman" w:hAnsi="Times New Roman"/>
                <w:color w:val="000000"/>
              </w:rPr>
              <w:t>Kinder ab 6</w:t>
            </w:r>
            <w:r w:rsidR="00AD6699" w:rsidRPr="004F5FB4">
              <w:rPr>
                <w:rFonts w:ascii="Times New Roman" w:hAnsi="Times New Roman"/>
                <w:color w:val="000000"/>
              </w:rPr>
              <w:t> </w:t>
            </w:r>
            <w:r w:rsidRPr="004F5FB4">
              <w:rPr>
                <w:rFonts w:ascii="Times New Roman" w:hAnsi="Times New Roman"/>
                <w:color w:val="000000"/>
              </w:rPr>
              <w:t>Jahren und Jugendliche mit einem Körpergewicht zwischen 15</w:t>
            </w:r>
            <w:r w:rsidR="00AD6699" w:rsidRPr="004F5FB4">
              <w:rPr>
                <w:rFonts w:ascii="Times New Roman" w:hAnsi="Times New Roman"/>
                <w:color w:val="000000"/>
              </w:rPr>
              <w:t> </w:t>
            </w:r>
            <w:r w:rsidRPr="004F5FB4">
              <w:rPr>
                <w:rFonts w:ascii="Times New Roman" w:hAnsi="Times New Roman"/>
                <w:color w:val="000000"/>
              </w:rPr>
              <w:t>kg und unter 30</w:t>
            </w:r>
            <w:r w:rsidR="00AD6699" w:rsidRPr="004F5FB4">
              <w:rPr>
                <w:rFonts w:ascii="Times New Roman" w:hAnsi="Times New Roman"/>
                <w:color w:val="000000"/>
              </w:rPr>
              <w:t> </w:t>
            </w:r>
            <w:r w:rsidRPr="004F5FB4">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tcPr>
          <w:p w14:paraId="059D1398" w14:textId="77777777" w:rsidR="00FC5A0A" w:rsidRPr="004F5FB4" w:rsidRDefault="00FC5A0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20</w:t>
            </w:r>
            <w:r w:rsidR="00AD6699"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760550AF" w14:textId="77777777" w:rsidR="00FC5A0A" w:rsidRPr="004F5FB4" w:rsidRDefault="00FC5A0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Keine</w:t>
            </w:r>
          </w:p>
        </w:tc>
      </w:tr>
    </w:tbl>
    <w:p w14:paraId="0E8CC688" w14:textId="77777777" w:rsidR="00FC5A0A" w:rsidRPr="004F5FB4" w:rsidRDefault="00FC5A0A" w:rsidP="00982118">
      <w:pPr>
        <w:rPr>
          <w:color w:val="000000"/>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4F5FB4" w14:paraId="71EF2025"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49A8F5EB" w14:textId="77777777" w:rsidR="00FC5A0A" w:rsidRPr="004F5FB4" w:rsidRDefault="00FC5A0A" w:rsidP="00687087">
            <w:pPr>
              <w:pStyle w:val="TableParagraph"/>
              <w:keepNext/>
              <w:keepLines/>
              <w:widowControl/>
              <w:kinsoku w:val="0"/>
              <w:overflowPunct w:val="0"/>
              <w:spacing w:line="251" w:lineRule="exact"/>
              <w:ind w:left="101"/>
              <w:rPr>
                <w:rFonts w:ascii="Times New Roman" w:hAnsi="Times New Roman"/>
                <w:color w:val="000000"/>
              </w:rPr>
            </w:pPr>
            <w:r w:rsidRPr="004F5FB4">
              <w:rPr>
                <w:rFonts w:ascii="Times New Roman" w:hAnsi="Times New Roman"/>
                <w:b/>
                <w:bCs/>
                <w:color w:val="000000"/>
              </w:rPr>
              <w:lastRenderedPageBreak/>
              <w:t>Plaque-Psoriasis bei Kindern und Jugendlichen</w:t>
            </w:r>
          </w:p>
        </w:tc>
      </w:tr>
      <w:tr w:rsidR="00FC5A0A" w:rsidRPr="004F5FB4" w14:paraId="1775414A"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7DB11B3B"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Alter oder Körpergewicht</w:t>
            </w:r>
          </w:p>
        </w:tc>
        <w:tc>
          <w:tcPr>
            <w:tcW w:w="3096" w:type="dxa"/>
            <w:tcBorders>
              <w:top w:val="single" w:sz="4" w:space="0" w:color="000000"/>
              <w:left w:val="single" w:sz="4" w:space="0" w:color="000000"/>
              <w:bottom w:val="single" w:sz="4" w:space="0" w:color="000000"/>
              <w:right w:val="single" w:sz="4" w:space="0" w:color="000000"/>
            </w:tcBorders>
          </w:tcPr>
          <w:p w14:paraId="0E6EA6F0" w14:textId="77777777" w:rsidR="00FC5A0A" w:rsidRPr="004F5FB4" w:rsidRDefault="00FC5A0A" w:rsidP="00687087">
            <w:pPr>
              <w:pStyle w:val="TableParagraph"/>
              <w:keepNext/>
              <w:keepLines/>
              <w:widowControl/>
              <w:kinsoku w:val="0"/>
              <w:overflowPunct w:val="0"/>
              <w:ind w:left="102" w:right="334"/>
              <w:rPr>
                <w:rFonts w:ascii="Times New Roman" w:hAnsi="Times New Roman"/>
                <w:color w:val="000000"/>
              </w:rPr>
            </w:pPr>
            <w:r w:rsidRPr="004F5FB4">
              <w:rPr>
                <w:rFonts w:ascii="Times New Roman" w:hAnsi="Times New Roman"/>
                <w:b/>
                <w:bCs/>
                <w:color w:val="000000"/>
              </w:rPr>
              <w:t>Wie viel Amsparity ist anzuwenden und wie oft?</w:t>
            </w:r>
          </w:p>
        </w:tc>
        <w:tc>
          <w:tcPr>
            <w:tcW w:w="3096" w:type="dxa"/>
            <w:tcBorders>
              <w:top w:val="single" w:sz="4" w:space="0" w:color="000000"/>
              <w:left w:val="single" w:sz="4" w:space="0" w:color="000000"/>
              <w:bottom w:val="single" w:sz="4" w:space="0" w:color="000000"/>
              <w:right w:val="single" w:sz="4" w:space="0" w:color="000000"/>
            </w:tcBorders>
          </w:tcPr>
          <w:p w14:paraId="46070C72"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Hinweise</w:t>
            </w:r>
          </w:p>
        </w:tc>
      </w:tr>
      <w:tr w:rsidR="00FC5A0A" w:rsidRPr="004F5FB4" w14:paraId="24AFC6F1" w14:textId="77777777" w:rsidTr="003533D2">
        <w:tc>
          <w:tcPr>
            <w:tcW w:w="3095" w:type="dxa"/>
            <w:tcBorders>
              <w:top w:val="single" w:sz="4" w:space="0" w:color="000000"/>
              <w:left w:val="single" w:sz="4" w:space="0" w:color="000000"/>
              <w:bottom w:val="single" w:sz="4" w:space="0" w:color="000000"/>
              <w:right w:val="single" w:sz="4" w:space="0" w:color="000000"/>
            </w:tcBorders>
          </w:tcPr>
          <w:p w14:paraId="08567F7D" w14:textId="77777777" w:rsidR="00FC5A0A" w:rsidRPr="004F5FB4" w:rsidRDefault="00FC5A0A" w:rsidP="00687087">
            <w:pPr>
              <w:pStyle w:val="TableParagraph"/>
              <w:keepNext/>
              <w:keepLines/>
              <w:widowControl/>
              <w:kinsoku w:val="0"/>
              <w:overflowPunct w:val="0"/>
              <w:spacing w:line="239" w:lineRule="auto"/>
              <w:ind w:left="102" w:right="120"/>
              <w:rPr>
                <w:rFonts w:ascii="Times New Roman" w:hAnsi="Times New Roman"/>
                <w:color w:val="000000"/>
              </w:rPr>
            </w:pPr>
            <w:r w:rsidRPr="004F5FB4">
              <w:rPr>
                <w:rFonts w:ascii="Times New Roman" w:hAnsi="Times New Roman"/>
                <w:color w:val="000000"/>
              </w:rPr>
              <w:t>Kinder und Jugendliche zwischen 4 und 17</w:t>
            </w:r>
            <w:r w:rsidR="00AD6699" w:rsidRPr="004F5FB4">
              <w:rPr>
                <w:rFonts w:ascii="Times New Roman" w:hAnsi="Times New Roman"/>
                <w:color w:val="000000"/>
              </w:rPr>
              <w:t> </w:t>
            </w:r>
            <w:r w:rsidRPr="004F5FB4">
              <w:rPr>
                <w:rFonts w:ascii="Times New Roman" w:hAnsi="Times New Roman"/>
                <w:color w:val="000000"/>
              </w:rPr>
              <w:t>Jahren mit einem Körpergewicht von 30</w:t>
            </w:r>
            <w:r w:rsidR="00B00A90" w:rsidRPr="004F5FB4">
              <w:rPr>
                <w:rFonts w:ascii="Times New Roman" w:hAnsi="Times New Roman"/>
                <w:color w:val="000000"/>
              </w:rPr>
              <w:t> </w:t>
            </w:r>
            <w:r w:rsidRPr="004F5FB4">
              <w:rPr>
                <w:rFonts w:ascii="Times New Roman" w:hAnsi="Times New Roman"/>
                <w:color w:val="000000"/>
              </w:rPr>
              <w:t>kg oder mehr</w:t>
            </w:r>
          </w:p>
        </w:tc>
        <w:tc>
          <w:tcPr>
            <w:tcW w:w="3096" w:type="dxa"/>
            <w:tcBorders>
              <w:top w:val="single" w:sz="4" w:space="0" w:color="000000"/>
              <w:left w:val="single" w:sz="4" w:space="0" w:color="000000"/>
              <w:bottom w:val="single" w:sz="4" w:space="0" w:color="000000"/>
              <w:right w:val="single" w:sz="4" w:space="0" w:color="000000"/>
            </w:tcBorders>
          </w:tcPr>
          <w:p w14:paraId="79659C73" w14:textId="77777777" w:rsidR="00FC5A0A" w:rsidRPr="004F5FB4" w:rsidRDefault="00FC5A0A" w:rsidP="00687087">
            <w:pPr>
              <w:pStyle w:val="TableParagraph"/>
              <w:keepNext/>
              <w:keepLines/>
              <w:widowControl/>
              <w:kinsoku w:val="0"/>
              <w:overflowPunct w:val="0"/>
              <w:spacing w:before="1" w:line="252" w:lineRule="exact"/>
              <w:ind w:left="102" w:right="102"/>
              <w:rPr>
                <w:rFonts w:ascii="Times New Roman" w:hAnsi="Times New Roman"/>
                <w:color w:val="000000"/>
              </w:rPr>
            </w:pPr>
            <w:r w:rsidRPr="004F5FB4">
              <w:rPr>
                <w:rFonts w:ascii="Times New Roman" w:hAnsi="Times New Roman"/>
                <w:color w:val="000000"/>
              </w:rPr>
              <w:t>40</w:t>
            </w:r>
            <w:r w:rsidR="00AD6699" w:rsidRPr="004F5FB4">
              <w:rPr>
                <w:rFonts w:ascii="Times New Roman" w:hAnsi="Times New Roman"/>
                <w:color w:val="000000"/>
              </w:rPr>
              <w:t> </w:t>
            </w:r>
            <w:r w:rsidRPr="004F5FB4">
              <w:rPr>
                <w:rFonts w:ascii="Times New Roman" w:hAnsi="Times New Roman"/>
                <w:color w:val="000000"/>
              </w:rPr>
              <w:t>mg als Anfangsdosis, gefolgt von 40</w:t>
            </w:r>
            <w:r w:rsidR="00AD6699" w:rsidRPr="004F5FB4">
              <w:rPr>
                <w:rFonts w:ascii="Times New Roman" w:hAnsi="Times New Roman"/>
                <w:color w:val="000000"/>
              </w:rPr>
              <w:t> </w:t>
            </w:r>
            <w:r w:rsidRPr="004F5FB4">
              <w:rPr>
                <w:rFonts w:ascii="Times New Roman" w:hAnsi="Times New Roman"/>
                <w:color w:val="000000"/>
              </w:rPr>
              <w:t>mg eine Woche später.</w:t>
            </w:r>
          </w:p>
          <w:p w14:paraId="4A2FD0E7" w14:textId="77777777" w:rsidR="00FC5A0A" w:rsidRPr="004F5FB4" w:rsidRDefault="00FC5A0A" w:rsidP="00687087">
            <w:pPr>
              <w:pStyle w:val="TableParagraph"/>
              <w:keepNext/>
              <w:keepLines/>
              <w:widowControl/>
              <w:kinsoku w:val="0"/>
              <w:overflowPunct w:val="0"/>
              <w:spacing w:before="9"/>
              <w:rPr>
                <w:rFonts w:ascii="Times New Roman" w:hAnsi="Times New Roman"/>
                <w:color w:val="000000"/>
                <w:szCs w:val="21"/>
              </w:rPr>
            </w:pPr>
          </w:p>
          <w:p w14:paraId="276E01C4" w14:textId="77777777" w:rsidR="00FC5A0A" w:rsidRPr="004F5FB4" w:rsidRDefault="00FC5A0A" w:rsidP="00687087">
            <w:pPr>
              <w:pStyle w:val="TableParagraph"/>
              <w:keepNext/>
              <w:keepLines/>
              <w:widowControl/>
              <w:kinsoku w:val="0"/>
              <w:overflowPunct w:val="0"/>
              <w:ind w:left="102" w:right="231"/>
              <w:rPr>
                <w:rFonts w:ascii="Times New Roman" w:hAnsi="Times New Roman"/>
                <w:color w:val="000000"/>
              </w:rPr>
            </w:pPr>
            <w:r w:rsidRPr="004F5FB4">
              <w:rPr>
                <w:rFonts w:ascii="Times New Roman" w:hAnsi="Times New Roman"/>
                <w:color w:val="000000"/>
              </w:rPr>
              <w:t>Danach beträgt die übliche Dosis 40</w:t>
            </w:r>
            <w:r w:rsidR="00DA7A5D"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4246797F" w14:textId="77777777" w:rsidR="00FC5A0A" w:rsidRPr="004F5FB4" w:rsidRDefault="00FC5A0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Keine</w:t>
            </w:r>
          </w:p>
        </w:tc>
      </w:tr>
      <w:tr w:rsidR="00FC5A0A" w:rsidRPr="004F5FB4" w14:paraId="2433859C" w14:textId="77777777" w:rsidTr="003533D2">
        <w:trPr>
          <w:trHeight w:hRule="exact" w:val="1916"/>
        </w:trPr>
        <w:tc>
          <w:tcPr>
            <w:tcW w:w="3095" w:type="dxa"/>
            <w:tcBorders>
              <w:top w:val="single" w:sz="4" w:space="0" w:color="000000"/>
              <w:left w:val="single" w:sz="4" w:space="0" w:color="000000"/>
              <w:bottom w:val="single" w:sz="4" w:space="0" w:color="000000"/>
              <w:right w:val="single" w:sz="4" w:space="0" w:color="000000"/>
            </w:tcBorders>
          </w:tcPr>
          <w:p w14:paraId="066FE22C" w14:textId="77777777" w:rsidR="00FC5A0A" w:rsidRPr="004F5FB4" w:rsidRDefault="00FC5A0A" w:rsidP="00687087">
            <w:pPr>
              <w:pStyle w:val="TableParagraph"/>
              <w:keepNext/>
              <w:keepLines/>
              <w:widowControl/>
              <w:kinsoku w:val="0"/>
              <w:overflowPunct w:val="0"/>
              <w:ind w:left="102" w:right="120"/>
              <w:rPr>
                <w:rFonts w:ascii="Times New Roman" w:hAnsi="Times New Roman"/>
                <w:color w:val="000000"/>
              </w:rPr>
            </w:pPr>
            <w:r w:rsidRPr="004F5FB4">
              <w:rPr>
                <w:rFonts w:ascii="Times New Roman" w:hAnsi="Times New Roman"/>
                <w:color w:val="000000"/>
              </w:rPr>
              <w:t>Kinder und Jugendliche zwischen 4 und 17</w:t>
            </w:r>
            <w:r w:rsidR="00DA7A5D" w:rsidRPr="004F5FB4">
              <w:rPr>
                <w:rFonts w:ascii="Times New Roman" w:hAnsi="Times New Roman"/>
                <w:color w:val="000000"/>
              </w:rPr>
              <w:t> </w:t>
            </w:r>
            <w:r w:rsidRPr="004F5FB4">
              <w:rPr>
                <w:rFonts w:ascii="Times New Roman" w:hAnsi="Times New Roman"/>
                <w:color w:val="000000"/>
              </w:rPr>
              <w:t>Jahren mit einem Körpergewicht zwischen 15</w:t>
            </w:r>
            <w:r w:rsidR="00DA7A5D" w:rsidRPr="004F5FB4">
              <w:rPr>
                <w:rFonts w:ascii="Times New Roman" w:hAnsi="Times New Roman"/>
                <w:color w:val="000000"/>
              </w:rPr>
              <w:t> </w:t>
            </w:r>
            <w:r w:rsidRPr="004F5FB4">
              <w:rPr>
                <w:rFonts w:ascii="Times New Roman" w:hAnsi="Times New Roman"/>
                <w:color w:val="000000"/>
              </w:rPr>
              <w:t>kg und unter 30</w:t>
            </w:r>
            <w:r w:rsidR="00DA7A5D" w:rsidRPr="004F5FB4">
              <w:rPr>
                <w:rFonts w:ascii="Times New Roman" w:hAnsi="Times New Roman"/>
                <w:color w:val="000000"/>
              </w:rPr>
              <w:t> </w:t>
            </w:r>
            <w:r w:rsidRPr="004F5FB4">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tcPr>
          <w:p w14:paraId="0D446490" w14:textId="77777777" w:rsidR="00FC5A0A" w:rsidRPr="004F5FB4" w:rsidRDefault="00FC5A0A" w:rsidP="00687087">
            <w:pPr>
              <w:pStyle w:val="TableParagraph"/>
              <w:keepNext/>
              <w:keepLines/>
              <w:widowControl/>
              <w:kinsoku w:val="0"/>
              <w:overflowPunct w:val="0"/>
              <w:ind w:left="102" w:right="102"/>
              <w:rPr>
                <w:rFonts w:ascii="Times New Roman" w:hAnsi="Times New Roman"/>
                <w:color w:val="000000"/>
              </w:rPr>
            </w:pPr>
            <w:r w:rsidRPr="004F5FB4">
              <w:rPr>
                <w:rFonts w:ascii="Times New Roman" w:hAnsi="Times New Roman"/>
                <w:color w:val="000000"/>
              </w:rPr>
              <w:t>20</w:t>
            </w:r>
            <w:r w:rsidR="00DA7A5D" w:rsidRPr="004F5FB4">
              <w:rPr>
                <w:rFonts w:ascii="Times New Roman" w:hAnsi="Times New Roman"/>
                <w:color w:val="000000"/>
              </w:rPr>
              <w:t> </w:t>
            </w:r>
            <w:r w:rsidRPr="004F5FB4">
              <w:rPr>
                <w:rFonts w:ascii="Times New Roman" w:hAnsi="Times New Roman"/>
                <w:color w:val="000000"/>
              </w:rPr>
              <w:t>mg als Anfangsdosis, gefolgt von 20</w:t>
            </w:r>
            <w:r w:rsidR="00DA7A5D" w:rsidRPr="004F5FB4">
              <w:rPr>
                <w:rFonts w:ascii="Times New Roman" w:hAnsi="Times New Roman"/>
                <w:color w:val="000000"/>
              </w:rPr>
              <w:t> </w:t>
            </w:r>
            <w:r w:rsidRPr="004F5FB4">
              <w:rPr>
                <w:rFonts w:ascii="Times New Roman" w:hAnsi="Times New Roman"/>
                <w:color w:val="000000"/>
              </w:rPr>
              <w:t>mg eine Woche später.</w:t>
            </w:r>
          </w:p>
          <w:p w14:paraId="13D2B318" w14:textId="77777777" w:rsidR="00FC5A0A" w:rsidRPr="004F5FB4" w:rsidRDefault="00FC5A0A" w:rsidP="00687087">
            <w:pPr>
              <w:pStyle w:val="TableParagraph"/>
              <w:keepNext/>
              <w:keepLines/>
              <w:widowControl/>
              <w:kinsoku w:val="0"/>
              <w:overflowPunct w:val="0"/>
              <w:spacing w:before="11"/>
              <w:rPr>
                <w:rFonts w:ascii="Times New Roman" w:hAnsi="Times New Roman"/>
                <w:color w:val="000000"/>
                <w:szCs w:val="21"/>
              </w:rPr>
            </w:pPr>
          </w:p>
          <w:p w14:paraId="152D5DD6" w14:textId="77777777" w:rsidR="00FC5A0A" w:rsidRPr="004F5FB4" w:rsidRDefault="00FC5A0A" w:rsidP="00687087">
            <w:pPr>
              <w:pStyle w:val="TableParagraph"/>
              <w:keepNext/>
              <w:keepLines/>
              <w:widowControl/>
              <w:kinsoku w:val="0"/>
              <w:overflowPunct w:val="0"/>
              <w:ind w:left="102" w:right="231"/>
              <w:rPr>
                <w:rFonts w:ascii="Times New Roman" w:hAnsi="Times New Roman"/>
                <w:color w:val="000000"/>
              </w:rPr>
            </w:pPr>
            <w:r w:rsidRPr="004F5FB4">
              <w:rPr>
                <w:rFonts w:ascii="Times New Roman" w:hAnsi="Times New Roman"/>
                <w:color w:val="000000"/>
              </w:rPr>
              <w:t>Danach beträgt die übliche Dosis 20</w:t>
            </w:r>
            <w:r w:rsidR="00DA7A5D"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0875A47A" w14:textId="77777777" w:rsidR="00FC5A0A" w:rsidRPr="004F5FB4" w:rsidRDefault="00FC5A0A" w:rsidP="00687087">
            <w:pPr>
              <w:pStyle w:val="TableParagraph"/>
              <w:keepNext/>
              <w:keepLines/>
              <w:widowControl/>
              <w:kinsoku w:val="0"/>
              <w:overflowPunct w:val="0"/>
              <w:spacing w:line="249" w:lineRule="exact"/>
              <w:ind w:left="102"/>
              <w:rPr>
                <w:rFonts w:ascii="Times New Roman" w:hAnsi="Times New Roman"/>
                <w:color w:val="000000"/>
              </w:rPr>
            </w:pPr>
            <w:r w:rsidRPr="004F5FB4">
              <w:rPr>
                <w:rFonts w:ascii="Times New Roman" w:hAnsi="Times New Roman"/>
                <w:color w:val="000000"/>
              </w:rPr>
              <w:t>Keine</w:t>
            </w:r>
          </w:p>
        </w:tc>
      </w:tr>
    </w:tbl>
    <w:p w14:paraId="6799685E" w14:textId="77777777" w:rsidR="00FC5A0A" w:rsidRPr="004F5FB4" w:rsidRDefault="00FC5A0A" w:rsidP="00982118">
      <w:pPr>
        <w:rPr>
          <w:color w:val="000000"/>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4F5FB4" w14:paraId="281FCF03" w14:textId="77777777" w:rsidTr="00077E50">
        <w:trPr>
          <w:tblHeader/>
        </w:trPr>
        <w:tc>
          <w:tcPr>
            <w:tcW w:w="9287" w:type="dxa"/>
            <w:gridSpan w:val="3"/>
            <w:tcBorders>
              <w:top w:val="single" w:sz="4" w:space="0" w:color="000000"/>
              <w:left w:val="single" w:sz="4" w:space="0" w:color="000000"/>
              <w:bottom w:val="single" w:sz="4" w:space="0" w:color="000000"/>
              <w:right w:val="single" w:sz="4" w:space="0" w:color="000000"/>
            </w:tcBorders>
          </w:tcPr>
          <w:p w14:paraId="0345CEEB" w14:textId="77777777" w:rsidR="00FC5A0A" w:rsidRPr="004F5FB4" w:rsidRDefault="00FC5A0A" w:rsidP="00687087">
            <w:pPr>
              <w:pStyle w:val="TableParagraph"/>
              <w:keepNext/>
              <w:keepLines/>
              <w:widowControl/>
              <w:kinsoku w:val="0"/>
              <w:overflowPunct w:val="0"/>
              <w:spacing w:line="251" w:lineRule="exact"/>
              <w:ind w:left="101"/>
              <w:rPr>
                <w:rFonts w:ascii="Times New Roman" w:hAnsi="Times New Roman"/>
                <w:color w:val="000000"/>
              </w:rPr>
            </w:pPr>
            <w:r w:rsidRPr="004F5FB4">
              <w:rPr>
                <w:rFonts w:ascii="Times New Roman" w:hAnsi="Times New Roman"/>
                <w:b/>
                <w:bCs/>
                <w:color w:val="000000"/>
              </w:rPr>
              <w:t>Morbus Crohn bei Kindern und Jugendlichen</w:t>
            </w:r>
          </w:p>
        </w:tc>
      </w:tr>
      <w:tr w:rsidR="00FC5A0A" w:rsidRPr="004F5FB4" w14:paraId="2BA80C09" w14:textId="77777777" w:rsidTr="00077E50">
        <w:trPr>
          <w:tblHeader/>
        </w:trPr>
        <w:tc>
          <w:tcPr>
            <w:tcW w:w="3095" w:type="dxa"/>
            <w:tcBorders>
              <w:top w:val="single" w:sz="4" w:space="0" w:color="000000"/>
              <w:left w:val="single" w:sz="4" w:space="0" w:color="000000"/>
              <w:bottom w:val="single" w:sz="4" w:space="0" w:color="000000"/>
              <w:right w:val="single" w:sz="4" w:space="0" w:color="000000"/>
            </w:tcBorders>
          </w:tcPr>
          <w:p w14:paraId="67555E10"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Alter oder Körpergewicht</w:t>
            </w:r>
          </w:p>
        </w:tc>
        <w:tc>
          <w:tcPr>
            <w:tcW w:w="3096" w:type="dxa"/>
            <w:tcBorders>
              <w:top w:val="single" w:sz="4" w:space="0" w:color="000000"/>
              <w:left w:val="single" w:sz="4" w:space="0" w:color="000000"/>
              <w:bottom w:val="single" w:sz="4" w:space="0" w:color="000000"/>
              <w:right w:val="single" w:sz="4" w:space="0" w:color="000000"/>
            </w:tcBorders>
          </w:tcPr>
          <w:p w14:paraId="51067097" w14:textId="77777777" w:rsidR="00FC5A0A" w:rsidRPr="004F5FB4" w:rsidRDefault="00FC5A0A" w:rsidP="00687087">
            <w:pPr>
              <w:pStyle w:val="TableParagraph"/>
              <w:keepNext/>
              <w:keepLines/>
              <w:widowControl/>
              <w:kinsoku w:val="0"/>
              <w:overflowPunct w:val="0"/>
              <w:ind w:left="102" w:right="334"/>
              <w:rPr>
                <w:rFonts w:ascii="Times New Roman" w:hAnsi="Times New Roman"/>
                <w:color w:val="000000"/>
              </w:rPr>
            </w:pPr>
            <w:r w:rsidRPr="004F5FB4">
              <w:rPr>
                <w:rFonts w:ascii="Times New Roman" w:hAnsi="Times New Roman"/>
                <w:b/>
                <w:bCs/>
                <w:color w:val="000000"/>
              </w:rPr>
              <w:t>Wie viel Amsparity ist anzuwenden und wie oft?</w:t>
            </w:r>
          </w:p>
        </w:tc>
        <w:tc>
          <w:tcPr>
            <w:tcW w:w="3096" w:type="dxa"/>
            <w:tcBorders>
              <w:top w:val="single" w:sz="4" w:space="0" w:color="000000"/>
              <w:left w:val="single" w:sz="4" w:space="0" w:color="000000"/>
              <w:bottom w:val="single" w:sz="4" w:space="0" w:color="000000"/>
              <w:right w:val="single" w:sz="4" w:space="0" w:color="000000"/>
            </w:tcBorders>
          </w:tcPr>
          <w:p w14:paraId="7F1A3674"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Hinweise</w:t>
            </w:r>
          </w:p>
        </w:tc>
      </w:tr>
      <w:tr w:rsidR="00FC5A0A" w:rsidRPr="004F5FB4" w14:paraId="0D40F128" w14:textId="77777777" w:rsidTr="00077E50">
        <w:tc>
          <w:tcPr>
            <w:tcW w:w="3095" w:type="dxa"/>
            <w:tcBorders>
              <w:top w:val="single" w:sz="4" w:space="0" w:color="000000"/>
              <w:left w:val="single" w:sz="4" w:space="0" w:color="000000"/>
              <w:bottom w:val="single" w:sz="4" w:space="0" w:color="000000"/>
              <w:right w:val="single" w:sz="4" w:space="0" w:color="000000"/>
            </w:tcBorders>
          </w:tcPr>
          <w:p w14:paraId="68E26D8A" w14:textId="77777777" w:rsidR="00FC5A0A" w:rsidRPr="004F5FB4" w:rsidRDefault="00FC5A0A" w:rsidP="00687087">
            <w:pPr>
              <w:pStyle w:val="TableParagraph"/>
              <w:keepNext/>
              <w:keepLines/>
              <w:widowControl/>
              <w:kinsoku w:val="0"/>
              <w:overflowPunct w:val="0"/>
              <w:spacing w:line="239" w:lineRule="auto"/>
              <w:ind w:left="102" w:right="120"/>
              <w:rPr>
                <w:rFonts w:ascii="Times New Roman" w:hAnsi="Times New Roman"/>
                <w:color w:val="000000"/>
              </w:rPr>
            </w:pPr>
            <w:r w:rsidRPr="004F5FB4">
              <w:rPr>
                <w:rFonts w:ascii="Times New Roman" w:hAnsi="Times New Roman"/>
                <w:color w:val="000000"/>
              </w:rPr>
              <w:t>Kinder und Jugendliche zwischen 6 und 17</w:t>
            </w:r>
            <w:r w:rsidR="00DA7A5D" w:rsidRPr="004F5FB4">
              <w:rPr>
                <w:rFonts w:ascii="Times New Roman" w:hAnsi="Times New Roman"/>
                <w:color w:val="000000"/>
              </w:rPr>
              <w:t> </w:t>
            </w:r>
            <w:r w:rsidRPr="004F5FB4">
              <w:rPr>
                <w:rFonts w:ascii="Times New Roman" w:hAnsi="Times New Roman"/>
                <w:color w:val="000000"/>
              </w:rPr>
              <w:t>Jahren mit einem Körpergewicht von 40</w:t>
            </w:r>
            <w:r w:rsidR="00B00A90" w:rsidRPr="004F5FB4">
              <w:rPr>
                <w:rFonts w:ascii="Times New Roman" w:hAnsi="Times New Roman"/>
                <w:color w:val="000000"/>
              </w:rPr>
              <w:t> </w:t>
            </w:r>
            <w:r w:rsidRPr="004F5FB4">
              <w:rPr>
                <w:rFonts w:ascii="Times New Roman" w:hAnsi="Times New Roman"/>
                <w:color w:val="000000"/>
              </w:rPr>
              <w:t>kg oder mehr</w:t>
            </w:r>
          </w:p>
        </w:tc>
        <w:tc>
          <w:tcPr>
            <w:tcW w:w="3096" w:type="dxa"/>
            <w:tcBorders>
              <w:top w:val="single" w:sz="4" w:space="0" w:color="000000"/>
              <w:left w:val="single" w:sz="4" w:space="0" w:color="000000"/>
              <w:bottom w:val="single" w:sz="4" w:space="0" w:color="000000"/>
              <w:right w:val="single" w:sz="4" w:space="0" w:color="000000"/>
            </w:tcBorders>
          </w:tcPr>
          <w:p w14:paraId="519130C8" w14:textId="77777777" w:rsidR="00FC5A0A" w:rsidRPr="004F5FB4" w:rsidRDefault="00FC5A0A" w:rsidP="00687087">
            <w:pPr>
              <w:pStyle w:val="TableParagraph"/>
              <w:keepNext/>
              <w:keepLines/>
              <w:widowControl/>
              <w:kinsoku w:val="0"/>
              <w:overflowPunct w:val="0"/>
              <w:spacing w:before="1" w:line="252" w:lineRule="exact"/>
              <w:ind w:left="102" w:right="102"/>
              <w:rPr>
                <w:rFonts w:ascii="Times New Roman" w:hAnsi="Times New Roman"/>
                <w:color w:val="000000"/>
              </w:rPr>
            </w:pPr>
            <w:r w:rsidRPr="004F5FB4">
              <w:rPr>
                <w:rFonts w:ascii="Times New Roman" w:hAnsi="Times New Roman"/>
                <w:color w:val="000000"/>
              </w:rPr>
              <w:t>80</w:t>
            </w:r>
            <w:r w:rsidR="00DA7A5D" w:rsidRPr="004F5FB4">
              <w:rPr>
                <w:rFonts w:ascii="Times New Roman" w:hAnsi="Times New Roman"/>
                <w:color w:val="000000"/>
              </w:rPr>
              <w:t> </w:t>
            </w:r>
            <w:r w:rsidRPr="004F5FB4">
              <w:rPr>
                <w:rFonts w:ascii="Times New Roman" w:hAnsi="Times New Roman"/>
                <w:color w:val="000000"/>
              </w:rPr>
              <w:t>mg als Anfangsdosis, nach zwei Wochen werden 40</w:t>
            </w:r>
            <w:r w:rsidR="00DA7A5D" w:rsidRPr="004F5FB4">
              <w:rPr>
                <w:rFonts w:ascii="Times New Roman" w:hAnsi="Times New Roman"/>
                <w:color w:val="000000"/>
              </w:rPr>
              <w:t> </w:t>
            </w:r>
            <w:r w:rsidRPr="004F5FB4">
              <w:rPr>
                <w:rFonts w:ascii="Times New Roman" w:hAnsi="Times New Roman"/>
                <w:color w:val="000000"/>
              </w:rPr>
              <w:t>mg verabreicht.</w:t>
            </w:r>
          </w:p>
          <w:p w14:paraId="4A0946D7" w14:textId="77777777" w:rsidR="00FC5A0A" w:rsidRPr="004F5FB4" w:rsidRDefault="00FC5A0A" w:rsidP="00687087">
            <w:pPr>
              <w:pStyle w:val="TableParagraph"/>
              <w:keepNext/>
              <w:keepLines/>
              <w:widowControl/>
              <w:kinsoku w:val="0"/>
              <w:overflowPunct w:val="0"/>
              <w:spacing w:before="9"/>
              <w:rPr>
                <w:rFonts w:ascii="Times New Roman" w:hAnsi="Times New Roman"/>
                <w:color w:val="000000"/>
                <w:szCs w:val="21"/>
              </w:rPr>
            </w:pPr>
          </w:p>
          <w:p w14:paraId="60EF8C4E" w14:textId="77777777" w:rsidR="00FC5A0A" w:rsidRPr="004F5FB4" w:rsidRDefault="00FC5A0A" w:rsidP="00687087">
            <w:pPr>
              <w:pStyle w:val="TableParagraph"/>
              <w:keepNext/>
              <w:keepLines/>
              <w:widowControl/>
              <w:kinsoku w:val="0"/>
              <w:overflowPunct w:val="0"/>
              <w:ind w:left="102" w:right="139"/>
              <w:rPr>
                <w:rFonts w:ascii="Times New Roman" w:hAnsi="Times New Roman"/>
                <w:color w:val="000000"/>
              </w:rPr>
            </w:pPr>
            <w:r w:rsidRPr="004F5FB4">
              <w:rPr>
                <w:rFonts w:ascii="Times New Roman" w:hAnsi="Times New Roman"/>
                <w:color w:val="000000"/>
              </w:rPr>
              <w:t>Wenn ein schnelleres Eintreten der Wirkung erforderlich ist, kann der behandelnde Arzt eine Anfangsdosis von 160</w:t>
            </w:r>
            <w:r w:rsidR="00DA7A5D" w:rsidRPr="004F5FB4">
              <w:rPr>
                <w:rFonts w:ascii="Times New Roman" w:hAnsi="Times New Roman"/>
                <w:color w:val="000000"/>
              </w:rPr>
              <w:t> </w:t>
            </w:r>
            <w:r w:rsidRPr="004F5FB4">
              <w:rPr>
                <w:rFonts w:ascii="Times New Roman" w:hAnsi="Times New Roman"/>
                <w:color w:val="000000"/>
              </w:rPr>
              <w:t>mg verschreiben, gefolgt von 80</w:t>
            </w:r>
            <w:r w:rsidR="00B00A90" w:rsidRPr="004F5FB4">
              <w:rPr>
                <w:rFonts w:ascii="Times New Roman" w:hAnsi="Times New Roman"/>
                <w:color w:val="000000"/>
              </w:rPr>
              <w:t> </w:t>
            </w:r>
            <w:r w:rsidRPr="004F5FB4">
              <w:rPr>
                <w:rFonts w:ascii="Times New Roman" w:hAnsi="Times New Roman"/>
                <w:color w:val="000000"/>
              </w:rPr>
              <w:t>mg zwei Wochen später.</w:t>
            </w:r>
          </w:p>
          <w:p w14:paraId="60E6833F" w14:textId="77777777" w:rsidR="00FC5A0A" w:rsidRPr="004F5FB4" w:rsidRDefault="00FC5A0A" w:rsidP="00687087">
            <w:pPr>
              <w:pStyle w:val="TableParagraph"/>
              <w:keepNext/>
              <w:keepLines/>
              <w:widowControl/>
              <w:kinsoku w:val="0"/>
              <w:overflowPunct w:val="0"/>
              <w:rPr>
                <w:rFonts w:ascii="Times New Roman" w:hAnsi="Times New Roman"/>
                <w:color w:val="000000"/>
              </w:rPr>
            </w:pPr>
          </w:p>
          <w:p w14:paraId="0645EBD8" w14:textId="77777777" w:rsidR="00FC5A0A" w:rsidRPr="004F5FB4" w:rsidRDefault="00FC5A0A" w:rsidP="00687087">
            <w:pPr>
              <w:pStyle w:val="TableParagraph"/>
              <w:keepNext/>
              <w:keepLines/>
              <w:widowControl/>
              <w:kinsoku w:val="0"/>
              <w:overflowPunct w:val="0"/>
              <w:ind w:left="102" w:right="231"/>
              <w:rPr>
                <w:rFonts w:ascii="Times New Roman" w:hAnsi="Times New Roman"/>
                <w:color w:val="000000"/>
              </w:rPr>
            </w:pPr>
            <w:r w:rsidRPr="004F5FB4">
              <w:rPr>
                <w:rFonts w:ascii="Times New Roman" w:hAnsi="Times New Roman"/>
                <w:color w:val="000000"/>
              </w:rPr>
              <w:t>Danach beträgt die übliche Dosis 40</w:t>
            </w:r>
            <w:r w:rsidR="00DA7A5D"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43757CC9" w14:textId="77777777" w:rsidR="00FC5A0A" w:rsidRPr="004F5FB4" w:rsidRDefault="00904D3C" w:rsidP="00687087">
            <w:pPr>
              <w:pStyle w:val="TableParagraph"/>
              <w:keepNext/>
              <w:keepLines/>
              <w:widowControl/>
              <w:kinsoku w:val="0"/>
              <w:overflowPunct w:val="0"/>
              <w:spacing w:line="239" w:lineRule="auto"/>
              <w:ind w:left="102" w:right="316"/>
              <w:rPr>
                <w:rFonts w:ascii="Times New Roman" w:hAnsi="Times New Roman"/>
                <w:color w:val="000000"/>
              </w:rPr>
            </w:pPr>
            <w:r w:rsidRPr="004F5FB4">
              <w:rPr>
                <w:rFonts w:ascii="Times New Roman" w:hAnsi="Times New Roman"/>
                <w:color w:val="000000"/>
              </w:rPr>
              <w:t xml:space="preserve">Der Arzt Ihres Kindes </w:t>
            </w:r>
            <w:r w:rsidR="00FC5A0A" w:rsidRPr="004F5FB4">
              <w:rPr>
                <w:rFonts w:ascii="Times New Roman" w:hAnsi="Times New Roman"/>
                <w:color w:val="000000"/>
              </w:rPr>
              <w:t>kann die Dosierung auf 40</w:t>
            </w:r>
            <w:r w:rsidR="00DA7A5D" w:rsidRPr="004F5FB4">
              <w:rPr>
                <w:rFonts w:ascii="Times New Roman" w:hAnsi="Times New Roman"/>
                <w:color w:val="000000"/>
              </w:rPr>
              <w:t> </w:t>
            </w:r>
            <w:r w:rsidR="00FC5A0A" w:rsidRPr="004F5FB4">
              <w:rPr>
                <w:rFonts w:ascii="Times New Roman" w:hAnsi="Times New Roman"/>
                <w:color w:val="000000"/>
              </w:rPr>
              <w:t>mg jede Woche oder 80</w:t>
            </w:r>
            <w:r w:rsidR="00DA7A5D" w:rsidRPr="004F5FB4">
              <w:rPr>
                <w:rFonts w:ascii="Times New Roman" w:hAnsi="Times New Roman"/>
                <w:color w:val="000000"/>
              </w:rPr>
              <w:t> </w:t>
            </w:r>
            <w:r w:rsidR="00FC5A0A" w:rsidRPr="004F5FB4">
              <w:rPr>
                <w:rFonts w:ascii="Times New Roman" w:hAnsi="Times New Roman"/>
                <w:color w:val="000000"/>
              </w:rPr>
              <w:t>mg jede zweite Woche erhöhen.</w:t>
            </w:r>
          </w:p>
        </w:tc>
      </w:tr>
      <w:tr w:rsidR="00FC5A0A" w:rsidRPr="004F5FB4" w14:paraId="5B5AC7D8" w14:textId="77777777" w:rsidTr="00077E50">
        <w:tc>
          <w:tcPr>
            <w:tcW w:w="3095" w:type="dxa"/>
            <w:tcBorders>
              <w:top w:val="single" w:sz="4" w:space="0" w:color="000000"/>
              <w:left w:val="single" w:sz="4" w:space="0" w:color="000000"/>
              <w:bottom w:val="single" w:sz="4" w:space="0" w:color="000000"/>
              <w:right w:val="single" w:sz="4" w:space="0" w:color="000000"/>
            </w:tcBorders>
          </w:tcPr>
          <w:p w14:paraId="0F703F9C" w14:textId="77777777" w:rsidR="00FC5A0A" w:rsidRPr="004F5FB4" w:rsidRDefault="00FC5A0A" w:rsidP="00687087">
            <w:pPr>
              <w:pStyle w:val="TableParagraph"/>
              <w:keepNext/>
              <w:keepLines/>
              <w:widowControl/>
              <w:kinsoku w:val="0"/>
              <w:overflowPunct w:val="0"/>
              <w:ind w:left="102" w:right="120"/>
              <w:rPr>
                <w:rFonts w:ascii="Times New Roman" w:hAnsi="Times New Roman"/>
                <w:color w:val="000000"/>
              </w:rPr>
            </w:pPr>
            <w:r w:rsidRPr="004F5FB4">
              <w:rPr>
                <w:rFonts w:ascii="Times New Roman" w:hAnsi="Times New Roman"/>
                <w:color w:val="000000"/>
              </w:rPr>
              <w:t>Kinder und Jugendliche zwischen 6 und 17</w:t>
            </w:r>
            <w:r w:rsidR="00DA7A5D" w:rsidRPr="004F5FB4">
              <w:rPr>
                <w:rFonts w:ascii="Times New Roman" w:hAnsi="Times New Roman"/>
                <w:color w:val="000000"/>
              </w:rPr>
              <w:t> </w:t>
            </w:r>
            <w:r w:rsidRPr="004F5FB4">
              <w:rPr>
                <w:rFonts w:ascii="Times New Roman" w:hAnsi="Times New Roman"/>
                <w:color w:val="000000"/>
              </w:rPr>
              <w:t>Jahren mit einem Gewicht unter 40</w:t>
            </w:r>
            <w:r w:rsidR="00DA7A5D" w:rsidRPr="004F5FB4">
              <w:rPr>
                <w:rFonts w:ascii="Times New Roman" w:hAnsi="Times New Roman"/>
                <w:color w:val="000000"/>
              </w:rPr>
              <w:t> </w:t>
            </w:r>
            <w:r w:rsidRPr="004F5FB4">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tcPr>
          <w:p w14:paraId="6045005D" w14:textId="77777777" w:rsidR="00FC5A0A" w:rsidRPr="004F5FB4" w:rsidRDefault="00FC5A0A" w:rsidP="00687087">
            <w:pPr>
              <w:pStyle w:val="TableParagraph"/>
              <w:keepNext/>
              <w:keepLines/>
              <w:widowControl/>
              <w:kinsoku w:val="0"/>
              <w:overflowPunct w:val="0"/>
              <w:ind w:left="102" w:right="102"/>
              <w:rPr>
                <w:rFonts w:ascii="Times New Roman" w:hAnsi="Times New Roman"/>
                <w:color w:val="000000"/>
              </w:rPr>
            </w:pPr>
            <w:r w:rsidRPr="004F5FB4">
              <w:rPr>
                <w:rFonts w:ascii="Times New Roman" w:hAnsi="Times New Roman"/>
                <w:color w:val="000000"/>
              </w:rPr>
              <w:t>40</w:t>
            </w:r>
            <w:r w:rsidR="00DA7A5D" w:rsidRPr="004F5FB4">
              <w:rPr>
                <w:rFonts w:ascii="Times New Roman" w:hAnsi="Times New Roman"/>
                <w:color w:val="000000"/>
              </w:rPr>
              <w:t> </w:t>
            </w:r>
            <w:r w:rsidRPr="004F5FB4">
              <w:rPr>
                <w:rFonts w:ascii="Times New Roman" w:hAnsi="Times New Roman"/>
                <w:color w:val="000000"/>
              </w:rPr>
              <w:t>mg als Anfangsdosis, nach zwei Wochen werden 20</w:t>
            </w:r>
            <w:r w:rsidR="00DA7A5D" w:rsidRPr="004F5FB4">
              <w:rPr>
                <w:rFonts w:ascii="Times New Roman" w:hAnsi="Times New Roman"/>
                <w:color w:val="000000"/>
              </w:rPr>
              <w:t> </w:t>
            </w:r>
            <w:r w:rsidRPr="004F5FB4">
              <w:rPr>
                <w:rFonts w:ascii="Times New Roman" w:hAnsi="Times New Roman"/>
                <w:color w:val="000000"/>
              </w:rPr>
              <w:t>mg verabreicht.</w:t>
            </w:r>
          </w:p>
          <w:p w14:paraId="522BCE92" w14:textId="77777777" w:rsidR="00FC5A0A" w:rsidRPr="004F5FB4" w:rsidRDefault="00FC5A0A" w:rsidP="00687087">
            <w:pPr>
              <w:pStyle w:val="TableParagraph"/>
              <w:keepNext/>
              <w:keepLines/>
              <w:widowControl/>
              <w:kinsoku w:val="0"/>
              <w:overflowPunct w:val="0"/>
              <w:spacing w:before="11"/>
              <w:rPr>
                <w:rFonts w:ascii="Times New Roman" w:hAnsi="Times New Roman"/>
                <w:color w:val="000000"/>
                <w:szCs w:val="21"/>
              </w:rPr>
            </w:pPr>
          </w:p>
          <w:p w14:paraId="75A08842" w14:textId="77777777" w:rsidR="00FC5A0A" w:rsidRPr="004F5FB4" w:rsidRDefault="00FC5A0A" w:rsidP="00687087">
            <w:pPr>
              <w:pStyle w:val="TableParagraph"/>
              <w:keepNext/>
              <w:keepLines/>
              <w:widowControl/>
              <w:kinsoku w:val="0"/>
              <w:overflowPunct w:val="0"/>
              <w:ind w:left="102" w:right="238"/>
              <w:rPr>
                <w:rFonts w:ascii="Times New Roman" w:hAnsi="Times New Roman"/>
                <w:color w:val="000000"/>
              </w:rPr>
            </w:pPr>
            <w:r w:rsidRPr="004F5FB4">
              <w:rPr>
                <w:rFonts w:ascii="Times New Roman" w:hAnsi="Times New Roman"/>
                <w:color w:val="000000"/>
              </w:rPr>
              <w:t>Wenn ein schnelleres Eintreten der Wirkung erforderlich ist, kann der behandelnde Arzt eine Anfangsdosis von 80</w:t>
            </w:r>
            <w:r w:rsidR="00DA7A5D" w:rsidRPr="004F5FB4">
              <w:rPr>
                <w:rFonts w:ascii="Times New Roman" w:hAnsi="Times New Roman"/>
                <w:color w:val="000000"/>
              </w:rPr>
              <w:t> </w:t>
            </w:r>
            <w:r w:rsidRPr="004F5FB4">
              <w:rPr>
                <w:rFonts w:ascii="Times New Roman" w:hAnsi="Times New Roman"/>
                <w:color w:val="000000"/>
              </w:rPr>
              <w:t>mg verschreiben, gefolgt von 40</w:t>
            </w:r>
            <w:r w:rsidR="00B00A90" w:rsidRPr="004F5FB4">
              <w:rPr>
                <w:rFonts w:ascii="Times New Roman" w:hAnsi="Times New Roman"/>
                <w:color w:val="000000"/>
              </w:rPr>
              <w:t> </w:t>
            </w:r>
            <w:r w:rsidRPr="004F5FB4">
              <w:rPr>
                <w:rFonts w:ascii="Times New Roman" w:hAnsi="Times New Roman"/>
                <w:color w:val="000000"/>
              </w:rPr>
              <w:t>mg zwei Wochen später.</w:t>
            </w:r>
          </w:p>
          <w:p w14:paraId="2A984849" w14:textId="77777777" w:rsidR="00FC5A0A" w:rsidRPr="004F5FB4" w:rsidRDefault="00FC5A0A" w:rsidP="00687087">
            <w:pPr>
              <w:pStyle w:val="TableParagraph"/>
              <w:keepNext/>
              <w:keepLines/>
              <w:widowControl/>
              <w:kinsoku w:val="0"/>
              <w:overflowPunct w:val="0"/>
              <w:rPr>
                <w:rFonts w:ascii="Times New Roman" w:hAnsi="Times New Roman"/>
                <w:color w:val="000000"/>
              </w:rPr>
            </w:pPr>
          </w:p>
          <w:p w14:paraId="2F19D92F" w14:textId="77777777" w:rsidR="00FC5A0A" w:rsidRPr="004F5FB4" w:rsidRDefault="00FC5A0A" w:rsidP="00687087">
            <w:pPr>
              <w:pStyle w:val="TableParagraph"/>
              <w:keepNext/>
              <w:keepLines/>
              <w:widowControl/>
              <w:kinsoku w:val="0"/>
              <w:overflowPunct w:val="0"/>
              <w:ind w:left="102" w:right="231"/>
              <w:rPr>
                <w:rFonts w:ascii="Times New Roman" w:hAnsi="Times New Roman"/>
                <w:color w:val="000000"/>
              </w:rPr>
            </w:pPr>
            <w:r w:rsidRPr="004F5FB4">
              <w:rPr>
                <w:rFonts w:ascii="Times New Roman" w:hAnsi="Times New Roman"/>
                <w:color w:val="000000"/>
              </w:rPr>
              <w:t>Danach beträgt die übliche Dosis 20</w:t>
            </w:r>
            <w:r w:rsidR="00DA7A5D"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0DADB08D" w14:textId="77777777" w:rsidR="00FC5A0A" w:rsidRPr="004F5FB4" w:rsidRDefault="00904D3C" w:rsidP="00687087">
            <w:pPr>
              <w:pStyle w:val="TableParagraph"/>
              <w:keepNext/>
              <w:keepLines/>
              <w:widowControl/>
              <w:kinsoku w:val="0"/>
              <w:overflowPunct w:val="0"/>
              <w:ind w:left="102" w:right="316"/>
              <w:rPr>
                <w:rFonts w:ascii="Times New Roman" w:hAnsi="Times New Roman"/>
                <w:color w:val="000000"/>
              </w:rPr>
            </w:pPr>
            <w:r w:rsidRPr="004F5FB4">
              <w:rPr>
                <w:rFonts w:ascii="Times New Roman" w:hAnsi="Times New Roman"/>
                <w:color w:val="000000"/>
              </w:rPr>
              <w:t xml:space="preserve">Der Arzt Ihres Kindes </w:t>
            </w:r>
            <w:r w:rsidR="00FC5A0A" w:rsidRPr="004F5FB4">
              <w:rPr>
                <w:rFonts w:ascii="Times New Roman" w:hAnsi="Times New Roman"/>
                <w:color w:val="000000"/>
              </w:rPr>
              <w:t>kann die Dosishäufigkeit auf 20</w:t>
            </w:r>
            <w:r w:rsidR="00DA7A5D" w:rsidRPr="004F5FB4">
              <w:rPr>
                <w:rFonts w:ascii="Times New Roman" w:hAnsi="Times New Roman"/>
                <w:color w:val="000000"/>
              </w:rPr>
              <w:t> </w:t>
            </w:r>
            <w:r w:rsidR="00FC5A0A" w:rsidRPr="004F5FB4">
              <w:rPr>
                <w:rFonts w:ascii="Times New Roman" w:hAnsi="Times New Roman"/>
                <w:color w:val="000000"/>
              </w:rPr>
              <w:t>mg jede Woche erhöhen.</w:t>
            </w:r>
          </w:p>
        </w:tc>
      </w:tr>
    </w:tbl>
    <w:p w14:paraId="44B19344" w14:textId="77777777" w:rsidR="00FC5A0A" w:rsidRPr="004F5FB4" w:rsidRDefault="00FC5A0A" w:rsidP="00982118">
      <w:pPr>
        <w:rPr>
          <w:color w:val="000000"/>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4F5FB4" w14:paraId="16AD139E"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6B6B83D3" w14:textId="77777777" w:rsidR="00FC5A0A" w:rsidRPr="004F5FB4" w:rsidRDefault="00FC5A0A" w:rsidP="00687087">
            <w:pPr>
              <w:pStyle w:val="TableParagraph"/>
              <w:keepNext/>
              <w:keepLines/>
              <w:widowControl/>
              <w:kinsoku w:val="0"/>
              <w:overflowPunct w:val="0"/>
              <w:spacing w:line="251" w:lineRule="exact"/>
              <w:ind w:left="101"/>
              <w:rPr>
                <w:rFonts w:ascii="Times New Roman" w:hAnsi="Times New Roman"/>
                <w:color w:val="000000"/>
              </w:rPr>
            </w:pPr>
            <w:r w:rsidRPr="004F5FB4">
              <w:rPr>
                <w:rFonts w:ascii="Times New Roman" w:hAnsi="Times New Roman"/>
                <w:b/>
                <w:bCs/>
                <w:color w:val="000000"/>
              </w:rPr>
              <w:lastRenderedPageBreak/>
              <w:t>Uveitis bei Kindern und Jugendlichen</w:t>
            </w:r>
          </w:p>
        </w:tc>
      </w:tr>
      <w:tr w:rsidR="00FC5A0A" w:rsidRPr="004F5FB4" w14:paraId="36C08C44"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08D63F7C"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Alter oder Körpergewicht</w:t>
            </w:r>
          </w:p>
        </w:tc>
        <w:tc>
          <w:tcPr>
            <w:tcW w:w="3096" w:type="dxa"/>
            <w:tcBorders>
              <w:top w:val="single" w:sz="4" w:space="0" w:color="000000"/>
              <w:left w:val="single" w:sz="4" w:space="0" w:color="000000"/>
              <w:bottom w:val="single" w:sz="4" w:space="0" w:color="000000"/>
              <w:right w:val="single" w:sz="4" w:space="0" w:color="000000"/>
            </w:tcBorders>
          </w:tcPr>
          <w:p w14:paraId="1E4E3C89" w14:textId="77777777" w:rsidR="00FC5A0A" w:rsidRPr="004F5FB4" w:rsidRDefault="00FC5A0A" w:rsidP="00687087">
            <w:pPr>
              <w:pStyle w:val="TableParagraph"/>
              <w:keepNext/>
              <w:keepLines/>
              <w:widowControl/>
              <w:kinsoku w:val="0"/>
              <w:overflowPunct w:val="0"/>
              <w:ind w:left="102" w:right="334"/>
              <w:rPr>
                <w:rFonts w:ascii="Times New Roman" w:hAnsi="Times New Roman"/>
                <w:color w:val="000000"/>
              </w:rPr>
            </w:pPr>
            <w:r w:rsidRPr="004F5FB4">
              <w:rPr>
                <w:rFonts w:ascii="Times New Roman" w:hAnsi="Times New Roman"/>
                <w:b/>
                <w:bCs/>
                <w:color w:val="000000"/>
              </w:rPr>
              <w:t>Wie viel Amsparity ist anzuwenden und wie oft?</w:t>
            </w:r>
          </w:p>
        </w:tc>
        <w:tc>
          <w:tcPr>
            <w:tcW w:w="3096" w:type="dxa"/>
            <w:tcBorders>
              <w:top w:val="single" w:sz="4" w:space="0" w:color="000000"/>
              <w:left w:val="single" w:sz="4" w:space="0" w:color="000000"/>
              <w:bottom w:val="single" w:sz="4" w:space="0" w:color="000000"/>
              <w:right w:val="single" w:sz="4" w:space="0" w:color="000000"/>
            </w:tcBorders>
          </w:tcPr>
          <w:p w14:paraId="3A7507FF" w14:textId="77777777" w:rsidR="00FC5A0A" w:rsidRPr="004F5FB4" w:rsidRDefault="00FC5A0A" w:rsidP="00687087">
            <w:pPr>
              <w:pStyle w:val="TableParagraph"/>
              <w:keepNext/>
              <w:keepLines/>
              <w:widowControl/>
              <w:kinsoku w:val="0"/>
              <w:overflowPunct w:val="0"/>
              <w:spacing w:line="252" w:lineRule="exact"/>
              <w:ind w:left="102"/>
              <w:rPr>
                <w:rFonts w:ascii="Times New Roman" w:hAnsi="Times New Roman"/>
                <w:color w:val="000000"/>
              </w:rPr>
            </w:pPr>
            <w:r w:rsidRPr="004F5FB4">
              <w:rPr>
                <w:rFonts w:ascii="Times New Roman" w:hAnsi="Times New Roman"/>
                <w:b/>
                <w:bCs/>
                <w:color w:val="000000"/>
              </w:rPr>
              <w:t>Hinweise</w:t>
            </w:r>
          </w:p>
        </w:tc>
      </w:tr>
      <w:tr w:rsidR="00FC5A0A" w:rsidRPr="004F5FB4" w14:paraId="3DB14ED0" w14:textId="77777777" w:rsidTr="003533D2">
        <w:tc>
          <w:tcPr>
            <w:tcW w:w="3095" w:type="dxa"/>
            <w:tcBorders>
              <w:top w:val="single" w:sz="4" w:space="0" w:color="000000"/>
              <w:left w:val="single" w:sz="4" w:space="0" w:color="000000"/>
              <w:bottom w:val="single" w:sz="4" w:space="0" w:color="000000"/>
              <w:right w:val="single" w:sz="4" w:space="0" w:color="000000"/>
            </w:tcBorders>
          </w:tcPr>
          <w:p w14:paraId="13D1E340" w14:textId="77777777" w:rsidR="00FC5A0A" w:rsidRPr="004F5FB4" w:rsidRDefault="00FC5A0A" w:rsidP="00687087">
            <w:pPr>
              <w:pStyle w:val="TableParagraph"/>
              <w:keepNext/>
              <w:keepLines/>
              <w:widowControl/>
              <w:kinsoku w:val="0"/>
              <w:overflowPunct w:val="0"/>
              <w:spacing w:line="239" w:lineRule="auto"/>
              <w:ind w:left="102" w:right="283"/>
              <w:rPr>
                <w:rFonts w:ascii="Times New Roman" w:hAnsi="Times New Roman"/>
                <w:color w:val="000000"/>
              </w:rPr>
            </w:pPr>
            <w:r w:rsidRPr="004F5FB4">
              <w:rPr>
                <w:rFonts w:ascii="Times New Roman" w:hAnsi="Times New Roman"/>
                <w:color w:val="000000"/>
              </w:rPr>
              <w:t>Kinder ab 2</w:t>
            </w:r>
            <w:r w:rsidR="00DA7A5D" w:rsidRPr="004F5FB4">
              <w:rPr>
                <w:rFonts w:ascii="Times New Roman" w:hAnsi="Times New Roman"/>
                <w:color w:val="000000"/>
              </w:rPr>
              <w:t> </w:t>
            </w:r>
            <w:r w:rsidRPr="004F5FB4">
              <w:rPr>
                <w:rFonts w:ascii="Times New Roman" w:hAnsi="Times New Roman"/>
                <w:color w:val="000000"/>
              </w:rPr>
              <w:t>Jahren und Jugendliche mit einem Körpergewicht unter 30</w:t>
            </w:r>
            <w:r w:rsidR="00DA7A5D" w:rsidRPr="004F5FB4">
              <w:rPr>
                <w:rFonts w:ascii="Times New Roman" w:hAnsi="Times New Roman"/>
                <w:color w:val="000000"/>
              </w:rPr>
              <w:t> </w:t>
            </w:r>
            <w:r w:rsidRPr="004F5FB4">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tcPr>
          <w:p w14:paraId="7607B9DB" w14:textId="77777777" w:rsidR="00FC5A0A" w:rsidRPr="004F5FB4" w:rsidRDefault="00FC5A0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20</w:t>
            </w:r>
            <w:r w:rsidR="00DA7A5D"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2171FBD3" w14:textId="77777777" w:rsidR="00FC5A0A" w:rsidRPr="004F5FB4" w:rsidRDefault="001A2F7E" w:rsidP="00687087">
            <w:pPr>
              <w:pStyle w:val="TableParagraph"/>
              <w:keepNext/>
              <w:keepLines/>
              <w:widowControl/>
              <w:kinsoku w:val="0"/>
              <w:overflowPunct w:val="0"/>
              <w:ind w:left="102" w:right="241"/>
              <w:rPr>
                <w:rFonts w:ascii="Times New Roman" w:hAnsi="Times New Roman"/>
                <w:color w:val="000000"/>
              </w:rPr>
            </w:pPr>
            <w:r w:rsidRPr="004F5FB4">
              <w:rPr>
                <w:rFonts w:ascii="Times New Roman" w:hAnsi="Times New Roman"/>
                <w:color w:val="000000"/>
              </w:rPr>
              <w:t>Der</w:t>
            </w:r>
            <w:r w:rsidR="00FC5A0A" w:rsidRPr="004F5FB4">
              <w:rPr>
                <w:rFonts w:ascii="Times New Roman" w:hAnsi="Times New Roman"/>
                <w:color w:val="000000"/>
              </w:rPr>
              <w:t xml:space="preserve"> Arzt</w:t>
            </w:r>
            <w:r w:rsidRPr="004F5FB4">
              <w:rPr>
                <w:rFonts w:ascii="Times New Roman" w:hAnsi="Times New Roman"/>
                <w:color w:val="000000"/>
              </w:rPr>
              <w:t xml:space="preserve"> Ihres Kindes</w:t>
            </w:r>
            <w:r w:rsidR="00FC5A0A" w:rsidRPr="004F5FB4">
              <w:rPr>
                <w:rFonts w:ascii="Times New Roman" w:hAnsi="Times New Roman"/>
                <w:color w:val="000000"/>
              </w:rPr>
              <w:t xml:space="preserve"> kann eine Anfangsdosis von 40</w:t>
            </w:r>
            <w:r w:rsidR="00DA7A5D" w:rsidRPr="004F5FB4">
              <w:rPr>
                <w:rFonts w:ascii="Times New Roman" w:hAnsi="Times New Roman"/>
                <w:color w:val="000000"/>
              </w:rPr>
              <w:t> </w:t>
            </w:r>
            <w:r w:rsidR="00FC5A0A" w:rsidRPr="004F5FB4">
              <w:rPr>
                <w:rFonts w:ascii="Times New Roman" w:hAnsi="Times New Roman"/>
                <w:color w:val="000000"/>
              </w:rPr>
              <w:t>mg verschreiben. Diese Anfangsdosis wird eine Woche vor Beginn der Behandlung mit den üblichen 20</w:t>
            </w:r>
            <w:r w:rsidR="00DA7A5D" w:rsidRPr="004F5FB4">
              <w:rPr>
                <w:rFonts w:ascii="Times New Roman" w:hAnsi="Times New Roman"/>
                <w:color w:val="000000"/>
              </w:rPr>
              <w:t> </w:t>
            </w:r>
            <w:r w:rsidR="00FC5A0A" w:rsidRPr="004F5FB4">
              <w:rPr>
                <w:rFonts w:ascii="Times New Roman" w:hAnsi="Times New Roman"/>
                <w:color w:val="000000"/>
              </w:rPr>
              <w:t>mg jede zweite Woche verabreicht.</w:t>
            </w:r>
          </w:p>
          <w:p w14:paraId="2CD68B78" w14:textId="77777777" w:rsidR="00FC5A0A" w:rsidRPr="004F5FB4" w:rsidRDefault="006A1144" w:rsidP="00687087">
            <w:pPr>
              <w:pStyle w:val="TableParagraph"/>
              <w:keepNext/>
              <w:keepLines/>
              <w:widowControl/>
              <w:kinsoku w:val="0"/>
              <w:overflowPunct w:val="0"/>
              <w:ind w:left="102" w:right="145"/>
              <w:rPr>
                <w:rFonts w:ascii="Times New Roman" w:hAnsi="Times New Roman"/>
                <w:color w:val="000000"/>
              </w:rPr>
            </w:pPr>
            <w:r w:rsidRPr="004F5FB4">
              <w:rPr>
                <w:rFonts w:ascii="Times New Roman" w:hAnsi="Times New Roman"/>
                <w:color w:val="000000"/>
              </w:rPr>
              <w:t>Es wird empfohlen, Amsparity gemeinsam mit Methotrexat anzuwenden.</w:t>
            </w:r>
          </w:p>
        </w:tc>
      </w:tr>
      <w:tr w:rsidR="00FC5A0A" w:rsidRPr="004F5FB4" w14:paraId="110509C9" w14:textId="77777777" w:rsidTr="003533D2">
        <w:tc>
          <w:tcPr>
            <w:tcW w:w="3095" w:type="dxa"/>
            <w:tcBorders>
              <w:top w:val="single" w:sz="4" w:space="0" w:color="000000"/>
              <w:left w:val="single" w:sz="4" w:space="0" w:color="000000"/>
              <w:bottom w:val="single" w:sz="4" w:space="0" w:color="000000"/>
              <w:right w:val="single" w:sz="4" w:space="0" w:color="000000"/>
            </w:tcBorders>
          </w:tcPr>
          <w:p w14:paraId="562961B2" w14:textId="77777777" w:rsidR="00FC5A0A" w:rsidRPr="004F5FB4" w:rsidRDefault="00FC5A0A" w:rsidP="00687087">
            <w:pPr>
              <w:pStyle w:val="TableParagraph"/>
              <w:keepNext/>
              <w:keepLines/>
              <w:widowControl/>
              <w:kinsoku w:val="0"/>
              <w:overflowPunct w:val="0"/>
              <w:spacing w:line="239" w:lineRule="auto"/>
              <w:ind w:left="102" w:right="282"/>
              <w:rPr>
                <w:rFonts w:ascii="Times New Roman" w:hAnsi="Times New Roman"/>
                <w:color w:val="000000"/>
              </w:rPr>
            </w:pPr>
            <w:r w:rsidRPr="004F5FB4">
              <w:rPr>
                <w:rFonts w:ascii="Times New Roman" w:hAnsi="Times New Roman"/>
                <w:color w:val="000000"/>
              </w:rPr>
              <w:t>Kinder ab 2</w:t>
            </w:r>
            <w:r w:rsidR="00DA7A5D" w:rsidRPr="004F5FB4">
              <w:rPr>
                <w:rFonts w:ascii="Times New Roman" w:hAnsi="Times New Roman"/>
                <w:color w:val="000000"/>
              </w:rPr>
              <w:t> </w:t>
            </w:r>
            <w:r w:rsidRPr="004F5FB4">
              <w:rPr>
                <w:rFonts w:ascii="Times New Roman" w:hAnsi="Times New Roman"/>
                <w:color w:val="000000"/>
              </w:rPr>
              <w:t>Jahren und Jugendliche mit einem Gewicht von 30 kg oder mehr</w:t>
            </w:r>
          </w:p>
        </w:tc>
        <w:tc>
          <w:tcPr>
            <w:tcW w:w="3096" w:type="dxa"/>
            <w:tcBorders>
              <w:top w:val="single" w:sz="4" w:space="0" w:color="000000"/>
              <w:left w:val="single" w:sz="4" w:space="0" w:color="000000"/>
              <w:bottom w:val="single" w:sz="4" w:space="0" w:color="000000"/>
              <w:right w:val="single" w:sz="4" w:space="0" w:color="000000"/>
            </w:tcBorders>
          </w:tcPr>
          <w:p w14:paraId="0C95C53B" w14:textId="77777777" w:rsidR="00FC5A0A" w:rsidRPr="004F5FB4" w:rsidRDefault="00FC5A0A" w:rsidP="00687087">
            <w:pPr>
              <w:pStyle w:val="TableParagraph"/>
              <w:keepNext/>
              <w:keepLines/>
              <w:widowControl/>
              <w:kinsoku w:val="0"/>
              <w:overflowPunct w:val="0"/>
              <w:spacing w:line="251" w:lineRule="exact"/>
              <w:ind w:left="102"/>
              <w:rPr>
                <w:rFonts w:ascii="Times New Roman" w:hAnsi="Times New Roman"/>
                <w:color w:val="000000"/>
              </w:rPr>
            </w:pPr>
            <w:r w:rsidRPr="004F5FB4">
              <w:rPr>
                <w:rFonts w:ascii="Times New Roman" w:hAnsi="Times New Roman"/>
                <w:color w:val="000000"/>
              </w:rPr>
              <w:t>40</w:t>
            </w:r>
            <w:r w:rsidR="00DA7A5D" w:rsidRPr="004F5FB4">
              <w:rPr>
                <w:rFonts w:ascii="Times New Roman" w:hAnsi="Times New Roman"/>
                <w:color w:val="000000"/>
              </w:rPr>
              <w:t> </w:t>
            </w:r>
            <w:r w:rsidRPr="004F5FB4">
              <w:rPr>
                <w:rFonts w:ascii="Times New Roman" w:hAnsi="Times New Roman"/>
                <w:color w:val="000000"/>
              </w:rPr>
              <w:t>mg jede zweite Woche</w:t>
            </w:r>
          </w:p>
        </w:tc>
        <w:tc>
          <w:tcPr>
            <w:tcW w:w="3096" w:type="dxa"/>
            <w:tcBorders>
              <w:top w:val="single" w:sz="4" w:space="0" w:color="000000"/>
              <w:left w:val="single" w:sz="4" w:space="0" w:color="000000"/>
              <w:bottom w:val="single" w:sz="4" w:space="0" w:color="000000"/>
              <w:right w:val="single" w:sz="4" w:space="0" w:color="000000"/>
            </w:tcBorders>
          </w:tcPr>
          <w:p w14:paraId="68BC1A8F" w14:textId="77777777" w:rsidR="00FC5A0A" w:rsidRPr="004F5FB4" w:rsidRDefault="001A2F7E" w:rsidP="00687087">
            <w:pPr>
              <w:pStyle w:val="TableParagraph"/>
              <w:keepNext/>
              <w:keepLines/>
              <w:widowControl/>
              <w:kinsoku w:val="0"/>
              <w:overflowPunct w:val="0"/>
              <w:ind w:left="102" w:right="241"/>
              <w:rPr>
                <w:rFonts w:ascii="Times New Roman" w:hAnsi="Times New Roman"/>
                <w:color w:val="000000"/>
              </w:rPr>
            </w:pPr>
            <w:r w:rsidRPr="004F5FB4">
              <w:rPr>
                <w:rFonts w:ascii="Times New Roman" w:hAnsi="Times New Roman"/>
                <w:color w:val="000000"/>
              </w:rPr>
              <w:t>Der</w:t>
            </w:r>
            <w:r w:rsidR="00FC5A0A" w:rsidRPr="004F5FB4">
              <w:rPr>
                <w:rFonts w:ascii="Times New Roman" w:hAnsi="Times New Roman"/>
                <w:color w:val="000000"/>
              </w:rPr>
              <w:t xml:space="preserve"> Arzt</w:t>
            </w:r>
            <w:r w:rsidRPr="004F5FB4">
              <w:rPr>
                <w:rFonts w:ascii="Times New Roman" w:hAnsi="Times New Roman"/>
                <w:color w:val="000000"/>
              </w:rPr>
              <w:t xml:space="preserve"> Ihres Kindes</w:t>
            </w:r>
            <w:r w:rsidR="00FC5A0A" w:rsidRPr="004F5FB4">
              <w:rPr>
                <w:rFonts w:ascii="Times New Roman" w:hAnsi="Times New Roman"/>
                <w:color w:val="000000"/>
              </w:rPr>
              <w:t xml:space="preserve"> kann eine Anfangsdosis von 80</w:t>
            </w:r>
            <w:r w:rsidR="00DA7A5D" w:rsidRPr="004F5FB4">
              <w:rPr>
                <w:rFonts w:ascii="Times New Roman" w:hAnsi="Times New Roman"/>
                <w:color w:val="000000"/>
              </w:rPr>
              <w:t> </w:t>
            </w:r>
            <w:r w:rsidR="00FC5A0A" w:rsidRPr="004F5FB4">
              <w:rPr>
                <w:rFonts w:ascii="Times New Roman" w:hAnsi="Times New Roman"/>
                <w:color w:val="000000"/>
              </w:rPr>
              <w:t>mg verschreiben. Diese Anfangsdosis wird eine Woche vor Beginn der Behandlung mit den üblichen 40</w:t>
            </w:r>
            <w:r w:rsidR="00DA7A5D" w:rsidRPr="004F5FB4">
              <w:rPr>
                <w:rFonts w:ascii="Times New Roman" w:hAnsi="Times New Roman"/>
                <w:color w:val="000000"/>
              </w:rPr>
              <w:t> </w:t>
            </w:r>
            <w:r w:rsidR="00FC5A0A" w:rsidRPr="004F5FB4">
              <w:rPr>
                <w:rFonts w:ascii="Times New Roman" w:hAnsi="Times New Roman"/>
                <w:color w:val="000000"/>
              </w:rPr>
              <w:t>mg jede zweite Woche verabreicht.</w:t>
            </w:r>
          </w:p>
          <w:p w14:paraId="1353CDA6" w14:textId="77777777" w:rsidR="00FC5A0A" w:rsidRPr="004F5FB4" w:rsidRDefault="006A1144" w:rsidP="00687087">
            <w:pPr>
              <w:pStyle w:val="TableParagraph"/>
              <w:keepNext/>
              <w:keepLines/>
              <w:widowControl/>
              <w:kinsoku w:val="0"/>
              <w:overflowPunct w:val="0"/>
              <w:ind w:left="102" w:right="145"/>
              <w:rPr>
                <w:rFonts w:ascii="Times New Roman" w:hAnsi="Times New Roman"/>
                <w:color w:val="000000"/>
              </w:rPr>
            </w:pPr>
            <w:r w:rsidRPr="004F5FB4">
              <w:rPr>
                <w:rFonts w:ascii="Times New Roman" w:hAnsi="Times New Roman"/>
                <w:color w:val="000000"/>
              </w:rPr>
              <w:t>Es wird empfohlen, Amsparity gemeinsam mit Methotrexat anzuwenden.</w:t>
            </w:r>
          </w:p>
        </w:tc>
      </w:tr>
    </w:tbl>
    <w:p w14:paraId="09552B81" w14:textId="77777777" w:rsidR="00FC5A0A" w:rsidRPr="004F5FB4" w:rsidRDefault="00FC5A0A" w:rsidP="002B2067">
      <w:pPr>
        <w:rPr>
          <w:color w:val="000000"/>
        </w:rPr>
      </w:pPr>
    </w:p>
    <w:p w14:paraId="2372B248" w14:textId="77777777" w:rsidR="00FC5A0A" w:rsidRPr="00F60620" w:rsidRDefault="00FC5A0A" w:rsidP="00F60620">
      <w:pPr>
        <w:rPr>
          <w:b/>
          <w:color w:val="000000"/>
        </w:rPr>
      </w:pPr>
      <w:r w:rsidRPr="00F60620">
        <w:rPr>
          <w:b/>
          <w:color w:val="000000"/>
        </w:rPr>
        <w:t>Art der Anwendung</w:t>
      </w:r>
    </w:p>
    <w:p w14:paraId="022E3366" w14:textId="77777777" w:rsidR="00FC5A0A" w:rsidRPr="004F5FB4" w:rsidRDefault="00FC5A0A" w:rsidP="00156BFF">
      <w:pPr>
        <w:pStyle w:val="BodyText"/>
        <w:keepNext/>
        <w:widowControl/>
        <w:kinsoku w:val="0"/>
        <w:overflowPunct w:val="0"/>
        <w:ind w:left="0"/>
        <w:rPr>
          <w:b/>
          <w:bCs/>
          <w:color w:val="000000"/>
        </w:rPr>
      </w:pPr>
    </w:p>
    <w:p w14:paraId="41768F38" w14:textId="77777777" w:rsidR="00FC5A0A" w:rsidRPr="004F5FB4" w:rsidRDefault="006A1144" w:rsidP="002B2067">
      <w:pPr>
        <w:pStyle w:val="BodyText"/>
        <w:widowControl/>
        <w:kinsoku w:val="0"/>
        <w:overflowPunct w:val="0"/>
        <w:ind w:left="0"/>
        <w:rPr>
          <w:color w:val="000000"/>
        </w:rPr>
      </w:pPr>
      <w:r w:rsidRPr="004F5FB4">
        <w:rPr>
          <w:color w:val="000000"/>
        </w:rPr>
        <w:t xml:space="preserve">Amsparity wird unter die Haut gespritzt </w:t>
      </w:r>
      <w:r w:rsidRPr="004F5FB4">
        <w:rPr>
          <w:i/>
          <w:color w:val="000000"/>
        </w:rPr>
        <w:t>(subkutane Injektion)</w:t>
      </w:r>
      <w:r w:rsidRPr="004F5FB4">
        <w:rPr>
          <w:color w:val="000000"/>
        </w:rPr>
        <w:t>.</w:t>
      </w:r>
    </w:p>
    <w:p w14:paraId="7C6135E7" w14:textId="77777777" w:rsidR="00FC5A0A" w:rsidRPr="004F5FB4" w:rsidRDefault="00FC5A0A" w:rsidP="002B2067">
      <w:pPr>
        <w:pStyle w:val="BodyText"/>
        <w:widowControl/>
        <w:kinsoku w:val="0"/>
        <w:overflowPunct w:val="0"/>
        <w:ind w:left="0"/>
        <w:rPr>
          <w:color w:val="000000"/>
        </w:rPr>
      </w:pPr>
    </w:p>
    <w:p w14:paraId="385DD89A" w14:textId="77777777" w:rsidR="00554B1A" w:rsidRPr="00F60620" w:rsidRDefault="00FC5A0A" w:rsidP="00F60620">
      <w:pPr>
        <w:rPr>
          <w:b/>
          <w:color w:val="000000"/>
        </w:rPr>
      </w:pPr>
      <w:r w:rsidRPr="00F60620">
        <w:rPr>
          <w:b/>
          <w:color w:val="000000"/>
        </w:rPr>
        <w:t>Eine genaue Anleitung, wie Amsparity gespritzt wird, finden Sie in den Anweisungen für die Anwendung am Ende dieser Packungsbeilage.</w:t>
      </w:r>
    </w:p>
    <w:p w14:paraId="034B6530" w14:textId="77777777" w:rsidR="00DE4467" w:rsidRPr="00F60620" w:rsidRDefault="00DE4467" w:rsidP="00F60620">
      <w:pPr>
        <w:rPr>
          <w:b/>
          <w:color w:val="000000"/>
        </w:rPr>
      </w:pPr>
    </w:p>
    <w:p w14:paraId="7E75A2B9" w14:textId="77777777" w:rsidR="00FC5A0A" w:rsidRPr="00F60620" w:rsidRDefault="00FC5A0A" w:rsidP="00F60620">
      <w:pPr>
        <w:rPr>
          <w:b/>
          <w:color w:val="000000"/>
        </w:rPr>
      </w:pPr>
      <w:r w:rsidRPr="00F60620">
        <w:rPr>
          <w:b/>
          <w:color w:val="000000"/>
        </w:rPr>
        <w:t>Wenn Sie eine größere Menge von Amsparity angewendet haben, als Sie sollten</w:t>
      </w:r>
    </w:p>
    <w:p w14:paraId="01F08D92" w14:textId="77777777" w:rsidR="00F546F3" w:rsidRPr="00F60620" w:rsidRDefault="00F546F3" w:rsidP="00F60620">
      <w:pPr>
        <w:rPr>
          <w:b/>
          <w:color w:val="000000"/>
        </w:rPr>
      </w:pPr>
    </w:p>
    <w:p w14:paraId="0473D5E9" w14:textId="77777777" w:rsidR="00FC5A0A" w:rsidRPr="004F5FB4" w:rsidRDefault="001C7C54" w:rsidP="002B2067">
      <w:pPr>
        <w:pStyle w:val="BodyText"/>
        <w:widowControl/>
        <w:kinsoku w:val="0"/>
        <w:overflowPunct w:val="0"/>
        <w:ind w:left="0"/>
        <w:rPr>
          <w:color w:val="000000"/>
        </w:rPr>
      </w:pPr>
      <w:r w:rsidRPr="004F5FB4">
        <w:rPr>
          <w:color w:val="000000"/>
        </w:rPr>
        <w:t>Falls</w:t>
      </w:r>
      <w:r w:rsidR="00631FAF" w:rsidRPr="004F5FB4">
        <w:rPr>
          <w:color w:val="000000"/>
        </w:rPr>
        <w:t xml:space="preserve"> Amsparity versehentlich häufiger </w:t>
      </w:r>
      <w:r w:rsidR="00904D3C" w:rsidRPr="004F5FB4">
        <w:rPr>
          <w:color w:val="000000"/>
        </w:rPr>
        <w:t>ge</w:t>
      </w:r>
      <w:r w:rsidR="00631FAF" w:rsidRPr="004F5FB4">
        <w:rPr>
          <w:color w:val="000000"/>
        </w:rPr>
        <w:t>spritz</w:t>
      </w:r>
      <w:r w:rsidR="00904D3C" w:rsidRPr="004F5FB4">
        <w:rPr>
          <w:color w:val="000000"/>
        </w:rPr>
        <w:t>t wurde</w:t>
      </w:r>
      <w:r w:rsidR="000E58B6" w:rsidRPr="004F5FB4">
        <w:rPr>
          <w:color w:val="000000"/>
        </w:rPr>
        <w:t>,</w:t>
      </w:r>
      <w:r w:rsidR="00631FAF" w:rsidRPr="004F5FB4">
        <w:rPr>
          <w:color w:val="000000"/>
        </w:rPr>
        <w:t xml:space="preserve"> als </w:t>
      </w:r>
      <w:r w:rsidR="00904D3C" w:rsidRPr="004F5FB4">
        <w:rPr>
          <w:color w:val="000000"/>
        </w:rPr>
        <w:t>der Arzt verordnet hat</w:t>
      </w:r>
      <w:r w:rsidR="00FC5A0A" w:rsidRPr="004F5FB4">
        <w:rPr>
          <w:color w:val="000000"/>
        </w:rPr>
        <w:t>, informieren Sie den Arzt oder Apotheker Ihres Kindes darüber, dass Ihr Kind eine erhöhte Menge angewendet hat. Nehmen Sie immer den Umkarton des Arzneimittels mit, auch wenn er leer ist.</w:t>
      </w:r>
    </w:p>
    <w:p w14:paraId="6AE20424" w14:textId="77777777" w:rsidR="00FC5A0A" w:rsidRPr="004F5FB4" w:rsidRDefault="00FC5A0A" w:rsidP="002B2067">
      <w:pPr>
        <w:pStyle w:val="BodyText"/>
        <w:widowControl/>
        <w:kinsoku w:val="0"/>
        <w:overflowPunct w:val="0"/>
        <w:ind w:left="0"/>
        <w:rPr>
          <w:color w:val="000000"/>
        </w:rPr>
      </w:pPr>
    </w:p>
    <w:p w14:paraId="7BC5C842" w14:textId="77777777" w:rsidR="00FC5A0A" w:rsidRPr="00F60620" w:rsidRDefault="00FC5A0A" w:rsidP="00F60620">
      <w:pPr>
        <w:rPr>
          <w:b/>
          <w:color w:val="000000"/>
        </w:rPr>
      </w:pPr>
      <w:r w:rsidRPr="00F60620">
        <w:rPr>
          <w:b/>
          <w:color w:val="000000"/>
        </w:rPr>
        <w:t>Wenn Sie die Anwendung von Amsparity vergessen haben</w:t>
      </w:r>
    </w:p>
    <w:p w14:paraId="6DA09252" w14:textId="77777777" w:rsidR="00FC5A0A" w:rsidRPr="004F5FB4" w:rsidRDefault="00FC5A0A" w:rsidP="002B2067">
      <w:pPr>
        <w:pStyle w:val="BodyText"/>
        <w:widowControl/>
        <w:kinsoku w:val="0"/>
        <w:overflowPunct w:val="0"/>
        <w:ind w:left="0"/>
        <w:rPr>
          <w:b/>
          <w:bCs/>
          <w:color w:val="000000"/>
        </w:rPr>
      </w:pPr>
    </w:p>
    <w:p w14:paraId="441A47DA" w14:textId="77777777" w:rsidR="00FC5A0A" w:rsidRPr="004F5FB4" w:rsidRDefault="00FC5A0A" w:rsidP="002B2067">
      <w:pPr>
        <w:pStyle w:val="BodyText"/>
        <w:widowControl/>
        <w:kinsoku w:val="0"/>
        <w:overflowPunct w:val="0"/>
        <w:ind w:left="0"/>
        <w:rPr>
          <w:color w:val="000000"/>
        </w:rPr>
      </w:pPr>
      <w:r w:rsidRPr="004F5FB4">
        <w:rPr>
          <w:color w:val="000000"/>
        </w:rPr>
        <w:t>Wenn Sie einmal bei Ihrem Kind eine Injektion mit Amsparity vergessen haben, sollten Sie die nächste Amsparity-Dosis spritzen, sobald es Ihnen auffällt. Spritzen Sie Ihrem Kind die darauffolgende Dosis an dem ursprünglich vorgesehenen Tag, wie Sie es getan hätten, wenn Sie die Injektion nicht vergessen hätten.</w:t>
      </w:r>
    </w:p>
    <w:p w14:paraId="3F435DF9" w14:textId="77777777" w:rsidR="00FC5A0A" w:rsidRPr="004F5FB4" w:rsidRDefault="00FC5A0A" w:rsidP="002B2067">
      <w:pPr>
        <w:pStyle w:val="BodyText"/>
        <w:widowControl/>
        <w:kinsoku w:val="0"/>
        <w:overflowPunct w:val="0"/>
        <w:ind w:left="0"/>
        <w:rPr>
          <w:color w:val="000000"/>
        </w:rPr>
      </w:pPr>
    </w:p>
    <w:p w14:paraId="1678E2E4" w14:textId="77777777" w:rsidR="00FC5A0A" w:rsidRPr="00F60620" w:rsidRDefault="00FC5A0A" w:rsidP="00F60620">
      <w:pPr>
        <w:rPr>
          <w:b/>
          <w:color w:val="000000"/>
        </w:rPr>
      </w:pPr>
      <w:r w:rsidRPr="00F60620">
        <w:rPr>
          <w:b/>
          <w:color w:val="000000"/>
        </w:rPr>
        <w:t>Wenn Ihr Kind die Anwendung von Amsparity abbricht</w:t>
      </w:r>
    </w:p>
    <w:p w14:paraId="36A4F89B" w14:textId="77777777" w:rsidR="00FC5A0A" w:rsidRPr="004F5FB4" w:rsidRDefault="00FC5A0A" w:rsidP="002B2067">
      <w:pPr>
        <w:pStyle w:val="BodyText"/>
        <w:widowControl/>
        <w:kinsoku w:val="0"/>
        <w:overflowPunct w:val="0"/>
        <w:ind w:left="0"/>
        <w:rPr>
          <w:b/>
          <w:bCs/>
          <w:color w:val="000000"/>
        </w:rPr>
      </w:pPr>
    </w:p>
    <w:p w14:paraId="71E2197D" w14:textId="77777777" w:rsidR="00FC5A0A" w:rsidRPr="004F5FB4" w:rsidRDefault="00FC5A0A" w:rsidP="002B2067">
      <w:pPr>
        <w:pStyle w:val="BodyText"/>
        <w:widowControl/>
        <w:kinsoku w:val="0"/>
        <w:overflowPunct w:val="0"/>
        <w:ind w:left="0"/>
        <w:rPr>
          <w:color w:val="000000"/>
        </w:rPr>
      </w:pPr>
      <w:r w:rsidRPr="004F5FB4">
        <w:rPr>
          <w:color w:val="000000"/>
        </w:rPr>
        <w:t>Die Entscheidung, die Anwendung von Amsparity abzubrechen, muss mit dem Arzt Ihres Kindes besprochen werden. Die Symptome der Erkrankung Ihres Kindes können nach Abbruch der Behandlung zurückkehren.</w:t>
      </w:r>
    </w:p>
    <w:p w14:paraId="09F8BFAF" w14:textId="77777777" w:rsidR="00FC5A0A" w:rsidRPr="004F5FB4" w:rsidRDefault="00FC5A0A" w:rsidP="002B2067">
      <w:pPr>
        <w:pStyle w:val="BodyText"/>
        <w:widowControl/>
        <w:kinsoku w:val="0"/>
        <w:overflowPunct w:val="0"/>
        <w:ind w:left="0"/>
        <w:rPr>
          <w:color w:val="000000"/>
        </w:rPr>
      </w:pPr>
    </w:p>
    <w:p w14:paraId="26DE4603" w14:textId="77777777" w:rsidR="00FC5A0A" w:rsidRPr="004F5FB4" w:rsidRDefault="00A75BD6" w:rsidP="002B2067">
      <w:pPr>
        <w:pStyle w:val="BodyText"/>
        <w:widowControl/>
        <w:kinsoku w:val="0"/>
        <w:overflowPunct w:val="0"/>
        <w:ind w:left="0"/>
        <w:rPr>
          <w:color w:val="000000"/>
        </w:rPr>
      </w:pPr>
      <w:r w:rsidRPr="004F5FB4">
        <w:rPr>
          <w:color w:val="000000"/>
        </w:rPr>
        <w:t>Wenn</w:t>
      </w:r>
      <w:r w:rsidR="00FC5A0A" w:rsidRPr="004F5FB4">
        <w:rPr>
          <w:color w:val="000000"/>
        </w:rPr>
        <w:t xml:space="preserve"> Sie weitere Fragen zur Anwendung dieses Arzneimittels haben,</w:t>
      </w:r>
      <w:r w:rsidRPr="004F5FB4">
        <w:rPr>
          <w:color w:val="000000"/>
        </w:rPr>
        <w:t xml:space="preserve"> wenden Sie sich an</w:t>
      </w:r>
      <w:r w:rsidR="000E7C79" w:rsidRPr="004F5FB4">
        <w:rPr>
          <w:color w:val="000000"/>
        </w:rPr>
        <w:t xml:space="preserve"> den</w:t>
      </w:r>
      <w:r w:rsidR="00FC5A0A" w:rsidRPr="004F5FB4">
        <w:rPr>
          <w:color w:val="000000"/>
        </w:rPr>
        <w:t xml:space="preserve"> Arzt oder Apotheker</w:t>
      </w:r>
      <w:r w:rsidR="000E7C79" w:rsidRPr="004F5FB4">
        <w:rPr>
          <w:color w:val="000000"/>
        </w:rPr>
        <w:t xml:space="preserve"> Ihres Kindes</w:t>
      </w:r>
      <w:r w:rsidR="00FC5A0A" w:rsidRPr="004F5FB4">
        <w:rPr>
          <w:color w:val="000000"/>
        </w:rPr>
        <w:t>.</w:t>
      </w:r>
    </w:p>
    <w:p w14:paraId="3830A5BA" w14:textId="77777777" w:rsidR="00FC5A0A" w:rsidRPr="004F5FB4" w:rsidRDefault="00FC5A0A" w:rsidP="002B2067">
      <w:pPr>
        <w:pStyle w:val="BodyText"/>
        <w:widowControl/>
        <w:kinsoku w:val="0"/>
        <w:overflowPunct w:val="0"/>
        <w:ind w:left="0"/>
        <w:rPr>
          <w:color w:val="000000"/>
        </w:rPr>
      </w:pPr>
    </w:p>
    <w:p w14:paraId="3D5292BC" w14:textId="77777777" w:rsidR="00A71117" w:rsidRPr="004F5FB4" w:rsidRDefault="00A71117" w:rsidP="002B2067">
      <w:pPr>
        <w:pStyle w:val="BodyText"/>
        <w:widowControl/>
        <w:kinsoku w:val="0"/>
        <w:overflowPunct w:val="0"/>
        <w:ind w:left="0"/>
        <w:rPr>
          <w:color w:val="000000"/>
        </w:rPr>
      </w:pPr>
    </w:p>
    <w:p w14:paraId="23D3F8AF" w14:textId="77777777" w:rsidR="00FC5A0A" w:rsidRPr="00F60620" w:rsidRDefault="00194625" w:rsidP="00A65FE9">
      <w:pPr>
        <w:keepNext/>
        <w:keepLines/>
        <w:rPr>
          <w:b/>
          <w:color w:val="000000"/>
        </w:rPr>
      </w:pPr>
      <w:r w:rsidRPr="00F60620">
        <w:rPr>
          <w:b/>
          <w:color w:val="000000"/>
        </w:rPr>
        <w:lastRenderedPageBreak/>
        <w:t>4</w:t>
      </w:r>
      <w:r w:rsidR="006A26D1" w:rsidRPr="00F60620">
        <w:rPr>
          <w:b/>
          <w:color w:val="000000"/>
        </w:rPr>
        <w:t>.</w:t>
      </w:r>
      <w:r w:rsidRPr="00F60620">
        <w:rPr>
          <w:b/>
          <w:color w:val="000000"/>
        </w:rPr>
        <w:tab/>
        <w:t>Welche Nebenwirkungen sind möglich?</w:t>
      </w:r>
    </w:p>
    <w:p w14:paraId="15F828DE" w14:textId="77777777" w:rsidR="00FC5A0A" w:rsidRPr="004F5FB4" w:rsidRDefault="00FC5A0A" w:rsidP="002B2067">
      <w:pPr>
        <w:pStyle w:val="BodyText"/>
        <w:widowControl/>
        <w:kinsoku w:val="0"/>
        <w:overflowPunct w:val="0"/>
        <w:ind w:left="0"/>
        <w:rPr>
          <w:b/>
          <w:bCs/>
          <w:color w:val="000000"/>
        </w:rPr>
      </w:pPr>
    </w:p>
    <w:p w14:paraId="6C449793" w14:textId="77777777" w:rsidR="00FC5A0A" w:rsidRPr="004F5FB4" w:rsidRDefault="00FC5A0A" w:rsidP="002B2067">
      <w:pPr>
        <w:pStyle w:val="BodyText"/>
        <w:widowControl/>
        <w:kinsoku w:val="0"/>
        <w:overflowPunct w:val="0"/>
        <w:ind w:left="0"/>
        <w:rPr>
          <w:color w:val="000000"/>
        </w:rPr>
      </w:pPr>
      <w:r w:rsidRPr="004F5FB4">
        <w:rPr>
          <w:color w:val="000000"/>
        </w:rPr>
        <w:t>Wie alle Arzneimittel kann auch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Amsparity auftreten.</w:t>
      </w:r>
    </w:p>
    <w:p w14:paraId="1E77D4D2" w14:textId="77777777" w:rsidR="00FC5A0A" w:rsidRPr="004F5FB4" w:rsidRDefault="00FC5A0A" w:rsidP="002B2067">
      <w:pPr>
        <w:pStyle w:val="BodyText"/>
        <w:widowControl/>
        <w:kinsoku w:val="0"/>
        <w:overflowPunct w:val="0"/>
        <w:ind w:left="0"/>
        <w:rPr>
          <w:color w:val="000000"/>
        </w:rPr>
      </w:pPr>
    </w:p>
    <w:p w14:paraId="762C3DD9" w14:textId="77777777" w:rsidR="00194625" w:rsidRPr="00F60620" w:rsidRDefault="0091786B" w:rsidP="00F60620">
      <w:pPr>
        <w:rPr>
          <w:b/>
          <w:color w:val="000000"/>
        </w:rPr>
      </w:pPr>
      <w:r w:rsidRPr="00F60620">
        <w:rPr>
          <w:b/>
          <w:color w:val="000000"/>
        </w:rPr>
        <w:t>Nehmen Sie unverzüglich ärztliche Hilfe in Anspruch</w:t>
      </w:r>
      <w:r w:rsidRPr="00F60620">
        <w:rPr>
          <w:color w:val="000000"/>
        </w:rPr>
        <w:t>, wenn Sie eines der folgenden Anzeichen bemerken:</w:t>
      </w:r>
    </w:p>
    <w:p w14:paraId="1A4DAB90" w14:textId="77777777" w:rsidR="00FC5A0A" w:rsidRPr="00F60620" w:rsidRDefault="00FC5A0A" w:rsidP="00F60620">
      <w:pPr>
        <w:rPr>
          <w:b/>
          <w:color w:val="000000"/>
        </w:rPr>
      </w:pPr>
    </w:p>
    <w:p w14:paraId="30BB855C" w14:textId="77777777" w:rsidR="00FC5A0A" w:rsidRPr="004F5FB4" w:rsidRDefault="00151469"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w:t>
      </w:r>
      <w:r w:rsidR="00FC5A0A" w:rsidRPr="004F5FB4">
        <w:rPr>
          <w:color w:val="000000"/>
        </w:rPr>
        <w:t>tarker Hautausschlag, Nesselsucht oder andere Anzeichen einer allergischen Reaktion</w:t>
      </w:r>
      <w:r w:rsidR="00DA7A5D" w:rsidRPr="004F5FB4">
        <w:rPr>
          <w:color w:val="000000"/>
        </w:rPr>
        <w:t>,</w:t>
      </w:r>
    </w:p>
    <w:p w14:paraId="24F7F04B"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Schwellung im Gesicht, an Händen oder Füßen</w:t>
      </w:r>
      <w:r w:rsidR="00DA7A5D" w:rsidRPr="004F5FB4">
        <w:rPr>
          <w:color w:val="000000"/>
        </w:rPr>
        <w:t>,</w:t>
      </w:r>
    </w:p>
    <w:p w14:paraId="56CA26DD"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Schwierigkeiten beim Atmen oder Schlucken</w:t>
      </w:r>
      <w:r w:rsidR="00DA7A5D" w:rsidRPr="004F5FB4">
        <w:rPr>
          <w:color w:val="000000"/>
        </w:rPr>
        <w:t>,</w:t>
      </w:r>
    </w:p>
    <w:p w14:paraId="2441E047"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Kurzatmigkeit bei körperlicher Aktivität oder im Liegen oder Schwellung der Füße.</w:t>
      </w:r>
    </w:p>
    <w:p w14:paraId="0E45BE2A" w14:textId="77777777" w:rsidR="00FC5A0A" w:rsidRPr="004F5FB4" w:rsidRDefault="00FC5A0A" w:rsidP="002B2067">
      <w:pPr>
        <w:pStyle w:val="BodyText"/>
        <w:widowControl/>
        <w:kinsoku w:val="0"/>
        <w:overflowPunct w:val="0"/>
        <w:ind w:left="0"/>
        <w:rPr>
          <w:color w:val="000000"/>
        </w:rPr>
      </w:pPr>
    </w:p>
    <w:p w14:paraId="249D17D8" w14:textId="77777777" w:rsidR="00194625" w:rsidRPr="00F60620" w:rsidRDefault="00FC5A0A" w:rsidP="00F60620">
      <w:pPr>
        <w:rPr>
          <w:b/>
          <w:color w:val="000000"/>
        </w:rPr>
      </w:pPr>
      <w:r w:rsidRPr="00F60620">
        <w:rPr>
          <w:b/>
          <w:color w:val="000000"/>
        </w:rPr>
        <w:t xml:space="preserve">Benachrichtigen Sie so bald wie möglich </w:t>
      </w:r>
      <w:r w:rsidR="001A2F7E" w:rsidRPr="00F60620">
        <w:rPr>
          <w:b/>
          <w:color w:val="000000"/>
        </w:rPr>
        <w:t xml:space="preserve">den </w:t>
      </w:r>
      <w:r w:rsidRPr="00F60620">
        <w:rPr>
          <w:b/>
          <w:color w:val="000000"/>
        </w:rPr>
        <w:t>Arzt</w:t>
      </w:r>
      <w:r w:rsidR="001A2F7E" w:rsidRPr="00F60620">
        <w:rPr>
          <w:b/>
          <w:color w:val="000000"/>
        </w:rPr>
        <w:t xml:space="preserve"> Ihres Kindes</w:t>
      </w:r>
      <w:r w:rsidRPr="00F60620">
        <w:rPr>
          <w:color w:val="000000"/>
        </w:rPr>
        <w:t>, wenn Sie eines der folgenden Anzeichen bemerken:</w:t>
      </w:r>
    </w:p>
    <w:p w14:paraId="39A870FE" w14:textId="77777777" w:rsidR="00FC5A0A" w:rsidRPr="00F60620" w:rsidRDefault="00FC5A0A" w:rsidP="00F60620">
      <w:pPr>
        <w:rPr>
          <w:b/>
          <w:color w:val="000000"/>
        </w:rPr>
      </w:pPr>
    </w:p>
    <w:p w14:paraId="0E038A9B"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Anzeichen und Symptome einer Infektion wie Fieber, Krankheitsgefühl, Wunden, Zahnprobleme, Brennen beim Wasserlassen, Gefühl der Schwäche oder Müdigkeit oder Husten</w:t>
      </w:r>
      <w:r w:rsidR="00DA7A5D" w:rsidRPr="004F5FB4">
        <w:rPr>
          <w:color w:val="000000"/>
        </w:rPr>
        <w:t>,</w:t>
      </w:r>
    </w:p>
    <w:p w14:paraId="38E916FA" w14:textId="77777777" w:rsidR="00FC5A0A" w:rsidRPr="004F5FB4" w:rsidRDefault="00BF7E23"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Symptome von Nervenproblemen wie Kribbeln, Taubheit, Doppeltsehen oder Schwäche in Armen oder Beinen</w:t>
      </w:r>
      <w:r w:rsidR="00DA7A5D" w:rsidRPr="004F5FB4">
        <w:rPr>
          <w:color w:val="000000"/>
        </w:rPr>
        <w:t>,</w:t>
      </w:r>
    </w:p>
    <w:p w14:paraId="61235746" w14:textId="77777777" w:rsidR="00FC5A0A" w:rsidRPr="004F5FB4" w:rsidRDefault="00BF7E23"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Zeichen von Hautkrebs wie eine Beule oder offene Wunden, die nicht abheilen</w:t>
      </w:r>
      <w:r w:rsidR="00DA7A5D" w:rsidRPr="004F5FB4">
        <w:rPr>
          <w:color w:val="000000"/>
        </w:rPr>
        <w:t>,</w:t>
      </w:r>
    </w:p>
    <w:p w14:paraId="23D80C32"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Anzeichen und Krankheitserscheinungen, die auf eine mögliche Erkrankung des blutbildenden Systems hinweisen, wie anhaltendes Fieber, Blutergüsse, Blutungen, Blässe.</w:t>
      </w:r>
    </w:p>
    <w:p w14:paraId="3258A5FE" w14:textId="77777777" w:rsidR="00FC5A0A" w:rsidRPr="004F5FB4" w:rsidRDefault="00FC5A0A" w:rsidP="002B2067">
      <w:pPr>
        <w:pStyle w:val="BodyText"/>
        <w:widowControl/>
        <w:kinsoku w:val="0"/>
        <w:overflowPunct w:val="0"/>
        <w:ind w:left="0"/>
        <w:rPr>
          <w:color w:val="000000"/>
        </w:rPr>
      </w:pPr>
    </w:p>
    <w:p w14:paraId="0DE4D439" w14:textId="77777777" w:rsidR="00FC5A0A" w:rsidRPr="004F5FB4" w:rsidRDefault="00A03AFD" w:rsidP="002B2067">
      <w:pPr>
        <w:pStyle w:val="BodyText"/>
        <w:widowControl/>
        <w:kinsoku w:val="0"/>
        <w:overflowPunct w:val="0"/>
        <w:ind w:left="0"/>
        <w:rPr>
          <w:color w:val="000000"/>
        </w:rPr>
      </w:pPr>
      <w:r w:rsidRPr="004F5FB4">
        <w:rPr>
          <w:color w:val="000000"/>
        </w:rPr>
        <w:t xml:space="preserve">Die oben beschriebenen Anzeichen </w:t>
      </w:r>
      <w:r w:rsidR="008D5B23" w:rsidRPr="004F5FB4">
        <w:rPr>
          <w:color w:val="000000"/>
        </w:rPr>
        <w:t xml:space="preserve">und Symptome </w:t>
      </w:r>
      <w:r w:rsidRPr="004F5FB4">
        <w:rPr>
          <w:color w:val="000000"/>
        </w:rPr>
        <w:t>können ein Hinweis sein auf die nachfolgend aufgelisteten Nebenwirkungen, die mit Adalimumab beobachtet wurden.</w:t>
      </w:r>
    </w:p>
    <w:p w14:paraId="1EAE451B" w14:textId="77777777" w:rsidR="00F407E6" w:rsidRPr="004F5FB4" w:rsidRDefault="00F407E6" w:rsidP="002B2067">
      <w:pPr>
        <w:pStyle w:val="BodyText"/>
        <w:widowControl/>
        <w:kinsoku w:val="0"/>
        <w:overflowPunct w:val="0"/>
        <w:ind w:left="0"/>
        <w:rPr>
          <w:color w:val="000000"/>
        </w:rPr>
      </w:pPr>
    </w:p>
    <w:p w14:paraId="1E9DF1B4" w14:textId="77777777" w:rsidR="00FC5A0A" w:rsidRPr="004F5FB4" w:rsidRDefault="00FC5A0A" w:rsidP="002B2067">
      <w:pPr>
        <w:pStyle w:val="BodyText"/>
        <w:widowControl/>
        <w:kinsoku w:val="0"/>
        <w:overflowPunct w:val="0"/>
        <w:ind w:left="0"/>
        <w:rPr>
          <w:color w:val="000000"/>
        </w:rPr>
      </w:pPr>
      <w:r w:rsidRPr="004F5FB4">
        <w:rPr>
          <w:b/>
          <w:bCs/>
          <w:color w:val="000000"/>
        </w:rPr>
        <w:t>Sehr häufig</w:t>
      </w:r>
      <w:r w:rsidRPr="004F5FB4">
        <w:rPr>
          <w:color w:val="000000"/>
        </w:rPr>
        <w:t xml:space="preserve"> (kann mehr als 1</w:t>
      </w:r>
      <w:r w:rsidR="004A0163" w:rsidRPr="004F5FB4">
        <w:rPr>
          <w:color w:val="000000"/>
        </w:rPr>
        <w:t xml:space="preserve"> </w:t>
      </w:r>
      <w:r w:rsidRPr="004F5FB4">
        <w:rPr>
          <w:color w:val="000000"/>
        </w:rPr>
        <w:t>von 10</w:t>
      </w:r>
      <w:r w:rsidR="00C10292" w:rsidRPr="004F5FB4">
        <w:rPr>
          <w:color w:val="000000"/>
        </w:rPr>
        <w:t> </w:t>
      </w:r>
      <w:r w:rsidR="009078A9" w:rsidRPr="004F5FB4">
        <w:rPr>
          <w:color w:val="000000"/>
        </w:rPr>
        <w:t>Behandelten</w:t>
      </w:r>
      <w:r w:rsidRPr="004F5FB4">
        <w:rPr>
          <w:color w:val="000000"/>
        </w:rPr>
        <w:t xml:space="preserve"> betreffen)</w:t>
      </w:r>
    </w:p>
    <w:p w14:paraId="2C4E5883" w14:textId="77777777" w:rsidR="00FC5A0A" w:rsidRPr="004F5FB4" w:rsidRDefault="00FC5A0A" w:rsidP="002B2067">
      <w:pPr>
        <w:pStyle w:val="BodyText"/>
        <w:widowControl/>
        <w:kinsoku w:val="0"/>
        <w:overflowPunct w:val="0"/>
        <w:ind w:left="0"/>
        <w:rPr>
          <w:color w:val="000000"/>
        </w:rPr>
      </w:pPr>
    </w:p>
    <w:p w14:paraId="54A6766D"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Reaktionen an der Injektionsstelle (einschließlich Schmerz, Schwellung, Rötung oder Juckreiz)</w:t>
      </w:r>
      <w:r w:rsidR="00DA7A5D" w:rsidRPr="004F5FB4">
        <w:rPr>
          <w:color w:val="000000"/>
        </w:rPr>
        <w:t>,</w:t>
      </w:r>
    </w:p>
    <w:p w14:paraId="111A0F77"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Infektionen der Atemwege (einschließlich Erkältung, Fließschnupfen, Infektion der Nasennebenhöhlen, Lungenentzündung)</w:t>
      </w:r>
      <w:r w:rsidR="00DA7A5D" w:rsidRPr="004F5FB4">
        <w:rPr>
          <w:color w:val="000000"/>
        </w:rPr>
        <w:t>,</w:t>
      </w:r>
    </w:p>
    <w:p w14:paraId="2FCFEFDE"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Kopfschmerzen</w:t>
      </w:r>
      <w:r w:rsidR="00DA7A5D" w:rsidRPr="004F5FB4">
        <w:rPr>
          <w:color w:val="000000"/>
        </w:rPr>
        <w:t>,</w:t>
      </w:r>
    </w:p>
    <w:p w14:paraId="5731F4DC"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Bauchschmerzen</w:t>
      </w:r>
      <w:r w:rsidR="00DA7A5D" w:rsidRPr="004F5FB4">
        <w:rPr>
          <w:color w:val="000000"/>
        </w:rPr>
        <w:t>,</w:t>
      </w:r>
    </w:p>
    <w:p w14:paraId="328B7443"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Übelkeit und Erbrechen</w:t>
      </w:r>
      <w:r w:rsidR="00DA7A5D" w:rsidRPr="004F5FB4">
        <w:rPr>
          <w:color w:val="000000"/>
        </w:rPr>
        <w:t>,</w:t>
      </w:r>
    </w:p>
    <w:p w14:paraId="2AF80E1A"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Hautausschlag</w:t>
      </w:r>
      <w:r w:rsidR="00DA7A5D" w:rsidRPr="004F5FB4">
        <w:rPr>
          <w:color w:val="000000"/>
        </w:rPr>
        <w:t>,</w:t>
      </w:r>
    </w:p>
    <w:p w14:paraId="0941B42B"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Schmerzen in Muskeln und Knochen</w:t>
      </w:r>
      <w:r w:rsidR="00B00A90" w:rsidRPr="004F5FB4">
        <w:rPr>
          <w:color w:val="000000"/>
        </w:rPr>
        <w:t>.</w:t>
      </w:r>
    </w:p>
    <w:p w14:paraId="38A99C5B" w14:textId="77777777" w:rsidR="00FC5A0A" w:rsidRPr="004F5FB4" w:rsidRDefault="00FC5A0A" w:rsidP="002B2067">
      <w:pPr>
        <w:pStyle w:val="BodyText"/>
        <w:widowControl/>
        <w:kinsoku w:val="0"/>
        <w:overflowPunct w:val="0"/>
        <w:ind w:left="0"/>
        <w:rPr>
          <w:color w:val="000000"/>
        </w:rPr>
      </w:pPr>
    </w:p>
    <w:p w14:paraId="5DE01484" w14:textId="77777777" w:rsidR="00FC5A0A" w:rsidRPr="004F5FB4" w:rsidRDefault="00FC5A0A" w:rsidP="00194625">
      <w:pPr>
        <w:pStyle w:val="BodyText"/>
        <w:keepNext/>
        <w:widowControl/>
        <w:kinsoku w:val="0"/>
        <w:overflowPunct w:val="0"/>
        <w:ind w:left="0"/>
        <w:rPr>
          <w:color w:val="000000"/>
        </w:rPr>
      </w:pPr>
      <w:r w:rsidRPr="004F5FB4">
        <w:rPr>
          <w:b/>
          <w:bCs/>
          <w:color w:val="000000"/>
        </w:rPr>
        <w:t>Häufig</w:t>
      </w:r>
      <w:r w:rsidRPr="004F5FB4">
        <w:rPr>
          <w:color w:val="000000"/>
        </w:rPr>
        <w:t xml:space="preserve"> (kann bis zu 1</w:t>
      </w:r>
      <w:r w:rsidR="004A0163" w:rsidRPr="004F5FB4">
        <w:rPr>
          <w:color w:val="000000"/>
        </w:rPr>
        <w:t xml:space="preserve"> </w:t>
      </w:r>
      <w:r w:rsidRPr="004F5FB4">
        <w:rPr>
          <w:color w:val="000000"/>
        </w:rPr>
        <w:t>von 10</w:t>
      </w:r>
      <w:r w:rsidR="00C10292" w:rsidRPr="004F5FB4">
        <w:rPr>
          <w:color w:val="000000"/>
        </w:rPr>
        <w:t> </w:t>
      </w:r>
      <w:r w:rsidR="009078A9" w:rsidRPr="004F5FB4">
        <w:rPr>
          <w:color w:val="000000"/>
        </w:rPr>
        <w:t xml:space="preserve">Behandelten </w:t>
      </w:r>
      <w:r w:rsidRPr="004F5FB4">
        <w:rPr>
          <w:color w:val="000000"/>
        </w:rPr>
        <w:t>betreffen)</w:t>
      </w:r>
    </w:p>
    <w:p w14:paraId="787FF466" w14:textId="77777777" w:rsidR="00FC5A0A" w:rsidRPr="004F5FB4" w:rsidRDefault="00FC5A0A" w:rsidP="00194625">
      <w:pPr>
        <w:pStyle w:val="BodyText"/>
        <w:keepNext/>
        <w:widowControl/>
        <w:kinsoku w:val="0"/>
        <w:overflowPunct w:val="0"/>
        <w:ind w:left="0"/>
        <w:rPr>
          <w:color w:val="000000"/>
        </w:rPr>
      </w:pPr>
    </w:p>
    <w:p w14:paraId="5FCFF533" w14:textId="77777777" w:rsidR="00FC5A0A" w:rsidRPr="004F5FB4" w:rsidRDefault="00151469"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w:t>
      </w:r>
      <w:r w:rsidR="008428F0" w:rsidRPr="004F5FB4">
        <w:rPr>
          <w:color w:val="000000"/>
        </w:rPr>
        <w:t>chwere Infektionen (einschließlich Blutvergiftung und Virusgrippe)</w:t>
      </w:r>
      <w:r w:rsidR="00DA7A5D" w:rsidRPr="004F5FB4">
        <w:rPr>
          <w:color w:val="000000"/>
        </w:rPr>
        <w:t>,</w:t>
      </w:r>
    </w:p>
    <w:p w14:paraId="47FE8104"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Darminfektionen (einschließlich Magen-Darm-Grippe)</w:t>
      </w:r>
      <w:r w:rsidR="00DA7A5D" w:rsidRPr="004F5FB4">
        <w:rPr>
          <w:color w:val="000000"/>
        </w:rPr>
        <w:t>,</w:t>
      </w:r>
    </w:p>
    <w:p w14:paraId="09A847FB"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Infektionen der Haut (einschließlich Entzündung des Unterhautzellgewebes und Gürtelrose)</w:t>
      </w:r>
      <w:r w:rsidR="00DA7A5D" w:rsidRPr="004F5FB4">
        <w:rPr>
          <w:color w:val="000000"/>
        </w:rPr>
        <w:t>,</w:t>
      </w:r>
    </w:p>
    <w:p w14:paraId="17DE0D47"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Infektionen des Ohres</w:t>
      </w:r>
      <w:r w:rsidR="00151469" w:rsidRPr="004F5FB4">
        <w:rPr>
          <w:color w:val="000000"/>
        </w:rPr>
        <w:t>,</w:t>
      </w:r>
    </w:p>
    <w:p w14:paraId="3CB00CE6" w14:textId="77777777" w:rsidR="00FC5A0A" w:rsidRPr="004F5FB4" w:rsidRDefault="003F0571"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Infektionen des Mundes (einschließlich Zahninfektionen und Fieberbläschen)</w:t>
      </w:r>
      <w:r w:rsidR="00DA7A5D" w:rsidRPr="004F5FB4">
        <w:rPr>
          <w:color w:val="000000"/>
        </w:rPr>
        <w:t>,</w:t>
      </w:r>
    </w:p>
    <w:p w14:paraId="48EB9E8F"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Infektionen der Fortpflanzungsorgane</w:t>
      </w:r>
      <w:r w:rsidR="00DA7A5D" w:rsidRPr="004F5FB4">
        <w:rPr>
          <w:color w:val="000000"/>
        </w:rPr>
        <w:t>,</w:t>
      </w:r>
    </w:p>
    <w:p w14:paraId="122EA6F9"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Harnwegsinfektion</w:t>
      </w:r>
      <w:r w:rsidR="00DA7A5D" w:rsidRPr="004F5FB4">
        <w:rPr>
          <w:color w:val="000000"/>
        </w:rPr>
        <w:t>,</w:t>
      </w:r>
    </w:p>
    <w:p w14:paraId="22C85BD3"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Pilzinfektionen</w:t>
      </w:r>
      <w:r w:rsidR="00DA7A5D" w:rsidRPr="004F5FB4">
        <w:rPr>
          <w:color w:val="000000"/>
        </w:rPr>
        <w:t>,</w:t>
      </w:r>
    </w:p>
    <w:p w14:paraId="7B777E6C"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Gelenkinfektionen</w:t>
      </w:r>
      <w:r w:rsidR="00DA7A5D" w:rsidRPr="004F5FB4">
        <w:rPr>
          <w:color w:val="000000"/>
        </w:rPr>
        <w:t>,</w:t>
      </w:r>
    </w:p>
    <w:p w14:paraId="3239EE18" w14:textId="77777777" w:rsidR="00FC5A0A" w:rsidRPr="004F5FB4" w:rsidRDefault="00DA7A5D"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g</w:t>
      </w:r>
      <w:r w:rsidR="00FC5A0A" w:rsidRPr="004F5FB4">
        <w:rPr>
          <w:color w:val="000000"/>
        </w:rPr>
        <w:t>utartige Tumoren</w:t>
      </w:r>
      <w:r w:rsidRPr="004F5FB4">
        <w:rPr>
          <w:color w:val="000000"/>
        </w:rPr>
        <w:t>,</w:t>
      </w:r>
    </w:p>
    <w:p w14:paraId="736FE81B"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Hautkrebs</w:t>
      </w:r>
      <w:r w:rsidR="00DA7A5D" w:rsidRPr="004F5FB4">
        <w:rPr>
          <w:color w:val="000000"/>
        </w:rPr>
        <w:t>,</w:t>
      </w:r>
    </w:p>
    <w:p w14:paraId="27284866" w14:textId="77777777" w:rsidR="00FC5A0A" w:rsidRPr="004F5FB4" w:rsidRDefault="00DA7A5D"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a</w:t>
      </w:r>
      <w:r w:rsidR="00FC5A0A" w:rsidRPr="004F5FB4">
        <w:rPr>
          <w:color w:val="000000"/>
        </w:rPr>
        <w:t>llergische Reaktionen (einschließlich durch Jahreszeiten bedingte Allergie)</w:t>
      </w:r>
      <w:r w:rsidRPr="004F5FB4">
        <w:rPr>
          <w:color w:val="000000"/>
        </w:rPr>
        <w:t>,</w:t>
      </w:r>
    </w:p>
    <w:p w14:paraId="4F6E3CCE"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 xml:space="preserve">Flüssigkeitsverlust </w:t>
      </w:r>
      <w:r w:rsidRPr="004F5FB4">
        <w:rPr>
          <w:i/>
          <w:color w:val="000000"/>
        </w:rPr>
        <w:t>(Dehydratation)</w:t>
      </w:r>
      <w:r w:rsidR="00DA7A5D" w:rsidRPr="004F5FB4">
        <w:rPr>
          <w:color w:val="000000"/>
        </w:rPr>
        <w:t>,</w:t>
      </w:r>
    </w:p>
    <w:p w14:paraId="531F9D2D"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lastRenderedPageBreak/>
        <w:t>Stimmungsschwankungen (einschließlich Depression)</w:t>
      </w:r>
      <w:r w:rsidR="00DA7A5D" w:rsidRPr="004F5FB4">
        <w:rPr>
          <w:color w:val="000000"/>
        </w:rPr>
        <w:t>,</w:t>
      </w:r>
    </w:p>
    <w:p w14:paraId="7EDDA83A"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Angstgefühl</w:t>
      </w:r>
      <w:r w:rsidR="00DA7A5D" w:rsidRPr="004F5FB4">
        <w:rPr>
          <w:color w:val="000000"/>
        </w:rPr>
        <w:t>,</w:t>
      </w:r>
    </w:p>
    <w:p w14:paraId="188BB3F5"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Schlafstörungen</w:t>
      </w:r>
      <w:r w:rsidR="00DA7A5D" w:rsidRPr="004F5FB4">
        <w:rPr>
          <w:color w:val="000000"/>
        </w:rPr>
        <w:t>,</w:t>
      </w:r>
    </w:p>
    <w:p w14:paraId="42836D49"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Empfindungsstörungen (einschließlich Kribbeln, Prickeln oder Taubheitsgefühl)</w:t>
      </w:r>
      <w:r w:rsidR="00DA7A5D" w:rsidRPr="004F5FB4">
        <w:rPr>
          <w:color w:val="000000"/>
        </w:rPr>
        <w:t>,</w:t>
      </w:r>
    </w:p>
    <w:p w14:paraId="47045499"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Migräne</w:t>
      </w:r>
      <w:r w:rsidR="00DA7A5D" w:rsidRPr="004F5FB4">
        <w:rPr>
          <w:color w:val="000000"/>
        </w:rPr>
        <w:t>,</w:t>
      </w:r>
    </w:p>
    <w:p w14:paraId="0C2E4B93" w14:textId="77777777" w:rsidR="00FC5A0A" w:rsidRPr="004F5FB4" w:rsidRDefault="003F0571"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Symptome einer Nervenwurzelkompression (Hexenschuss, einschließlich Rückenschmerzen und Beinschmerzen)</w:t>
      </w:r>
      <w:r w:rsidR="00DA7A5D" w:rsidRPr="004F5FB4">
        <w:rPr>
          <w:color w:val="000000"/>
        </w:rPr>
        <w:t>,</w:t>
      </w:r>
    </w:p>
    <w:p w14:paraId="6715FFA5"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Sehstörungen</w:t>
      </w:r>
      <w:r w:rsidR="00DA7A5D" w:rsidRPr="004F5FB4">
        <w:rPr>
          <w:color w:val="000000"/>
        </w:rPr>
        <w:t>,</w:t>
      </w:r>
    </w:p>
    <w:p w14:paraId="51FD5474"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Augenentzündung</w:t>
      </w:r>
      <w:r w:rsidR="00DA7A5D" w:rsidRPr="004F5FB4">
        <w:rPr>
          <w:color w:val="000000"/>
        </w:rPr>
        <w:t>,</w:t>
      </w:r>
    </w:p>
    <w:p w14:paraId="7E9DB51D"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Entzündung des Augenlides und Anschwellen des Auges</w:t>
      </w:r>
      <w:r w:rsidR="00DA7A5D" w:rsidRPr="004F5FB4">
        <w:rPr>
          <w:color w:val="000000"/>
        </w:rPr>
        <w:t>,</w:t>
      </w:r>
    </w:p>
    <w:p w14:paraId="033A049D" w14:textId="77777777" w:rsidR="00FC5A0A" w:rsidRPr="004F5FB4" w:rsidRDefault="00FC5A0A" w:rsidP="003533D2">
      <w:pPr>
        <w:pStyle w:val="BodyText"/>
        <w:widowControl/>
        <w:numPr>
          <w:ilvl w:val="0"/>
          <w:numId w:val="27"/>
        </w:numPr>
        <w:kinsoku w:val="0"/>
        <w:overflowPunct w:val="0"/>
        <w:autoSpaceDE w:val="0"/>
        <w:autoSpaceDN w:val="0"/>
        <w:adjustRightInd w:val="0"/>
        <w:ind w:left="567" w:hanging="567"/>
        <w:rPr>
          <w:color w:val="000000"/>
        </w:rPr>
      </w:pPr>
      <w:r w:rsidRPr="004F5FB4">
        <w:rPr>
          <w:color w:val="000000"/>
        </w:rPr>
        <w:t>Schwindel (Gefühl, dass sich der Raum dreht)</w:t>
      </w:r>
      <w:r w:rsidR="00DA7A5D" w:rsidRPr="004F5FB4">
        <w:rPr>
          <w:color w:val="000000"/>
        </w:rPr>
        <w:t>,</w:t>
      </w:r>
    </w:p>
    <w:p w14:paraId="63CF9DE0"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Herzrasen</w:t>
      </w:r>
      <w:r w:rsidR="00DA7A5D" w:rsidRPr="004F5FB4">
        <w:rPr>
          <w:color w:val="000000"/>
        </w:rPr>
        <w:t>,</w:t>
      </w:r>
    </w:p>
    <w:p w14:paraId="2EE885FA" w14:textId="77777777" w:rsidR="00FC5A0A" w:rsidRPr="004F5FB4" w:rsidRDefault="00DA7A5D"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h</w:t>
      </w:r>
      <w:r w:rsidR="00FC5A0A" w:rsidRPr="004F5FB4">
        <w:rPr>
          <w:color w:val="000000"/>
        </w:rPr>
        <w:t>oher Blutdruck</w:t>
      </w:r>
      <w:r w:rsidRPr="004F5FB4">
        <w:rPr>
          <w:color w:val="000000"/>
        </w:rPr>
        <w:t>,</w:t>
      </w:r>
    </w:p>
    <w:p w14:paraId="29688C02"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Hitzegefühl</w:t>
      </w:r>
      <w:r w:rsidR="00DA7A5D" w:rsidRPr="004F5FB4">
        <w:rPr>
          <w:color w:val="000000"/>
        </w:rPr>
        <w:t>,</w:t>
      </w:r>
    </w:p>
    <w:p w14:paraId="2ACFE771"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Bluterguss (feste Schwellung mit Blutgerinnsel)</w:t>
      </w:r>
      <w:r w:rsidR="00DA7A5D" w:rsidRPr="004F5FB4">
        <w:rPr>
          <w:color w:val="000000"/>
        </w:rPr>
        <w:t>,</w:t>
      </w:r>
    </w:p>
    <w:p w14:paraId="04EEB52B"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Husten</w:t>
      </w:r>
      <w:r w:rsidR="00DA7A5D" w:rsidRPr="004F5FB4">
        <w:rPr>
          <w:color w:val="000000"/>
        </w:rPr>
        <w:t>,</w:t>
      </w:r>
    </w:p>
    <w:p w14:paraId="54A8E14D"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Asthma</w:t>
      </w:r>
      <w:r w:rsidR="00DA7A5D" w:rsidRPr="004F5FB4">
        <w:rPr>
          <w:color w:val="000000"/>
        </w:rPr>
        <w:t>,</w:t>
      </w:r>
    </w:p>
    <w:p w14:paraId="6DD82707"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Kurzatmigkeit</w:t>
      </w:r>
      <w:r w:rsidR="00DA7A5D" w:rsidRPr="004F5FB4">
        <w:rPr>
          <w:color w:val="000000"/>
        </w:rPr>
        <w:t>,</w:t>
      </w:r>
    </w:p>
    <w:p w14:paraId="185E3281"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Magen-Darm-Blutungen</w:t>
      </w:r>
      <w:r w:rsidR="00DA7A5D" w:rsidRPr="004F5FB4">
        <w:rPr>
          <w:color w:val="000000"/>
        </w:rPr>
        <w:t>,</w:t>
      </w:r>
    </w:p>
    <w:p w14:paraId="70C4352F"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Verdauungsstörung (Magenverstimmung, Blähungen, Sodbrennen)</w:t>
      </w:r>
      <w:r w:rsidR="00DA7A5D" w:rsidRPr="004F5FB4">
        <w:rPr>
          <w:color w:val="000000"/>
        </w:rPr>
        <w:t>,</w:t>
      </w:r>
    </w:p>
    <w:p w14:paraId="3239405D" w14:textId="77777777" w:rsidR="00FC5A0A" w:rsidRPr="004F5FB4" w:rsidRDefault="00DA7A5D"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s</w:t>
      </w:r>
      <w:r w:rsidR="00FC5A0A" w:rsidRPr="004F5FB4">
        <w:rPr>
          <w:color w:val="000000"/>
        </w:rPr>
        <w:t>aures Aufstoßen</w:t>
      </w:r>
      <w:r w:rsidRPr="004F5FB4">
        <w:rPr>
          <w:color w:val="000000"/>
        </w:rPr>
        <w:t>,</w:t>
      </w:r>
    </w:p>
    <w:p w14:paraId="59670607"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Sicca-Syndrom (einschließlich trockener Augen und trockenem Mund)</w:t>
      </w:r>
      <w:r w:rsidR="00DA7A5D" w:rsidRPr="004F5FB4">
        <w:rPr>
          <w:color w:val="000000"/>
        </w:rPr>
        <w:t>,</w:t>
      </w:r>
    </w:p>
    <w:p w14:paraId="605F1701"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Juckreiz</w:t>
      </w:r>
      <w:r w:rsidR="00DA7A5D" w:rsidRPr="004F5FB4">
        <w:rPr>
          <w:color w:val="000000"/>
        </w:rPr>
        <w:t>,</w:t>
      </w:r>
    </w:p>
    <w:p w14:paraId="3B0260BF" w14:textId="77777777" w:rsidR="00FC5A0A" w:rsidRPr="004F5FB4" w:rsidRDefault="00151469"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j</w:t>
      </w:r>
      <w:r w:rsidR="00FC5A0A" w:rsidRPr="004F5FB4">
        <w:rPr>
          <w:color w:val="000000"/>
        </w:rPr>
        <w:t>uckender Hautausschlag</w:t>
      </w:r>
      <w:r w:rsidR="00DA7A5D" w:rsidRPr="004F5FB4">
        <w:rPr>
          <w:color w:val="000000"/>
        </w:rPr>
        <w:t>,</w:t>
      </w:r>
    </w:p>
    <w:p w14:paraId="654661FE" w14:textId="77777777" w:rsidR="00FC5A0A" w:rsidRPr="004F5FB4" w:rsidRDefault="00DA7A5D"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b</w:t>
      </w:r>
      <w:r w:rsidR="00FC5A0A" w:rsidRPr="004F5FB4">
        <w:rPr>
          <w:color w:val="000000"/>
        </w:rPr>
        <w:t>laue Flecken</w:t>
      </w:r>
      <w:r w:rsidRPr="004F5FB4">
        <w:rPr>
          <w:color w:val="000000"/>
        </w:rPr>
        <w:t>,</w:t>
      </w:r>
    </w:p>
    <w:p w14:paraId="582A289C"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Entzündung der Haut (wie z.</w:t>
      </w:r>
      <w:r w:rsidR="00C10292" w:rsidRPr="004F5FB4">
        <w:rPr>
          <w:color w:val="000000"/>
        </w:rPr>
        <w:t> </w:t>
      </w:r>
      <w:r w:rsidRPr="004F5FB4">
        <w:rPr>
          <w:color w:val="000000"/>
        </w:rPr>
        <w:t>B. Ekzeme)</w:t>
      </w:r>
      <w:r w:rsidR="00DA7A5D" w:rsidRPr="004F5FB4">
        <w:rPr>
          <w:color w:val="000000"/>
        </w:rPr>
        <w:t>,</w:t>
      </w:r>
    </w:p>
    <w:p w14:paraId="6464D29E" w14:textId="77777777" w:rsidR="00FC5A0A" w:rsidRPr="004F5FB4" w:rsidRDefault="00DA7A5D"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b</w:t>
      </w:r>
      <w:r w:rsidR="00FC5A0A" w:rsidRPr="004F5FB4">
        <w:rPr>
          <w:color w:val="000000"/>
        </w:rPr>
        <w:t>rüchige Finger- und Fußnägel</w:t>
      </w:r>
      <w:r w:rsidRPr="004F5FB4">
        <w:rPr>
          <w:color w:val="000000"/>
        </w:rPr>
        <w:t>,</w:t>
      </w:r>
    </w:p>
    <w:p w14:paraId="0AF0F176" w14:textId="77777777" w:rsidR="00FC5A0A" w:rsidRPr="004F5FB4" w:rsidRDefault="00DA7A5D"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v</w:t>
      </w:r>
      <w:r w:rsidR="00FC5A0A" w:rsidRPr="004F5FB4">
        <w:rPr>
          <w:color w:val="000000"/>
        </w:rPr>
        <w:t>ermehrtes Schwitzen</w:t>
      </w:r>
      <w:r w:rsidRPr="004F5FB4">
        <w:rPr>
          <w:color w:val="000000"/>
        </w:rPr>
        <w:t>,</w:t>
      </w:r>
    </w:p>
    <w:p w14:paraId="586BEB39"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Haarausfall</w:t>
      </w:r>
      <w:r w:rsidR="00DA7A5D" w:rsidRPr="004F5FB4">
        <w:rPr>
          <w:color w:val="000000"/>
        </w:rPr>
        <w:t>,</w:t>
      </w:r>
    </w:p>
    <w:p w14:paraId="3F2BBBC1" w14:textId="77777777" w:rsidR="00FC5A0A" w:rsidRPr="004F5FB4" w:rsidRDefault="00DA7A5D"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n</w:t>
      </w:r>
      <w:r w:rsidR="00FC5A0A" w:rsidRPr="004F5FB4">
        <w:rPr>
          <w:color w:val="000000"/>
        </w:rPr>
        <w:t xml:space="preserve">euer Ausbruch oder Verschlechterung von Schuppenflechte </w:t>
      </w:r>
      <w:r w:rsidR="00FC5A0A" w:rsidRPr="004F5FB4">
        <w:rPr>
          <w:i/>
          <w:color w:val="000000"/>
        </w:rPr>
        <w:t>(Psoriasis)</w:t>
      </w:r>
      <w:r w:rsidRPr="004F5FB4">
        <w:rPr>
          <w:color w:val="000000"/>
        </w:rPr>
        <w:t>,</w:t>
      </w:r>
    </w:p>
    <w:p w14:paraId="0BCEB0FC"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Muskelkrämpfe</w:t>
      </w:r>
      <w:r w:rsidR="00DA7A5D" w:rsidRPr="004F5FB4">
        <w:rPr>
          <w:color w:val="000000"/>
        </w:rPr>
        <w:t>,</w:t>
      </w:r>
    </w:p>
    <w:p w14:paraId="13686D2B"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Blut im Urin</w:t>
      </w:r>
      <w:r w:rsidR="00DA7A5D" w:rsidRPr="004F5FB4">
        <w:rPr>
          <w:color w:val="000000"/>
        </w:rPr>
        <w:t>,</w:t>
      </w:r>
    </w:p>
    <w:p w14:paraId="2830D840"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Nierenprobleme</w:t>
      </w:r>
      <w:r w:rsidR="00DA7A5D" w:rsidRPr="004F5FB4">
        <w:rPr>
          <w:color w:val="000000"/>
        </w:rPr>
        <w:t>,</w:t>
      </w:r>
    </w:p>
    <w:p w14:paraId="74E4C99E"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Schmerzen im Brustraum</w:t>
      </w:r>
      <w:r w:rsidR="00DA7A5D" w:rsidRPr="004F5FB4">
        <w:rPr>
          <w:color w:val="000000"/>
        </w:rPr>
        <w:t>,</w:t>
      </w:r>
    </w:p>
    <w:p w14:paraId="08179F59"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 xml:space="preserve">Wasseransammlung im Körper mit Schwellung des betroffenen Gewebes </w:t>
      </w:r>
      <w:r w:rsidRPr="004F5FB4">
        <w:rPr>
          <w:i/>
          <w:color w:val="000000"/>
        </w:rPr>
        <w:t>(Ödem)</w:t>
      </w:r>
      <w:r w:rsidR="00DA7A5D" w:rsidRPr="004F5FB4">
        <w:rPr>
          <w:color w:val="000000"/>
        </w:rPr>
        <w:t>,</w:t>
      </w:r>
    </w:p>
    <w:p w14:paraId="0D48D102"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Fieber</w:t>
      </w:r>
      <w:r w:rsidR="00DA7A5D" w:rsidRPr="004F5FB4">
        <w:rPr>
          <w:color w:val="000000"/>
        </w:rPr>
        <w:t>,</w:t>
      </w:r>
    </w:p>
    <w:p w14:paraId="3D86EBA1" w14:textId="77777777" w:rsidR="00FC5A0A" w:rsidRPr="004F5FB4" w:rsidRDefault="00FC5A0A"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Verringerung der Blutplättchen, dadurch erhöhtes Risiko für Blutungen oder blaue Flecken</w:t>
      </w:r>
      <w:r w:rsidR="00DA7A5D" w:rsidRPr="004F5FB4">
        <w:rPr>
          <w:color w:val="000000"/>
        </w:rPr>
        <w:t>,</w:t>
      </w:r>
    </w:p>
    <w:p w14:paraId="7C0A5846" w14:textId="77777777" w:rsidR="00FC5A0A" w:rsidRPr="004F5FB4" w:rsidRDefault="00DA7A5D" w:rsidP="002B2067">
      <w:pPr>
        <w:pStyle w:val="BodyText"/>
        <w:widowControl/>
        <w:numPr>
          <w:ilvl w:val="0"/>
          <w:numId w:val="27"/>
        </w:numPr>
        <w:kinsoku w:val="0"/>
        <w:overflowPunct w:val="0"/>
        <w:autoSpaceDE w:val="0"/>
        <w:autoSpaceDN w:val="0"/>
        <w:adjustRightInd w:val="0"/>
        <w:ind w:left="0" w:firstLine="0"/>
        <w:rPr>
          <w:color w:val="000000"/>
        </w:rPr>
      </w:pPr>
      <w:r w:rsidRPr="004F5FB4">
        <w:rPr>
          <w:color w:val="000000"/>
        </w:rPr>
        <w:t>v</w:t>
      </w:r>
      <w:r w:rsidR="00FC5A0A" w:rsidRPr="004F5FB4">
        <w:rPr>
          <w:color w:val="000000"/>
        </w:rPr>
        <w:t>erzögerte Wundheilung.</w:t>
      </w:r>
    </w:p>
    <w:p w14:paraId="33E97F00" w14:textId="77777777" w:rsidR="00FC5A0A" w:rsidRPr="004F5FB4" w:rsidRDefault="00FC5A0A" w:rsidP="002B2067">
      <w:pPr>
        <w:pStyle w:val="BodyText"/>
        <w:widowControl/>
        <w:kinsoku w:val="0"/>
        <w:overflowPunct w:val="0"/>
        <w:ind w:left="0"/>
        <w:rPr>
          <w:color w:val="000000"/>
          <w:lang w:val="en-GB"/>
        </w:rPr>
      </w:pPr>
    </w:p>
    <w:p w14:paraId="1FB9E95C" w14:textId="77777777" w:rsidR="00FC5A0A" w:rsidRPr="004F5FB4" w:rsidRDefault="00FC5A0A" w:rsidP="00B43027">
      <w:pPr>
        <w:pStyle w:val="BodyText"/>
        <w:keepNext/>
        <w:widowControl/>
        <w:kinsoku w:val="0"/>
        <w:overflowPunct w:val="0"/>
        <w:ind w:left="0"/>
        <w:rPr>
          <w:color w:val="000000"/>
        </w:rPr>
      </w:pPr>
      <w:r w:rsidRPr="004F5FB4">
        <w:rPr>
          <w:b/>
          <w:bCs/>
          <w:color w:val="000000"/>
        </w:rPr>
        <w:t>Gelegentlich</w:t>
      </w:r>
      <w:r w:rsidRPr="004F5FB4">
        <w:rPr>
          <w:color w:val="000000"/>
        </w:rPr>
        <w:t xml:space="preserve"> (kann bis zu 1 von 100</w:t>
      </w:r>
      <w:r w:rsidR="00263674" w:rsidRPr="004F5FB4">
        <w:rPr>
          <w:color w:val="000000"/>
        </w:rPr>
        <w:t> </w:t>
      </w:r>
      <w:r w:rsidR="007C3F30" w:rsidRPr="004F5FB4">
        <w:rPr>
          <w:color w:val="000000"/>
        </w:rPr>
        <w:t xml:space="preserve">Behandelten </w:t>
      </w:r>
      <w:r w:rsidRPr="004F5FB4">
        <w:rPr>
          <w:color w:val="000000"/>
        </w:rPr>
        <w:t>betreffen)</w:t>
      </w:r>
    </w:p>
    <w:p w14:paraId="3A3A3767" w14:textId="77777777" w:rsidR="00FC5A0A" w:rsidRPr="004F5FB4" w:rsidRDefault="00FC5A0A" w:rsidP="00B43027">
      <w:pPr>
        <w:pStyle w:val="BodyText"/>
        <w:keepNext/>
        <w:widowControl/>
        <w:kinsoku w:val="0"/>
        <w:overflowPunct w:val="0"/>
        <w:ind w:left="0"/>
        <w:rPr>
          <w:color w:val="000000"/>
        </w:rPr>
      </w:pPr>
    </w:p>
    <w:p w14:paraId="666C411C"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Tuberkulose und andere Infektionen, die auftreten, wenn die Widerstandskraft gegenüber Krankheiten vermindert ist (opportunistische [ungewöhnliche] Infektionen)</w:t>
      </w:r>
      <w:r w:rsidR="007D0F09" w:rsidRPr="004F5FB4">
        <w:rPr>
          <w:color w:val="000000"/>
        </w:rPr>
        <w:t>,</w:t>
      </w:r>
    </w:p>
    <w:p w14:paraId="620AAF14" w14:textId="77777777" w:rsidR="00FC5A0A" w:rsidRPr="004F5FB4" w:rsidRDefault="00151469"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w:t>
      </w:r>
      <w:r w:rsidR="00FC5A0A" w:rsidRPr="004F5FB4">
        <w:rPr>
          <w:color w:val="000000"/>
        </w:rPr>
        <w:t>eurologische Infekte (einschließlich viraler Hirnhautentzündung)</w:t>
      </w:r>
      <w:r w:rsidR="00EC13D2" w:rsidRPr="004F5FB4">
        <w:rPr>
          <w:color w:val="000000"/>
        </w:rPr>
        <w:t>,</w:t>
      </w:r>
    </w:p>
    <w:p w14:paraId="4EEB7F49"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Augeninfektionen</w:t>
      </w:r>
      <w:r w:rsidR="00EC13D2" w:rsidRPr="004F5FB4">
        <w:rPr>
          <w:color w:val="000000"/>
        </w:rPr>
        <w:t>,</w:t>
      </w:r>
    </w:p>
    <w:p w14:paraId="3B7EF860"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b</w:t>
      </w:r>
      <w:r w:rsidR="00FC5A0A" w:rsidRPr="004F5FB4">
        <w:rPr>
          <w:color w:val="000000"/>
        </w:rPr>
        <w:t>akterielle Infektionen</w:t>
      </w:r>
      <w:r w:rsidRPr="004F5FB4">
        <w:rPr>
          <w:color w:val="000000"/>
        </w:rPr>
        <w:t>,</w:t>
      </w:r>
    </w:p>
    <w:p w14:paraId="110B4116"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Entzündung und Infektion des Dickdarms </w:t>
      </w:r>
      <w:r w:rsidRPr="004F5FB4">
        <w:rPr>
          <w:i/>
          <w:color w:val="000000"/>
        </w:rPr>
        <w:t>(Divertikulitis)</w:t>
      </w:r>
      <w:r w:rsidR="00EC13D2" w:rsidRPr="004F5FB4">
        <w:rPr>
          <w:color w:val="000000"/>
        </w:rPr>
        <w:t>,</w:t>
      </w:r>
    </w:p>
    <w:p w14:paraId="77CCA408"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Krebserkrankungen, einschließlich Krebs, der das Lymphsystem betrifft </w:t>
      </w:r>
      <w:r w:rsidRPr="004F5FB4">
        <w:rPr>
          <w:i/>
          <w:color w:val="000000"/>
        </w:rPr>
        <w:t>(Lymphom)</w:t>
      </w:r>
      <w:r w:rsidRPr="004F5FB4">
        <w:rPr>
          <w:color w:val="000000"/>
        </w:rPr>
        <w:t xml:space="preserve">, und Hautkrebs </w:t>
      </w:r>
      <w:r w:rsidRPr="004F5FB4">
        <w:rPr>
          <w:i/>
          <w:color w:val="000000"/>
        </w:rPr>
        <w:t>(Melanom)</w:t>
      </w:r>
      <w:r w:rsidR="00EC13D2" w:rsidRPr="004F5FB4">
        <w:rPr>
          <w:color w:val="000000"/>
        </w:rPr>
        <w:t>,</w:t>
      </w:r>
    </w:p>
    <w:p w14:paraId="00BDCC35"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Immunstörungen, welche die Lunge, Haut und Lymphknoten betreffen können (kommen am häufigsten als eine Krankheit vor, die als Sarkoidose bezeichnet wird)</w:t>
      </w:r>
      <w:r w:rsidR="00EC13D2" w:rsidRPr="004F5FB4">
        <w:rPr>
          <w:color w:val="000000"/>
        </w:rPr>
        <w:t>,</w:t>
      </w:r>
    </w:p>
    <w:p w14:paraId="0C4FC621"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i/>
          <w:color w:val="000000"/>
        </w:rPr>
        <w:t>Vaskulitis</w:t>
      </w:r>
      <w:r w:rsidRPr="004F5FB4">
        <w:rPr>
          <w:color w:val="000000"/>
        </w:rPr>
        <w:t xml:space="preserve"> (Entzündung der Blutgefäße)</w:t>
      </w:r>
      <w:r w:rsidR="00EC13D2" w:rsidRPr="004F5FB4">
        <w:rPr>
          <w:color w:val="000000"/>
        </w:rPr>
        <w:t>,</w:t>
      </w:r>
    </w:p>
    <w:p w14:paraId="6B708E4B"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Zittern </w:t>
      </w:r>
      <w:r w:rsidRPr="004F5FB4">
        <w:rPr>
          <w:i/>
          <w:color w:val="000000"/>
        </w:rPr>
        <w:t>(Tremor)</w:t>
      </w:r>
      <w:r w:rsidR="00EC13D2" w:rsidRPr="004F5FB4">
        <w:rPr>
          <w:color w:val="000000"/>
        </w:rPr>
        <w:t>,</w:t>
      </w:r>
    </w:p>
    <w:p w14:paraId="580FC253"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Nervenschädigung </w:t>
      </w:r>
      <w:r w:rsidRPr="004F5FB4">
        <w:rPr>
          <w:i/>
          <w:color w:val="000000"/>
        </w:rPr>
        <w:t>(Neuropathie)</w:t>
      </w:r>
      <w:r w:rsidR="00EC13D2" w:rsidRPr="004F5FB4">
        <w:rPr>
          <w:color w:val="000000"/>
        </w:rPr>
        <w:t>,</w:t>
      </w:r>
    </w:p>
    <w:p w14:paraId="6F9EE21C"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lastRenderedPageBreak/>
        <w:t>Schlaganfall</w:t>
      </w:r>
      <w:r w:rsidR="00EC13D2" w:rsidRPr="004F5FB4">
        <w:rPr>
          <w:color w:val="000000"/>
        </w:rPr>
        <w:t>,</w:t>
      </w:r>
    </w:p>
    <w:p w14:paraId="3D5544F5" w14:textId="77777777" w:rsidR="000F03F1" w:rsidRPr="004F5FB4" w:rsidRDefault="000F03F1"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Doppeltsehen</w:t>
      </w:r>
      <w:r w:rsidR="00EC13D2" w:rsidRPr="004F5FB4">
        <w:rPr>
          <w:color w:val="000000"/>
        </w:rPr>
        <w:t>,</w:t>
      </w:r>
    </w:p>
    <w:p w14:paraId="0B433D5B"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Hörverlust, Ohrensausen</w:t>
      </w:r>
      <w:r w:rsidR="00EC13D2" w:rsidRPr="004F5FB4">
        <w:rPr>
          <w:color w:val="000000"/>
        </w:rPr>
        <w:t>,</w:t>
      </w:r>
    </w:p>
    <w:p w14:paraId="2D957113"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u</w:t>
      </w:r>
      <w:r w:rsidR="00FC5A0A" w:rsidRPr="004F5FB4">
        <w:rPr>
          <w:color w:val="000000"/>
        </w:rPr>
        <w:t>nregelmäßiger Herzschlag, wie z. B. übersprungene Schläge</w:t>
      </w:r>
      <w:r w:rsidRPr="004F5FB4">
        <w:rPr>
          <w:color w:val="000000"/>
        </w:rPr>
        <w:t>,</w:t>
      </w:r>
    </w:p>
    <w:p w14:paraId="591FB566"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Herzprobleme, die zu Kurzatmigkeit und Anschwellen der Fußknöchel führen können</w:t>
      </w:r>
      <w:r w:rsidR="00EC13D2" w:rsidRPr="004F5FB4">
        <w:rPr>
          <w:color w:val="000000"/>
        </w:rPr>
        <w:t>,</w:t>
      </w:r>
    </w:p>
    <w:p w14:paraId="307EFF8B"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Herzinfarkt</w:t>
      </w:r>
      <w:r w:rsidR="00EC13D2" w:rsidRPr="004F5FB4">
        <w:rPr>
          <w:color w:val="000000"/>
        </w:rPr>
        <w:t>,</w:t>
      </w:r>
    </w:p>
    <w:p w14:paraId="131E4A25"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C5A0A" w:rsidRPr="004F5FB4">
        <w:rPr>
          <w:color w:val="000000"/>
        </w:rPr>
        <w:t>ine Ausbuchtung in der Wand einer Hauptarterie, Entzündung und Blutgerinnsel in einer Vene, Verstopfung eines Blutgefäßes</w:t>
      </w:r>
      <w:r w:rsidRPr="004F5FB4">
        <w:rPr>
          <w:color w:val="000000"/>
        </w:rPr>
        <w:t>,</w:t>
      </w:r>
    </w:p>
    <w:p w14:paraId="0C0F2E55"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Lungenerkrankungen, die sich in Kurzatmigkeit äußern (einschließlich Entzündung)</w:t>
      </w:r>
      <w:r w:rsidR="00EC13D2" w:rsidRPr="004F5FB4">
        <w:rPr>
          <w:color w:val="000000"/>
        </w:rPr>
        <w:t>,</w:t>
      </w:r>
    </w:p>
    <w:p w14:paraId="3D7131E5"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Lungenembolie (Verschluss in einer Lungenarterie)</w:t>
      </w:r>
      <w:r w:rsidR="00EC13D2" w:rsidRPr="004F5FB4">
        <w:rPr>
          <w:color w:val="000000"/>
        </w:rPr>
        <w:t>,</w:t>
      </w:r>
    </w:p>
    <w:p w14:paraId="3A93EED1"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w:t>
      </w:r>
      <w:r w:rsidR="00FC5A0A" w:rsidRPr="004F5FB4">
        <w:rPr>
          <w:color w:val="000000"/>
        </w:rPr>
        <w:t xml:space="preserve">icht normale Ansammlung von Flüssigkeit in der Umgebung der Lunge </w:t>
      </w:r>
      <w:r w:rsidR="00FC5A0A" w:rsidRPr="004F5FB4">
        <w:rPr>
          <w:i/>
          <w:color w:val="000000"/>
        </w:rPr>
        <w:t>(Pleuraerguss)</w:t>
      </w:r>
      <w:r w:rsidRPr="004F5FB4">
        <w:rPr>
          <w:color w:val="000000"/>
        </w:rPr>
        <w:t>,</w:t>
      </w:r>
    </w:p>
    <w:p w14:paraId="583D8C7C"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Entzündung der Bauchspeicheldrüse, die starke Schmerzen im Bauchraum und Rücken verursacht</w:t>
      </w:r>
      <w:r w:rsidR="00EC13D2" w:rsidRPr="004F5FB4">
        <w:rPr>
          <w:color w:val="000000"/>
        </w:rPr>
        <w:t>,</w:t>
      </w:r>
    </w:p>
    <w:p w14:paraId="4C43529A"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Schluckstörungen</w:t>
      </w:r>
      <w:r w:rsidR="00EC13D2" w:rsidRPr="004F5FB4">
        <w:rPr>
          <w:color w:val="000000"/>
        </w:rPr>
        <w:t>,</w:t>
      </w:r>
    </w:p>
    <w:p w14:paraId="4DC4CAD1"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Gesichtsschwellung </w:t>
      </w:r>
      <w:r w:rsidRPr="004F5FB4">
        <w:rPr>
          <w:i/>
          <w:color w:val="000000"/>
        </w:rPr>
        <w:t>(Gesichtsödem)</w:t>
      </w:r>
      <w:r w:rsidR="00EC13D2" w:rsidRPr="004F5FB4">
        <w:rPr>
          <w:color w:val="000000"/>
        </w:rPr>
        <w:t>,</w:t>
      </w:r>
    </w:p>
    <w:p w14:paraId="11A58AD9"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Gallenblasenentzündung, Gallensteine</w:t>
      </w:r>
      <w:r w:rsidR="00EC13D2" w:rsidRPr="004F5FB4">
        <w:rPr>
          <w:color w:val="000000"/>
        </w:rPr>
        <w:t>,</w:t>
      </w:r>
    </w:p>
    <w:p w14:paraId="16CC4EEC"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Fettleber (Einlagerung von Fett in die Leberzellen)</w:t>
      </w:r>
      <w:r w:rsidR="00EC13D2" w:rsidRPr="004F5FB4">
        <w:rPr>
          <w:color w:val="000000"/>
        </w:rPr>
        <w:t>,</w:t>
      </w:r>
    </w:p>
    <w:p w14:paraId="36FC6E08"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w:t>
      </w:r>
      <w:r w:rsidR="00FC5A0A" w:rsidRPr="004F5FB4">
        <w:rPr>
          <w:color w:val="000000"/>
        </w:rPr>
        <w:t>ächtliches Schwitzen</w:t>
      </w:r>
      <w:r w:rsidRPr="004F5FB4">
        <w:rPr>
          <w:color w:val="000000"/>
        </w:rPr>
        <w:t>,</w:t>
      </w:r>
    </w:p>
    <w:p w14:paraId="0D15E886"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Narbenbildung</w:t>
      </w:r>
      <w:r w:rsidR="00EC13D2" w:rsidRPr="004F5FB4">
        <w:rPr>
          <w:color w:val="000000"/>
        </w:rPr>
        <w:t>,</w:t>
      </w:r>
    </w:p>
    <w:p w14:paraId="1C861853"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a</w:t>
      </w:r>
      <w:r w:rsidR="00FC5A0A" w:rsidRPr="004F5FB4">
        <w:rPr>
          <w:color w:val="000000"/>
        </w:rPr>
        <w:t>bnormaler Muskelabbau</w:t>
      </w:r>
      <w:r w:rsidRPr="004F5FB4">
        <w:rPr>
          <w:color w:val="000000"/>
        </w:rPr>
        <w:t>,</w:t>
      </w:r>
    </w:p>
    <w:p w14:paraId="5F5FF21B"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s</w:t>
      </w:r>
      <w:r w:rsidR="00FC5A0A" w:rsidRPr="004F5FB4">
        <w:rPr>
          <w:color w:val="000000"/>
        </w:rPr>
        <w:t xml:space="preserve">ystemischer </w:t>
      </w:r>
      <w:r w:rsidR="00FC5A0A" w:rsidRPr="004F5FB4">
        <w:rPr>
          <w:i/>
          <w:color w:val="000000"/>
        </w:rPr>
        <w:t>Lupus erythematodes</w:t>
      </w:r>
      <w:r w:rsidR="00FC5A0A" w:rsidRPr="004F5FB4">
        <w:rPr>
          <w:color w:val="000000"/>
        </w:rPr>
        <w:t xml:space="preserve"> (eine Immunstörung mit Entzündung von Haut, Herz, Lunge, Gelenken und anderen Organsystemen)</w:t>
      </w:r>
      <w:r w:rsidRPr="004F5FB4">
        <w:rPr>
          <w:color w:val="000000"/>
        </w:rPr>
        <w:t>,</w:t>
      </w:r>
    </w:p>
    <w:p w14:paraId="7ED7DA5C" w14:textId="77777777" w:rsidR="00FC5A0A" w:rsidRPr="004F5FB4" w:rsidRDefault="00FC5A0A" w:rsidP="00A71117">
      <w:pPr>
        <w:pStyle w:val="BodyText"/>
        <w:keepNext/>
        <w:widowControl/>
        <w:numPr>
          <w:ilvl w:val="0"/>
          <w:numId w:val="27"/>
        </w:numPr>
        <w:kinsoku w:val="0"/>
        <w:overflowPunct w:val="0"/>
        <w:autoSpaceDE w:val="0"/>
        <w:autoSpaceDN w:val="0"/>
        <w:adjustRightInd w:val="0"/>
        <w:ind w:left="562" w:hanging="562"/>
        <w:rPr>
          <w:color w:val="000000"/>
        </w:rPr>
      </w:pPr>
      <w:r w:rsidRPr="004F5FB4">
        <w:rPr>
          <w:color w:val="000000"/>
        </w:rPr>
        <w:t>Schlafstörungen</w:t>
      </w:r>
      <w:r w:rsidR="00EC13D2" w:rsidRPr="004F5FB4">
        <w:rPr>
          <w:color w:val="000000"/>
        </w:rPr>
        <w:t>,</w:t>
      </w:r>
    </w:p>
    <w:p w14:paraId="39E0F27C" w14:textId="77777777" w:rsidR="00FC5A0A" w:rsidRPr="004F5FB4" w:rsidRDefault="00FC5A0A" w:rsidP="00A71117">
      <w:pPr>
        <w:pStyle w:val="BodyText"/>
        <w:keepNext/>
        <w:widowControl/>
        <w:numPr>
          <w:ilvl w:val="0"/>
          <w:numId w:val="27"/>
        </w:numPr>
        <w:kinsoku w:val="0"/>
        <w:overflowPunct w:val="0"/>
        <w:autoSpaceDE w:val="0"/>
        <w:autoSpaceDN w:val="0"/>
        <w:adjustRightInd w:val="0"/>
        <w:ind w:left="562" w:hanging="562"/>
        <w:rPr>
          <w:color w:val="000000"/>
        </w:rPr>
      </w:pPr>
      <w:r w:rsidRPr="004F5FB4">
        <w:rPr>
          <w:color w:val="000000"/>
        </w:rPr>
        <w:t>Impotenz</w:t>
      </w:r>
      <w:r w:rsidR="00EC13D2" w:rsidRPr="004F5FB4">
        <w:rPr>
          <w:color w:val="000000"/>
        </w:rPr>
        <w:t>,</w:t>
      </w:r>
    </w:p>
    <w:p w14:paraId="05C34AA7" w14:textId="77777777" w:rsidR="00FC5A0A" w:rsidRPr="004F5FB4" w:rsidRDefault="00FC5A0A" w:rsidP="00A71117">
      <w:pPr>
        <w:pStyle w:val="BodyText"/>
        <w:keepNext/>
        <w:widowControl/>
        <w:numPr>
          <w:ilvl w:val="0"/>
          <w:numId w:val="27"/>
        </w:numPr>
        <w:kinsoku w:val="0"/>
        <w:overflowPunct w:val="0"/>
        <w:autoSpaceDE w:val="0"/>
        <w:autoSpaceDN w:val="0"/>
        <w:adjustRightInd w:val="0"/>
        <w:ind w:left="562" w:hanging="562"/>
        <w:rPr>
          <w:color w:val="000000"/>
        </w:rPr>
      </w:pPr>
      <w:r w:rsidRPr="004F5FB4">
        <w:rPr>
          <w:color w:val="000000"/>
        </w:rPr>
        <w:t>Entzündungen.</w:t>
      </w:r>
    </w:p>
    <w:p w14:paraId="3013A6B6" w14:textId="77777777" w:rsidR="00FC5A0A" w:rsidRPr="004F5FB4" w:rsidRDefault="00FC5A0A" w:rsidP="00A71117">
      <w:pPr>
        <w:pStyle w:val="BodyText"/>
        <w:keepNext/>
        <w:widowControl/>
        <w:kinsoku w:val="0"/>
        <w:overflowPunct w:val="0"/>
        <w:ind w:left="0"/>
        <w:rPr>
          <w:color w:val="000000"/>
          <w:lang w:val="en-GB"/>
        </w:rPr>
      </w:pPr>
    </w:p>
    <w:p w14:paraId="7CEF56E0" w14:textId="77777777" w:rsidR="00FC5A0A" w:rsidRPr="004F5FB4" w:rsidRDefault="00FC5A0A" w:rsidP="002B2067">
      <w:pPr>
        <w:pStyle w:val="BodyText"/>
        <w:widowControl/>
        <w:kinsoku w:val="0"/>
        <w:overflowPunct w:val="0"/>
        <w:ind w:left="0"/>
        <w:rPr>
          <w:color w:val="000000"/>
        </w:rPr>
      </w:pPr>
      <w:r w:rsidRPr="004F5FB4">
        <w:rPr>
          <w:b/>
          <w:bCs/>
          <w:color w:val="000000"/>
        </w:rPr>
        <w:t>Selten</w:t>
      </w:r>
      <w:r w:rsidRPr="004F5FB4">
        <w:rPr>
          <w:color w:val="000000"/>
        </w:rPr>
        <w:t xml:space="preserve"> (kann bis zu 1 von 1.000</w:t>
      </w:r>
      <w:r w:rsidR="00C10292" w:rsidRPr="004F5FB4">
        <w:rPr>
          <w:color w:val="000000"/>
        </w:rPr>
        <w:t> </w:t>
      </w:r>
      <w:r w:rsidR="007C3F30" w:rsidRPr="004F5FB4">
        <w:rPr>
          <w:color w:val="000000"/>
        </w:rPr>
        <w:t xml:space="preserve">Behandelten </w:t>
      </w:r>
      <w:r w:rsidRPr="004F5FB4">
        <w:rPr>
          <w:color w:val="000000"/>
        </w:rPr>
        <w:t>betreffen)</w:t>
      </w:r>
    </w:p>
    <w:p w14:paraId="04E4C983" w14:textId="77777777" w:rsidR="00FC5A0A" w:rsidRPr="004F5FB4" w:rsidRDefault="00FC5A0A" w:rsidP="002B2067">
      <w:pPr>
        <w:pStyle w:val="BodyText"/>
        <w:widowControl/>
        <w:kinsoku w:val="0"/>
        <w:overflowPunct w:val="0"/>
        <w:ind w:left="0"/>
        <w:rPr>
          <w:color w:val="000000"/>
        </w:rPr>
      </w:pPr>
    </w:p>
    <w:p w14:paraId="58135D10"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Leukämie (Krebs, der das Blut und das Knochenmark betrifft)</w:t>
      </w:r>
      <w:r w:rsidR="00EC13D2" w:rsidRPr="004F5FB4">
        <w:rPr>
          <w:color w:val="000000"/>
        </w:rPr>
        <w:t>,</w:t>
      </w:r>
    </w:p>
    <w:p w14:paraId="79E60AAC"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s</w:t>
      </w:r>
      <w:r w:rsidR="00FC5A0A" w:rsidRPr="004F5FB4">
        <w:rPr>
          <w:color w:val="000000"/>
        </w:rPr>
        <w:t>chwere allergische Reaktionen mit Schock</w:t>
      </w:r>
      <w:r w:rsidRPr="004F5FB4">
        <w:rPr>
          <w:color w:val="000000"/>
        </w:rPr>
        <w:t>,</w:t>
      </w:r>
    </w:p>
    <w:p w14:paraId="09345CDA" w14:textId="77777777" w:rsidR="00FC5A0A" w:rsidRPr="004F5FB4" w:rsidRDefault="00A63F9C" w:rsidP="002B2067">
      <w:pPr>
        <w:pStyle w:val="BodyText"/>
        <w:widowControl/>
        <w:numPr>
          <w:ilvl w:val="0"/>
          <w:numId w:val="27"/>
        </w:numPr>
        <w:kinsoku w:val="0"/>
        <w:overflowPunct w:val="0"/>
        <w:autoSpaceDE w:val="0"/>
        <w:autoSpaceDN w:val="0"/>
        <w:adjustRightInd w:val="0"/>
        <w:ind w:left="562" w:hanging="562"/>
        <w:rPr>
          <w:color w:val="000000"/>
        </w:rPr>
      </w:pPr>
      <w:r w:rsidRPr="004F5FB4">
        <w:rPr>
          <w:i/>
          <w:color w:val="000000"/>
        </w:rPr>
        <w:t>M</w:t>
      </w:r>
      <w:r w:rsidR="00FC5A0A" w:rsidRPr="004F5FB4">
        <w:rPr>
          <w:i/>
          <w:color w:val="000000"/>
        </w:rPr>
        <w:t>ultiple Sklerose</w:t>
      </w:r>
      <w:r w:rsidR="00EC13D2" w:rsidRPr="004F5FB4">
        <w:rPr>
          <w:color w:val="000000"/>
        </w:rPr>
        <w:t>,</w:t>
      </w:r>
    </w:p>
    <w:p w14:paraId="38DACE1E"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Nervenerkrankungen (z. B. Entzündung des Sehnervs und Guillain-Barré-Syndrom, eine Krankheit, die zu Muskelschwäche, gestörten Sinnesempfindungen, Kribbeln in Armen und Oberkörper führen kann)</w:t>
      </w:r>
      <w:r w:rsidR="00EC13D2" w:rsidRPr="004F5FB4">
        <w:rPr>
          <w:color w:val="000000"/>
        </w:rPr>
        <w:t>,</w:t>
      </w:r>
    </w:p>
    <w:p w14:paraId="3D223435"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Herzstillstand</w:t>
      </w:r>
      <w:r w:rsidR="00EC13D2" w:rsidRPr="004F5FB4">
        <w:rPr>
          <w:color w:val="000000"/>
        </w:rPr>
        <w:t>,</w:t>
      </w:r>
    </w:p>
    <w:p w14:paraId="6439B0E4"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i/>
          <w:color w:val="000000"/>
        </w:rPr>
        <w:t>Lungenfibrose</w:t>
      </w:r>
      <w:r w:rsidRPr="004F5FB4">
        <w:rPr>
          <w:color w:val="000000"/>
        </w:rPr>
        <w:t xml:space="preserve"> (Narbenbildung in der Lunge)</w:t>
      </w:r>
      <w:r w:rsidR="00EC13D2" w:rsidRPr="004F5FB4">
        <w:rPr>
          <w:color w:val="000000"/>
        </w:rPr>
        <w:t>,</w:t>
      </w:r>
    </w:p>
    <w:p w14:paraId="1443FA4A"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Darmwanddurchbruch (Loch in der Darmwand)</w:t>
      </w:r>
      <w:r w:rsidR="00EC13D2" w:rsidRPr="004F5FB4">
        <w:rPr>
          <w:color w:val="000000"/>
        </w:rPr>
        <w:t>,</w:t>
      </w:r>
    </w:p>
    <w:p w14:paraId="0EE5AC19"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i/>
          <w:color w:val="000000"/>
        </w:rPr>
        <w:t>Hepatitis</w:t>
      </w:r>
      <w:r w:rsidRPr="004F5FB4">
        <w:rPr>
          <w:color w:val="000000"/>
        </w:rPr>
        <w:t xml:space="preserve"> (Leberentzündung)</w:t>
      </w:r>
      <w:r w:rsidR="00EC13D2" w:rsidRPr="004F5FB4">
        <w:rPr>
          <w:color w:val="000000"/>
        </w:rPr>
        <w:t>,</w:t>
      </w:r>
    </w:p>
    <w:p w14:paraId="1C07EBF0"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C5A0A" w:rsidRPr="004F5FB4">
        <w:rPr>
          <w:color w:val="000000"/>
        </w:rPr>
        <w:t>rneuter Ausbruch einer Hepatitis-B-Infektion</w:t>
      </w:r>
      <w:r w:rsidRPr="004F5FB4">
        <w:rPr>
          <w:color w:val="000000"/>
        </w:rPr>
        <w:t>,</w:t>
      </w:r>
    </w:p>
    <w:p w14:paraId="76F31A25"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Entzündung der Leber, die durch das körpereigene Abwehrsystem ausgelöst wird </w:t>
      </w:r>
      <w:r w:rsidRPr="004F5FB4">
        <w:rPr>
          <w:i/>
          <w:color w:val="000000"/>
        </w:rPr>
        <w:t>(Autoimmunhepatitis)</w:t>
      </w:r>
      <w:r w:rsidR="00EC13D2" w:rsidRPr="004F5FB4">
        <w:rPr>
          <w:color w:val="000000"/>
        </w:rPr>
        <w:t>,</w:t>
      </w:r>
    </w:p>
    <w:p w14:paraId="673EF3FA"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Entzündung der Blutgefäße der Haut </w:t>
      </w:r>
      <w:r w:rsidRPr="004F5FB4">
        <w:rPr>
          <w:i/>
          <w:color w:val="000000"/>
        </w:rPr>
        <w:t>(kutane Vaskulitis)</w:t>
      </w:r>
      <w:r w:rsidR="00EC13D2" w:rsidRPr="004F5FB4">
        <w:rPr>
          <w:color w:val="000000"/>
        </w:rPr>
        <w:t>,</w:t>
      </w:r>
    </w:p>
    <w:p w14:paraId="7522A571"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Stevens-Johnson-Syndrom (lebensbedrohliche Reaktion mit grippeähnlichen Symptomen und Hautausschlag mit Blasenbildung)</w:t>
      </w:r>
      <w:r w:rsidR="00EC13D2" w:rsidRPr="004F5FB4">
        <w:rPr>
          <w:color w:val="000000"/>
        </w:rPr>
        <w:t>,</w:t>
      </w:r>
    </w:p>
    <w:p w14:paraId="4D31E845"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Gesichtsschwellung </w:t>
      </w:r>
      <w:r w:rsidRPr="004F5FB4">
        <w:rPr>
          <w:i/>
          <w:color w:val="000000"/>
        </w:rPr>
        <w:t>(Gesichtsödem)</w:t>
      </w:r>
      <w:r w:rsidRPr="004F5FB4">
        <w:rPr>
          <w:color w:val="000000"/>
        </w:rPr>
        <w:t xml:space="preserve"> in Verbindung mit allergischen Reaktionen</w:t>
      </w:r>
      <w:r w:rsidR="00EC13D2" w:rsidRPr="004F5FB4">
        <w:rPr>
          <w:color w:val="000000"/>
        </w:rPr>
        <w:t>,</w:t>
      </w:r>
    </w:p>
    <w:p w14:paraId="0EA8819A" w14:textId="77777777" w:rsidR="00FC5A0A" w:rsidRPr="004F5FB4" w:rsidRDefault="009B1D4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C5A0A" w:rsidRPr="004F5FB4">
        <w:rPr>
          <w:color w:val="000000"/>
        </w:rPr>
        <w:t xml:space="preserve">ntzündlicher Hautausschlag </w:t>
      </w:r>
      <w:r w:rsidR="00FC5A0A" w:rsidRPr="004F5FB4">
        <w:rPr>
          <w:i/>
          <w:color w:val="000000"/>
        </w:rPr>
        <w:t>(Erythema multiforme)</w:t>
      </w:r>
      <w:r w:rsidR="00EC13D2" w:rsidRPr="004F5FB4">
        <w:rPr>
          <w:color w:val="000000"/>
        </w:rPr>
        <w:t>,</w:t>
      </w:r>
    </w:p>
    <w:p w14:paraId="71809EF3" w14:textId="77777777" w:rsidR="00FC5A0A"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l</w:t>
      </w:r>
      <w:r w:rsidR="00FC5A0A" w:rsidRPr="004F5FB4">
        <w:rPr>
          <w:color w:val="000000"/>
        </w:rPr>
        <w:t>upusähnliches Syndrom</w:t>
      </w:r>
      <w:r w:rsidRPr="004F5FB4">
        <w:rPr>
          <w:color w:val="000000"/>
        </w:rPr>
        <w:t>,</w:t>
      </w:r>
    </w:p>
    <w:p w14:paraId="6E5EBE58"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i/>
          <w:color w:val="000000"/>
        </w:rPr>
        <w:t>Angioödem</w:t>
      </w:r>
      <w:r w:rsidRPr="004F5FB4">
        <w:rPr>
          <w:color w:val="000000"/>
        </w:rPr>
        <w:t xml:space="preserve"> (lokalisierte Schwellung der Haut)</w:t>
      </w:r>
      <w:r w:rsidR="00EC13D2" w:rsidRPr="004F5FB4">
        <w:rPr>
          <w:color w:val="000000"/>
        </w:rPr>
        <w:t>,</w:t>
      </w:r>
    </w:p>
    <w:p w14:paraId="43B92FBA" w14:textId="77777777" w:rsidR="0057104B" w:rsidRPr="004F5FB4" w:rsidRDefault="00EC13D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l</w:t>
      </w:r>
      <w:r w:rsidR="0057104B" w:rsidRPr="004F5FB4">
        <w:rPr>
          <w:color w:val="000000"/>
        </w:rPr>
        <w:t>ichenoide Hautreaktion (juckender, rötlicher bis violetter Hautausschlag).</w:t>
      </w:r>
    </w:p>
    <w:p w14:paraId="3268D2DB" w14:textId="77777777" w:rsidR="00FC5A0A" w:rsidRPr="004F5FB4" w:rsidRDefault="00FC5A0A" w:rsidP="002B2067">
      <w:pPr>
        <w:pStyle w:val="BodyText"/>
        <w:widowControl/>
        <w:kinsoku w:val="0"/>
        <w:overflowPunct w:val="0"/>
        <w:ind w:left="0"/>
        <w:rPr>
          <w:color w:val="000000"/>
        </w:rPr>
      </w:pPr>
    </w:p>
    <w:p w14:paraId="7A6DDEB1" w14:textId="77777777" w:rsidR="00FC5A0A" w:rsidRPr="004F5FB4" w:rsidRDefault="00FC5A0A" w:rsidP="002B2067">
      <w:pPr>
        <w:pStyle w:val="BodyText"/>
        <w:widowControl/>
        <w:kinsoku w:val="0"/>
        <w:overflowPunct w:val="0"/>
        <w:ind w:left="0"/>
        <w:rPr>
          <w:color w:val="000000"/>
        </w:rPr>
      </w:pPr>
      <w:r w:rsidRPr="004F5FB4">
        <w:rPr>
          <w:b/>
          <w:bCs/>
          <w:color w:val="000000"/>
        </w:rPr>
        <w:t>Nicht bekannt</w:t>
      </w:r>
      <w:r w:rsidRPr="004F5FB4">
        <w:rPr>
          <w:color w:val="000000"/>
        </w:rPr>
        <w:t xml:space="preserve"> (Häufigkeit auf Grundlage der verfügbaren Daten nicht abschätzbar)</w:t>
      </w:r>
    </w:p>
    <w:p w14:paraId="640522E9" w14:textId="77777777" w:rsidR="00FC5A0A" w:rsidRPr="004F5FB4" w:rsidRDefault="00FC5A0A" w:rsidP="002B2067">
      <w:pPr>
        <w:pStyle w:val="BodyText"/>
        <w:widowControl/>
        <w:kinsoku w:val="0"/>
        <w:overflowPunct w:val="0"/>
        <w:ind w:left="0"/>
        <w:rPr>
          <w:color w:val="000000"/>
        </w:rPr>
      </w:pPr>
    </w:p>
    <w:p w14:paraId="3419332A" w14:textId="77777777" w:rsidR="00FC5A0A" w:rsidRPr="004F5FB4" w:rsidRDefault="006B3308"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h</w:t>
      </w:r>
      <w:r w:rsidR="00FC5A0A" w:rsidRPr="004F5FB4">
        <w:rPr>
          <w:color w:val="000000"/>
        </w:rPr>
        <w:t>epatosplenales T-Zell-Lymphom (ein selten auftretender Blutkrebs, der oft tödlich ist)</w:t>
      </w:r>
      <w:r w:rsidR="00C10292" w:rsidRPr="004F5FB4">
        <w:rPr>
          <w:color w:val="000000"/>
        </w:rPr>
        <w:t>,</w:t>
      </w:r>
    </w:p>
    <w:p w14:paraId="45CCA906" w14:textId="77777777" w:rsidR="00FC5A0A"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Merkelzellkarzinom (eine Art von Hautkrebs)</w:t>
      </w:r>
      <w:r w:rsidR="00C10292" w:rsidRPr="004F5FB4">
        <w:rPr>
          <w:color w:val="000000"/>
        </w:rPr>
        <w:t>,</w:t>
      </w:r>
    </w:p>
    <w:p w14:paraId="577D320E" w14:textId="77777777" w:rsidR="00E56892" w:rsidRPr="004F5FB4" w:rsidRDefault="00E56892" w:rsidP="002B2067">
      <w:pPr>
        <w:pStyle w:val="BodyText"/>
        <w:widowControl/>
        <w:numPr>
          <w:ilvl w:val="0"/>
          <w:numId w:val="27"/>
        </w:numPr>
        <w:kinsoku w:val="0"/>
        <w:overflowPunct w:val="0"/>
        <w:autoSpaceDE w:val="0"/>
        <w:autoSpaceDN w:val="0"/>
        <w:adjustRightInd w:val="0"/>
        <w:ind w:left="562" w:hanging="562"/>
        <w:rPr>
          <w:color w:val="000000"/>
        </w:rPr>
      </w:pPr>
      <w:r w:rsidRPr="00E56892">
        <w:rPr>
          <w:color w:val="000000"/>
        </w:rPr>
        <w:lastRenderedPageBreak/>
        <w:t>Kaposi-Sarkom, eine seltene Krebserkrankung, die mit einer Infektion mit dem humanen Herpesvirus</w:t>
      </w:r>
      <w:r>
        <w:rPr>
          <w:color w:val="000000"/>
        </w:rPr>
        <w:t> </w:t>
      </w:r>
      <w:r w:rsidRPr="00E56892">
        <w:rPr>
          <w:color w:val="000000"/>
        </w:rPr>
        <w:t>8 assoziiert ist. Das Kaposi-Sarkom tritt am häufigsten in Form von violetten Hautläsionen auf.</w:t>
      </w:r>
    </w:p>
    <w:p w14:paraId="78F62BFB"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Leberversagen</w:t>
      </w:r>
      <w:r w:rsidR="00C10292" w:rsidRPr="004F5FB4">
        <w:rPr>
          <w:color w:val="000000"/>
        </w:rPr>
        <w:t>,</w:t>
      </w:r>
    </w:p>
    <w:p w14:paraId="170247C7" w14:textId="77777777" w:rsidR="008F3710"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 xml:space="preserve">Verschlechterung einer sogenannten </w:t>
      </w:r>
      <w:r w:rsidRPr="004F5FB4">
        <w:rPr>
          <w:i/>
          <w:color w:val="000000"/>
        </w:rPr>
        <w:t>Dermatomyositis</w:t>
      </w:r>
      <w:r w:rsidRPr="004F5FB4">
        <w:rPr>
          <w:color w:val="000000"/>
        </w:rPr>
        <w:t xml:space="preserve"> (tritt als Hautausschlag in Verbindung mit Muskelschwäche in Erscheinung)</w:t>
      </w:r>
      <w:r w:rsidR="008F3710">
        <w:rPr>
          <w:color w:val="000000"/>
        </w:rPr>
        <w:t>,</w:t>
      </w:r>
    </w:p>
    <w:p w14:paraId="4D88600E" w14:textId="710BD0B7" w:rsidR="00FC5A0A" w:rsidRPr="004F5FB4" w:rsidRDefault="008F3710" w:rsidP="002B2067">
      <w:pPr>
        <w:pStyle w:val="BodyText"/>
        <w:widowControl/>
        <w:numPr>
          <w:ilvl w:val="0"/>
          <w:numId w:val="27"/>
        </w:numPr>
        <w:kinsoku w:val="0"/>
        <w:overflowPunct w:val="0"/>
        <w:autoSpaceDE w:val="0"/>
        <w:autoSpaceDN w:val="0"/>
        <w:adjustRightInd w:val="0"/>
        <w:ind w:left="562" w:hanging="562"/>
        <w:rPr>
          <w:color w:val="000000"/>
        </w:rPr>
      </w:pPr>
      <w:r w:rsidRPr="008F3710">
        <w:rPr>
          <w:color w:val="000000"/>
        </w:rPr>
        <w:t>Gewichtszunahme (bei den meisten Patienten war die Gewichtszunahme gering)</w:t>
      </w:r>
      <w:r>
        <w:rPr>
          <w:color w:val="000000"/>
        </w:rPr>
        <w:t>.</w:t>
      </w:r>
    </w:p>
    <w:p w14:paraId="03D9CCDC" w14:textId="77777777" w:rsidR="00FC5A0A" w:rsidRPr="004F5FB4" w:rsidRDefault="00FC5A0A" w:rsidP="002B2067">
      <w:pPr>
        <w:pStyle w:val="BodyText"/>
        <w:widowControl/>
        <w:kinsoku w:val="0"/>
        <w:overflowPunct w:val="0"/>
        <w:ind w:left="0"/>
        <w:rPr>
          <w:color w:val="000000"/>
        </w:rPr>
      </w:pPr>
    </w:p>
    <w:p w14:paraId="5594CA3E" w14:textId="77777777" w:rsidR="00FC5A0A" w:rsidRPr="004F5FB4" w:rsidRDefault="00FC5A0A" w:rsidP="002B2067">
      <w:pPr>
        <w:pStyle w:val="BodyText"/>
        <w:widowControl/>
        <w:kinsoku w:val="0"/>
        <w:overflowPunct w:val="0"/>
        <w:ind w:left="0"/>
        <w:rPr>
          <w:color w:val="000000"/>
        </w:rPr>
      </w:pPr>
      <w:r w:rsidRPr="004F5FB4">
        <w:rPr>
          <w:color w:val="000000"/>
        </w:rPr>
        <w:t>Mit Adalimumab wurden einige Nebenwirkungen beobachtet, die keine Anzeichen haben und nur durch Bluttests erkannt werden können. Dazu gehören:</w:t>
      </w:r>
    </w:p>
    <w:p w14:paraId="481FA0D0" w14:textId="77777777" w:rsidR="00FC5A0A" w:rsidRPr="004F5FB4" w:rsidRDefault="00FC5A0A" w:rsidP="002B2067">
      <w:pPr>
        <w:pStyle w:val="BodyText"/>
        <w:widowControl/>
        <w:kinsoku w:val="0"/>
        <w:overflowPunct w:val="0"/>
        <w:ind w:left="0"/>
        <w:rPr>
          <w:color w:val="000000"/>
        </w:rPr>
      </w:pPr>
    </w:p>
    <w:p w14:paraId="006921CF" w14:textId="77777777" w:rsidR="00FC5A0A" w:rsidRPr="004F5FB4" w:rsidRDefault="00FC5A0A" w:rsidP="002B2067">
      <w:pPr>
        <w:pStyle w:val="BodyText"/>
        <w:widowControl/>
        <w:kinsoku w:val="0"/>
        <w:overflowPunct w:val="0"/>
        <w:ind w:left="0"/>
        <w:rPr>
          <w:color w:val="000000"/>
        </w:rPr>
      </w:pPr>
      <w:r w:rsidRPr="004F5FB4">
        <w:rPr>
          <w:b/>
          <w:bCs/>
          <w:color w:val="000000"/>
        </w:rPr>
        <w:t>Sehr häufig</w:t>
      </w:r>
      <w:r w:rsidRPr="004F5FB4">
        <w:rPr>
          <w:color w:val="000000"/>
        </w:rPr>
        <w:t xml:space="preserve"> (kann mehr als 1</w:t>
      </w:r>
      <w:r w:rsidR="00DD35E5" w:rsidRPr="004F5FB4">
        <w:rPr>
          <w:color w:val="000000"/>
        </w:rPr>
        <w:t xml:space="preserve"> </w:t>
      </w:r>
      <w:r w:rsidRPr="004F5FB4">
        <w:rPr>
          <w:color w:val="000000"/>
        </w:rPr>
        <w:t>von 10</w:t>
      </w:r>
      <w:r w:rsidR="00C10292" w:rsidRPr="004F5FB4">
        <w:rPr>
          <w:color w:val="000000"/>
        </w:rPr>
        <w:t> </w:t>
      </w:r>
      <w:r w:rsidR="007C3F30" w:rsidRPr="004F5FB4">
        <w:rPr>
          <w:color w:val="000000"/>
        </w:rPr>
        <w:t xml:space="preserve">Behandelten </w:t>
      </w:r>
      <w:r w:rsidRPr="004F5FB4">
        <w:rPr>
          <w:color w:val="000000"/>
        </w:rPr>
        <w:t>betreffen)</w:t>
      </w:r>
    </w:p>
    <w:p w14:paraId="5C42B84C" w14:textId="77777777" w:rsidR="00FC5A0A" w:rsidRPr="004F5FB4" w:rsidRDefault="00FC5A0A" w:rsidP="002B2067">
      <w:pPr>
        <w:pStyle w:val="BodyText"/>
        <w:widowControl/>
        <w:kinsoku w:val="0"/>
        <w:overflowPunct w:val="0"/>
        <w:ind w:left="0"/>
        <w:rPr>
          <w:color w:val="000000"/>
        </w:rPr>
      </w:pPr>
    </w:p>
    <w:p w14:paraId="06A51B00"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v</w:t>
      </w:r>
      <w:r w:rsidR="00FC5A0A" w:rsidRPr="004F5FB4">
        <w:rPr>
          <w:color w:val="000000"/>
        </w:rPr>
        <w:t>erringerte Anzahl weißer Blutkörperchen</w:t>
      </w:r>
      <w:r w:rsidRPr="004F5FB4">
        <w:rPr>
          <w:color w:val="000000"/>
        </w:rPr>
        <w:t>,</w:t>
      </w:r>
    </w:p>
    <w:p w14:paraId="07097345"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v</w:t>
      </w:r>
      <w:r w:rsidR="00FC5A0A" w:rsidRPr="004F5FB4">
        <w:rPr>
          <w:color w:val="000000"/>
        </w:rPr>
        <w:t>erringerte Anzahl roter Blutkörperchen</w:t>
      </w:r>
      <w:r w:rsidRPr="004F5FB4">
        <w:rPr>
          <w:color w:val="000000"/>
        </w:rPr>
        <w:t>,</w:t>
      </w:r>
    </w:p>
    <w:p w14:paraId="1097CE40"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C5A0A" w:rsidRPr="004F5FB4">
        <w:rPr>
          <w:color w:val="000000"/>
        </w:rPr>
        <w:t>rhöhte Blutfettwerte</w:t>
      </w:r>
      <w:r w:rsidRPr="004F5FB4">
        <w:rPr>
          <w:color w:val="000000"/>
        </w:rPr>
        <w:t>,</w:t>
      </w:r>
    </w:p>
    <w:p w14:paraId="2AD018DC"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92783" w:rsidRPr="004F5FB4">
        <w:rPr>
          <w:color w:val="000000"/>
        </w:rPr>
        <w:t>rhöhte Werte für Leberenzyme.</w:t>
      </w:r>
    </w:p>
    <w:p w14:paraId="0C567ED3" w14:textId="77777777" w:rsidR="00FC5A0A" w:rsidRPr="004F5FB4" w:rsidRDefault="00FC5A0A" w:rsidP="002B2067">
      <w:pPr>
        <w:pStyle w:val="BodyText"/>
        <w:widowControl/>
        <w:kinsoku w:val="0"/>
        <w:overflowPunct w:val="0"/>
        <w:ind w:left="0"/>
        <w:rPr>
          <w:color w:val="000000"/>
          <w:lang w:val="en-GB"/>
        </w:rPr>
      </w:pPr>
    </w:p>
    <w:p w14:paraId="6D4C2264" w14:textId="77777777" w:rsidR="00FC5A0A" w:rsidRPr="004F5FB4" w:rsidRDefault="00FC5A0A" w:rsidP="002B2067">
      <w:pPr>
        <w:pStyle w:val="BodyText"/>
        <w:widowControl/>
        <w:kinsoku w:val="0"/>
        <w:overflowPunct w:val="0"/>
        <w:ind w:left="0"/>
        <w:rPr>
          <w:color w:val="000000"/>
        </w:rPr>
      </w:pPr>
      <w:r w:rsidRPr="004F5FB4">
        <w:rPr>
          <w:b/>
          <w:bCs/>
          <w:color w:val="000000"/>
        </w:rPr>
        <w:t>Häufig</w:t>
      </w:r>
      <w:r w:rsidRPr="004F5FB4">
        <w:rPr>
          <w:color w:val="000000"/>
        </w:rPr>
        <w:t xml:space="preserve"> (kann bis zu 1 von 10</w:t>
      </w:r>
      <w:r w:rsidR="00C10292" w:rsidRPr="004F5FB4">
        <w:rPr>
          <w:color w:val="000000"/>
        </w:rPr>
        <w:t> </w:t>
      </w:r>
      <w:r w:rsidR="007C3F30" w:rsidRPr="004F5FB4">
        <w:rPr>
          <w:color w:val="000000"/>
        </w:rPr>
        <w:t xml:space="preserve">Behandelten </w:t>
      </w:r>
      <w:r w:rsidRPr="004F5FB4">
        <w:rPr>
          <w:color w:val="000000"/>
        </w:rPr>
        <w:t>betreffen)</w:t>
      </w:r>
    </w:p>
    <w:p w14:paraId="1CD049F2" w14:textId="77777777" w:rsidR="00FC5A0A" w:rsidRPr="004F5FB4" w:rsidRDefault="00FC5A0A" w:rsidP="002B2067">
      <w:pPr>
        <w:pStyle w:val="BodyText"/>
        <w:widowControl/>
        <w:kinsoku w:val="0"/>
        <w:overflowPunct w:val="0"/>
        <w:ind w:left="0"/>
        <w:rPr>
          <w:color w:val="000000"/>
        </w:rPr>
      </w:pPr>
    </w:p>
    <w:p w14:paraId="7DB186E0"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C5A0A" w:rsidRPr="004F5FB4">
        <w:rPr>
          <w:color w:val="000000"/>
        </w:rPr>
        <w:t>rhöhte Anzahl weißer Blutkörperchen</w:t>
      </w:r>
      <w:r w:rsidRPr="004F5FB4">
        <w:rPr>
          <w:color w:val="000000"/>
        </w:rPr>
        <w:t>,</w:t>
      </w:r>
    </w:p>
    <w:p w14:paraId="1E9047E6"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v</w:t>
      </w:r>
      <w:r w:rsidR="00FC5A0A" w:rsidRPr="004F5FB4">
        <w:rPr>
          <w:color w:val="000000"/>
        </w:rPr>
        <w:t>erringerte Anzahl von Blutplättchen</w:t>
      </w:r>
      <w:r w:rsidRPr="004F5FB4">
        <w:rPr>
          <w:color w:val="000000"/>
        </w:rPr>
        <w:t>,</w:t>
      </w:r>
    </w:p>
    <w:p w14:paraId="2022F43C"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C5A0A" w:rsidRPr="004F5FB4">
        <w:rPr>
          <w:color w:val="000000"/>
        </w:rPr>
        <w:t>rhöhte Harnsäurewerte im Blut</w:t>
      </w:r>
      <w:r w:rsidRPr="004F5FB4">
        <w:rPr>
          <w:color w:val="000000"/>
        </w:rPr>
        <w:t>,</w:t>
      </w:r>
    </w:p>
    <w:p w14:paraId="780065AE"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a</w:t>
      </w:r>
      <w:r w:rsidR="00FC5A0A" w:rsidRPr="004F5FB4">
        <w:rPr>
          <w:color w:val="000000"/>
        </w:rPr>
        <w:t>bnormale Blutwerte für Natrium</w:t>
      </w:r>
      <w:r w:rsidRPr="004F5FB4">
        <w:rPr>
          <w:color w:val="000000"/>
        </w:rPr>
        <w:t>,</w:t>
      </w:r>
    </w:p>
    <w:p w14:paraId="4249B3C8"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w:t>
      </w:r>
      <w:r w:rsidR="00FC5A0A" w:rsidRPr="004F5FB4">
        <w:rPr>
          <w:color w:val="000000"/>
        </w:rPr>
        <w:t>iedrige Blutwerte für Kalzium</w:t>
      </w:r>
      <w:r w:rsidRPr="004F5FB4">
        <w:rPr>
          <w:color w:val="000000"/>
        </w:rPr>
        <w:t>,</w:t>
      </w:r>
    </w:p>
    <w:p w14:paraId="2082C4F8"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w:t>
      </w:r>
      <w:r w:rsidR="00FC5A0A" w:rsidRPr="004F5FB4">
        <w:rPr>
          <w:color w:val="000000"/>
        </w:rPr>
        <w:t>iedrige Blutwerte für Phosphat</w:t>
      </w:r>
      <w:r w:rsidRPr="004F5FB4">
        <w:rPr>
          <w:color w:val="000000"/>
        </w:rPr>
        <w:t>,</w:t>
      </w:r>
    </w:p>
    <w:p w14:paraId="53CB123E"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h</w:t>
      </w:r>
      <w:r w:rsidR="00FC5A0A" w:rsidRPr="004F5FB4">
        <w:rPr>
          <w:color w:val="000000"/>
        </w:rPr>
        <w:t>ohe Blutzuckerwerte</w:t>
      </w:r>
      <w:r w:rsidRPr="004F5FB4">
        <w:rPr>
          <w:color w:val="000000"/>
        </w:rPr>
        <w:t>,</w:t>
      </w:r>
    </w:p>
    <w:p w14:paraId="3087BE8C"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h</w:t>
      </w:r>
      <w:r w:rsidR="00FC5A0A" w:rsidRPr="004F5FB4">
        <w:rPr>
          <w:color w:val="000000"/>
        </w:rPr>
        <w:t>ohe Blutwerte für Lactatdehydrogenase</w:t>
      </w:r>
      <w:r w:rsidRPr="004F5FB4">
        <w:rPr>
          <w:color w:val="000000"/>
        </w:rPr>
        <w:t>,</w:t>
      </w:r>
    </w:p>
    <w:p w14:paraId="62A5DB85"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Nachweis von Autoantikörpern im Blut</w:t>
      </w:r>
      <w:r w:rsidR="00C10292" w:rsidRPr="004F5FB4">
        <w:rPr>
          <w:color w:val="000000"/>
        </w:rPr>
        <w:t>,</w:t>
      </w:r>
    </w:p>
    <w:p w14:paraId="0FE37548" w14:textId="77777777" w:rsidR="00FC5A0A" w:rsidRPr="004F5FB4" w:rsidRDefault="00FC5A0A" w:rsidP="002B2067">
      <w:pPr>
        <w:pStyle w:val="BodyText"/>
        <w:widowControl/>
        <w:numPr>
          <w:ilvl w:val="0"/>
          <w:numId w:val="27"/>
        </w:numPr>
        <w:kinsoku w:val="0"/>
        <w:overflowPunct w:val="0"/>
        <w:autoSpaceDE w:val="0"/>
        <w:autoSpaceDN w:val="0"/>
        <w:adjustRightInd w:val="0"/>
        <w:ind w:left="562" w:hanging="562"/>
        <w:rPr>
          <w:color w:val="000000"/>
        </w:rPr>
      </w:pPr>
      <w:r w:rsidRPr="004F5FB4">
        <w:rPr>
          <w:i/>
          <w:color w:val="000000"/>
        </w:rPr>
        <w:t>Hypokaliämie</w:t>
      </w:r>
      <w:r w:rsidRPr="004F5FB4">
        <w:rPr>
          <w:color w:val="000000"/>
        </w:rPr>
        <w:t xml:space="preserve"> (Kaliummangel im Blut)</w:t>
      </w:r>
      <w:r w:rsidR="00A40DA1" w:rsidRPr="004F5FB4">
        <w:rPr>
          <w:color w:val="000000"/>
        </w:rPr>
        <w:t>.</w:t>
      </w:r>
    </w:p>
    <w:p w14:paraId="2416F737" w14:textId="77777777" w:rsidR="00FC5A0A" w:rsidRPr="004F5FB4" w:rsidRDefault="00FC5A0A" w:rsidP="002B2067">
      <w:pPr>
        <w:pStyle w:val="BodyText"/>
        <w:widowControl/>
        <w:kinsoku w:val="0"/>
        <w:overflowPunct w:val="0"/>
        <w:ind w:left="0"/>
        <w:rPr>
          <w:color w:val="000000"/>
          <w:lang w:val="en-GB"/>
        </w:rPr>
      </w:pPr>
    </w:p>
    <w:p w14:paraId="2016CB54" w14:textId="77777777" w:rsidR="00FC5A0A" w:rsidRPr="004F5FB4" w:rsidRDefault="00FC5A0A" w:rsidP="002B2067">
      <w:pPr>
        <w:pStyle w:val="BodyText"/>
        <w:widowControl/>
        <w:kinsoku w:val="0"/>
        <w:overflowPunct w:val="0"/>
        <w:ind w:left="0"/>
        <w:rPr>
          <w:color w:val="000000"/>
        </w:rPr>
      </w:pPr>
      <w:r w:rsidRPr="004F5FB4">
        <w:rPr>
          <w:b/>
          <w:bCs/>
          <w:color w:val="000000"/>
        </w:rPr>
        <w:t>Gelegentlich</w:t>
      </w:r>
      <w:r w:rsidRPr="004F5FB4">
        <w:rPr>
          <w:color w:val="000000"/>
        </w:rPr>
        <w:t xml:space="preserve"> (kann bis zu 1 von 100</w:t>
      </w:r>
      <w:r w:rsidR="00C10292" w:rsidRPr="004F5FB4">
        <w:rPr>
          <w:color w:val="000000"/>
        </w:rPr>
        <w:t> </w:t>
      </w:r>
      <w:r w:rsidR="007C3F30" w:rsidRPr="004F5FB4">
        <w:rPr>
          <w:color w:val="000000"/>
        </w:rPr>
        <w:t xml:space="preserve">Behandelten </w:t>
      </w:r>
      <w:r w:rsidRPr="004F5FB4">
        <w:rPr>
          <w:color w:val="000000"/>
        </w:rPr>
        <w:t>betreffen)</w:t>
      </w:r>
    </w:p>
    <w:p w14:paraId="258320E5" w14:textId="77777777" w:rsidR="00FC5A0A" w:rsidRPr="004F5FB4" w:rsidRDefault="00FC5A0A" w:rsidP="002B2067">
      <w:pPr>
        <w:pStyle w:val="BodyText"/>
        <w:widowControl/>
        <w:kinsoku w:val="0"/>
        <w:overflowPunct w:val="0"/>
        <w:ind w:left="0"/>
        <w:rPr>
          <w:color w:val="000000"/>
        </w:rPr>
      </w:pPr>
    </w:p>
    <w:p w14:paraId="3291C0B1"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e</w:t>
      </w:r>
      <w:r w:rsidR="00F92783" w:rsidRPr="004F5FB4">
        <w:rPr>
          <w:color w:val="000000"/>
        </w:rPr>
        <w:t>rhöhte Bilirubin-Konzentration im Blut (Leberwerte).</w:t>
      </w:r>
    </w:p>
    <w:p w14:paraId="1C9A156D" w14:textId="77777777" w:rsidR="00FC5A0A" w:rsidRPr="004F5FB4" w:rsidRDefault="00FC5A0A" w:rsidP="002B2067">
      <w:pPr>
        <w:pStyle w:val="BodyText"/>
        <w:widowControl/>
        <w:kinsoku w:val="0"/>
        <w:overflowPunct w:val="0"/>
        <w:ind w:left="0"/>
        <w:rPr>
          <w:color w:val="000000"/>
        </w:rPr>
      </w:pPr>
    </w:p>
    <w:p w14:paraId="5E34C93E" w14:textId="77777777" w:rsidR="00FC5A0A" w:rsidRPr="004F5FB4" w:rsidRDefault="00FC5A0A" w:rsidP="002B2067">
      <w:pPr>
        <w:pStyle w:val="BodyText"/>
        <w:widowControl/>
        <w:kinsoku w:val="0"/>
        <w:overflowPunct w:val="0"/>
        <w:ind w:left="0"/>
        <w:rPr>
          <w:color w:val="000000"/>
        </w:rPr>
      </w:pPr>
      <w:r w:rsidRPr="004F5FB4">
        <w:rPr>
          <w:b/>
          <w:bCs/>
          <w:color w:val="000000"/>
        </w:rPr>
        <w:t>Selten</w:t>
      </w:r>
      <w:r w:rsidRPr="004F5FB4">
        <w:rPr>
          <w:color w:val="000000"/>
        </w:rPr>
        <w:t xml:space="preserve"> (kann bis zu 1 von 1.000</w:t>
      </w:r>
      <w:r w:rsidR="00C10292" w:rsidRPr="004F5FB4">
        <w:rPr>
          <w:color w:val="000000"/>
        </w:rPr>
        <w:t> </w:t>
      </w:r>
      <w:r w:rsidR="006A26D1" w:rsidRPr="004F5FB4">
        <w:rPr>
          <w:color w:val="000000"/>
        </w:rPr>
        <w:t>Behandelten</w:t>
      </w:r>
      <w:r w:rsidRPr="004F5FB4">
        <w:rPr>
          <w:color w:val="000000"/>
        </w:rPr>
        <w:t xml:space="preserve"> betreffen)</w:t>
      </w:r>
    </w:p>
    <w:p w14:paraId="2A1936C7" w14:textId="77777777" w:rsidR="00FC5A0A" w:rsidRPr="004F5FB4" w:rsidRDefault="00FC5A0A" w:rsidP="002B2067">
      <w:pPr>
        <w:pStyle w:val="BodyText"/>
        <w:widowControl/>
        <w:kinsoku w:val="0"/>
        <w:overflowPunct w:val="0"/>
        <w:ind w:left="0"/>
        <w:rPr>
          <w:color w:val="000000"/>
        </w:rPr>
      </w:pPr>
    </w:p>
    <w:p w14:paraId="24572F4F" w14:textId="77777777" w:rsidR="00FC5A0A" w:rsidRPr="004F5FB4" w:rsidRDefault="00C10292" w:rsidP="002B2067">
      <w:pPr>
        <w:pStyle w:val="BodyText"/>
        <w:widowControl/>
        <w:numPr>
          <w:ilvl w:val="0"/>
          <w:numId w:val="27"/>
        </w:numPr>
        <w:kinsoku w:val="0"/>
        <w:overflowPunct w:val="0"/>
        <w:autoSpaceDE w:val="0"/>
        <w:autoSpaceDN w:val="0"/>
        <w:adjustRightInd w:val="0"/>
        <w:ind w:left="562" w:hanging="562"/>
        <w:rPr>
          <w:color w:val="000000"/>
        </w:rPr>
      </w:pPr>
      <w:r w:rsidRPr="004F5FB4">
        <w:rPr>
          <w:color w:val="000000"/>
        </w:rPr>
        <w:t>v</w:t>
      </w:r>
      <w:r w:rsidR="00FC5A0A" w:rsidRPr="004F5FB4">
        <w:rPr>
          <w:color w:val="000000"/>
        </w:rPr>
        <w:t>erringerte Anzahl weißer und roter Blutkörperchen und geringe Zahl an Blutplättchen.</w:t>
      </w:r>
    </w:p>
    <w:p w14:paraId="3FBEBA53" w14:textId="77777777" w:rsidR="00FC5A0A" w:rsidRPr="004F5FB4" w:rsidRDefault="00FC5A0A" w:rsidP="002B2067">
      <w:pPr>
        <w:pStyle w:val="BodyText"/>
        <w:widowControl/>
        <w:kinsoku w:val="0"/>
        <w:overflowPunct w:val="0"/>
        <w:ind w:left="0"/>
        <w:rPr>
          <w:color w:val="000000"/>
        </w:rPr>
      </w:pPr>
    </w:p>
    <w:p w14:paraId="12FEC6B7" w14:textId="77777777" w:rsidR="00FC5A0A" w:rsidRPr="004F5FB4" w:rsidRDefault="00FC5A0A" w:rsidP="00F60620">
      <w:pPr>
        <w:pStyle w:val="BodyText"/>
        <w:widowControl/>
        <w:kinsoku w:val="0"/>
        <w:overflowPunct w:val="0"/>
        <w:ind w:left="0"/>
        <w:rPr>
          <w:b/>
          <w:bCs/>
          <w:color w:val="000000"/>
        </w:rPr>
      </w:pPr>
      <w:r w:rsidRPr="00F60620">
        <w:rPr>
          <w:b/>
          <w:bCs/>
          <w:color w:val="000000"/>
        </w:rPr>
        <w:t>Meldung von Nebenwirkungen</w:t>
      </w:r>
    </w:p>
    <w:p w14:paraId="531A15AC" w14:textId="133C70A2" w:rsidR="00FC5A0A" w:rsidRPr="004F5FB4" w:rsidRDefault="00FC5A0A" w:rsidP="002B2067">
      <w:pPr>
        <w:pStyle w:val="BodyText"/>
        <w:widowControl/>
        <w:kinsoku w:val="0"/>
        <w:overflowPunct w:val="0"/>
        <w:ind w:left="0"/>
        <w:rPr>
          <w:color w:val="000000"/>
        </w:rPr>
      </w:pPr>
      <w:r w:rsidRPr="004F5FB4">
        <w:rPr>
          <w:color w:val="000000"/>
        </w:rPr>
        <w:t xml:space="preserve">Wenn Ihr Kind Nebenwirkungen bekommt, wenden Sie sich an Ihren Arzt oder Apotheker. Dies gilt auch für Nebenwirkungen, die nicht in dieser Packungsbeilage angegeben sind. Sie können Nebenwirkungen auch direkt über </w:t>
      </w:r>
      <w:r w:rsidRPr="00A242C3">
        <w:rPr>
          <w:color w:val="000000"/>
          <w:highlight w:val="lightGray"/>
        </w:rPr>
        <w:t xml:space="preserve">das in </w:t>
      </w:r>
      <w:r w:rsidR="001174F4">
        <w:fldChar w:fldCharType="begin"/>
      </w:r>
      <w:r w:rsidR="001174F4">
        <w:instrText>HYPERLINK "https://www.ema.europa.eu/documents/template-form/qrd-appendix-v-adverse-drug-reaction-reporting-details_en.docx"</w:instrText>
      </w:r>
      <w:r w:rsidR="001174F4">
        <w:fldChar w:fldCharType="separate"/>
      </w:r>
      <w:r w:rsidR="001174F4" w:rsidRPr="00A242C3">
        <w:rPr>
          <w:rStyle w:val="Hyperlink"/>
          <w:highlight w:val="lightGray"/>
        </w:rPr>
        <w:t>Anhang V</w:t>
      </w:r>
      <w:r w:rsidR="001174F4">
        <w:fldChar w:fldCharType="end"/>
      </w:r>
      <w:r w:rsidR="001174F4" w:rsidRPr="00A242C3">
        <w:rPr>
          <w:color w:val="000000" w:themeColor="text1"/>
          <w:highlight w:val="lightGray"/>
        </w:rPr>
        <w:t xml:space="preserve"> </w:t>
      </w:r>
      <w:r w:rsidRPr="00A242C3">
        <w:rPr>
          <w:color w:val="000000"/>
          <w:highlight w:val="lightGray"/>
        </w:rPr>
        <w:t>aufgeführte nationale Meldesystem</w:t>
      </w:r>
      <w:r w:rsidRPr="004F5FB4">
        <w:rPr>
          <w:color w:val="000000"/>
          <w:highlight w:val="lightGray"/>
        </w:rPr>
        <w:t xml:space="preserve"> </w:t>
      </w:r>
      <w:r w:rsidRPr="004F5FB4">
        <w:rPr>
          <w:color w:val="000000"/>
        </w:rPr>
        <w:t>anzeigen. Indem Sie Nebenwirkungen melden, können Sie dazu beitragen, dass mehr Informationen über die Sicherheit dieses Arzneimittels zur Verfügung gestellt werden.</w:t>
      </w:r>
    </w:p>
    <w:p w14:paraId="2ABE545B" w14:textId="77777777" w:rsidR="00FC5A0A" w:rsidRPr="004F5FB4" w:rsidRDefault="00FC5A0A" w:rsidP="002B2067">
      <w:pPr>
        <w:pStyle w:val="BodyText"/>
        <w:widowControl/>
        <w:kinsoku w:val="0"/>
        <w:overflowPunct w:val="0"/>
        <w:ind w:left="0"/>
        <w:rPr>
          <w:color w:val="000000"/>
        </w:rPr>
      </w:pPr>
    </w:p>
    <w:p w14:paraId="62B6FDF9" w14:textId="77777777" w:rsidR="00F473DD" w:rsidRPr="004F5FB4" w:rsidRDefault="00F473DD" w:rsidP="002B2067">
      <w:pPr>
        <w:pStyle w:val="BodyText"/>
        <w:widowControl/>
        <w:kinsoku w:val="0"/>
        <w:overflowPunct w:val="0"/>
        <w:ind w:left="0"/>
        <w:rPr>
          <w:color w:val="000000"/>
        </w:rPr>
      </w:pPr>
    </w:p>
    <w:p w14:paraId="213A2E46" w14:textId="77777777" w:rsidR="00FC5A0A" w:rsidRPr="004F5FB4" w:rsidRDefault="00F473DD" w:rsidP="00F60620">
      <w:pPr>
        <w:pStyle w:val="BodyText"/>
        <w:widowControl/>
        <w:kinsoku w:val="0"/>
        <w:overflowPunct w:val="0"/>
        <w:ind w:left="0"/>
        <w:rPr>
          <w:b/>
          <w:bCs/>
          <w:color w:val="000000"/>
        </w:rPr>
      </w:pPr>
      <w:r w:rsidRPr="00F60620">
        <w:rPr>
          <w:b/>
          <w:bCs/>
          <w:color w:val="000000"/>
        </w:rPr>
        <w:t>5</w:t>
      </w:r>
      <w:r w:rsidR="006A26D1" w:rsidRPr="00F60620">
        <w:rPr>
          <w:b/>
          <w:bCs/>
          <w:color w:val="000000"/>
        </w:rPr>
        <w:t>.</w:t>
      </w:r>
      <w:r w:rsidRPr="00F60620">
        <w:rPr>
          <w:b/>
          <w:bCs/>
          <w:color w:val="000000"/>
        </w:rPr>
        <w:tab/>
        <w:t>Wie ist Amsparity aufzubewahren?</w:t>
      </w:r>
    </w:p>
    <w:p w14:paraId="500DEDB9" w14:textId="77777777" w:rsidR="00FC5A0A" w:rsidRPr="004F5FB4" w:rsidRDefault="00FC5A0A" w:rsidP="002B2067">
      <w:pPr>
        <w:pStyle w:val="BodyText"/>
        <w:widowControl/>
        <w:kinsoku w:val="0"/>
        <w:overflowPunct w:val="0"/>
        <w:ind w:left="0"/>
        <w:rPr>
          <w:b/>
          <w:bCs/>
          <w:color w:val="000000"/>
        </w:rPr>
      </w:pPr>
    </w:p>
    <w:p w14:paraId="4165B82F" w14:textId="77777777" w:rsidR="00FC5A0A" w:rsidRPr="004F5FB4" w:rsidRDefault="00FC5A0A" w:rsidP="002B2067">
      <w:pPr>
        <w:pStyle w:val="BodyText"/>
        <w:widowControl/>
        <w:kinsoku w:val="0"/>
        <w:overflowPunct w:val="0"/>
        <w:ind w:left="0"/>
        <w:rPr>
          <w:color w:val="000000"/>
        </w:rPr>
      </w:pPr>
      <w:r w:rsidRPr="004F5FB4">
        <w:rPr>
          <w:color w:val="000000"/>
        </w:rPr>
        <w:t>Bewahren Sie dieses Arzneimittel für Kinder unzugänglich auf.</w:t>
      </w:r>
    </w:p>
    <w:p w14:paraId="7657C514" w14:textId="77777777" w:rsidR="00FC5A0A" w:rsidRPr="004F5FB4" w:rsidRDefault="00FC5A0A" w:rsidP="002B2067">
      <w:pPr>
        <w:pStyle w:val="BodyText"/>
        <w:widowControl/>
        <w:kinsoku w:val="0"/>
        <w:overflowPunct w:val="0"/>
        <w:ind w:left="0"/>
        <w:rPr>
          <w:color w:val="000000"/>
        </w:rPr>
      </w:pPr>
    </w:p>
    <w:p w14:paraId="20308096" w14:textId="77777777" w:rsidR="0016465E" w:rsidRPr="004F5FB4" w:rsidRDefault="00FC5A0A" w:rsidP="002B2067">
      <w:pPr>
        <w:pStyle w:val="BodyText"/>
        <w:widowControl/>
        <w:kinsoku w:val="0"/>
        <w:overflowPunct w:val="0"/>
        <w:ind w:left="0"/>
        <w:rPr>
          <w:color w:val="000000"/>
        </w:rPr>
      </w:pPr>
      <w:r w:rsidRPr="004F5FB4">
        <w:rPr>
          <w:color w:val="000000"/>
        </w:rPr>
        <w:t>Sie dürfen das Arzneimittel nach dem auf dem Etikett/</w:t>
      </w:r>
      <w:r w:rsidR="00C10292" w:rsidRPr="004F5FB4">
        <w:rPr>
          <w:color w:val="000000"/>
        </w:rPr>
        <w:t xml:space="preserve"> </w:t>
      </w:r>
      <w:r w:rsidRPr="004F5FB4">
        <w:rPr>
          <w:color w:val="000000"/>
        </w:rPr>
        <w:t>Blister/</w:t>
      </w:r>
      <w:r w:rsidR="00C10292" w:rsidRPr="004F5FB4">
        <w:rPr>
          <w:color w:val="000000"/>
        </w:rPr>
        <w:t xml:space="preserve"> der </w:t>
      </w:r>
      <w:r w:rsidRPr="004F5FB4">
        <w:rPr>
          <w:color w:val="000000"/>
        </w:rPr>
        <w:t xml:space="preserve">Faltschachtel nach „Verwendbar bis“ angegebenen Verfalldatum nicht mehr verwenden. </w:t>
      </w:r>
    </w:p>
    <w:p w14:paraId="7FC1B8C1" w14:textId="77777777" w:rsidR="0016465E" w:rsidRPr="004F5FB4" w:rsidRDefault="0016465E" w:rsidP="002B2067">
      <w:pPr>
        <w:pStyle w:val="BodyText"/>
        <w:widowControl/>
        <w:kinsoku w:val="0"/>
        <w:overflowPunct w:val="0"/>
        <w:ind w:left="0"/>
        <w:rPr>
          <w:color w:val="000000"/>
        </w:rPr>
      </w:pPr>
    </w:p>
    <w:p w14:paraId="45D9C225" w14:textId="77777777" w:rsidR="00FC5A0A" w:rsidRPr="004F5FB4" w:rsidRDefault="00FC5A0A" w:rsidP="002B2067">
      <w:pPr>
        <w:pStyle w:val="BodyText"/>
        <w:widowControl/>
        <w:kinsoku w:val="0"/>
        <w:overflowPunct w:val="0"/>
        <w:ind w:left="0"/>
        <w:rPr>
          <w:color w:val="000000"/>
        </w:rPr>
      </w:pPr>
      <w:r w:rsidRPr="004F5FB4">
        <w:rPr>
          <w:color w:val="000000"/>
        </w:rPr>
        <w:t>Im Kühlschrank lagern (2 °C – 8 °C). Nicht einfrieren.</w:t>
      </w:r>
    </w:p>
    <w:p w14:paraId="4DF9CCFF" w14:textId="77777777" w:rsidR="002418DA" w:rsidRPr="004F5FB4" w:rsidRDefault="002418DA" w:rsidP="002B2067">
      <w:pPr>
        <w:pStyle w:val="BodyText"/>
        <w:widowControl/>
        <w:kinsoku w:val="0"/>
        <w:overflowPunct w:val="0"/>
        <w:ind w:left="0"/>
        <w:rPr>
          <w:color w:val="000000"/>
        </w:rPr>
      </w:pPr>
    </w:p>
    <w:p w14:paraId="033A3E63" w14:textId="77777777" w:rsidR="00FC5A0A" w:rsidRPr="004F5FB4" w:rsidRDefault="00FC5A0A" w:rsidP="002B2067">
      <w:pPr>
        <w:pStyle w:val="BodyText"/>
        <w:widowControl/>
        <w:kinsoku w:val="0"/>
        <w:overflowPunct w:val="0"/>
        <w:ind w:left="0"/>
        <w:rPr>
          <w:color w:val="000000"/>
        </w:rPr>
      </w:pPr>
      <w:r w:rsidRPr="004F5FB4">
        <w:rPr>
          <w:color w:val="000000"/>
        </w:rPr>
        <w:lastRenderedPageBreak/>
        <w:t>Die Fertigspritze im Umkarton aufbewahren, um den Inhalt vor Licht zu schützen.</w:t>
      </w:r>
    </w:p>
    <w:p w14:paraId="6C781715" w14:textId="77777777" w:rsidR="00FC5A0A" w:rsidRPr="004F5FB4" w:rsidRDefault="00FC5A0A" w:rsidP="002B2067">
      <w:pPr>
        <w:pStyle w:val="BodyText"/>
        <w:widowControl/>
        <w:kinsoku w:val="0"/>
        <w:overflowPunct w:val="0"/>
        <w:ind w:left="0"/>
        <w:rPr>
          <w:color w:val="000000"/>
        </w:rPr>
      </w:pPr>
    </w:p>
    <w:p w14:paraId="561A6688" w14:textId="77777777" w:rsidR="00FC5A0A" w:rsidRPr="004F5FB4" w:rsidRDefault="00FC5A0A" w:rsidP="00771BD7">
      <w:pPr>
        <w:pStyle w:val="BodyText"/>
        <w:keepNext/>
        <w:widowControl/>
        <w:kinsoku w:val="0"/>
        <w:overflowPunct w:val="0"/>
        <w:ind w:left="0"/>
        <w:rPr>
          <w:color w:val="000000"/>
          <w:u w:val="single"/>
        </w:rPr>
      </w:pPr>
      <w:r w:rsidRPr="004F5FB4">
        <w:rPr>
          <w:color w:val="000000"/>
          <w:u w:val="single"/>
        </w:rPr>
        <w:t>Alternative Lagerung:</w:t>
      </w:r>
    </w:p>
    <w:p w14:paraId="4DDC6186" w14:textId="77777777" w:rsidR="00FC5A0A" w:rsidRPr="004F5FB4" w:rsidRDefault="00FC5A0A" w:rsidP="00771BD7">
      <w:pPr>
        <w:pStyle w:val="BodyText"/>
        <w:keepNext/>
        <w:widowControl/>
        <w:kinsoku w:val="0"/>
        <w:overflowPunct w:val="0"/>
        <w:ind w:left="0"/>
        <w:rPr>
          <w:color w:val="000000"/>
        </w:rPr>
      </w:pPr>
    </w:p>
    <w:p w14:paraId="1A961DA9" w14:textId="77777777" w:rsidR="00FC5A0A" w:rsidRPr="004F5FB4" w:rsidRDefault="00FC5A0A" w:rsidP="002B2067">
      <w:pPr>
        <w:pStyle w:val="BodyText"/>
        <w:widowControl/>
        <w:kinsoku w:val="0"/>
        <w:overflowPunct w:val="0"/>
        <w:ind w:left="0"/>
        <w:rPr>
          <w:color w:val="000000"/>
        </w:rPr>
      </w:pPr>
      <w:r w:rsidRPr="004F5FB4">
        <w:rPr>
          <w:color w:val="000000"/>
        </w:rPr>
        <w:t xml:space="preserve">Wenn erforderlich (zum Beispiel, </w:t>
      </w:r>
      <w:r w:rsidR="000B71DE" w:rsidRPr="004F5FB4">
        <w:rPr>
          <w:color w:val="000000"/>
        </w:rPr>
        <w:t>auf Reisen</w:t>
      </w:r>
      <w:r w:rsidRPr="004F5FB4">
        <w:rPr>
          <w:color w:val="000000"/>
        </w:rPr>
        <w:t>), darf eine einzelne Amsparity-Fertigspritze auch bis zu 30</w:t>
      </w:r>
      <w:r w:rsidR="00C10292" w:rsidRPr="004F5FB4">
        <w:rPr>
          <w:color w:val="000000"/>
        </w:rPr>
        <w:t> </w:t>
      </w:r>
      <w:r w:rsidRPr="004F5FB4">
        <w:rPr>
          <w:color w:val="000000"/>
        </w:rPr>
        <w:t xml:space="preserve">Tage lang bei Raumtemperatur aufbewahrt werden (nicht über 30 °C und vor Licht geschützt). Sobald Sie die Spritze aus dem Kühlschrank genommen haben, um sie bei Raumtemperatur zu lagern, </w:t>
      </w:r>
      <w:r w:rsidRPr="004F5FB4">
        <w:rPr>
          <w:b/>
          <w:bCs/>
          <w:color w:val="000000"/>
        </w:rPr>
        <w:t>müssen Sie sie innerhalb dieser 30</w:t>
      </w:r>
      <w:r w:rsidR="00C10292" w:rsidRPr="004F5FB4">
        <w:rPr>
          <w:b/>
          <w:bCs/>
          <w:color w:val="000000"/>
        </w:rPr>
        <w:t> </w:t>
      </w:r>
      <w:r w:rsidRPr="004F5FB4">
        <w:rPr>
          <w:b/>
          <w:bCs/>
          <w:color w:val="000000"/>
        </w:rPr>
        <w:t>Tage verbrauchen oder wegwerfen</w:t>
      </w:r>
      <w:r w:rsidRPr="004F5FB4">
        <w:rPr>
          <w:color w:val="000000"/>
        </w:rPr>
        <w:t>, auch wenn Sie sie in den Kühlschrank zurücklegen.</w:t>
      </w:r>
    </w:p>
    <w:p w14:paraId="0BFC96EB" w14:textId="77777777" w:rsidR="00FC5A0A" w:rsidRPr="004F5FB4" w:rsidRDefault="00FC5A0A" w:rsidP="002B2067">
      <w:pPr>
        <w:pStyle w:val="BodyText"/>
        <w:widowControl/>
        <w:kinsoku w:val="0"/>
        <w:overflowPunct w:val="0"/>
        <w:ind w:left="0"/>
        <w:rPr>
          <w:color w:val="000000"/>
        </w:rPr>
      </w:pPr>
    </w:p>
    <w:p w14:paraId="74366386" w14:textId="77777777" w:rsidR="00FC5A0A" w:rsidRPr="004F5FB4" w:rsidRDefault="00FC5A0A" w:rsidP="002B2067">
      <w:pPr>
        <w:pStyle w:val="BodyText"/>
        <w:widowControl/>
        <w:kinsoku w:val="0"/>
        <w:overflowPunct w:val="0"/>
        <w:ind w:left="0"/>
        <w:rPr>
          <w:color w:val="000000"/>
        </w:rPr>
      </w:pPr>
      <w:r w:rsidRPr="004F5FB4">
        <w:rPr>
          <w:color w:val="000000"/>
        </w:rPr>
        <w:t>Sie sollten sich das Datum notieren, an dem Sie die Fertigspritze das erste Mal aus dem Kühlschrank nehmen. Auch sollten Sie sich das Datum notieren, zu dem Sie die Fertigspritze wegwerfen müssen.</w:t>
      </w:r>
    </w:p>
    <w:p w14:paraId="659507AF" w14:textId="77777777" w:rsidR="00FC5A0A" w:rsidRPr="004F5FB4" w:rsidRDefault="00FC5A0A" w:rsidP="002B2067">
      <w:pPr>
        <w:pStyle w:val="BodyText"/>
        <w:widowControl/>
        <w:kinsoku w:val="0"/>
        <w:overflowPunct w:val="0"/>
        <w:ind w:left="0"/>
        <w:rPr>
          <w:color w:val="000000"/>
        </w:rPr>
      </w:pPr>
    </w:p>
    <w:p w14:paraId="2154B618" w14:textId="77777777" w:rsidR="00FC5A0A" w:rsidRPr="004F5FB4" w:rsidRDefault="00FC5A0A" w:rsidP="002B2067">
      <w:pPr>
        <w:pStyle w:val="BodyText"/>
        <w:widowControl/>
        <w:kinsoku w:val="0"/>
        <w:overflowPunct w:val="0"/>
        <w:ind w:left="0"/>
        <w:rPr>
          <w:color w:val="000000"/>
        </w:rPr>
      </w:pPr>
      <w:r w:rsidRPr="004F5FB4">
        <w:rPr>
          <w:color w:val="000000"/>
        </w:rPr>
        <w:t xml:space="preserve">Entsorgen Sie Arzneimittel nicht im Abwasser oder Haushaltsabfall. Fragen Sie </w:t>
      </w:r>
      <w:r w:rsidR="001A2F7E" w:rsidRPr="004F5FB4">
        <w:rPr>
          <w:color w:val="000000"/>
        </w:rPr>
        <w:t xml:space="preserve">den </w:t>
      </w:r>
      <w:r w:rsidRPr="004F5FB4">
        <w:rPr>
          <w:color w:val="000000"/>
        </w:rPr>
        <w:t>Arzt oder Apotheker</w:t>
      </w:r>
      <w:r w:rsidR="001A2F7E" w:rsidRPr="004F5FB4">
        <w:rPr>
          <w:color w:val="000000"/>
        </w:rPr>
        <w:t xml:space="preserve"> Ihres Kindes</w:t>
      </w:r>
      <w:r w:rsidRPr="004F5FB4">
        <w:rPr>
          <w:color w:val="000000"/>
        </w:rPr>
        <w:t>, wie das Arzneimittel zu entsorgen ist, wenn Sie es nicht mehr verwenden. Sie tragen damit zum Schutz der Umwelt bei.</w:t>
      </w:r>
    </w:p>
    <w:p w14:paraId="49DA7150" w14:textId="77777777" w:rsidR="00FC5A0A" w:rsidRPr="004F5FB4" w:rsidRDefault="00FC5A0A" w:rsidP="002B2067">
      <w:pPr>
        <w:pStyle w:val="BodyText"/>
        <w:widowControl/>
        <w:kinsoku w:val="0"/>
        <w:overflowPunct w:val="0"/>
        <w:ind w:left="0"/>
        <w:rPr>
          <w:color w:val="000000"/>
        </w:rPr>
      </w:pPr>
    </w:p>
    <w:p w14:paraId="5C39E58C" w14:textId="77777777" w:rsidR="00FC5A0A" w:rsidRPr="004F5FB4" w:rsidRDefault="00FC5A0A" w:rsidP="002B2067">
      <w:pPr>
        <w:pStyle w:val="BodyText"/>
        <w:widowControl/>
        <w:kinsoku w:val="0"/>
        <w:overflowPunct w:val="0"/>
        <w:ind w:left="0"/>
        <w:rPr>
          <w:color w:val="000000"/>
        </w:rPr>
      </w:pPr>
    </w:p>
    <w:p w14:paraId="342823BF" w14:textId="77777777" w:rsidR="00FC5A0A" w:rsidRPr="004F5FB4" w:rsidRDefault="0016465E" w:rsidP="00F60620">
      <w:pPr>
        <w:pStyle w:val="BodyText"/>
        <w:widowControl/>
        <w:kinsoku w:val="0"/>
        <w:overflowPunct w:val="0"/>
        <w:ind w:left="0"/>
        <w:rPr>
          <w:b/>
          <w:bCs/>
          <w:color w:val="000000"/>
        </w:rPr>
      </w:pPr>
      <w:r w:rsidRPr="00F60620">
        <w:rPr>
          <w:b/>
          <w:bCs/>
          <w:color w:val="000000"/>
        </w:rPr>
        <w:t>6</w:t>
      </w:r>
      <w:r w:rsidR="006A26D1" w:rsidRPr="00F60620">
        <w:rPr>
          <w:b/>
          <w:bCs/>
          <w:color w:val="000000"/>
        </w:rPr>
        <w:t>.</w:t>
      </w:r>
      <w:r w:rsidRPr="00F60620">
        <w:rPr>
          <w:b/>
          <w:bCs/>
          <w:color w:val="000000"/>
        </w:rPr>
        <w:tab/>
        <w:t xml:space="preserve">Inhalt der Packung und weitere Informationen </w:t>
      </w:r>
    </w:p>
    <w:p w14:paraId="02F021D8" w14:textId="77777777" w:rsidR="002B2067" w:rsidRPr="00F60620" w:rsidRDefault="002B2067" w:rsidP="00F60620">
      <w:pPr>
        <w:pStyle w:val="BodyText"/>
        <w:widowControl/>
        <w:kinsoku w:val="0"/>
        <w:overflowPunct w:val="0"/>
        <w:ind w:left="0"/>
        <w:rPr>
          <w:b/>
          <w:bCs/>
          <w:color w:val="000000"/>
        </w:rPr>
      </w:pPr>
    </w:p>
    <w:p w14:paraId="514F0B92" w14:textId="77777777" w:rsidR="00FC5A0A" w:rsidRPr="004F5FB4" w:rsidRDefault="00FC5A0A" w:rsidP="00F60620">
      <w:pPr>
        <w:pStyle w:val="BodyText"/>
        <w:widowControl/>
        <w:kinsoku w:val="0"/>
        <w:overflowPunct w:val="0"/>
        <w:ind w:left="0"/>
        <w:rPr>
          <w:b/>
          <w:bCs/>
          <w:color w:val="000000"/>
        </w:rPr>
      </w:pPr>
      <w:r w:rsidRPr="00F60620">
        <w:rPr>
          <w:b/>
          <w:bCs/>
          <w:color w:val="000000"/>
        </w:rPr>
        <w:t>Was Amsparity enthält</w:t>
      </w:r>
    </w:p>
    <w:p w14:paraId="607BD168" w14:textId="77777777" w:rsidR="002B2067" w:rsidRPr="004F5FB4" w:rsidRDefault="002B2067" w:rsidP="002B2067">
      <w:pPr>
        <w:pStyle w:val="BodyText"/>
        <w:widowControl/>
        <w:kinsoku w:val="0"/>
        <w:overflowPunct w:val="0"/>
        <w:ind w:left="0"/>
        <w:rPr>
          <w:color w:val="000000"/>
        </w:rPr>
      </w:pPr>
    </w:p>
    <w:p w14:paraId="091D6CCF" w14:textId="77777777" w:rsidR="00FC5A0A" w:rsidRPr="004F5FB4" w:rsidRDefault="00FC5A0A" w:rsidP="002B2067">
      <w:pPr>
        <w:pStyle w:val="BodyText"/>
        <w:widowControl/>
        <w:kinsoku w:val="0"/>
        <w:overflowPunct w:val="0"/>
        <w:ind w:left="0"/>
        <w:rPr>
          <w:color w:val="000000"/>
        </w:rPr>
      </w:pPr>
      <w:r w:rsidRPr="004F5FB4">
        <w:rPr>
          <w:color w:val="000000"/>
        </w:rPr>
        <w:t>Der Wirkstoff ist: Adalimumab.</w:t>
      </w:r>
    </w:p>
    <w:p w14:paraId="48E3F580" w14:textId="77777777" w:rsidR="002B2067" w:rsidRPr="004F5FB4" w:rsidRDefault="002B2067" w:rsidP="002B2067">
      <w:pPr>
        <w:pStyle w:val="BodyText"/>
        <w:widowControl/>
        <w:kinsoku w:val="0"/>
        <w:overflowPunct w:val="0"/>
        <w:ind w:left="0"/>
        <w:rPr>
          <w:color w:val="000000"/>
        </w:rPr>
      </w:pPr>
    </w:p>
    <w:p w14:paraId="6C4E0118" w14:textId="7E7DF5F5" w:rsidR="00FC5A0A" w:rsidRPr="004F5FB4" w:rsidRDefault="00FC5A0A" w:rsidP="002B2067">
      <w:pPr>
        <w:pStyle w:val="BodyText"/>
        <w:widowControl/>
        <w:kinsoku w:val="0"/>
        <w:overflowPunct w:val="0"/>
        <w:ind w:left="0"/>
        <w:rPr>
          <w:color w:val="000000"/>
        </w:rPr>
      </w:pPr>
      <w:r w:rsidRPr="004F5FB4">
        <w:rPr>
          <w:color w:val="000000"/>
        </w:rPr>
        <w:t>Die sonstigen Bestandteile sind: L-Histidin, L-Histidin-Hydrochlorid-Monohydrat, Sucrose, EDTA-Dinatrium-Dihydrat, L-Methionin, Polysorbat 80 und Wasser für Injektionszwecke</w:t>
      </w:r>
      <w:r w:rsidR="006F0A56">
        <w:rPr>
          <w:color w:val="000000"/>
        </w:rPr>
        <w:t xml:space="preserve"> (siehe Abschnitt 2 „Amsparity enthält Polysorbat 80“ und „Amsparity enthält Natrium“)</w:t>
      </w:r>
      <w:r w:rsidRPr="004F5FB4">
        <w:rPr>
          <w:color w:val="000000"/>
        </w:rPr>
        <w:t>.</w:t>
      </w:r>
    </w:p>
    <w:p w14:paraId="078CEE82" w14:textId="77777777" w:rsidR="00FC5A0A" w:rsidRPr="004F5FB4" w:rsidRDefault="00FC5A0A" w:rsidP="002B2067">
      <w:pPr>
        <w:pStyle w:val="BodyText"/>
        <w:widowControl/>
        <w:kinsoku w:val="0"/>
        <w:overflowPunct w:val="0"/>
        <w:ind w:left="0"/>
        <w:rPr>
          <w:color w:val="000000"/>
        </w:rPr>
      </w:pPr>
    </w:p>
    <w:p w14:paraId="44A69D36" w14:textId="77777777" w:rsidR="00FC5A0A" w:rsidRPr="004F5FB4" w:rsidRDefault="00FC5A0A" w:rsidP="00F60620">
      <w:pPr>
        <w:pStyle w:val="BodyText"/>
        <w:widowControl/>
        <w:kinsoku w:val="0"/>
        <w:overflowPunct w:val="0"/>
        <w:ind w:left="0"/>
        <w:rPr>
          <w:b/>
          <w:bCs/>
          <w:color w:val="000000"/>
        </w:rPr>
      </w:pPr>
      <w:r w:rsidRPr="00F60620">
        <w:rPr>
          <w:b/>
          <w:bCs/>
          <w:color w:val="000000"/>
        </w:rPr>
        <w:t>Wie die Amsparity-Fertigspritze aussieht und Inhalt der Packung</w:t>
      </w:r>
    </w:p>
    <w:p w14:paraId="46E9EBFF" w14:textId="77777777" w:rsidR="00FC5A0A" w:rsidRPr="004F5FB4" w:rsidRDefault="00FC5A0A" w:rsidP="002B2067">
      <w:pPr>
        <w:pStyle w:val="BodyText"/>
        <w:widowControl/>
        <w:kinsoku w:val="0"/>
        <w:overflowPunct w:val="0"/>
        <w:ind w:left="0"/>
        <w:rPr>
          <w:b/>
          <w:bCs/>
          <w:color w:val="000000"/>
        </w:rPr>
      </w:pPr>
    </w:p>
    <w:p w14:paraId="170F6523" w14:textId="77777777" w:rsidR="00FC5A0A" w:rsidRPr="004F5FB4" w:rsidRDefault="006A1144" w:rsidP="002B2067">
      <w:pPr>
        <w:pStyle w:val="BodyText"/>
        <w:widowControl/>
        <w:kinsoku w:val="0"/>
        <w:overflowPunct w:val="0"/>
        <w:ind w:left="0"/>
        <w:rPr>
          <w:color w:val="000000"/>
        </w:rPr>
      </w:pPr>
      <w:r w:rsidRPr="004F5FB4">
        <w:rPr>
          <w:color w:val="000000"/>
        </w:rPr>
        <w:t>Amsparity 20</w:t>
      </w:r>
      <w:r w:rsidR="00C10292" w:rsidRPr="004F5FB4">
        <w:rPr>
          <w:color w:val="000000"/>
        </w:rPr>
        <w:t> </w:t>
      </w:r>
      <w:r w:rsidRPr="004F5FB4">
        <w:rPr>
          <w:color w:val="000000"/>
        </w:rPr>
        <w:t>mg Injektionslösung in einer Fertigspritze für die Anwendung bei Kindern und Jugendlichen wird als sterile Lösung von 20</w:t>
      </w:r>
      <w:r w:rsidR="00C10292" w:rsidRPr="004F5FB4">
        <w:rPr>
          <w:color w:val="000000"/>
        </w:rPr>
        <w:t> </w:t>
      </w:r>
      <w:r w:rsidRPr="004F5FB4">
        <w:rPr>
          <w:color w:val="000000"/>
        </w:rPr>
        <w:t>mg Adalimumab in 0,4</w:t>
      </w:r>
      <w:r w:rsidR="00C10292" w:rsidRPr="004F5FB4">
        <w:rPr>
          <w:color w:val="000000"/>
        </w:rPr>
        <w:t> </w:t>
      </w:r>
      <w:r w:rsidRPr="004F5FB4">
        <w:rPr>
          <w:color w:val="000000"/>
        </w:rPr>
        <w:t>ml Lösung geliefert.</w:t>
      </w:r>
    </w:p>
    <w:p w14:paraId="44A7BED7" w14:textId="77777777" w:rsidR="00FC5A0A" w:rsidRPr="004F5FB4" w:rsidRDefault="00FC5A0A" w:rsidP="002B2067">
      <w:pPr>
        <w:pStyle w:val="BodyText"/>
        <w:widowControl/>
        <w:kinsoku w:val="0"/>
        <w:overflowPunct w:val="0"/>
        <w:ind w:left="0"/>
        <w:rPr>
          <w:color w:val="000000"/>
        </w:rPr>
      </w:pPr>
    </w:p>
    <w:p w14:paraId="725110C0" w14:textId="77777777" w:rsidR="00FC5A0A" w:rsidRPr="004F5FB4" w:rsidRDefault="00FC5A0A" w:rsidP="002B2067">
      <w:pPr>
        <w:pStyle w:val="BodyText"/>
        <w:widowControl/>
        <w:kinsoku w:val="0"/>
        <w:overflowPunct w:val="0"/>
        <w:ind w:left="0"/>
        <w:rPr>
          <w:color w:val="000000"/>
        </w:rPr>
      </w:pPr>
      <w:r w:rsidRPr="004F5FB4">
        <w:rPr>
          <w:color w:val="000000"/>
        </w:rPr>
        <w:t>Die Amsparity-Fertigspritze ist aus Glas und enthält eine klare, farblose bis sehr hellbraune Adalimumab-Lösung.</w:t>
      </w:r>
    </w:p>
    <w:p w14:paraId="2AFC7D01" w14:textId="77777777" w:rsidR="00FC5A0A" w:rsidRPr="004F5FB4" w:rsidRDefault="00FC5A0A" w:rsidP="002B2067">
      <w:pPr>
        <w:pStyle w:val="BodyText"/>
        <w:widowControl/>
        <w:kinsoku w:val="0"/>
        <w:overflowPunct w:val="0"/>
        <w:ind w:left="0"/>
        <w:rPr>
          <w:color w:val="000000"/>
        </w:rPr>
      </w:pPr>
    </w:p>
    <w:p w14:paraId="33544E87" w14:textId="77777777" w:rsidR="00FC5A0A" w:rsidRPr="004F5FB4" w:rsidRDefault="00FC5A0A" w:rsidP="002B2067">
      <w:pPr>
        <w:pStyle w:val="BodyText"/>
        <w:widowControl/>
        <w:kinsoku w:val="0"/>
        <w:overflowPunct w:val="0"/>
        <w:ind w:left="0"/>
        <w:rPr>
          <w:color w:val="000000"/>
        </w:rPr>
      </w:pPr>
      <w:r w:rsidRPr="004F5FB4">
        <w:rPr>
          <w:color w:val="000000"/>
        </w:rPr>
        <w:t>Jede Packung enthält 2</w:t>
      </w:r>
      <w:r w:rsidR="00C10292" w:rsidRPr="004F5FB4">
        <w:rPr>
          <w:color w:val="000000"/>
        </w:rPr>
        <w:t> </w:t>
      </w:r>
      <w:r w:rsidRPr="004F5FB4">
        <w:rPr>
          <w:color w:val="000000"/>
        </w:rPr>
        <w:t>Amsparity-Fertigspritzen zum Gebrauch durch den Patienten und 2</w:t>
      </w:r>
      <w:r w:rsidR="00B00A90" w:rsidRPr="004F5FB4">
        <w:rPr>
          <w:color w:val="000000"/>
        </w:rPr>
        <w:t> </w:t>
      </w:r>
      <w:r w:rsidRPr="004F5FB4">
        <w:rPr>
          <w:color w:val="000000"/>
        </w:rPr>
        <w:t xml:space="preserve">Alkoholtupfer. </w:t>
      </w:r>
    </w:p>
    <w:p w14:paraId="44556F9A" w14:textId="77777777" w:rsidR="00FC5A0A" w:rsidRPr="004F5FB4" w:rsidRDefault="00FC5A0A" w:rsidP="002B2067">
      <w:pPr>
        <w:pStyle w:val="BodyText"/>
        <w:widowControl/>
        <w:kinsoku w:val="0"/>
        <w:overflowPunct w:val="0"/>
        <w:ind w:left="0"/>
        <w:rPr>
          <w:color w:val="000000"/>
        </w:rPr>
      </w:pPr>
    </w:p>
    <w:p w14:paraId="1CA749A1" w14:textId="77777777" w:rsidR="00FC5A0A" w:rsidRPr="004F5FB4" w:rsidRDefault="006A1144" w:rsidP="002B2067">
      <w:pPr>
        <w:pStyle w:val="BodyText"/>
        <w:widowControl/>
        <w:kinsoku w:val="0"/>
        <w:overflowPunct w:val="0"/>
        <w:ind w:left="0"/>
        <w:rPr>
          <w:color w:val="000000"/>
        </w:rPr>
      </w:pPr>
      <w:r w:rsidRPr="004F5FB4">
        <w:rPr>
          <w:color w:val="000000"/>
        </w:rPr>
        <w:t>Amsparity kann als Durchstechflasche, Fertigspritze und/</w:t>
      </w:r>
      <w:r w:rsidR="00C10292" w:rsidRPr="004F5FB4">
        <w:rPr>
          <w:color w:val="000000"/>
        </w:rPr>
        <w:t xml:space="preserve"> </w:t>
      </w:r>
      <w:r w:rsidRPr="004F5FB4">
        <w:rPr>
          <w:color w:val="000000"/>
        </w:rPr>
        <w:t>oder als Fertigpen erhältlich sein.</w:t>
      </w:r>
    </w:p>
    <w:p w14:paraId="58C0616E" w14:textId="77777777" w:rsidR="00FC5A0A" w:rsidRPr="004F5FB4" w:rsidRDefault="00FC5A0A" w:rsidP="002B2067">
      <w:pPr>
        <w:pStyle w:val="BodyText"/>
        <w:widowControl/>
        <w:kinsoku w:val="0"/>
        <w:overflowPunct w:val="0"/>
        <w:ind w:left="0"/>
        <w:rPr>
          <w:color w:val="000000"/>
        </w:rPr>
      </w:pPr>
    </w:p>
    <w:p w14:paraId="67669EC9" w14:textId="77777777" w:rsidR="00FC5A0A" w:rsidRPr="004F5FB4" w:rsidRDefault="00FC5A0A" w:rsidP="00F60620">
      <w:pPr>
        <w:pStyle w:val="BodyText"/>
        <w:widowControl/>
        <w:kinsoku w:val="0"/>
        <w:overflowPunct w:val="0"/>
        <w:ind w:left="0"/>
        <w:rPr>
          <w:b/>
          <w:bCs/>
          <w:color w:val="000000"/>
        </w:rPr>
      </w:pPr>
      <w:r w:rsidRPr="00F60620">
        <w:rPr>
          <w:b/>
          <w:bCs/>
          <w:color w:val="000000"/>
        </w:rPr>
        <w:t>Pharmazeutischer Unternehmer</w:t>
      </w:r>
    </w:p>
    <w:p w14:paraId="66E67F73" w14:textId="77777777" w:rsidR="00FC5A0A" w:rsidRPr="00C325BF" w:rsidRDefault="00FC5A0A" w:rsidP="00986295">
      <w:pPr>
        <w:pStyle w:val="BodyText"/>
        <w:keepNext/>
        <w:widowControl/>
        <w:kinsoku w:val="0"/>
        <w:overflowPunct w:val="0"/>
        <w:ind w:left="0"/>
        <w:rPr>
          <w:b/>
          <w:bCs/>
          <w:color w:val="000000"/>
        </w:rPr>
      </w:pPr>
    </w:p>
    <w:p w14:paraId="33B45757" w14:textId="77777777" w:rsidR="00DD75F2" w:rsidRPr="004F5FB4" w:rsidRDefault="00DD75F2" w:rsidP="00986295">
      <w:pPr>
        <w:pStyle w:val="BodyText"/>
        <w:keepNext/>
        <w:widowControl/>
        <w:kinsoku w:val="0"/>
        <w:overflowPunct w:val="0"/>
        <w:ind w:left="0"/>
        <w:rPr>
          <w:color w:val="000000"/>
        </w:rPr>
      </w:pPr>
      <w:r w:rsidRPr="004F5FB4">
        <w:rPr>
          <w:color w:val="000000"/>
        </w:rPr>
        <w:t>Pfizer Europe MA EEIG</w:t>
      </w:r>
    </w:p>
    <w:p w14:paraId="2887620C" w14:textId="77777777" w:rsidR="00AA2493" w:rsidRPr="00C325BF" w:rsidRDefault="00AA2493" w:rsidP="002B2067">
      <w:pPr>
        <w:pStyle w:val="BodyText"/>
        <w:widowControl/>
        <w:kinsoku w:val="0"/>
        <w:overflowPunct w:val="0"/>
        <w:ind w:left="0"/>
        <w:rPr>
          <w:color w:val="000000"/>
          <w:lang w:val="fr-FR"/>
        </w:rPr>
      </w:pPr>
      <w:r w:rsidRPr="00C325BF">
        <w:rPr>
          <w:color w:val="000000"/>
          <w:lang w:val="fr-FR"/>
        </w:rPr>
        <w:t>Boulevard de la Plaine</w:t>
      </w:r>
      <w:r w:rsidR="00C10292" w:rsidRPr="00C325BF">
        <w:rPr>
          <w:color w:val="000000"/>
          <w:lang w:val="fr-FR"/>
        </w:rPr>
        <w:t> </w:t>
      </w:r>
      <w:r w:rsidRPr="00C325BF">
        <w:rPr>
          <w:color w:val="000000"/>
          <w:lang w:val="fr-FR"/>
        </w:rPr>
        <w:t>17</w:t>
      </w:r>
    </w:p>
    <w:p w14:paraId="6CC93E19" w14:textId="77777777" w:rsidR="00AA2493" w:rsidRPr="00C325BF" w:rsidRDefault="00AA2493" w:rsidP="002B2067">
      <w:pPr>
        <w:pStyle w:val="BodyText"/>
        <w:widowControl/>
        <w:kinsoku w:val="0"/>
        <w:overflowPunct w:val="0"/>
        <w:ind w:left="0"/>
        <w:rPr>
          <w:color w:val="000000"/>
          <w:lang w:val="fr-FR"/>
        </w:rPr>
      </w:pPr>
      <w:r w:rsidRPr="00C325BF">
        <w:rPr>
          <w:color w:val="000000"/>
          <w:lang w:val="fr-FR"/>
        </w:rPr>
        <w:t>1050</w:t>
      </w:r>
      <w:r w:rsidR="00C10292" w:rsidRPr="00C325BF">
        <w:rPr>
          <w:color w:val="000000"/>
          <w:lang w:val="fr-FR"/>
        </w:rPr>
        <w:t> </w:t>
      </w:r>
      <w:proofErr w:type="spellStart"/>
      <w:r w:rsidRPr="00C325BF">
        <w:rPr>
          <w:color w:val="000000"/>
          <w:lang w:val="fr-FR"/>
        </w:rPr>
        <w:t>Br</w:t>
      </w:r>
      <w:r w:rsidR="002173C6" w:rsidRPr="00C325BF">
        <w:rPr>
          <w:color w:val="000000"/>
          <w:lang w:val="fr-FR"/>
        </w:rPr>
        <w:t>üssel</w:t>
      </w:r>
      <w:proofErr w:type="spellEnd"/>
    </w:p>
    <w:p w14:paraId="7F6039D1" w14:textId="77777777" w:rsidR="00AA2493" w:rsidRPr="00C325BF" w:rsidRDefault="00AA2493" w:rsidP="002B2067">
      <w:pPr>
        <w:pStyle w:val="BodyText"/>
        <w:widowControl/>
        <w:kinsoku w:val="0"/>
        <w:overflowPunct w:val="0"/>
        <w:ind w:left="0"/>
        <w:rPr>
          <w:color w:val="000000"/>
          <w:lang w:val="fr-FR"/>
        </w:rPr>
      </w:pPr>
      <w:proofErr w:type="spellStart"/>
      <w:r w:rsidRPr="00C325BF">
        <w:rPr>
          <w:color w:val="000000"/>
          <w:lang w:val="fr-FR"/>
        </w:rPr>
        <w:t>Belgien</w:t>
      </w:r>
      <w:proofErr w:type="spellEnd"/>
    </w:p>
    <w:p w14:paraId="29970721" w14:textId="77777777" w:rsidR="00FC5A0A" w:rsidRPr="00C325BF" w:rsidRDefault="00FC5A0A" w:rsidP="002B2067">
      <w:pPr>
        <w:pStyle w:val="BodyText"/>
        <w:widowControl/>
        <w:kinsoku w:val="0"/>
        <w:overflowPunct w:val="0"/>
        <w:ind w:left="0"/>
        <w:rPr>
          <w:color w:val="000000"/>
          <w:lang w:val="fr-FR"/>
        </w:rPr>
      </w:pPr>
    </w:p>
    <w:p w14:paraId="21F94EBD" w14:textId="77777777" w:rsidR="00FC5A0A" w:rsidRPr="004F5FB4" w:rsidRDefault="00FC5A0A" w:rsidP="00F60620">
      <w:pPr>
        <w:pStyle w:val="BodyText"/>
        <w:widowControl/>
        <w:kinsoku w:val="0"/>
        <w:overflowPunct w:val="0"/>
        <w:ind w:left="0"/>
        <w:rPr>
          <w:b/>
          <w:bCs/>
          <w:color w:val="000000"/>
        </w:rPr>
      </w:pPr>
      <w:r w:rsidRPr="00F60620">
        <w:rPr>
          <w:b/>
          <w:bCs/>
          <w:color w:val="000000"/>
        </w:rPr>
        <w:t>Hersteller</w:t>
      </w:r>
    </w:p>
    <w:p w14:paraId="744E62A7" w14:textId="77777777" w:rsidR="00FC5A0A" w:rsidRPr="004F5FB4" w:rsidRDefault="00FC5A0A" w:rsidP="0016465E">
      <w:pPr>
        <w:pStyle w:val="BodyText"/>
        <w:keepNext/>
        <w:widowControl/>
        <w:kinsoku w:val="0"/>
        <w:overflowPunct w:val="0"/>
        <w:ind w:left="0"/>
        <w:rPr>
          <w:b/>
          <w:bCs/>
          <w:color w:val="000000"/>
        </w:rPr>
      </w:pPr>
    </w:p>
    <w:p w14:paraId="7E2B9122" w14:textId="1DAC2F26" w:rsidR="00AB5164" w:rsidRPr="004F5FB4" w:rsidRDefault="00AB5164" w:rsidP="0016465E">
      <w:pPr>
        <w:pStyle w:val="BodyText"/>
        <w:keepNext/>
        <w:widowControl/>
        <w:kinsoku w:val="0"/>
        <w:overflowPunct w:val="0"/>
        <w:ind w:left="0"/>
        <w:rPr>
          <w:color w:val="000000"/>
        </w:rPr>
      </w:pPr>
      <w:r w:rsidRPr="004F5FB4">
        <w:rPr>
          <w:color w:val="000000"/>
        </w:rPr>
        <w:t>Pfizer Service Company BV</w:t>
      </w:r>
    </w:p>
    <w:p w14:paraId="20B7B77B" w14:textId="77777777" w:rsidR="00EC03BF" w:rsidRPr="00956704" w:rsidRDefault="00EC03BF" w:rsidP="00EC03BF">
      <w:pPr>
        <w:rPr>
          <w:ins w:id="12" w:author="Author" w:date="2025-06-12T14:11:00Z" w16du:dateUtc="2025-06-12T13:11:00Z"/>
          <w:lang w:val="fr-FR"/>
        </w:rPr>
      </w:pPr>
      <w:proofErr w:type="spellStart"/>
      <w:ins w:id="13" w:author="Author" w:date="2025-06-12T14:11:00Z" w16du:dateUtc="2025-06-12T13:11:00Z">
        <w:r w:rsidRPr="00956704">
          <w:rPr>
            <w:lang w:val="fr-FR"/>
          </w:rPr>
          <w:t>Hermeslaan</w:t>
        </w:r>
        <w:proofErr w:type="spellEnd"/>
        <w:r w:rsidRPr="00956704">
          <w:rPr>
            <w:lang w:val="fr-FR"/>
          </w:rPr>
          <w:t xml:space="preserve"> 11</w:t>
        </w:r>
      </w:ins>
    </w:p>
    <w:p w14:paraId="686BB7EA" w14:textId="56910BDF" w:rsidR="00AB5164" w:rsidRPr="004F5FB4" w:rsidDel="00EC03BF" w:rsidRDefault="00EC03BF" w:rsidP="0016465E">
      <w:pPr>
        <w:pStyle w:val="BodyText"/>
        <w:keepNext/>
        <w:widowControl/>
        <w:kinsoku w:val="0"/>
        <w:overflowPunct w:val="0"/>
        <w:ind w:left="0"/>
        <w:rPr>
          <w:del w:id="14" w:author="Author" w:date="2025-06-12T14:11:00Z" w16du:dateUtc="2025-06-12T13:11:00Z"/>
          <w:color w:val="000000"/>
        </w:rPr>
      </w:pPr>
      <w:ins w:id="15" w:author="Author" w:date="2025-06-12T14:11:00Z" w16du:dateUtc="2025-06-12T13:11:00Z">
        <w:r>
          <w:rPr>
            <w:color w:val="000000"/>
          </w:rPr>
          <w:t xml:space="preserve">1932 </w:t>
        </w:r>
      </w:ins>
      <w:del w:id="16" w:author="Author" w:date="2025-06-12T14:11:00Z" w16du:dateUtc="2025-06-12T13:11:00Z">
        <w:r w:rsidR="00AB5164" w:rsidRPr="004F5FB4" w:rsidDel="00EC03BF">
          <w:rPr>
            <w:color w:val="000000"/>
          </w:rPr>
          <w:delText>Hoge Wei</w:delText>
        </w:r>
        <w:r w:rsidR="00C10292" w:rsidRPr="004F5FB4" w:rsidDel="00EC03BF">
          <w:rPr>
            <w:color w:val="000000"/>
          </w:rPr>
          <w:delText> </w:delText>
        </w:r>
        <w:r w:rsidR="00AB5164" w:rsidRPr="004F5FB4" w:rsidDel="00EC03BF">
          <w:rPr>
            <w:color w:val="000000"/>
          </w:rPr>
          <w:delText>10</w:delText>
        </w:r>
      </w:del>
    </w:p>
    <w:p w14:paraId="077B81E0" w14:textId="77777777" w:rsidR="00AB5164" w:rsidRPr="004F5FB4" w:rsidRDefault="00AB5164" w:rsidP="002B2067">
      <w:pPr>
        <w:pStyle w:val="BodyText"/>
        <w:widowControl/>
        <w:kinsoku w:val="0"/>
        <w:overflowPunct w:val="0"/>
        <w:ind w:left="0"/>
        <w:rPr>
          <w:color w:val="000000"/>
        </w:rPr>
      </w:pPr>
      <w:r w:rsidRPr="004F5FB4">
        <w:rPr>
          <w:color w:val="000000"/>
        </w:rPr>
        <w:t>Zaventem</w:t>
      </w:r>
      <w:del w:id="17" w:author="Author" w:date="2025-06-12T14:11:00Z" w16du:dateUtc="2025-06-12T13:11:00Z">
        <w:r w:rsidR="00C10292" w:rsidRPr="004F5FB4" w:rsidDel="00EC03BF">
          <w:rPr>
            <w:color w:val="000000"/>
          </w:rPr>
          <w:delText> </w:delText>
        </w:r>
        <w:r w:rsidRPr="004F5FB4" w:rsidDel="00EC03BF">
          <w:rPr>
            <w:color w:val="000000"/>
          </w:rPr>
          <w:delText>1930</w:delText>
        </w:r>
      </w:del>
    </w:p>
    <w:p w14:paraId="28321723" w14:textId="77777777" w:rsidR="00AB5164" w:rsidRPr="004F5FB4" w:rsidRDefault="00AB5164" w:rsidP="002B2067">
      <w:pPr>
        <w:pStyle w:val="BodyText"/>
        <w:widowControl/>
        <w:kinsoku w:val="0"/>
        <w:overflowPunct w:val="0"/>
        <w:ind w:left="0"/>
        <w:rPr>
          <w:color w:val="000000"/>
        </w:rPr>
      </w:pPr>
      <w:r w:rsidRPr="004F5FB4">
        <w:rPr>
          <w:color w:val="000000"/>
        </w:rPr>
        <w:t>Belgien</w:t>
      </w:r>
    </w:p>
    <w:p w14:paraId="24AE6C5D" w14:textId="77777777" w:rsidR="00FC5A0A" w:rsidRPr="004F5FB4" w:rsidRDefault="00FC5A0A" w:rsidP="002B2067">
      <w:pPr>
        <w:pStyle w:val="BodyText"/>
        <w:widowControl/>
        <w:kinsoku w:val="0"/>
        <w:overflowPunct w:val="0"/>
        <w:ind w:left="0"/>
        <w:rPr>
          <w:color w:val="000000"/>
        </w:rPr>
      </w:pPr>
    </w:p>
    <w:p w14:paraId="527FECAC" w14:textId="77777777" w:rsidR="00FC5A0A" w:rsidRPr="004F5FB4" w:rsidRDefault="00FC5A0A" w:rsidP="002B2067">
      <w:pPr>
        <w:pStyle w:val="BodyText"/>
        <w:widowControl/>
        <w:kinsoku w:val="0"/>
        <w:overflowPunct w:val="0"/>
        <w:ind w:left="0"/>
        <w:rPr>
          <w:color w:val="000000"/>
        </w:rPr>
      </w:pPr>
      <w:r w:rsidRPr="004F5FB4">
        <w:rPr>
          <w:color w:val="000000"/>
        </w:rPr>
        <w:t xml:space="preserve">Falls Sie weitere Informationen über </w:t>
      </w:r>
      <w:r w:rsidR="00A75BD6" w:rsidRPr="004F5FB4">
        <w:rPr>
          <w:color w:val="000000"/>
        </w:rPr>
        <w:t>das</w:t>
      </w:r>
      <w:r w:rsidRPr="004F5FB4">
        <w:rPr>
          <w:color w:val="000000"/>
        </w:rPr>
        <w:t xml:space="preserve"> Arzneimittel wünschen, setzen Sie sich bitte mit dem örtlichen Vertreter des pharmazeutischen Unternehmers in Verbindung:</w:t>
      </w:r>
    </w:p>
    <w:p w14:paraId="10A767DE" w14:textId="77777777" w:rsidR="00F00C53" w:rsidRPr="004F5FB4" w:rsidRDefault="00F00C53" w:rsidP="002B2067">
      <w:pPr>
        <w:pStyle w:val="BodyText"/>
        <w:widowControl/>
        <w:kinsoku w:val="0"/>
        <w:overflowPunct w:val="0"/>
        <w:ind w:left="0"/>
        <w:rPr>
          <w:color w:val="000000"/>
        </w:rPr>
      </w:pPr>
    </w:p>
    <w:tbl>
      <w:tblPr>
        <w:tblW w:w="5000" w:type="pct"/>
        <w:tblCellMar>
          <w:left w:w="0" w:type="dxa"/>
          <w:right w:w="0" w:type="dxa"/>
        </w:tblCellMar>
        <w:tblLook w:val="04A0" w:firstRow="1" w:lastRow="0" w:firstColumn="1" w:lastColumn="0" w:noHBand="0" w:noVBand="1"/>
      </w:tblPr>
      <w:tblGrid>
        <w:gridCol w:w="4200"/>
        <w:gridCol w:w="4815"/>
        <w:gridCol w:w="60"/>
      </w:tblGrid>
      <w:tr w:rsidR="0068655E" w:rsidRPr="000E0085" w14:paraId="10F9A81B" w14:textId="77777777" w:rsidTr="00443BC7">
        <w:trPr>
          <w:cantSplit/>
        </w:trPr>
        <w:tc>
          <w:tcPr>
            <w:tcW w:w="4224" w:type="dxa"/>
            <w:tcMar>
              <w:top w:w="0" w:type="dxa"/>
              <w:left w:w="108" w:type="dxa"/>
              <w:bottom w:w="0" w:type="dxa"/>
              <w:right w:w="108" w:type="dxa"/>
            </w:tcMar>
            <w:hideMark/>
          </w:tcPr>
          <w:p w14:paraId="62824D04" w14:textId="77777777" w:rsidR="0068655E" w:rsidRPr="00C05F53" w:rsidRDefault="0068655E" w:rsidP="00443BC7">
            <w:pPr>
              <w:rPr>
                <w:b/>
                <w:bCs/>
              </w:rPr>
            </w:pPr>
            <w:r w:rsidRPr="00C05F53">
              <w:rPr>
                <w:b/>
                <w:bCs/>
              </w:rPr>
              <w:t>België/Belgique/Belgien</w:t>
            </w:r>
          </w:p>
          <w:p w14:paraId="3BD17968" w14:textId="77777777" w:rsidR="0068655E" w:rsidRPr="00C05F53" w:rsidRDefault="0068655E" w:rsidP="00443BC7">
            <w:pPr>
              <w:rPr>
                <w:b/>
                <w:bCs/>
              </w:rPr>
            </w:pPr>
            <w:r w:rsidRPr="00C05F53">
              <w:rPr>
                <w:b/>
                <w:bCs/>
              </w:rPr>
              <w:t>Luxembourg/Luxemburg</w:t>
            </w:r>
          </w:p>
          <w:p w14:paraId="6E2B5449" w14:textId="77777777" w:rsidR="0068655E" w:rsidRPr="00C05F53" w:rsidRDefault="0068655E" w:rsidP="00443BC7">
            <w:r w:rsidRPr="00C05F53">
              <w:t>Pfizer NV/SA</w:t>
            </w:r>
          </w:p>
          <w:p w14:paraId="0F4D55A1" w14:textId="77777777" w:rsidR="0068655E" w:rsidRPr="000E0085" w:rsidRDefault="0068655E" w:rsidP="00443BC7">
            <w:pPr>
              <w:autoSpaceDE w:val="0"/>
              <w:autoSpaceDN w:val="0"/>
              <w:rPr>
                <w:lang w:val="en-GB"/>
              </w:rPr>
            </w:pPr>
            <w:proofErr w:type="spellStart"/>
            <w:r w:rsidRPr="000E0085">
              <w:rPr>
                <w:lang w:val="en-GB"/>
              </w:rPr>
              <w:t>Tél</w:t>
            </w:r>
            <w:proofErr w:type="spellEnd"/>
            <w:r w:rsidRPr="000E0085">
              <w:rPr>
                <w:lang w:val="en-GB"/>
              </w:rPr>
              <w:t>/Tel: +32 (0)2 554 62 11</w:t>
            </w:r>
          </w:p>
          <w:p w14:paraId="24DAC48D"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77B31E80" w14:textId="77777777" w:rsidR="0068655E" w:rsidRPr="008C71AD" w:rsidRDefault="0068655E" w:rsidP="00443BC7">
            <w:pPr>
              <w:rPr>
                <w:b/>
                <w:bCs/>
                <w:lang w:val="en-GB"/>
              </w:rPr>
            </w:pPr>
            <w:proofErr w:type="spellStart"/>
            <w:r w:rsidRPr="008C71AD">
              <w:rPr>
                <w:b/>
                <w:bCs/>
                <w:lang w:val="en-GB"/>
              </w:rPr>
              <w:t>Kύ</w:t>
            </w:r>
            <w:proofErr w:type="spellEnd"/>
            <w:r w:rsidRPr="008C71AD">
              <w:rPr>
                <w:b/>
                <w:bCs/>
                <w:lang w:val="en-GB"/>
              </w:rPr>
              <w:t>προς</w:t>
            </w:r>
          </w:p>
          <w:p w14:paraId="2DA60711" w14:textId="77777777" w:rsidR="0068655E" w:rsidRPr="008C71AD" w:rsidRDefault="0068655E" w:rsidP="00443BC7">
            <w:pPr>
              <w:rPr>
                <w:lang w:val="en-GB"/>
              </w:rPr>
            </w:pPr>
            <w:r w:rsidRPr="008C71AD">
              <w:rPr>
                <w:lang w:val="en-GB"/>
              </w:rPr>
              <w:t>PFIZER EΛΛAΣ A.E. (CYPRUS BRANCH)</w:t>
            </w:r>
          </w:p>
          <w:p w14:paraId="5569E6AC" w14:textId="77777777" w:rsidR="0068655E" w:rsidRPr="008C71AD" w:rsidRDefault="0068655E" w:rsidP="00443BC7">
            <w:pPr>
              <w:rPr>
                <w:lang w:val="en-GB"/>
              </w:rPr>
            </w:pPr>
            <w:proofErr w:type="spellStart"/>
            <w:r w:rsidRPr="008C71AD">
              <w:rPr>
                <w:lang w:val="en-GB"/>
              </w:rPr>
              <w:t>Τηλ</w:t>
            </w:r>
            <w:proofErr w:type="spellEnd"/>
            <w:r w:rsidRPr="008C71AD">
              <w:rPr>
                <w:lang w:val="en-GB"/>
              </w:rPr>
              <w:t>: +357 22 817690</w:t>
            </w:r>
          </w:p>
          <w:p w14:paraId="5AC349F8" w14:textId="77777777" w:rsidR="0068655E" w:rsidRPr="008C71AD" w:rsidRDefault="0068655E" w:rsidP="00443BC7">
            <w:pPr>
              <w:autoSpaceDE w:val="0"/>
              <w:autoSpaceDN w:val="0"/>
              <w:rPr>
                <w:lang w:val="en-GB"/>
              </w:rPr>
            </w:pPr>
          </w:p>
        </w:tc>
      </w:tr>
      <w:tr w:rsidR="0068655E" w:rsidRPr="000E0085" w14:paraId="0B06F49F" w14:textId="77777777" w:rsidTr="00443BC7">
        <w:trPr>
          <w:gridAfter w:val="1"/>
          <w:wAfter w:w="61" w:type="dxa"/>
          <w:cantSplit/>
        </w:trPr>
        <w:tc>
          <w:tcPr>
            <w:tcW w:w="4224" w:type="dxa"/>
            <w:tcMar>
              <w:top w:w="0" w:type="dxa"/>
              <w:left w:w="108" w:type="dxa"/>
              <w:bottom w:w="0" w:type="dxa"/>
              <w:right w:w="108" w:type="dxa"/>
            </w:tcMar>
          </w:tcPr>
          <w:p w14:paraId="54B2D4B2" w14:textId="77777777" w:rsidR="0068655E" w:rsidRPr="000E0085" w:rsidRDefault="0068655E" w:rsidP="00443BC7">
            <w:pPr>
              <w:rPr>
                <w:b/>
                <w:bCs/>
                <w:lang w:val="en-GB"/>
              </w:rPr>
            </w:pPr>
          </w:p>
        </w:tc>
        <w:tc>
          <w:tcPr>
            <w:tcW w:w="4863" w:type="dxa"/>
            <w:tcMar>
              <w:top w:w="0" w:type="dxa"/>
              <w:left w:w="108" w:type="dxa"/>
              <w:bottom w:w="0" w:type="dxa"/>
              <w:right w:w="108" w:type="dxa"/>
            </w:tcMar>
          </w:tcPr>
          <w:p w14:paraId="6B96960A" w14:textId="77777777" w:rsidR="0068655E" w:rsidRPr="000E0085" w:rsidRDefault="0068655E" w:rsidP="00443BC7">
            <w:pPr>
              <w:rPr>
                <w:b/>
                <w:bCs/>
                <w:lang w:val="en-GB"/>
              </w:rPr>
            </w:pPr>
          </w:p>
        </w:tc>
      </w:tr>
      <w:tr w:rsidR="0068655E" w:rsidRPr="000E0085" w14:paraId="6EA267E5" w14:textId="77777777" w:rsidTr="00443BC7">
        <w:trPr>
          <w:cantSplit/>
        </w:trPr>
        <w:tc>
          <w:tcPr>
            <w:tcW w:w="4224" w:type="dxa"/>
            <w:tcMar>
              <w:top w:w="0" w:type="dxa"/>
              <w:left w:w="108" w:type="dxa"/>
              <w:bottom w:w="0" w:type="dxa"/>
              <w:right w:w="108" w:type="dxa"/>
            </w:tcMar>
          </w:tcPr>
          <w:p w14:paraId="24E33C53" w14:textId="77777777" w:rsidR="0068655E" w:rsidRPr="00C05F53" w:rsidRDefault="0068655E" w:rsidP="00443BC7">
            <w:pPr>
              <w:rPr>
                <w:b/>
                <w:bCs/>
              </w:rPr>
            </w:pPr>
            <w:r w:rsidRPr="00C05F53">
              <w:rPr>
                <w:b/>
                <w:bCs/>
              </w:rPr>
              <w:t>Česká Republika</w:t>
            </w:r>
          </w:p>
          <w:p w14:paraId="3C8DF759" w14:textId="77777777" w:rsidR="0068655E" w:rsidRPr="00C05F53" w:rsidRDefault="0068655E" w:rsidP="00443BC7">
            <w:r w:rsidRPr="00C05F53">
              <w:t>Pfizer, spol.  s r.o.</w:t>
            </w:r>
          </w:p>
          <w:p w14:paraId="2D56D7D7" w14:textId="77777777" w:rsidR="0068655E" w:rsidRPr="000E0085" w:rsidRDefault="0068655E" w:rsidP="00443BC7">
            <w:pPr>
              <w:rPr>
                <w:lang w:val="en-GB"/>
              </w:rPr>
            </w:pPr>
            <w:r w:rsidRPr="000E0085">
              <w:rPr>
                <w:lang w:val="en-GB"/>
              </w:rPr>
              <w:t>Tel: +420-283-004-111</w:t>
            </w:r>
          </w:p>
          <w:p w14:paraId="77A32A05"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498FF6A1" w14:textId="77777777" w:rsidR="0068655E" w:rsidRPr="000E0085" w:rsidRDefault="0068655E" w:rsidP="00443BC7">
            <w:pPr>
              <w:rPr>
                <w:b/>
                <w:bCs/>
                <w:lang w:val="en-GB"/>
              </w:rPr>
            </w:pPr>
            <w:proofErr w:type="spellStart"/>
            <w:r w:rsidRPr="000E0085">
              <w:rPr>
                <w:b/>
                <w:bCs/>
                <w:lang w:val="en-GB"/>
              </w:rPr>
              <w:t>Magyarország</w:t>
            </w:r>
            <w:proofErr w:type="spellEnd"/>
          </w:p>
          <w:p w14:paraId="32F55F39" w14:textId="77777777" w:rsidR="0068655E" w:rsidRPr="000E0085" w:rsidRDefault="0068655E" w:rsidP="00443BC7">
            <w:pPr>
              <w:rPr>
                <w:lang w:val="en-GB"/>
              </w:rPr>
            </w:pPr>
            <w:r w:rsidRPr="000E0085">
              <w:rPr>
                <w:lang w:val="en-GB"/>
              </w:rPr>
              <w:t>Pfizer Kft.</w:t>
            </w:r>
          </w:p>
          <w:p w14:paraId="0A52D44B" w14:textId="77777777" w:rsidR="0068655E" w:rsidRPr="000E0085" w:rsidRDefault="0068655E" w:rsidP="00443BC7">
            <w:pPr>
              <w:rPr>
                <w:lang w:val="en-GB"/>
              </w:rPr>
            </w:pPr>
            <w:r w:rsidRPr="000E0085">
              <w:rPr>
                <w:lang w:val="en-GB"/>
              </w:rPr>
              <w:t>Tel: +36 1 488 3700</w:t>
            </w:r>
          </w:p>
          <w:p w14:paraId="26A6F8C5" w14:textId="77777777" w:rsidR="0068655E" w:rsidRPr="000E0085" w:rsidRDefault="0068655E" w:rsidP="00443BC7">
            <w:pPr>
              <w:autoSpaceDE w:val="0"/>
              <w:autoSpaceDN w:val="0"/>
              <w:rPr>
                <w:lang w:val="en-GB"/>
              </w:rPr>
            </w:pPr>
          </w:p>
        </w:tc>
      </w:tr>
      <w:tr w:rsidR="0068655E" w:rsidRPr="00E26A2B" w14:paraId="4E25B8F9" w14:textId="77777777" w:rsidTr="00443BC7">
        <w:trPr>
          <w:cantSplit/>
        </w:trPr>
        <w:tc>
          <w:tcPr>
            <w:tcW w:w="4224" w:type="dxa"/>
            <w:tcMar>
              <w:top w:w="0" w:type="dxa"/>
              <w:left w:w="108" w:type="dxa"/>
              <w:bottom w:w="0" w:type="dxa"/>
              <w:right w:w="108" w:type="dxa"/>
            </w:tcMar>
          </w:tcPr>
          <w:p w14:paraId="67789D39" w14:textId="77777777" w:rsidR="0068655E" w:rsidRPr="000E0085" w:rsidRDefault="0068655E" w:rsidP="00443BC7">
            <w:pPr>
              <w:rPr>
                <w:b/>
                <w:bCs/>
                <w:lang w:val="en-GB"/>
              </w:rPr>
            </w:pPr>
            <w:r w:rsidRPr="000E0085">
              <w:rPr>
                <w:b/>
                <w:bCs/>
                <w:lang w:val="en-GB"/>
              </w:rPr>
              <w:t>Danmark</w:t>
            </w:r>
          </w:p>
          <w:p w14:paraId="1934763E" w14:textId="77777777" w:rsidR="0068655E" w:rsidRPr="000E0085" w:rsidRDefault="0068655E" w:rsidP="00443BC7">
            <w:pPr>
              <w:rPr>
                <w:lang w:val="en-GB"/>
              </w:rPr>
            </w:pPr>
            <w:r w:rsidRPr="000E0085">
              <w:rPr>
                <w:lang w:val="en-GB"/>
              </w:rPr>
              <w:t xml:space="preserve">Pfizer </w:t>
            </w:r>
            <w:proofErr w:type="spellStart"/>
            <w:r w:rsidRPr="000E0085">
              <w:rPr>
                <w:lang w:val="en-GB"/>
              </w:rPr>
              <w:t>ApS</w:t>
            </w:r>
            <w:proofErr w:type="spellEnd"/>
          </w:p>
          <w:p w14:paraId="0CA8D688" w14:textId="77777777" w:rsidR="0068655E" w:rsidRPr="000E0085" w:rsidRDefault="0068655E" w:rsidP="00443BC7">
            <w:pPr>
              <w:rPr>
                <w:lang w:val="en-GB"/>
              </w:rPr>
            </w:pPr>
            <w:proofErr w:type="spellStart"/>
            <w:r w:rsidRPr="000E0085">
              <w:rPr>
                <w:lang w:val="en-GB"/>
              </w:rPr>
              <w:t>Tlf</w:t>
            </w:r>
            <w:proofErr w:type="spellEnd"/>
            <w:r>
              <w:rPr>
                <w:lang w:val="en-GB"/>
              </w:rPr>
              <w:t>.</w:t>
            </w:r>
            <w:r w:rsidRPr="000E0085">
              <w:rPr>
                <w:lang w:val="en-GB"/>
              </w:rPr>
              <w:t>: +45 44 201 100</w:t>
            </w:r>
          </w:p>
          <w:p w14:paraId="443AE71D"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22C116DC" w14:textId="77777777" w:rsidR="0068655E" w:rsidRPr="00EC03BF" w:rsidRDefault="0068655E" w:rsidP="00443BC7">
            <w:pPr>
              <w:rPr>
                <w:b/>
                <w:lang w:val="it-IT"/>
              </w:rPr>
            </w:pPr>
            <w:r w:rsidRPr="00EC03BF">
              <w:rPr>
                <w:b/>
                <w:lang w:val="it-IT"/>
              </w:rPr>
              <w:t>Malta</w:t>
            </w:r>
          </w:p>
          <w:p w14:paraId="6496A8CC" w14:textId="77777777" w:rsidR="0068655E" w:rsidRPr="00EC03BF" w:rsidRDefault="0068655E" w:rsidP="00443BC7">
            <w:pPr>
              <w:rPr>
                <w:lang w:val="it-IT"/>
              </w:rPr>
            </w:pPr>
            <w:r w:rsidRPr="00EC03BF">
              <w:rPr>
                <w:lang w:val="it-IT"/>
              </w:rPr>
              <w:t xml:space="preserve">Vivian Corporation Ltd.  </w:t>
            </w:r>
          </w:p>
          <w:p w14:paraId="02D680C4" w14:textId="77777777" w:rsidR="0068655E" w:rsidRPr="00EC03BF" w:rsidRDefault="0068655E" w:rsidP="00443BC7">
            <w:pPr>
              <w:rPr>
                <w:lang w:val="it-IT"/>
              </w:rPr>
            </w:pPr>
            <w:r w:rsidRPr="00EC03BF">
              <w:rPr>
                <w:lang w:val="it-IT"/>
              </w:rPr>
              <w:t>Tel: +356 21344610</w:t>
            </w:r>
          </w:p>
          <w:p w14:paraId="7A168CD5" w14:textId="77777777" w:rsidR="0068655E" w:rsidRPr="00EC03BF" w:rsidRDefault="0068655E" w:rsidP="00443BC7">
            <w:pPr>
              <w:autoSpaceDE w:val="0"/>
              <w:autoSpaceDN w:val="0"/>
              <w:rPr>
                <w:lang w:val="it-IT"/>
              </w:rPr>
            </w:pPr>
          </w:p>
        </w:tc>
      </w:tr>
      <w:tr w:rsidR="0068655E" w:rsidRPr="000E0085" w14:paraId="7CF63C6F" w14:textId="77777777" w:rsidTr="00443BC7">
        <w:trPr>
          <w:cantSplit/>
        </w:trPr>
        <w:tc>
          <w:tcPr>
            <w:tcW w:w="4224" w:type="dxa"/>
            <w:tcMar>
              <w:top w:w="0" w:type="dxa"/>
              <w:left w:w="108" w:type="dxa"/>
              <w:bottom w:w="0" w:type="dxa"/>
              <w:right w:w="108" w:type="dxa"/>
            </w:tcMar>
          </w:tcPr>
          <w:p w14:paraId="1836011A" w14:textId="77777777" w:rsidR="0068655E" w:rsidRPr="00C05F53" w:rsidRDefault="0068655E" w:rsidP="00443BC7">
            <w:pPr>
              <w:rPr>
                <w:b/>
              </w:rPr>
            </w:pPr>
            <w:r w:rsidRPr="00C05F53">
              <w:rPr>
                <w:b/>
              </w:rPr>
              <w:t>Deutchland</w:t>
            </w:r>
          </w:p>
          <w:p w14:paraId="6AD4F159" w14:textId="77777777" w:rsidR="0068655E" w:rsidRPr="00C05F53" w:rsidRDefault="0068655E" w:rsidP="00443BC7">
            <w:pPr>
              <w:keepNext/>
            </w:pPr>
            <w:r w:rsidRPr="00C05F53">
              <w:t>PFIZER PHARMA GmbH</w:t>
            </w:r>
          </w:p>
          <w:p w14:paraId="063BD84D" w14:textId="77777777" w:rsidR="0068655E" w:rsidRPr="00C05F53" w:rsidRDefault="0068655E" w:rsidP="00443BC7">
            <w:pPr>
              <w:numPr>
                <w:ilvl w:val="12"/>
                <w:numId w:val="0"/>
              </w:numPr>
            </w:pPr>
            <w:r w:rsidRPr="00C05F53">
              <w:t>Tel: +49 (0)30 550055-51000</w:t>
            </w:r>
          </w:p>
          <w:p w14:paraId="40E5A3EA" w14:textId="77777777" w:rsidR="0068655E" w:rsidRPr="00C05F53" w:rsidRDefault="0068655E" w:rsidP="00443BC7">
            <w:pPr>
              <w:autoSpaceDE w:val="0"/>
              <w:autoSpaceDN w:val="0"/>
            </w:pPr>
          </w:p>
        </w:tc>
        <w:tc>
          <w:tcPr>
            <w:tcW w:w="4863" w:type="dxa"/>
            <w:gridSpan w:val="2"/>
            <w:tcMar>
              <w:top w:w="0" w:type="dxa"/>
              <w:left w:w="108" w:type="dxa"/>
              <w:bottom w:w="0" w:type="dxa"/>
              <w:right w:w="108" w:type="dxa"/>
            </w:tcMar>
          </w:tcPr>
          <w:p w14:paraId="44CE2CB6" w14:textId="77777777" w:rsidR="0068655E" w:rsidRPr="000E0085" w:rsidRDefault="0068655E" w:rsidP="00443BC7">
            <w:pPr>
              <w:rPr>
                <w:b/>
                <w:bCs/>
                <w:lang w:val="en-GB"/>
              </w:rPr>
            </w:pPr>
            <w:r w:rsidRPr="000E0085">
              <w:rPr>
                <w:b/>
                <w:bCs/>
                <w:lang w:val="en-GB"/>
              </w:rPr>
              <w:t>Nederland</w:t>
            </w:r>
          </w:p>
          <w:p w14:paraId="349620C1" w14:textId="77777777" w:rsidR="0068655E" w:rsidRPr="000E0085" w:rsidRDefault="0068655E" w:rsidP="00443BC7">
            <w:pPr>
              <w:rPr>
                <w:lang w:val="en-GB"/>
              </w:rPr>
            </w:pPr>
            <w:r w:rsidRPr="000E0085">
              <w:rPr>
                <w:lang w:val="en-GB"/>
              </w:rPr>
              <w:t xml:space="preserve">Pfizer </w:t>
            </w:r>
            <w:proofErr w:type="spellStart"/>
            <w:r w:rsidRPr="000E0085">
              <w:rPr>
                <w:lang w:val="en-GB"/>
              </w:rPr>
              <w:t>bv</w:t>
            </w:r>
            <w:proofErr w:type="spellEnd"/>
          </w:p>
          <w:p w14:paraId="7E734F65" w14:textId="77777777" w:rsidR="0068655E" w:rsidRPr="000E0085" w:rsidRDefault="0068655E" w:rsidP="00443BC7">
            <w:pPr>
              <w:rPr>
                <w:lang w:val="en-GB"/>
              </w:rPr>
            </w:pPr>
            <w:r w:rsidRPr="000E0085">
              <w:rPr>
                <w:lang w:val="en-GB"/>
              </w:rPr>
              <w:t>Tel: +31 (0)10 406 43 01</w:t>
            </w:r>
          </w:p>
          <w:p w14:paraId="28B9DA3E" w14:textId="77777777" w:rsidR="0068655E" w:rsidRPr="000E0085" w:rsidRDefault="0068655E" w:rsidP="00443BC7">
            <w:pPr>
              <w:autoSpaceDE w:val="0"/>
              <w:autoSpaceDN w:val="0"/>
              <w:rPr>
                <w:lang w:val="en-GB"/>
              </w:rPr>
            </w:pPr>
          </w:p>
        </w:tc>
      </w:tr>
      <w:tr w:rsidR="0068655E" w:rsidRPr="000E0085" w14:paraId="3BC5020F" w14:textId="77777777" w:rsidTr="00443BC7">
        <w:trPr>
          <w:cantSplit/>
        </w:trPr>
        <w:tc>
          <w:tcPr>
            <w:tcW w:w="4224" w:type="dxa"/>
            <w:tcMar>
              <w:top w:w="0" w:type="dxa"/>
              <w:left w:w="108" w:type="dxa"/>
              <w:bottom w:w="0" w:type="dxa"/>
              <w:right w:w="108" w:type="dxa"/>
            </w:tcMar>
          </w:tcPr>
          <w:p w14:paraId="0D796C35" w14:textId="77777777" w:rsidR="0068655E" w:rsidRPr="0068655E" w:rsidRDefault="0068655E" w:rsidP="00443BC7">
            <w:pPr>
              <w:rPr>
                <w:b/>
                <w:bCs/>
              </w:rPr>
            </w:pPr>
            <w:proofErr w:type="spellStart"/>
            <w:r w:rsidRPr="000E0085">
              <w:rPr>
                <w:b/>
                <w:bCs/>
                <w:lang w:val="en-GB"/>
              </w:rPr>
              <w:t>България</w:t>
            </w:r>
            <w:proofErr w:type="spellEnd"/>
          </w:p>
          <w:p w14:paraId="0638E6BA" w14:textId="77777777" w:rsidR="0068655E" w:rsidRPr="0068655E" w:rsidRDefault="0068655E" w:rsidP="00443BC7">
            <w:proofErr w:type="spellStart"/>
            <w:r w:rsidRPr="000E0085">
              <w:rPr>
                <w:lang w:val="en-GB"/>
              </w:rPr>
              <w:t>Пфайзер</w:t>
            </w:r>
            <w:proofErr w:type="spellEnd"/>
            <w:r w:rsidRPr="0068655E">
              <w:t xml:space="preserve"> </w:t>
            </w:r>
            <w:proofErr w:type="spellStart"/>
            <w:r w:rsidRPr="000E0085">
              <w:rPr>
                <w:lang w:val="en-GB"/>
              </w:rPr>
              <w:t>Люксембург</w:t>
            </w:r>
            <w:proofErr w:type="spellEnd"/>
            <w:r w:rsidRPr="0068655E">
              <w:t xml:space="preserve"> </w:t>
            </w:r>
            <w:r w:rsidRPr="000E0085">
              <w:rPr>
                <w:lang w:val="en-GB"/>
              </w:rPr>
              <w:t>САРЛ</w:t>
            </w:r>
            <w:r w:rsidRPr="0068655E">
              <w:t>,</w:t>
            </w:r>
          </w:p>
          <w:p w14:paraId="4FF82D42" w14:textId="77777777" w:rsidR="0068655E" w:rsidRPr="0068655E" w:rsidRDefault="0068655E" w:rsidP="00443BC7">
            <w:proofErr w:type="spellStart"/>
            <w:r w:rsidRPr="000E0085">
              <w:rPr>
                <w:lang w:val="en-GB"/>
              </w:rPr>
              <w:t>Клон</w:t>
            </w:r>
            <w:proofErr w:type="spellEnd"/>
            <w:r w:rsidRPr="0068655E">
              <w:t xml:space="preserve"> </w:t>
            </w:r>
            <w:proofErr w:type="spellStart"/>
            <w:r w:rsidRPr="000E0085">
              <w:rPr>
                <w:lang w:val="en-GB"/>
              </w:rPr>
              <w:t>България</w:t>
            </w:r>
            <w:proofErr w:type="spellEnd"/>
          </w:p>
          <w:p w14:paraId="7EED25F3" w14:textId="77777777" w:rsidR="0068655E" w:rsidRPr="000E0085" w:rsidRDefault="0068655E" w:rsidP="00443BC7">
            <w:pPr>
              <w:rPr>
                <w:lang w:val="en-GB"/>
              </w:rPr>
            </w:pPr>
            <w:proofErr w:type="spellStart"/>
            <w:r w:rsidRPr="000E0085">
              <w:rPr>
                <w:lang w:val="en-GB"/>
              </w:rPr>
              <w:t>Teл</w:t>
            </w:r>
            <w:proofErr w:type="spellEnd"/>
            <w:r w:rsidRPr="000E0085">
              <w:rPr>
                <w:lang w:val="en-GB"/>
              </w:rPr>
              <w:t>: +359 2 970 4333</w:t>
            </w:r>
          </w:p>
          <w:p w14:paraId="6AD5C779"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265251E3" w14:textId="77777777" w:rsidR="0068655E" w:rsidRPr="000E0085" w:rsidRDefault="0068655E" w:rsidP="00443BC7">
            <w:pPr>
              <w:rPr>
                <w:b/>
                <w:bCs/>
                <w:lang w:val="en-GB"/>
              </w:rPr>
            </w:pPr>
            <w:r w:rsidRPr="000E0085">
              <w:rPr>
                <w:b/>
                <w:bCs/>
                <w:lang w:val="en-GB"/>
              </w:rPr>
              <w:t>Norge</w:t>
            </w:r>
          </w:p>
          <w:p w14:paraId="3F1C3EB7" w14:textId="77777777" w:rsidR="0068655E" w:rsidRPr="000E0085" w:rsidRDefault="0068655E" w:rsidP="00443BC7">
            <w:pPr>
              <w:rPr>
                <w:lang w:val="en-GB"/>
              </w:rPr>
            </w:pPr>
            <w:r w:rsidRPr="000E0085">
              <w:rPr>
                <w:lang w:val="en-GB"/>
              </w:rPr>
              <w:t>Pfizer AS</w:t>
            </w:r>
          </w:p>
          <w:p w14:paraId="399ED6BC" w14:textId="77777777" w:rsidR="0068655E" w:rsidRPr="000E0085" w:rsidRDefault="0068655E" w:rsidP="00443BC7">
            <w:pPr>
              <w:rPr>
                <w:lang w:val="en-GB"/>
              </w:rPr>
            </w:pPr>
            <w:proofErr w:type="spellStart"/>
            <w:r w:rsidRPr="000E0085">
              <w:rPr>
                <w:lang w:val="en-GB"/>
              </w:rPr>
              <w:t>Tlf</w:t>
            </w:r>
            <w:proofErr w:type="spellEnd"/>
            <w:r w:rsidRPr="000E0085">
              <w:rPr>
                <w:lang w:val="en-GB"/>
              </w:rPr>
              <w:t>: +47 67 52 61 00</w:t>
            </w:r>
          </w:p>
          <w:p w14:paraId="1DA0C57D" w14:textId="77777777" w:rsidR="0068655E" w:rsidRPr="000E0085" w:rsidRDefault="0068655E" w:rsidP="00443BC7">
            <w:pPr>
              <w:autoSpaceDE w:val="0"/>
              <w:autoSpaceDN w:val="0"/>
              <w:rPr>
                <w:lang w:val="en-GB"/>
              </w:rPr>
            </w:pPr>
          </w:p>
        </w:tc>
      </w:tr>
      <w:tr w:rsidR="0068655E" w:rsidRPr="000E0085" w14:paraId="5925384D" w14:textId="77777777" w:rsidTr="00443BC7">
        <w:trPr>
          <w:cantSplit/>
        </w:trPr>
        <w:tc>
          <w:tcPr>
            <w:tcW w:w="4224" w:type="dxa"/>
            <w:tcMar>
              <w:top w:w="0" w:type="dxa"/>
              <w:left w:w="108" w:type="dxa"/>
              <w:bottom w:w="0" w:type="dxa"/>
              <w:right w:w="108" w:type="dxa"/>
            </w:tcMar>
          </w:tcPr>
          <w:p w14:paraId="0FECD564" w14:textId="77777777" w:rsidR="0068655E" w:rsidRPr="00EC03BF" w:rsidRDefault="0068655E" w:rsidP="00443BC7">
            <w:pPr>
              <w:rPr>
                <w:b/>
                <w:bCs/>
                <w:lang w:val="pt-BR"/>
              </w:rPr>
            </w:pPr>
            <w:r w:rsidRPr="00EC03BF">
              <w:rPr>
                <w:b/>
                <w:bCs/>
                <w:lang w:val="pt-BR"/>
              </w:rPr>
              <w:t>Eesti</w:t>
            </w:r>
          </w:p>
          <w:p w14:paraId="0BC30BF0" w14:textId="77777777" w:rsidR="0068655E" w:rsidRPr="00EC03BF" w:rsidRDefault="0068655E" w:rsidP="00443BC7">
            <w:pPr>
              <w:rPr>
                <w:lang w:val="pt-BR"/>
              </w:rPr>
            </w:pPr>
            <w:r w:rsidRPr="00EC03BF">
              <w:rPr>
                <w:lang w:val="pt-BR"/>
              </w:rPr>
              <w:t>Pfizer Luxembourg SARL Eesti filiaal</w:t>
            </w:r>
          </w:p>
          <w:p w14:paraId="54ADA8EA" w14:textId="77777777" w:rsidR="0068655E" w:rsidRPr="000E0085" w:rsidRDefault="0068655E" w:rsidP="00443BC7">
            <w:pPr>
              <w:rPr>
                <w:lang w:val="en-GB"/>
              </w:rPr>
            </w:pPr>
            <w:r w:rsidRPr="000E0085">
              <w:rPr>
                <w:lang w:val="en-GB"/>
              </w:rPr>
              <w:t>Tel: +372 666 7500</w:t>
            </w:r>
          </w:p>
          <w:p w14:paraId="2535F1BA"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21872272" w14:textId="77777777" w:rsidR="0068655E" w:rsidRPr="00C05F53" w:rsidRDefault="0068655E" w:rsidP="00443BC7">
            <w:pPr>
              <w:rPr>
                <w:b/>
                <w:bCs/>
              </w:rPr>
            </w:pPr>
            <w:r w:rsidRPr="00C05F53">
              <w:rPr>
                <w:b/>
                <w:bCs/>
              </w:rPr>
              <w:t>Österreich</w:t>
            </w:r>
          </w:p>
          <w:p w14:paraId="584139E4" w14:textId="77777777" w:rsidR="0068655E" w:rsidRPr="00C05F53" w:rsidRDefault="0068655E" w:rsidP="00443BC7">
            <w:r w:rsidRPr="00C05F53">
              <w:t>Pfizer Corporation Austria Ges.m.b.H.</w:t>
            </w:r>
          </w:p>
          <w:p w14:paraId="5956CECC" w14:textId="77777777" w:rsidR="0068655E" w:rsidRPr="000E0085" w:rsidRDefault="0068655E" w:rsidP="00443BC7">
            <w:pPr>
              <w:rPr>
                <w:lang w:val="en-GB"/>
              </w:rPr>
            </w:pPr>
            <w:r w:rsidRPr="000E0085">
              <w:rPr>
                <w:lang w:val="en-GB"/>
              </w:rPr>
              <w:t>Tel: +43 (0)1 521 15-0</w:t>
            </w:r>
          </w:p>
          <w:p w14:paraId="72484252" w14:textId="77777777" w:rsidR="0068655E" w:rsidRPr="000E0085" w:rsidRDefault="0068655E" w:rsidP="00443BC7">
            <w:pPr>
              <w:autoSpaceDE w:val="0"/>
              <w:autoSpaceDN w:val="0"/>
              <w:rPr>
                <w:lang w:val="en-GB"/>
              </w:rPr>
            </w:pPr>
          </w:p>
        </w:tc>
      </w:tr>
      <w:tr w:rsidR="0068655E" w:rsidRPr="000E0085" w14:paraId="0C85A356" w14:textId="77777777" w:rsidTr="00443BC7">
        <w:trPr>
          <w:cantSplit/>
        </w:trPr>
        <w:tc>
          <w:tcPr>
            <w:tcW w:w="4224" w:type="dxa"/>
            <w:tcMar>
              <w:top w:w="0" w:type="dxa"/>
              <w:left w:w="108" w:type="dxa"/>
              <w:bottom w:w="0" w:type="dxa"/>
              <w:right w:w="108" w:type="dxa"/>
            </w:tcMar>
          </w:tcPr>
          <w:p w14:paraId="03EDCD33" w14:textId="77777777" w:rsidR="0068655E" w:rsidRPr="0068655E" w:rsidRDefault="0068655E" w:rsidP="00443BC7">
            <w:pPr>
              <w:rPr>
                <w:b/>
                <w:bCs/>
              </w:rPr>
            </w:pPr>
            <w:proofErr w:type="spellStart"/>
            <w:r w:rsidRPr="00711F01">
              <w:rPr>
                <w:b/>
                <w:bCs/>
                <w:lang w:val="en-GB"/>
              </w:rPr>
              <w:t>Ελλάδ</w:t>
            </w:r>
            <w:proofErr w:type="spellEnd"/>
            <w:r w:rsidRPr="00711F01">
              <w:rPr>
                <w:b/>
                <w:bCs/>
                <w:lang w:val="en-GB"/>
              </w:rPr>
              <w:t>α</w:t>
            </w:r>
          </w:p>
          <w:p w14:paraId="54E5CE3B" w14:textId="77777777" w:rsidR="0068655E" w:rsidRPr="0068655E" w:rsidRDefault="0068655E" w:rsidP="00443BC7">
            <w:r w:rsidRPr="0068655E">
              <w:t>PFIZER E</w:t>
            </w:r>
            <w:r w:rsidRPr="00711F01">
              <w:rPr>
                <w:lang w:val="en-GB"/>
              </w:rPr>
              <w:t>ΛΛ</w:t>
            </w:r>
            <w:r w:rsidRPr="0068655E">
              <w:t>A</w:t>
            </w:r>
            <w:r w:rsidRPr="00711F01">
              <w:rPr>
                <w:lang w:val="en-GB"/>
              </w:rPr>
              <w:t>Σ</w:t>
            </w:r>
            <w:r w:rsidRPr="0068655E">
              <w:t xml:space="preserve"> A.E.</w:t>
            </w:r>
          </w:p>
          <w:p w14:paraId="0F2589D3" w14:textId="77777777" w:rsidR="0068655E" w:rsidRPr="00711F01" w:rsidRDefault="0068655E" w:rsidP="00443BC7">
            <w:pPr>
              <w:rPr>
                <w:lang w:val="en-GB"/>
              </w:rPr>
            </w:pPr>
            <w:proofErr w:type="spellStart"/>
            <w:r w:rsidRPr="00711F01">
              <w:rPr>
                <w:lang w:val="en-GB"/>
              </w:rPr>
              <w:t>Τηλ</w:t>
            </w:r>
            <w:proofErr w:type="spellEnd"/>
            <w:r w:rsidRPr="00711F01">
              <w:rPr>
                <w:lang w:val="en-GB"/>
              </w:rPr>
              <w:t>.: +30 210 67 85 800</w:t>
            </w:r>
          </w:p>
          <w:p w14:paraId="2E2515B5" w14:textId="77777777" w:rsidR="0068655E" w:rsidRPr="00711F01" w:rsidRDefault="0068655E" w:rsidP="00443BC7">
            <w:pPr>
              <w:autoSpaceDE w:val="0"/>
              <w:autoSpaceDN w:val="0"/>
              <w:rPr>
                <w:lang w:val="en-GB"/>
              </w:rPr>
            </w:pPr>
          </w:p>
        </w:tc>
        <w:tc>
          <w:tcPr>
            <w:tcW w:w="4863" w:type="dxa"/>
            <w:gridSpan w:val="2"/>
            <w:tcMar>
              <w:top w:w="0" w:type="dxa"/>
              <w:left w:w="108" w:type="dxa"/>
              <w:bottom w:w="0" w:type="dxa"/>
              <w:right w:w="108" w:type="dxa"/>
            </w:tcMar>
          </w:tcPr>
          <w:p w14:paraId="5FBE811E" w14:textId="77777777" w:rsidR="0068655E" w:rsidRPr="00EC03BF" w:rsidRDefault="0068655E" w:rsidP="00443BC7">
            <w:pPr>
              <w:rPr>
                <w:b/>
              </w:rPr>
            </w:pPr>
            <w:r w:rsidRPr="00EC03BF">
              <w:rPr>
                <w:b/>
              </w:rPr>
              <w:t>Polska</w:t>
            </w:r>
          </w:p>
          <w:p w14:paraId="2A6C36DD" w14:textId="77777777" w:rsidR="0068655E" w:rsidRPr="00EC03BF" w:rsidRDefault="0068655E" w:rsidP="00443BC7">
            <w:r w:rsidRPr="00EC03BF">
              <w:t>Pfizer Polska Sp. z o.o.</w:t>
            </w:r>
          </w:p>
          <w:p w14:paraId="14818365" w14:textId="77777777" w:rsidR="0068655E" w:rsidRPr="000E0085" w:rsidRDefault="0068655E" w:rsidP="00443BC7">
            <w:pPr>
              <w:rPr>
                <w:lang w:val="en-GB"/>
              </w:rPr>
            </w:pPr>
            <w:r w:rsidRPr="000E0085">
              <w:rPr>
                <w:lang w:val="en-GB"/>
              </w:rPr>
              <w:t>Tel.: +48 22 335 61 00</w:t>
            </w:r>
          </w:p>
          <w:p w14:paraId="479A7BA1" w14:textId="77777777" w:rsidR="0068655E" w:rsidRPr="000E0085" w:rsidRDefault="0068655E" w:rsidP="00443BC7">
            <w:pPr>
              <w:autoSpaceDE w:val="0"/>
              <w:autoSpaceDN w:val="0"/>
              <w:rPr>
                <w:lang w:val="en-GB"/>
              </w:rPr>
            </w:pPr>
          </w:p>
        </w:tc>
      </w:tr>
      <w:tr w:rsidR="0068655E" w:rsidRPr="00E26A2B" w14:paraId="67EF9CAE" w14:textId="77777777" w:rsidTr="00443BC7">
        <w:trPr>
          <w:cantSplit/>
        </w:trPr>
        <w:tc>
          <w:tcPr>
            <w:tcW w:w="4224" w:type="dxa"/>
            <w:tcMar>
              <w:top w:w="0" w:type="dxa"/>
              <w:left w:w="108" w:type="dxa"/>
              <w:bottom w:w="0" w:type="dxa"/>
              <w:right w:w="108" w:type="dxa"/>
            </w:tcMar>
          </w:tcPr>
          <w:p w14:paraId="7DD7D788" w14:textId="77777777" w:rsidR="0068655E" w:rsidRPr="00C05F53" w:rsidRDefault="0068655E" w:rsidP="00443BC7">
            <w:pPr>
              <w:rPr>
                <w:b/>
                <w:bCs/>
                <w:lang w:val="es-ES"/>
              </w:rPr>
            </w:pPr>
            <w:r w:rsidRPr="00C05F53">
              <w:rPr>
                <w:b/>
                <w:bCs/>
                <w:lang w:val="es-ES"/>
              </w:rPr>
              <w:t>España</w:t>
            </w:r>
          </w:p>
          <w:p w14:paraId="5C746C93" w14:textId="77777777" w:rsidR="0068655E" w:rsidRPr="00C05F53" w:rsidRDefault="0068655E" w:rsidP="00443BC7">
            <w:pPr>
              <w:rPr>
                <w:lang w:val="es-ES"/>
              </w:rPr>
            </w:pPr>
            <w:r w:rsidRPr="00C05F53">
              <w:rPr>
                <w:lang w:val="es-ES"/>
              </w:rPr>
              <w:t>Pfizer S.L.</w:t>
            </w:r>
          </w:p>
          <w:p w14:paraId="79761A17" w14:textId="77777777" w:rsidR="0068655E" w:rsidRPr="00C05F53" w:rsidRDefault="0068655E" w:rsidP="00443BC7">
            <w:pPr>
              <w:rPr>
                <w:lang w:val="es-ES"/>
              </w:rPr>
            </w:pPr>
            <w:r w:rsidRPr="00C05F53">
              <w:rPr>
                <w:lang w:val="es-ES"/>
              </w:rPr>
              <w:t>Tel: +34 91 490 99 00</w:t>
            </w:r>
          </w:p>
          <w:p w14:paraId="42D3EAA1" w14:textId="77777777" w:rsidR="0068655E" w:rsidRPr="00C05F53" w:rsidRDefault="0068655E" w:rsidP="00443BC7">
            <w:pPr>
              <w:rPr>
                <w:lang w:val="es-ES"/>
              </w:rPr>
            </w:pPr>
          </w:p>
          <w:p w14:paraId="56DCE925" w14:textId="77777777" w:rsidR="0068655E" w:rsidRPr="00C05F53" w:rsidRDefault="0068655E" w:rsidP="00443BC7">
            <w:pPr>
              <w:autoSpaceDE w:val="0"/>
              <w:autoSpaceDN w:val="0"/>
              <w:rPr>
                <w:lang w:val="es-ES"/>
              </w:rPr>
            </w:pPr>
          </w:p>
        </w:tc>
        <w:tc>
          <w:tcPr>
            <w:tcW w:w="4863" w:type="dxa"/>
            <w:gridSpan w:val="2"/>
            <w:tcMar>
              <w:top w:w="0" w:type="dxa"/>
              <w:left w:w="108" w:type="dxa"/>
              <w:bottom w:w="0" w:type="dxa"/>
              <w:right w:w="108" w:type="dxa"/>
            </w:tcMar>
          </w:tcPr>
          <w:p w14:paraId="73E9154B" w14:textId="77777777" w:rsidR="0068655E" w:rsidRPr="00C05F53" w:rsidRDefault="0068655E" w:rsidP="00443BC7">
            <w:pPr>
              <w:autoSpaceDE w:val="0"/>
              <w:autoSpaceDN w:val="0"/>
              <w:rPr>
                <w:b/>
                <w:lang w:val="es-ES"/>
              </w:rPr>
            </w:pPr>
            <w:r w:rsidRPr="00C05F53">
              <w:rPr>
                <w:b/>
                <w:lang w:val="es-ES"/>
              </w:rPr>
              <w:t>Portugal</w:t>
            </w:r>
          </w:p>
          <w:p w14:paraId="4FE2CAD1" w14:textId="77777777" w:rsidR="0068655E" w:rsidRPr="00C05F53" w:rsidRDefault="0068655E" w:rsidP="00443BC7">
            <w:pPr>
              <w:autoSpaceDE w:val="0"/>
              <w:autoSpaceDN w:val="0"/>
              <w:rPr>
                <w:lang w:val="es-ES"/>
              </w:rPr>
            </w:pPr>
            <w:proofErr w:type="spellStart"/>
            <w:r w:rsidRPr="00C05F53">
              <w:rPr>
                <w:lang w:val="es-ES"/>
              </w:rPr>
              <w:t>Laboratórios</w:t>
            </w:r>
            <w:proofErr w:type="spellEnd"/>
            <w:r w:rsidRPr="00C05F53">
              <w:rPr>
                <w:lang w:val="es-ES"/>
              </w:rPr>
              <w:t xml:space="preserve"> Pfizer, Lda.</w:t>
            </w:r>
          </w:p>
          <w:p w14:paraId="4A8B9568" w14:textId="77777777" w:rsidR="0068655E" w:rsidRPr="00C05F53" w:rsidRDefault="0068655E" w:rsidP="00443BC7">
            <w:pPr>
              <w:autoSpaceDE w:val="0"/>
              <w:autoSpaceDN w:val="0"/>
              <w:rPr>
                <w:lang w:val="es-ES"/>
              </w:rPr>
            </w:pPr>
            <w:r w:rsidRPr="00C05F53">
              <w:rPr>
                <w:lang w:val="es-ES"/>
              </w:rPr>
              <w:t>Tel: +351 21 423 5500</w:t>
            </w:r>
          </w:p>
        </w:tc>
      </w:tr>
      <w:tr w:rsidR="0068655E" w:rsidRPr="000E0085" w14:paraId="4470732A" w14:textId="77777777" w:rsidTr="00443BC7">
        <w:trPr>
          <w:cantSplit/>
        </w:trPr>
        <w:tc>
          <w:tcPr>
            <w:tcW w:w="4224" w:type="dxa"/>
            <w:tcMar>
              <w:top w:w="0" w:type="dxa"/>
              <w:left w:w="108" w:type="dxa"/>
              <w:bottom w:w="0" w:type="dxa"/>
              <w:right w:w="108" w:type="dxa"/>
            </w:tcMar>
          </w:tcPr>
          <w:p w14:paraId="6E5AC09C" w14:textId="77777777" w:rsidR="0068655E" w:rsidRPr="000E0085" w:rsidRDefault="0068655E" w:rsidP="00443BC7">
            <w:pPr>
              <w:rPr>
                <w:b/>
                <w:bCs/>
                <w:lang w:val="en-GB"/>
              </w:rPr>
            </w:pPr>
            <w:r w:rsidRPr="000E0085">
              <w:rPr>
                <w:b/>
                <w:bCs/>
                <w:lang w:val="en-GB"/>
              </w:rPr>
              <w:t>France</w:t>
            </w:r>
          </w:p>
          <w:p w14:paraId="2A9C151D" w14:textId="77777777" w:rsidR="0068655E" w:rsidRPr="000E0085" w:rsidRDefault="0068655E" w:rsidP="00443BC7">
            <w:pPr>
              <w:rPr>
                <w:lang w:val="en-GB"/>
              </w:rPr>
            </w:pPr>
            <w:r w:rsidRPr="000E0085">
              <w:rPr>
                <w:lang w:val="en-GB"/>
              </w:rPr>
              <w:t xml:space="preserve">Pfizer </w:t>
            </w:r>
          </w:p>
          <w:p w14:paraId="40E2B780" w14:textId="77777777" w:rsidR="0068655E" w:rsidRPr="000E0085" w:rsidRDefault="0068655E" w:rsidP="00443BC7">
            <w:pPr>
              <w:rPr>
                <w:lang w:val="en-GB"/>
              </w:rPr>
            </w:pPr>
            <w:proofErr w:type="spellStart"/>
            <w:r w:rsidRPr="000E0085">
              <w:rPr>
                <w:lang w:val="en-GB"/>
              </w:rPr>
              <w:t>Tél</w:t>
            </w:r>
            <w:proofErr w:type="spellEnd"/>
            <w:r w:rsidRPr="000E0085">
              <w:rPr>
                <w:lang w:val="en-GB"/>
              </w:rPr>
              <w:t>: +33 (0)1 58 07 34 40</w:t>
            </w:r>
          </w:p>
          <w:p w14:paraId="54A68BA8" w14:textId="77777777" w:rsidR="0068655E" w:rsidRPr="000E0085" w:rsidRDefault="0068655E" w:rsidP="00443BC7">
            <w:pPr>
              <w:rPr>
                <w:lang w:val="en-GB"/>
              </w:rPr>
            </w:pPr>
          </w:p>
        </w:tc>
        <w:tc>
          <w:tcPr>
            <w:tcW w:w="4863" w:type="dxa"/>
            <w:gridSpan w:val="2"/>
            <w:tcMar>
              <w:top w:w="0" w:type="dxa"/>
              <w:left w:w="108" w:type="dxa"/>
              <w:bottom w:w="0" w:type="dxa"/>
              <w:right w:w="108" w:type="dxa"/>
            </w:tcMar>
          </w:tcPr>
          <w:p w14:paraId="144883ED" w14:textId="77777777" w:rsidR="0068655E" w:rsidRPr="00EC03BF" w:rsidRDefault="0068655E" w:rsidP="00443BC7">
            <w:pPr>
              <w:rPr>
                <w:b/>
                <w:bCs/>
                <w:lang w:val="pt-BR"/>
              </w:rPr>
            </w:pPr>
            <w:r w:rsidRPr="00EC03BF">
              <w:rPr>
                <w:b/>
                <w:bCs/>
                <w:lang w:val="pt-BR"/>
              </w:rPr>
              <w:t>România</w:t>
            </w:r>
          </w:p>
          <w:p w14:paraId="3CF9D10C" w14:textId="77777777" w:rsidR="0068655E" w:rsidRPr="00EC03BF" w:rsidRDefault="0068655E" w:rsidP="00443BC7">
            <w:pPr>
              <w:rPr>
                <w:lang w:val="pt-BR"/>
              </w:rPr>
            </w:pPr>
            <w:r w:rsidRPr="00EC03BF">
              <w:rPr>
                <w:lang w:val="pt-BR"/>
              </w:rPr>
              <w:t>Pfizer România S.R.L</w:t>
            </w:r>
          </w:p>
          <w:p w14:paraId="56D58ACE" w14:textId="77777777" w:rsidR="0068655E" w:rsidRPr="000E0085" w:rsidRDefault="0068655E" w:rsidP="00443BC7">
            <w:pPr>
              <w:rPr>
                <w:lang w:val="en-GB"/>
              </w:rPr>
            </w:pPr>
            <w:r w:rsidRPr="000E0085">
              <w:rPr>
                <w:lang w:val="en-GB"/>
              </w:rPr>
              <w:t>Tel: +40 (0) 21 207 28 00</w:t>
            </w:r>
          </w:p>
          <w:p w14:paraId="593AEBAF" w14:textId="77777777" w:rsidR="0068655E" w:rsidRPr="000E0085" w:rsidRDefault="0068655E" w:rsidP="00443BC7">
            <w:pPr>
              <w:autoSpaceDE w:val="0"/>
              <w:autoSpaceDN w:val="0"/>
              <w:rPr>
                <w:lang w:val="en-GB"/>
              </w:rPr>
            </w:pPr>
          </w:p>
        </w:tc>
      </w:tr>
      <w:tr w:rsidR="0068655E" w:rsidRPr="000E0085" w14:paraId="62E94AE7" w14:textId="77777777" w:rsidTr="00443BC7">
        <w:trPr>
          <w:cantSplit/>
        </w:trPr>
        <w:tc>
          <w:tcPr>
            <w:tcW w:w="4224" w:type="dxa"/>
            <w:tcMar>
              <w:top w:w="0" w:type="dxa"/>
              <w:left w:w="108" w:type="dxa"/>
              <w:bottom w:w="0" w:type="dxa"/>
              <w:right w:w="108" w:type="dxa"/>
            </w:tcMar>
          </w:tcPr>
          <w:p w14:paraId="28FEDCE3" w14:textId="77777777" w:rsidR="0068655E" w:rsidRPr="00EC03BF" w:rsidRDefault="0068655E" w:rsidP="00443BC7">
            <w:pPr>
              <w:rPr>
                <w:b/>
                <w:bCs/>
                <w:lang w:val="pt-BR"/>
              </w:rPr>
            </w:pPr>
            <w:r w:rsidRPr="00EC03BF">
              <w:rPr>
                <w:b/>
                <w:bCs/>
                <w:lang w:val="pt-BR"/>
              </w:rPr>
              <w:t>Hrvatska</w:t>
            </w:r>
          </w:p>
          <w:p w14:paraId="546CC702" w14:textId="77777777" w:rsidR="0068655E" w:rsidRPr="00EC03BF" w:rsidRDefault="0068655E" w:rsidP="00443BC7">
            <w:pPr>
              <w:rPr>
                <w:lang w:val="pt-BR"/>
              </w:rPr>
            </w:pPr>
            <w:r w:rsidRPr="00EC03BF">
              <w:rPr>
                <w:lang w:val="pt-BR"/>
              </w:rPr>
              <w:t>Pfizer Croatia d.o.o.</w:t>
            </w:r>
          </w:p>
          <w:p w14:paraId="6C1B69B2" w14:textId="77777777" w:rsidR="0068655E" w:rsidRPr="000E0085" w:rsidRDefault="0068655E" w:rsidP="00443BC7">
            <w:pPr>
              <w:rPr>
                <w:lang w:val="en-GB"/>
              </w:rPr>
            </w:pPr>
            <w:r w:rsidRPr="000E0085">
              <w:rPr>
                <w:lang w:val="en-GB"/>
              </w:rPr>
              <w:t>Tel: +385 1 3908 777</w:t>
            </w:r>
          </w:p>
          <w:p w14:paraId="72B2C6ED"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4F865647" w14:textId="77777777" w:rsidR="0068655E" w:rsidRPr="00EC03BF" w:rsidRDefault="0068655E" w:rsidP="00443BC7">
            <w:pPr>
              <w:rPr>
                <w:b/>
                <w:bCs/>
                <w:lang w:val="pt-BR"/>
              </w:rPr>
            </w:pPr>
            <w:r w:rsidRPr="00EC03BF">
              <w:rPr>
                <w:b/>
                <w:bCs/>
                <w:lang w:val="pt-BR"/>
              </w:rPr>
              <w:t>Slovenija</w:t>
            </w:r>
          </w:p>
          <w:p w14:paraId="6FA8B616" w14:textId="77777777" w:rsidR="0068655E" w:rsidRPr="00EC03BF" w:rsidRDefault="0068655E" w:rsidP="00443BC7">
            <w:pPr>
              <w:rPr>
                <w:lang w:val="pt-BR"/>
              </w:rPr>
            </w:pPr>
            <w:r w:rsidRPr="00EC03BF">
              <w:rPr>
                <w:lang w:val="pt-BR"/>
              </w:rPr>
              <w:t>Pfizer Luxembourg SARL</w:t>
            </w:r>
            <w:r w:rsidRPr="00EC03BF">
              <w:rPr>
                <w:i/>
                <w:iCs/>
                <w:lang w:val="pt-BR"/>
              </w:rPr>
              <w:t xml:space="preserve">, </w:t>
            </w:r>
            <w:r w:rsidRPr="00EC03BF">
              <w:rPr>
                <w:lang w:val="pt-BR"/>
              </w:rPr>
              <w:t>Pfizer, podružnica</w:t>
            </w:r>
          </w:p>
          <w:p w14:paraId="365E5118" w14:textId="77777777" w:rsidR="0068655E" w:rsidRPr="00EC03BF" w:rsidRDefault="0068655E" w:rsidP="00443BC7">
            <w:pPr>
              <w:rPr>
                <w:lang w:val="pt-BR"/>
              </w:rPr>
            </w:pPr>
            <w:r w:rsidRPr="00EC03BF">
              <w:rPr>
                <w:lang w:val="pt-BR"/>
              </w:rPr>
              <w:t>za svetovanje s področja farmacevtske</w:t>
            </w:r>
          </w:p>
          <w:p w14:paraId="5B59DD29" w14:textId="77777777" w:rsidR="0068655E" w:rsidRPr="00EC03BF" w:rsidRDefault="0068655E" w:rsidP="00443BC7">
            <w:pPr>
              <w:rPr>
                <w:lang w:val="pt-BR"/>
              </w:rPr>
            </w:pPr>
            <w:r w:rsidRPr="00EC03BF">
              <w:rPr>
                <w:lang w:val="pt-BR"/>
              </w:rPr>
              <w:t>dejavnosti, Ljubljana</w:t>
            </w:r>
          </w:p>
          <w:p w14:paraId="218646C3" w14:textId="77777777" w:rsidR="0068655E" w:rsidRPr="000E0085" w:rsidRDefault="0068655E" w:rsidP="00443BC7">
            <w:pPr>
              <w:rPr>
                <w:lang w:val="en-GB"/>
              </w:rPr>
            </w:pPr>
            <w:r w:rsidRPr="000E0085">
              <w:rPr>
                <w:lang w:val="en-GB"/>
              </w:rPr>
              <w:t>Tel: +386 (0)1 52 11 400</w:t>
            </w:r>
          </w:p>
          <w:p w14:paraId="37556AA7" w14:textId="77777777" w:rsidR="0068655E" w:rsidRPr="000E0085" w:rsidRDefault="0068655E" w:rsidP="00443BC7">
            <w:pPr>
              <w:autoSpaceDE w:val="0"/>
              <w:autoSpaceDN w:val="0"/>
              <w:rPr>
                <w:lang w:val="en-GB"/>
              </w:rPr>
            </w:pPr>
          </w:p>
        </w:tc>
      </w:tr>
      <w:tr w:rsidR="0068655E" w:rsidRPr="000E0085" w14:paraId="25DF9339" w14:textId="77777777" w:rsidTr="00443BC7">
        <w:trPr>
          <w:cantSplit/>
        </w:trPr>
        <w:tc>
          <w:tcPr>
            <w:tcW w:w="4224" w:type="dxa"/>
            <w:tcMar>
              <w:top w:w="0" w:type="dxa"/>
              <w:left w:w="108" w:type="dxa"/>
              <w:bottom w:w="0" w:type="dxa"/>
              <w:right w:w="108" w:type="dxa"/>
            </w:tcMar>
          </w:tcPr>
          <w:p w14:paraId="2AEB6FA3" w14:textId="77777777" w:rsidR="0068655E" w:rsidRPr="000E0085" w:rsidRDefault="0068655E" w:rsidP="00443BC7">
            <w:pPr>
              <w:rPr>
                <w:b/>
                <w:bCs/>
                <w:lang w:val="en-GB"/>
              </w:rPr>
            </w:pPr>
            <w:r w:rsidRPr="000E0085">
              <w:rPr>
                <w:b/>
                <w:bCs/>
                <w:lang w:val="en-GB"/>
              </w:rPr>
              <w:t>Ireland</w:t>
            </w:r>
          </w:p>
          <w:p w14:paraId="25269363" w14:textId="7909B0A1" w:rsidR="0068655E" w:rsidRPr="000E0085" w:rsidRDefault="0068655E" w:rsidP="00443BC7">
            <w:pPr>
              <w:rPr>
                <w:lang w:val="en-GB"/>
              </w:rPr>
            </w:pPr>
            <w:r w:rsidRPr="000E0085">
              <w:rPr>
                <w:lang w:val="en-GB"/>
              </w:rPr>
              <w:t>Pfizer Healthcare Ireland</w:t>
            </w:r>
            <w:ins w:id="18" w:author="Author" w:date="2025-06-12T14:13:00Z" w16du:dateUtc="2025-06-12T13:13:00Z">
              <w:r w:rsidR="00EC03BF">
                <w:rPr>
                  <w:lang w:val="en-GB"/>
                </w:rPr>
                <w:t xml:space="preserve"> Unlimited Company</w:t>
              </w:r>
            </w:ins>
          </w:p>
          <w:p w14:paraId="53F10844" w14:textId="77777777" w:rsidR="0068655E" w:rsidRPr="000E0085" w:rsidRDefault="0068655E" w:rsidP="00443BC7">
            <w:pPr>
              <w:rPr>
                <w:lang w:val="en-GB"/>
              </w:rPr>
            </w:pPr>
            <w:r w:rsidRPr="000E0085">
              <w:rPr>
                <w:lang w:val="en-GB"/>
              </w:rPr>
              <w:t>Tel: +1800 633 363 (toll free)</w:t>
            </w:r>
          </w:p>
          <w:p w14:paraId="60D70798" w14:textId="77777777" w:rsidR="0068655E" w:rsidRPr="000E0085" w:rsidRDefault="0068655E" w:rsidP="00443BC7">
            <w:pPr>
              <w:rPr>
                <w:lang w:val="en-GB"/>
              </w:rPr>
            </w:pPr>
            <w:r w:rsidRPr="000E0085">
              <w:rPr>
                <w:lang w:val="en-GB"/>
              </w:rPr>
              <w:t>Tel: +44 (0)1304 616161</w:t>
            </w:r>
          </w:p>
          <w:p w14:paraId="344B4BD4"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47A8D649" w14:textId="77777777" w:rsidR="0068655E" w:rsidRPr="00EC03BF" w:rsidRDefault="0068655E" w:rsidP="00443BC7">
            <w:pPr>
              <w:rPr>
                <w:b/>
                <w:bCs/>
                <w:lang w:val="pt-BR"/>
              </w:rPr>
            </w:pPr>
            <w:r w:rsidRPr="00EC03BF">
              <w:rPr>
                <w:b/>
                <w:bCs/>
                <w:lang w:val="pt-BR"/>
              </w:rPr>
              <w:t>Slovenská Republika</w:t>
            </w:r>
          </w:p>
          <w:p w14:paraId="3331994B" w14:textId="77777777" w:rsidR="0068655E" w:rsidRPr="00EC03BF" w:rsidRDefault="0068655E" w:rsidP="00443BC7">
            <w:pPr>
              <w:rPr>
                <w:lang w:val="pt-BR"/>
              </w:rPr>
            </w:pPr>
            <w:r w:rsidRPr="00EC03BF">
              <w:rPr>
                <w:lang w:val="pt-BR"/>
              </w:rPr>
              <w:t>Pfizer Luxembourg SARL, organizačná zložka</w:t>
            </w:r>
          </w:p>
          <w:p w14:paraId="10D2A5DF" w14:textId="77777777" w:rsidR="0068655E" w:rsidRPr="000E0085" w:rsidRDefault="0068655E" w:rsidP="00443BC7">
            <w:pPr>
              <w:rPr>
                <w:lang w:val="en-GB"/>
              </w:rPr>
            </w:pPr>
            <w:r w:rsidRPr="000E0085">
              <w:rPr>
                <w:lang w:val="en-GB"/>
              </w:rPr>
              <w:t>Tel: +421 2 3355 5500</w:t>
            </w:r>
          </w:p>
          <w:p w14:paraId="7C320465" w14:textId="77777777" w:rsidR="0068655E" w:rsidRPr="000E0085" w:rsidRDefault="0068655E" w:rsidP="00443BC7">
            <w:pPr>
              <w:autoSpaceDE w:val="0"/>
              <w:autoSpaceDN w:val="0"/>
              <w:rPr>
                <w:lang w:val="en-GB"/>
              </w:rPr>
            </w:pPr>
          </w:p>
        </w:tc>
      </w:tr>
      <w:tr w:rsidR="0068655E" w:rsidRPr="00C05F53" w14:paraId="21B5874E" w14:textId="77777777" w:rsidTr="00443BC7">
        <w:trPr>
          <w:cantSplit/>
        </w:trPr>
        <w:tc>
          <w:tcPr>
            <w:tcW w:w="4224" w:type="dxa"/>
            <w:tcMar>
              <w:top w:w="0" w:type="dxa"/>
              <w:left w:w="108" w:type="dxa"/>
              <w:bottom w:w="0" w:type="dxa"/>
              <w:right w:w="108" w:type="dxa"/>
            </w:tcMar>
          </w:tcPr>
          <w:p w14:paraId="0D1FC75A" w14:textId="77777777" w:rsidR="0068655E" w:rsidRPr="000E0085" w:rsidRDefault="0068655E" w:rsidP="00443BC7">
            <w:pPr>
              <w:rPr>
                <w:b/>
                <w:bCs/>
                <w:lang w:val="en-GB"/>
              </w:rPr>
            </w:pPr>
            <w:proofErr w:type="spellStart"/>
            <w:r w:rsidRPr="000E0085">
              <w:rPr>
                <w:b/>
                <w:bCs/>
                <w:lang w:val="en-GB"/>
              </w:rPr>
              <w:lastRenderedPageBreak/>
              <w:t>Ísland</w:t>
            </w:r>
            <w:proofErr w:type="spellEnd"/>
          </w:p>
          <w:p w14:paraId="172F92C7" w14:textId="77777777" w:rsidR="0068655E" w:rsidRPr="000E0085" w:rsidRDefault="0068655E" w:rsidP="00443BC7">
            <w:pPr>
              <w:rPr>
                <w:lang w:val="en-GB"/>
              </w:rPr>
            </w:pPr>
            <w:proofErr w:type="spellStart"/>
            <w:r w:rsidRPr="000E0085">
              <w:rPr>
                <w:lang w:val="en-GB"/>
              </w:rPr>
              <w:t>Icepharma</w:t>
            </w:r>
            <w:proofErr w:type="spellEnd"/>
            <w:r w:rsidRPr="000E0085">
              <w:rPr>
                <w:lang w:val="en-GB"/>
              </w:rPr>
              <w:t xml:space="preserve"> hf.</w:t>
            </w:r>
          </w:p>
          <w:p w14:paraId="171E8FEC" w14:textId="77777777" w:rsidR="0068655E" w:rsidRPr="000E0085" w:rsidRDefault="0068655E" w:rsidP="00443BC7">
            <w:pPr>
              <w:rPr>
                <w:lang w:val="en-GB"/>
              </w:rPr>
            </w:pPr>
            <w:r w:rsidRPr="000E0085">
              <w:rPr>
                <w:lang w:val="en-GB"/>
              </w:rPr>
              <w:t>Tel: +354 540 8000</w:t>
            </w:r>
          </w:p>
          <w:p w14:paraId="0A8409FC"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067FB356" w14:textId="77777777" w:rsidR="0068655E" w:rsidRPr="00C05F53" w:rsidRDefault="0068655E" w:rsidP="00443BC7">
            <w:pPr>
              <w:rPr>
                <w:b/>
                <w:bCs/>
              </w:rPr>
            </w:pPr>
            <w:r w:rsidRPr="00C05F53">
              <w:rPr>
                <w:b/>
                <w:bCs/>
              </w:rPr>
              <w:t>Suomi/Finland</w:t>
            </w:r>
          </w:p>
          <w:p w14:paraId="6C0F92DA" w14:textId="77777777" w:rsidR="0068655E" w:rsidRPr="00C05F53" w:rsidRDefault="0068655E" w:rsidP="00443BC7">
            <w:r w:rsidRPr="00C05F53">
              <w:t>Pfizer Oy</w:t>
            </w:r>
          </w:p>
          <w:p w14:paraId="2C81A045" w14:textId="77777777" w:rsidR="0068655E" w:rsidRPr="00C05F53" w:rsidRDefault="0068655E" w:rsidP="00443BC7">
            <w:r w:rsidRPr="00C05F53">
              <w:t>Puh/Tel: +358 (0)9 430 040</w:t>
            </w:r>
          </w:p>
          <w:p w14:paraId="03EE4046" w14:textId="77777777" w:rsidR="0068655E" w:rsidRPr="00C05F53" w:rsidRDefault="0068655E" w:rsidP="00443BC7"/>
          <w:p w14:paraId="662482A9" w14:textId="77777777" w:rsidR="0068655E" w:rsidRPr="00C05F53" w:rsidRDefault="0068655E" w:rsidP="00443BC7">
            <w:pPr>
              <w:autoSpaceDE w:val="0"/>
              <w:autoSpaceDN w:val="0"/>
            </w:pPr>
          </w:p>
        </w:tc>
      </w:tr>
      <w:tr w:rsidR="0068655E" w:rsidRPr="000E0085" w14:paraId="050B3874" w14:textId="77777777" w:rsidTr="00443BC7">
        <w:trPr>
          <w:cantSplit/>
        </w:trPr>
        <w:tc>
          <w:tcPr>
            <w:tcW w:w="4224" w:type="dxa"/>
            <w:tcMar>
              <w:top w:w="0" w:type="dxa"/>
              <w:left w:w="108" w:type="dxa"/>
              <w:bottom w:w="0" w:type="dxa"/>
              <w:right w:w="108" w:type="dxa"/>
            </w:tcMar>
          </w:tcPr>
          <w:p w14:paraId="4C14831E" w14:textId="77777777" w:rsidR="0068655E" w:rsidRPr="00EC03BF" w:rsidRDefault="0068655E" w:rsidP="00443BC7">
            <w:pPr>
              <w:rPr>
                <w:lang w:val="pt-BR"/>
              </w:rPr>
            </w:pPr>
            <w:r w:rsidRPr="00EC03BF">
              <w:rPr>
                <w:b/>
                <w:bCs/>
                <w:lang w:val="pt-BR"/>
              </w:rPr>
              <w:t>Italia</w:t>
            </w:r>
          </w:p>
          <w:p w14:paraId="49F6F030" w14:textId="77777777" w:rsidR="0068655E" w:rsidRPr="00EC03BF" w:rsidRDefault="0068655E" w:rsidP="00443BC7">
            <w:pPr>
              <w:rPr>
                <w:lang w:val="pt-BR"/>
              </w:rPr>
            </w:pPr>
            <w:r w:rsidRPr="00EC03BF">
              <w:rPr>
                <w:lang w:val="pt-BR"/>
              </w:rPr>
              <w:t xml:space="preserve">Pfizer S.r.l. </w:t>
            </w:r>
          </w:p>
          <w:p w14:paraId="2169368F" w14:textId="77777777" w:rsidR="0068655E" w:rsidRPr="000E0085" w:rsidRDefault="0068655E" w:rsidP="00443BC7">
            <w:pPr>
              <w:rPr>
                <w:lang w:val="en-GB"/>
              </w:rPr>
            </w:pPr>
            <w:r w:rsidRPr="000E0085">
              <w:rPr>
                <w:lang w:val="en-GB"/>
              </w:rPr>
              <w:t>Tel: +39 06 33 18 21</w:t>
            </w:r>
          </w:p>
          <w:p w14:paraId="5C5ECC9C" w14:textId="77777777" w:rsidR="0068655E" w:rsidRPr="000E0085" w:rsidRDefault="0068655E" w:rsidP="00443BC7">
            <w:pPr>
              <w:autoSpaceDE w:val="0"/>
              <w:autoSpaceDN w:val="0"/>
              <w:rPr>
                <w:lang w:val="en-GB"/>
              </w:rPr>
            </w:pPr>
          </w:p>
        </w:tc>
        <w:tc>
          <w:tcPr>
            <w:tcW w:w="4863" w:type="dxa"/>
            <w:gridSpan w:val="2"/>
            <w:tcMar>
              <w:top w:w="0" w:type="dxa"/>
              <w:left w:w="108" w:type="dxa"/>
              <w:bottom w:w="0" w:type="dxa"/>
              <w:right w:w="108" w:type="dxa"/>
            </w:tcMar>
          </w:tcPr>
          <w:p w14:paraId="3BDC7382" w14:textId="77777777" w:rsidR="0068655E" w:rsidRPr="000E0085" w:rsidRDefault="0068655E" w:rsidP="00443BC7">
            <w:pPr>
              <w:rPr>
                <w:b/>
                <w:bCs/>
                <w:lang w:val="en-GB"/>
              </w:rPr>
            </w:pPr>
            <w:r w:rsidRPr="000E0085">
              <w:rPr>
                <w:b/>
                <w:bCs/>
                <w:lang w:val="en-GB"/>
              </w:rPr>
              <w:t>Sverige</w:t>
            </w:r>
          </w:p>
          <w:p w14:paraId="13481F37" w14:textId="77777777" w:rsidR="0068655E" w:rsidRPr="000E0085" w:rsidRDefault="0068655E" w:rsidP="00443BC7">
            <w:pPr>
              <w:rPr>
                <w:lang w:val="en-GB"/>
              </w:rPr>
            </w:pPr>
            <w:r w:rsidRPr="000E0085">
              <w:rPr>
                <w:lang w:val="en-GB"/>
              </w:rPr>
              <w:t>Pfizer AB</w:t>
            </w:r>
          </w:p>
          <w:p w14:paraId="50E2446A" w14:textId="77777777" w:rsidR="0068655E" w:rsidRPr="000E0085" w:rsidRDefault="0068655E" w:rsidP="00443BC7">
            <w:pPr>
              <w:rPr>
                <w:lang w:val="en-GB"/>
              </w:rPr>
            </w:pPr>
            <w:r w:rsidRPr="000E0085">
              <w:rPr>
                <w:lang w:val="en-GB"/>
              </w:rPr>
              <w:t>Tel: +46 (0)8 550 520 00</w:t>
            </w:r>
          </w:p>
          <w:p w14:paraId="136782A2" w14:textId="77777777" w:rsidR="0068655E" w:rsidRPr="000E0085" w:rsidRDefault="0068655E" w:rsidP="00443BC7">
            <w:pPr>
              <w:autoSpaceDE w:val="0"/>
              <w:autoSpaceDN w:val="0"/>
              <w:rPr>
                <w:lang w:val="en-GB"/>
              </w:rPr>
            </w:pPr>
          </w:p>
        </w:tc>
      </w:tr>
      <w:tr w:rsidR="0068655E" w:rsidRPr="000E0085" w14:paraId="0184CA1E" w14:textId="77777777" w:rsidTr="00443BC7">
        <w:trPr>
          <w:cantSplit/>
        </w:trPr>
        <w:tc>
          <w:tcPr>
            <w:tcW w:w="4224" w:type="dxa"/>
            <w:tcMar>
              <w:top w:w="0" w:type="dxa"/>
              <w:left w:w="108" w:type="dxa"/>
              <w:bottom w:w="0" w:type="dxa"/>
              <w:right w:w="108" w:type="dxa"/>
            </w:tcMar>
          </w:tcPr>
          <w:p w14:paraId="1A816514" w14:textId="77777777" w:rsidR="0068655E" w:rsidRPr="00EC03BF" w:rsidRDefault="0068655E" w:rsidP="00443BC7">
            <w:pPr>
              <w:rPr>
                <w:b/>
                <w:bCs/>
                <w:lang w:val="pt-BR"/>
              </w:rPr>
            </w:pPr>
            <w:r w:rsidRPr="00EC03BF">
              <w:rPr>
                <w:b/>
                <w:bCs/>
                <w:lang w:val="pt-BR"/>
              </w:rPr>
              <w:t>Latvija</w:t>
            </w:r>
          </w:p>
          <w:p w14:paraId="710F66D0" w14:textId="77777777" w:rsidR="0068655E" w:rsidRPr="00EC03BF" w:rsidRDefault="0068655E" w:rsidP="00443BC7">
            <w:pPr>
              <w:rPr>
                <w:lang w:val="pt-BR"/>
              </w:rPr>
            </w:pPr>
            <w:r w:rsidRPr="00EC03BF">
              <w:rPr>
                <w:lang w:val="pt-BR"/>
              </w:rPr>
              <w:t>Pfizer Luxembourg SARL filiāle Latvijā</w:t>
            </w:r>
          </w:p>
          <w:p w14:paraId="76E81C64" w14:textId="77777777" w:rsidR="0068655E" w:rsidRPr="000E0085" w:rsidRDefault="0068655E" w:rsidP="00443BC7">
            <w:pPr>
              <w:rPr>
                <w:lang w:val="en-GB"/>
              </w:rPr>
            </w:pPr>
            <w:r w:rsidRPr="000E0085">
              <w:rPr>
                <w:lang w:val="en-GB"/>
              </w:rPr>
              <w:t>Tel. +371 67035775</w:t>
            </w:r>
          </w:p>
          <w:p w14:paraId="419618A5" w14:textId="77777777" w:rsidR="0068655E" w:rsidRPr="000E0085" w:rsidRDefault="0068655E" w:rsidP="00443BC7">
            <w:pPr>
              <w:autoSpaceDE w:val="0"/>
              <w:autoSpaceDN w:val="0"/>
              <w:rPr>
                <w:b/>
                <w:bCs/>
                <w:lang w:val="en-GB"/>
              </w:rPr>
            </w:pPr>
          </w:p>
        </w:tc>
        <w:tc>
          <w:tcPr>
            <w:tcW w:w="4863" w:type="dxa"/>
            <w:gridSpan w:val="2"/>
            <w:tcMar>
              <w:top w:w="0" w:type="dxa"/>
              <w:left w:w="108" w:type="dxa"/>
              <w:bottom w:w="0" w:type="dxa"/>
              <w:right w:w="108" w:type="dxa"/>
            </w:tcMar>
          </w:tcPr>
          <w:p w14:paraId="363C5692" w14:textId="61B62543" w:rsidR="0068655E" w:rsidRPr="000E0085" w:rsidDel="00EC03BF" w:rsidRDefault="0068655E" w:rsidP="00443BC7">
            <w:pPr>
              <w:rPr>
                <w:del w:id="19" w:author="Author" w:date="2025-06-12T14:13:00Z" w16du:dateUtc="2025-06-12T13:13:00Z"/>
                <w:b/>
                <w:bCs/>
                <w:lang w:val="en-GB"/>
              </w:rPr>
            </w:pPr>
            <w:del w:id="20" w:author="Author" w:date="2025-06-12T14:13:00Z" w16du:dateUtc="2025-06-12T13:13:00Z">
              <w:r w:rsidRPr="000E0085" w:rsidDel="00EC03BF">
                <w:rPr>
                  <w:b/>
                  <w:bCs/>
                  <w:lang w:val="en-GB"/>
                </w:rPr>
                <w:delText>United Kingdom</w:delText>
              </w:r>
              <w:r w:rsidDel="00EC03BF">
                <w:rPr>
                  <w:b/>
                  <w:bCs/>
                  <w:lang w:val="en-GB"/>
                </w:rPr>
                <w:delText xml:space="preserve"> (Northern Ireland)</w:delText>
              </w:r>
            </w:del>
          </w:p>
          <w:p w14:paraId="43D1F6B5" w14:textId="26C11E2B" w:rsidR="0068655E" w:rsidRPr="000E0085" w:rsidDel="00EC03BF" w:rsidRDefault="0068655E" w:rsidP="00443BC7">
            <w:pPr>
              <w:rPr>
                <w:del w:id="21" w:author="Author" w:date="2025-06-12T14:13:00Z" w16du:dateUtc="2025-06-12T13:13:00Z"/>
                <w:lang w:val="en-GB"/>
              </w:rPr>
            </w:pPr>
            <w:del w:id="22" w:author="Author" w:date="2025-06-12T14:13:00Z" w16du:dateUtc="2025-06-12T13:13:00Z">
              <w:r w:rsidRPr="000E0085" w:rsidDel="00EC03BF">
                <w:rPr>
                  <w:lang w:val="en-GB"/>
                </w:rPr>
                <w:delText>Pfizer Limited</w:delText>
              </w:r>
            </w:del>
          </w:p>
          <w:p w14:paraId="68F24529" w14:textId="2B85ED0A" w:rsidR="0068655E" w:rsidDel="00EC03BF" w:rsidRDefault="0068655E" w:rsidP="00443BC7">
            <w:pPr>
              <w:rPr>
                <w:del w:id="23" w:author="Author" w:date="2025-06-12T14:13:00Z" w16du:dateUtc="2025-06-12T13:13:00Z"/>
                <w:lang w:val="en-GB"/>
              </w:rPr>
            </w:pPr>
            <w:del w:id="24" w:author="Author" w:date="2025-06-12T14:13:00Z" w16du:dateUtc="2025-06-12T13:13:00Z">
              <w:r w:rsidRPr="000E0085" w:rsidDel="00EC03BF">
                <w:rPr>
                  <w:lang w:val="en-GB"/>
                </w:rPr>
                <w:delText>Tel: +44 (0)1304 616161</w:delText>
              </w:r>
            </w:del>
          </w:p>
          <w:p w14:paraId="315413B5" w14:textId="77777777" w:rsidR="0068655E" w:rsidRPr="000E0085" w:rsidRDefault="0068655E" w:rsidP="00EC03BF">
            <w:pPr>
              <w:rPr>
                <w:b/>
                <w:bCs/>
                <w:lang w:val="en-GB"/>
              </w:rPr>
            </w:pPr>
          </w:p>
        </w:tc>
      </w:tr>
      <w:tr w:rsidR="0068655E" w:rsidRPr="000E0085" w14:paraId="29E142EF" w14:textId="77777777" w:rsidTr="00443BC7">
        <w:trPr>
          <w:cantSplit/>
        </w:trPr>
        <w:tc>
          <w:tcPr>
            <w:tcW w:w="4224" w:type="dxa"/>
            <w:tcMar>
              <w:top w:w="0" w:type="dxa"/>
              <w:left w:w="108" w:type="dxa"/>
              <w:bottom w:w="0" w:type="dxa"/>
              <w:right w:w="108" w:type="dxa"/>
            </w:tcMar>
            <w:hideMark/>
          </w:tcPr>
          <w:p w14:paraId="5E4A9FB0" w14:textId="77777777" w:rsidR="0068655E" w:rsidRPr="00EC03BF" w:rsidRDefault="0068655E" w:rsidP="00443BC7">
            <w:pPr>
              <w:rPr>
                <w:b/>
                <w:bCs/>
                <w:lang w:val="pt-BR"/>
              </w:rPr>
            </w:pPr>
            <w:r w:rsidRPr="00EC03BF">
              <w:rPr>
                <w:b/>
                <w:bCs/>
                <w:lang w:val="pt-BR"/>
              </w:rPr>
              <w:t>Lietuva</w:t>
            </w:r>
          </w:p>
          <w:p w14:paraId="6FDD0504" w14:textId="77777777" w:rsidR="0068655E" w:rsidRPr="00EC03BF" w:rsidRDefault="0068655E" w:rsidP="00443BC7">
            <w:pPr>
              <w:rPr>
                <w:lang w:val="pt-BR"/>
              </w:rPr>
            </w:pPr>
            <w:r w:rsidRPr="00EC03BF">
              <w:rPr>
                <w:lang w:val="pt-BR"/>
              </w:rPr>
              <w:t>Pfizer Luxembourg SARL filialas Lietuvoje</w:t>
            </w:r>
          </w:p>
          <w:p w14:paraId="0D166D35" w14:textId="77777777" w:rsidR="0068655E" w:rsidRPr="000E0085" w:rsidRDefault="0068655E" w:rsidP="00443BC7">
            <w:pPr>
              <w:autoSpaceDE w:val="0"/>
              <w:autoSpaceDN w:val="0"/>
              <w:rPr>
                <w:b/>
                <w:bCs/>
                <w:lang w:val="en-GB"/>
              </w:rPr>
            </w:pPr>
            <w:r w:rsidRPr="000E0085">
              <w:rPr>
                <w:lang w:val="en-GB"/>
              </w:rPr>
              <w:t>Tel. +3705 2514000</w:t>
            </w:r>
          </w:p>
        </w:tc>
        <w:tc>
          <w:tcPr>
            <w:tcW w:w="4863" w:type="dxa"/>
            <w:gridSpan w:val="2"/>
            <w:tcMar>
              <w:top w:w="0" w:type="dxa"/>
              <w:left w:w="108" w:type="dxa"/>
              <w:bottom w:w="0" w:type="dxa"/>
              <w:right w:w="108" w:type="dxa"/>
            </w:tcMar>
          </w:tcPr>
          <w:p w14:paraId="30683C62" w14:textId="77777777" w:rsidR="0068655E" w:rsidRPr="000E0085" w:rsidRDefault="0068655E" w:rsidP="00443BC7">
            <w:pPr>
              <w:autoSpaceDE w:val="0"/>
              <w:autoSpaceDN w:val="0"/>
              <w:rPr>
                <w:b/>
                <w:bCs/>
                <w:lang w:val="en-GB"/>
              </w:rPr>
            </w:pPr>
          </w:p>
        </w:tc>
      </w:tr>
    </w:tbl>
    <w:p w14:paraId="4D7824F8" w14:textId="77777777" w:rsidR="00D545B8" w:rsidRPr="004F5FB4" w:rsidRDefault="00D545B8" w:rsidP="000E3250">
      <w:pPr>
        <w:pStyle w:val="BodyText"/>
        <w:widowControl/>
        <w:kinsoku w:val="0"/>
        <w:overflowPunct w:val="0"/>
        <w:ind w:left="0"/>
        <w:rPr>
          <w:color w:val="000000"/>
          <w:lang w:val="en-GB"/>
        </w:rPr>
      </w:pPr>
    </w:p>
    <w:p w14:paraId="152F27BF" w14:textId="77777777" w:rsidR="00FC5A0A" w:rsidRPr="004F5FB4" w:rsidRDefault="00FC5A0A" w:rsidP="00F60620">
      <w:pPr>
        <w:pStyle w:val="BodyText"/>
        <w:widowControl/>
        <w:kinsoku w:val="0"/>
        <w:overflowPunct w:val="0"/>
        <w:ind w:left="0"/>
        <w:rPr>
          <w:b/>
          <w:bCs/>
          <w:color w:val="000000"/>
        </w:rPr>
      </w:pPr>
      <w:r w:rsidRPr="00F60620">
        <w:rPr>
          <w:b/>
          <w:bCs/>
          <w:color w:val="000000"/>
        </w:rPr>
        <w:t>Diese Packungsbeilage wurde zuletzt überarbeitet i</w:t>
      </w:r>
      <w:r w:rsidR="00C958F5" w:rsidRPr="00F60620">
        <w:rPr>
          <w:b/>
          <w:bCs/>
          <w:color w:val="000000"/>
        </w:rPr>
        <w:t>m</w:t>
      </w:r>
    </w:p>
    <w:p w14:paraId="4D148235" w14:textId="77777777" w:rsidR="00FC5A0A" w:rsidRPr="004F5FB4" w:rsidRDefault="00FC5A0A" w:rsidP="000E3250">
      <w:pPr>
        <w:pStyle w:val="BodyText"/>
        <w:widowControl/>
        <w:kinsoku w:val="0"/>
        <w:overflowPunct w:val="0"/>
        <w:ind w:left="0"/>
        <w:rPr>
          <w:b/>
          <w:bCs/>
          <w:color w:val="000000"/>
          <w:szCs w:val="21"/>
        </w:rPr>
      </w:pPr>
    </w:p>
    <w:p w14:paraId="26D41175" w14:textId="04BEE01E" w:rsidR="00FC5A0A" w:rsidRPr="004F5FB4" w:rsidRDefault="00FC5A0A" w:rsidP="000E3250">
      <w:pPr>
        <w:pStyle w:val="BodyText"/>
        <w:widowControl/>
        <w:kinsoku w:val="0"/>
        <w:overflowPunct w:val="0"/>
        <w:ind w:left="0"/>
        <w:rPr>
          <w:color w:val="000000"/>
        </w:rPr>
      </w:pPr>
      <w:r w:rsidRPr="004F5FB4">
        <w:rPr>
          <w:color w:val="000000"/>
        </w:rPr>
        <w:t xml:space="preserve">Ausführliche Informationen zu diesem Arzneimittel sind auf den Internetseiten der Europäischen Arzneimittel-Agentur </w:t>
      </w:r>
      <w:r w:rsidR="00000C6C">
        <w:fldChar w:fldCharType="begin"/>
      </w:r>
      <w:r w:rsidR="00000C6C">
        <w:instrText>HYPERLINK "https://www.ema.europa.eu"</w:instrText>
      </w:r>
      <w:r w:rsidR="00000C6C">
        <w:fldChar w:fldCharType="separate"/>
      </w:r>
      <w:r w:rsidR="00000C6C" w:rsidRPr="00A242C3">
        <w:rPr>
          <w:rStyle w:val="Hyperlink"/>
        </w:rPr>
        <w:t>https://www.ema.europa.eu</w:t>
      </w:r>
      <w:r w:rsidR="00000C6C">
        <w:fldChar w:fldCharType="end"/>
      </w:r>
      <w:r w:rsidR="00DE4D6A">
        <w:rPr>
          <w:rStyle w:val="Hyperlink"/>
        </w:rPr>
        <w:t xml:space="preserve"> </w:t>
      </w:r>
      <w:r w:rsidRPr="004F5FB4">
        <w:rPr>
          <w:color w:val="000000"/>
        </w:rPr>
        <w:t>verfügbar.</w:t>
      </w:r>
    </w:p>
    <w:p w14:paraId="30AE860E" w14:textId="77777777" w:rsidR="00F54749" w:rsidRPr="004F5FB4" w:rsidRDefault="000E3250" w:rsidP="00982118">
      <w:pPr>
        <w:jc w:val="center"/>
        <w:rPr>
          <w:b/>
          <w:bCs/>
          <w:color w:val="000000"/>
        </w:rPr>
      </w:pPr>
      <w:r w:rsidRPr="004F5FB4">
        <w:rPr>
          <w:color w:val="000000"/>
        </w:rPr>
        <w:br w:type="page"/>
      </w:r>
      <w:r w:rsidRPr="004F5FB4">
        <w:rPr>
          <w:b/>
          <w:bCs/>
          <w:color w:val="000000"/>
        </w:rPr>
        <w:lastRenderedPageBreak/>
        <w:t xml:space="preserve">HINWEISE ZUR ANWENDUNG </w:t>
      </w:r>
    </w:p>
    <w:p w14:paraId="325984AE" w14:textId="77777777" w:rsidR="00F54749" w:rsidRPr="004F5FB4" w:rsidRDefault="006A1144" w:rsidP="00982118">
      <w:pPr>
        <w:jc w:val="center"/>
        <w:rPr>
          <w:color w:val="000000"/>
        </w:rPr>
      </w:pPr>
      <w:r w:rsidRPr="004F5FB4">
        <w:rPr>
          <w:color w:val="000000"/>
        </w:rPr>
        <w:t>Amsparity (Adalimumab)</w:t>
      </w:r>
    </w:p>
    <w:p w14:paraId="2F43C687" w14:textId="77777777" w:rsidR="00F54749" w:rsidRPr="004F5FB4" w:rsidRDefault="00F54749" w:rsidP="00982118">
      <w:pPr>
        <w:jc w:val="center"/>
        <w:rPr>
          <w:color w:val="000000"/>
        </w:rPr>
      </w:pPr>
      <w:r w:rsidRPr="004F5FB4">
        <w:rPr>
          <w:color w:val="000000"/>
        </w:rPr>
        <w:t>20</w:t>
      </w:r>
      <w:r w:rsidR="00C10292" w:rsidRPr="004F5FB4">
        <w:rPr>
          <w:color w:val="000000"/>
        </w:rPr>
        <w:t> </w:t>
      </w:r>
      <w:r w:rsidRPr="004F5FB4">
        <w:rPr>
          <w:color w:val="000000"/>
        </w:rPr>
        <w:t>mg</w:t>
      </w:r>
    </w:p>
    <w:p w14:paraId="5623EF2D" w14:textId="77777777" w:rsidR="00F54749" w:rsidRPr="004F5FB4" w:rsidRDefault="00F54749" w:rsidP="00982118">
      <w:pPr>
        <w:jc w:val="center"/>
        <w:rPr>
          <w:color w:val="000000"/>
        </w:rPr>
      </w:pPr>
      <w:r w:rsidRPr="004F5FB4">
        <w:rPr>
          <w:color w:val="000000"/>
        </w:rPr>
        <w:t>Einzeldosis-Fertigspritze für die subkutane Injektion</w:t>
      </w:r>
    </w:p>
    <w:p w14:paraId="3B9B6BC9" w14:textId="77777777" w:rsidR="00F54749" w:rsidRPr="004F5FB4" w:rsidRDefault="00F54749" w:rsidP="00982118">
      <w:pPr>
        <w:rPr>
          <w:b/>
          <w:color w:val="000000"/>
        </w:rPr>
      </w:pPr>
    </w:p>
    <w:p w14:paraId="5482E113" w14:textId="77777777" w:rsidR="00F54749" w:rsidRPr="004F5FB4" w:rsidRDefault="00F54749" w:rsidP="00982118">
      <w:pPr>
        <w:rPr>
          <w:b/>
          <w:color w:val="000000"/>
        </w:rPr>
      </w:pPr>
      <w:r w:rsidRPr="004F5FB4">
        <w:rPr>
          <w:b/>
          <w:color w:val="000000"/>
        </w:rPr>
        <w:t xml:space="preserve">Heben Sie die </w:t>
      </w:r>
      <w:r w:rsidR="003471C7" w:rsidRPr="004F5FB4">
        <w:rPr>
          <w:b/>
          <w:color w:val="000000"/>
        </w:rPr>
        <w:t xml:space="preserve">Packungsbeilage </w:t>
      </w:r>
      <w:r w:rsidRPr="004F5FB4">
        <w:rPr>
          <w:b/>
          <w:color w:val="000000"/>
        </w:rPr>
        <w:t xml:space="preserve">auf. In der Anleitung wird Schritt für Schritt erklärt, wie die Injektion vorbereitet und verabreicht wird. </w:t>
      </w:r>
    </w:p>
    <w:p w14:paraId="3C0174B0" w14:textId="77777777" w:rsidR="00F54749" w:rsidRPr="004F5FB4" w:rsidRDefault="00F54749" w:rsidP="00982118">
      <w:pPr>
        <w:rPr>
          <w:b/>
          <w:color w:val="000000"/>
        </w:rPr>
      </w:pPr>
      <w:r w:rsidRPr="004F5FB4">
        <w:rPr>
          <w:b/>
          <w:color w:val="000000"/>
        </w:rPr>
        <w:t xml:space="preserve">Bewahren Sie die Fertigspritze mit Amsparity bei 2 °C bis 8 °C im Kühlschrank auf. </w:t>
      </w:r>
    </w:p>
    <w:p w14:paraId="1EE6552A" w14:textId="77777777" w:rsidR="00F54749" w:rsidRPr="004F5FB4" w:rsidRDefault="00F54749" w:rsidP="00982118">
      <w:pPr>
        <w:rPr>
          <w:b/>
          <w:color w:val="000000"/>
        </w:rPr>
      </w:pPr>
      <w:r w:rsidRPr="004F5FB4">
        <w:rPr>
          <w:b/>
          <w:color w:val="000000"/>
        </w:rPr>
        <w:t>Bewahren Sie die Fertigspritze mit Amsparity bis zur Anwendung in der Originalverpackung auf, um den Inhalt vor direktem Sonnenlicht zu schützen.</w:t>
      </w:r>
    </w:p>
    <w:p w14:paraId="055DDBD7" w14:textId="77777777" w:rsidR="004E3A1F" w:rsidRPr="004F5FB4" w:rsidRDefault="002E3316" w:rsidP="00982118">
      <w:pPr>
        <w:rPr>
          <w:b/>
          <w:color w:val="000000"/>
        </w:rPr>
      </w:pPr>
      <w:r w:rsidRPr="004F5FB4">
        <w:rPr>
          <w:b/>
          <w:color w:val="000000"/>
        </w:rPr>
        <w:t>Falls</w:t>
      </w:r>
      <w:r w:rsidR="004E3A1F" w:rsidRPr="004F5FB4">
        <w:rPr>
          <w:b/>
          <w:color w:val="000000"/>
        </w:rPr>
        <w:t xml:space="preserve"> erforderlich (zum Beispiel, wenn Sie </w:t>
      </w:r>
      <w:r w:rsidR="00893404" w:rsidRPr="004F5FB4">
        <w:rPr>
          <w:b/>
          <w:color w:val="000000"/>
        </w:rPr>
        <w:t xml:space="preserve">und Ihr Kind </w:t>
      </w:r>
      <w:r w:rsidR="004E3A1F" w:rsidRPr="004F5FB4">
        <w:rPr>
          <w:b/>
          <w:color w:val="000000"/>
        </w:rPr>
        <w:t>verreisen), können Sie die Amsparity-Fertigspritze auch bis zu 30 Tage lang bei bis zu 30 °C Raumtemperatur aufbewahren.</w:t>
      </w:r>
    </w:p>
    <w:p w14:paraId="7CC787B1" w14:textId="77777777" w:rsidR="00F54749" w:rsidRPr="004F5FB4" w:rsidRDefault="00F54749" w:rsidP="00982118">
      <w:pPr>
        <w:rPr>
          <w:b/>
          <w:color w:val="000000"/>
        </w:rPr>
      </w:pPr>
      <w:r w:rsidRPr="004F5FB4">
        <w:rPr>
          <w:b/>
          <w:color w:val="000000"/>
        </w:rPr>
        <w:t>Bewahren Sie Amsparity, das Injektionszubehör und alle anderen Arzneimittel für Kinder unzugänglich auf.</w:t>
      </w:r>
    </w:p>
    <w:p w14:paraId="0DAD812C" w14:textId="77777777" w:rsidR="00893404" w:rsidRPr="004F5FB4" w:rsidRDefault="00893404" w:rsidP="00982118">
      <w:pPr>
        <w:rPr>
          <w:b/>
          <w:color w:val="000000"/>
        </w:rPr>
      </w:pPr>
    </w:p>
    <w:p w14:paraId="54412FCD" w14:textId="77777777" w:rsidR="00F54749" w:rsidRPr="004F5FB4" w:rsidRDefault="006A1144" w:rsidP="00982118">
      <w:pPr>
        <w:rPr>
          <w:color w:val="000000"/>
        </w:rPr>
      </w:pPr>
      <w:r w:rsidRPr="004F5FB4">
        <w:rPr>
          <w:color w:val="000000"/>
        </w:rPr>
        <w:t>Amsparity</w:t>
      </w:r>
      <w:r w:rsidRPr="004F5FB4">
        <w:rPr>
          <w:b/>
          <w:color w:val="000000"/>
        </w:rPr>
        <w:t xml:space="preserve"> </w:t>
      </w:r>
      <w:r w:rsidRPr="004F5FB4">
        <w:rPr>
          <w:color w:val="000000"/>
        </w:rPr>
        <w:t>zur Injektion wird in einer Einweg-Fertigspritze bereitgestellt, die eine Einzeldosis des Arzneimittels enthält.</w:t>
      </w:r>
    </w:p>
    <w:p w14:paraId="63D3BBDD" w14:textId="77777777" w:rsidR="004E3A1F" w:rsidRPr="004F5FB4" w:rsidRDefault="000B71DE" w:rsidP="00982118">
      <w:pPr>
        <w:rPr>
          <w:color w:val="000000"/>
        </w:rPr>
      </w:pPr>
      <w:r w:rsidRPr="004F5FB4">
        <w:rPr>
          <w:b/>
          <w:color w:val="000000"/>
        </w:rPr>
        <w:t>Versuchen Sie nicht</w:t>
      </w:r>
      <w:r w:rsidRPr="004F5FB4">
        <w:rPr>
          <w:color w:val="000000"/>
        </w:rPr>
        <w:t>, Ihrem Kind eine Injektion zu verabreichen, bevor Sie die Hinweise zur Anwendung gelesen und verstanden haben.</w:t>
      </w:r>
      <w:r w:rsidR="004E3A1F" w:rsidRPr="004F5FB4">
        <w:rPr>
          <w:color w:val="000000"/>
        </w:rPr>
        <w:t xml:space="preserve"> Wenn der Arzt, das medizinische Fachpersonal oder der Apotheker Ihres Kindes entscheidet</w:t>
      </w:r>
      <w:r w:rsidR="00667DD3" w:rsidRPr="004F5FB4">
        <w:rPr>
          <w:color w:val="000000"/>
        </w:rPr>
        <w:t>, dass Sie Ihrem Kind die Amsparity-Injektionen zu</w:t>
      </w:r>
      <w:r w:rsidR="004D4285" w:rsidRPr="004F5FB4">
        <w:rPr>
          <w:color w:val="000000"/>
        </w:rPr>
        <w:t xml:space="preserve"> H</w:t>
      </w:r>
      <w:r w:rsidR="00667DD3" w:rsidRPr="004F5FB4">
        <w:rPr>
          <w:color w:val="000000"/>
        </w:rPr>
        <w:t>ause verabreichen können, sollten Sie in der richtigen Art und Weise der Vorbereitung und Injektion von Amsparity eingewiesen werden.</w:t>
      </w:r>
    </w:p>
    <w:p w14:paraId="4CDAF8CF" w14:textId="77777777" w:rsidR="00667DD3" w:rsidRPr="004F5FB4" w:rsidRDefault="002E3316" w:rsidP="00982118">
      <w:pPr>
        <w:rPr>
          <w:color w:val="000000"/>
        </w:rPr>
      </w:pPr>
      <w:r w:rsidRPr="004F5FB4">
        <w:rPr>
          <w:color w:val="000000"/>
        </w:rPr>
        <w:t>Es ist wichtig</w:t>
      </w:r>
      <w:r w:rsidR="00667DD3" w:rsidRPr="004F5FB4">
        <w:rPr>
          <w:color w:val="000000"/>
        </w:rPr>
        <w:t xml:space="preserve"> mit dem Arzt, medizinischen Fachpersonal oder Apotheker Ihres Kindes </w:t>
      </w:r>
      <w:r w:rsidRPr="004F5FB4">
        <w:rPr>
          <w:color w:val="000000"/>
        </w:rPr>
        <w:t xml:space="preserve">zu </w:t>
      </w:r>
      <w:r w:rsidR="00667DD3" w:rsidRPr="004F5FB4">
        <w:rPr>
          <w:color w:val="000000"/>
        </w:rPr>
        <w:t>sprechen, um sicherzustellen, dass Sie die Amsparity</w:t>
      </w:r>
      <w:r w:rsidRPr="004F5FB4">
        <w:rPr>
          <w:color w:val="000000"/>
        </w:rPr>
        <w:t xml:space="preserve"> </w:t>
      </w:r>
      <w:r w:rsidR="00667DD3" w:rsidRPr="004F5FB4">
        <w:rPr>
          <w:color w:val="000000"/>
        </w:rPr>
        <w:t>Dosi</w:t>
      </w:r>
      <w:r w:rsidRPr="004F5FB4">
        <w:rPr>
          <w:color w:val="000000"/>
        </w:rPr>
        <w:t>erungshinweise</w:t>
      </w:r>
      <w:r w:rsidR="00667DD3" w:rsidRPr="004F5FB4">
        <w:rPr>
          <w:color w:val="000000"/>
        </w:rPr>
        <w:t xml:space="preserve"> für Ihr Kind verstanden haben. Um Sie an die Amsparity-Injektion zu erinnern, können Sie im Voraus </w:t>
      </w:r>
      <w:r w:rsidR="00C956AA" w:rsidRPr="004F5FB4">
        <w:rPr>
          <w:color w:val="000000"/>
        </w:rPr>
        <w:t>entsprechende Einträge</w:t>
      </w:r>
      <w:r w:rsidR="00667DD3" w:rsidRPr="004F5FB4">
        <w:rPr>
          <w:color w:val="000000"/>
        </w:rPr>
        <w:t xml:space="preserve"> in Ihrem Kalender </w:t>
      </w:r>
      <w:r w:rsidR="00C956AA" w:rsidRPr="004F5FB4">
        <w:rPr>
          <w:color w:val="000000"/>
        </w:rPr>
        <w:t>machen</w:t>
      </w:r>
      <w:r w:rsidR="00667DD3" w:rsidRPr="004F5FB4">
        <w:rPr>
          <w:color w:val="000000"/>
        </w:rPr>
        <w:t xml:space="preserve">. Sprechen Sie mit dem Arzt, medizinischen Fachpersonal oder Apotheker Ihres Kindes, </w:t>
      </w:r>
      <w:r w:rsidR="00C07271" w:rsidRPr="004F5FB4">
        <w:rPr>
          <w:color w:val="000000"/>
        </w:rPr>
        <w:t>wenn Sie Fragen zur richtigen Injektionsweise von Amsparity haben.</w:t>
      </w:r>
    </w:p>
    <w:p w14:paraId="0787E9C8" w14:textId="77777777" w:rsidR="00F54749" w:rsidRPr="004F5FB4" w:rsidRDefault="00C07271" w:rsidP="00982118">
      <w:pPr>
        <w:rPr>
          <w:color w:val="000000"/>
        </w:rPr>
      </w:pPr>
      <w:r w:rsidRPr="004F5FB4">
        <w:rPr>
          <w:color w:val="000000"/>
        </w:rPr>
        <w:t xml:space="preserve">Nach einer </w:t>
      </w:r>
      <w:r w:rsidR="00BA6DF0" w:rsidRPr="004F5FB4">
        <w:rPr>
          <w:color w:val="000000"/>
        </w:rPr>
        <w:t>sorgfältigen</w:t>
      </w:r>
      <w:r w:rsidRPr="004F5FB4">
        <w:rPr>
          <w:color w:val="000000"/>
        </w:rPr>
        <w:t xml:space="preserve"> Einweisung </w:t>
      </w:r>
      <w:r w:rsidR="00BA6DF0" w:rsidRPr="004F5FB4">
        <w:rPr>
          <w:color w:val="000000"/>
        </w:rPr>
        <w:t xml:space="preserve">können Sie Ihrem Kind </w:t>
      </w:r>
      <w:r w:rsidRPr="004F5FB4">
        <w:rPr>
          <w:color w:val="000000"/>
        </w:rPr>
        <w:t>d</w:t>
      </w:r>
      <w:r w:rsidR="006A1144" w:rsidRPr="004F5FB4">
        <w:rPr>
          <w:color w:val="000000"/>
        </w:rPr>
        <w:t>ie Amsparity-Injektion selbst</w:t>
      </w:r>
      <w:r w:rsidRPr="004F5FB4">
        <w:rPr>
          <w:color w:val="000000"/>
        </w:rPr>
        <w:t xml:space="preserve"> verabreichen oder </w:t>
      </w:r>
      <w:r w:rsidR="00BA6DF0" w:rsidRPr="004F5FB4">
        <w:rPr>
          <w:color w:val="000000"/>
        </w:rPr>
        <w:t>von einer anderen Person verabreichen lassen, z. B. einem Familienangehörigen oder Freund</w:t>
      </w:r>
      <w:r w:rsidR="006A1144" w:rsidRPr="004F5FB4">
        <w:rPr>
          <w:color w:val="000000"/>
        </w:rPr>
        <w:t>.</w:t>
      </w:r>
    </w:p>
    <w:p w14:paraId="04204333" w14:textId="77777777" w:rsidR="00771BD7" w:rsidRPr="004F5FB4" w:rsidRDefault="00771BD7" w:rsidP="00982118">
      <w:pPr>
        <w:rPr>
          <w:color w:val="000000"/>
        </w:rPr>
      </w:pPr>
    </w:p>
    <w:p w14:paraId="64BEAF13" w14:textId="77777777" w:rsidR="00771BD7" w:rsidRPr="004F5FB4" w:rsidRDefault="00771BD7" w:rsidP="00982118">
      <w:pPr>
        <w:rPr>
          <w:color w:val="000000"/>
        </w:rPr>
      </w:pPr>
    </w:p>
    <w:p w14:paraId="024F6AE9" w14:textId="77777777" w:rsidR="00F54749" w:rsidRPr="004F5FB4" w:rsidRDefault="00F54749" w:rsidP="00982118">
      <w:pPr>
        <w:rPr>
          <w:b/>
          <w:color w:val="000000"/>
        </w:rPr>
      </w:pPr>
      <w:r w:rsidRPr="004F5FB4">
        <w:rPr>
          <w:b/>
          <w:color w:val="000000"/>
        </w:rPr>
        <w:t>1. Was Sie benötigen</w:t>
      </w:r>
    </w:p>
    <w:p w14:paraId="3BC51B8D" w14:textId="77777777" w:rsidR="00F54749" w:rsidRPr="004F5FB4" w:rsidRDefault="00F54749" w:rsidP="00982118">
      <w:pPr>
        <w:jc w:val="center"/>
        <w:rPr>
          <w:color w:val="000000"/>
        </w:rPr>
      </w:pPr>
    </w:p>
    <w:p w14:paraId="13BEBED4" w14:textId="77777777" w:rsidR="00F54749" w:rsidRPr="004F5FB4" w:rsidRDefault="00F54749" w:rsidP="00053717">
      <w:pPr>
        <w:pStyle w:val="ListParagraph"/>
        <w:numPr>
          <w:ilvl w:val="0"/>
          <w:numId w:val="31"/>
        </w:numPr>
        <w:ind w:left="562" w:hanging="562"/>
        <w:contextualSpacing/>
        <w:rPr>
          <w:color w:val="000000"/>
        </w:rPr>
      </w:pPr>
      <w:r w:rsidRPr="004F5FB4">
        <w:rPr>
          <w:color w:val="000000"/>
        </w:rPr>
        <w:t>Für jede Amsparity-Injektion benötigen Sie die folgenden Gegenstände, die Sie auf einer sauberen, ebenen Arbeitsfläche ablegen.</w:t>
      </w:r>
    </w:p>
    <w:p w14:paraId="17AB83E4" w14:textId="77777777" w:rsidR="00F54749" w:rsidRPr="004F5FB4" w:rsidRDefault="00F54749" w:rsidP="00053717">
      <w:pPr>
        <w:pStyle w:val="ListParagraph"/>
        <w:numPr>
          <w:ilvl w:val="0"/>
          <w:numId w:val="32"/>
        </w:numPr>
        <w:ind w:left="1124" w:hanging="562"/>
        <w:contextualSpacing/>
        <w:rPr>
          <w:color w:val="000000"/>
        </w:rPr>
      </w:pPr>
      <w:r w:rsidRPr="004F5FB4">
        <w:rPr>
          <w:color w:val="000000"/>
        </w:rPr>
        <w:t>1</w:t>
      </w:r>
      <w:r w:rsidR="00C10292" w:rsidRPr="004F5FB4">
        <w:rPr>
          <w:color w:val="000000"/>
        </w:rPr>
        <w:t> </w:t>
      </w:r>
      <w:r w:rsidRPr="004F5FB4">
        <w:rPr>
          <w:color w:val="000000"/>
        </w:rPr>
        <w:t xml:space="preserve">Amsparity-Fertigspritze in einer Blisterpackung </w:t>
      </w:r>
      <w:r w:rsidR="00EF3972" w:rsidRPr="004F5FB4">
        <w:rPr>
          <w:color w:val="000000"/>
        </w:rPr>
        <w:t>(</w:t>
      </w:r>
      <w:r w:rsidRPr="004F5FB4">
        <w:rPr>
          <w:color w:val="000000"/>
        </w:rPr>
        <w:t>in der Faltschachtel</w:t>
      </w:r>
      <w:r w:rsidR="00EF3972" w:rsidRPr="004F5FB4">
        <w:rPr>
          <w:color w:val="000000"/>
        </w:rPr>
        <w:t>)</w:t>
      </w:r>
    </w:p>
    <w:p w14:paraId="29EF7023" w14:textId="77777777" w:rsidR="00F54749" w:rsidRPr="004F5FB4" w:rsidRDefault="00F54749" w:rsidP="00053717">
      <w:pPr>
        <w:pStyle w:val="ListParagraph"/>
        <w:numPr>
          <w:ilvl w:val="0"/>
          <w:numId w:val="32"/>
        </w:numPr>
        <w:ind w:left="1124" w:hanging="562"/>
        <w:contextualSpacing/>
        <w:rPr>
          <w:color w:val="000000"/>
        </w:rPr>
      </w:pPr>
      <w:r w:rsidRPr="004F5FB4">
        <w:rPr>
          <w:color w:val="000000"/>
        </w:rPr>
        <w:t>1</w:t>
      </w:r>
      <w:r w:rsidR="00C10292" w:rsidRPr="004F5FB4">
        <w:rPr>
          <w:color w:val="000000"/>
        </w:rPr>
        <w:t> </w:t>
      </w:r>
      <w:r w:rsidRPr="004F5FB4">
        <w:rPr>
          <w:color w:val="000000"/>
        </w:rPr>
        <w:t xml:space="preserve">Alkoholtupfer </w:t>
      </w:r>
      <w:r w:rsidR="00EF3972" w:rsidRPr="004F5FB4">
        <w:rPr>
          <w:color w:val="000000"/>
        </w:rPr>
        <w:t>(</w:t>
      </w:r>
      <w:r w:rsidRPr="004F5FB4">
        <w:rPr>
          <w:color w:val="000000"/>
        </w:rPr>
        <w:t>in der Faltschachtel</w:t>
      </w:r>
      <w:r w:rsidR="00EF3972" w:rsidRPr="004F5FB4">
        <w:rPr>
          <w:color w:val="000000"/>
        </w:rPr>
        <w:t>)</w:t>
      </w:r>
    </w:p>
    <w:p w14:paraId="61ADABEE" w14:textId="77777777" w:rsidR="00F54749" w:rsidRPr="004F5FB4" w:rsidRDefault="00F54749" w:rsidP="00053717">
      <w:pPr>
        <w:pStyle w:val="ListParagraph"/>
        <w:numPr>
          <w:ilvl w:val="0"/>
          <w:numId w:val="32"/>
        </w:numPr>
        <w:ind w:left="1124" w:hanging="562"/>
        <w:contextualSpacing/>
        <w:rPr>
          <w:color w:val="000000"/>
        </w:rPr>
      </w:pPr>
      <w:r w:rsidRPr="004F5FB4">
        <w:rPr>
          <w:color w:val="000000"/>
        </w:rPr>
        <w:t>1</w:t>
      </w:r>
      <w:r w:rsidR="00C10292" w:rsidRPr="004F5FB4">
        <w:rPr>
          <w:color w:val="000000"/>
        </w:rPr>
        <w:t> </w:t>
      </w:r>
      <w:r w:rsidRPr="004F5FB4">
        <w:rPr>
          <w:color w:val="000000"/>
        </w:rPr>
        <w:t>Wattebausch/</w:t>
      </w:r>
      <w:r w:rsidR="00EF3972" w:rsidRPr="004F5FB4">
        <w:rPr>
          <w:color w:val="000000"/>
        </w:rPr>
        <w:t xml:space="preserve"> </w:t>
      </w:r>
      <w:r w:rsidRPr="004F5FB4">
        <w:rPr>
          <w:color w:val="000000"/>
        </w:rPr>
        <w:t xml:space="preserve">Stück Gaze (nicht in </w:t>
      </w:r>
      <w:r w:rsidR="0048507E" w:rsidRPr="004F5FB4">
        <w:rPr>
          <w:color w:val="000000"/>
        </w:rPr>
        <w:t xml:space="preserve">der </w:t>
      </w:r>
      <w:r w:rsidRPr="004F5FB4">
        <w:rPr>
          <w:color w:val="000000"/>
        </w:rPr>
        <w:t>Amsparity-Faltschachtel enthalten)</w:t>
      </w:r>
    </w:p>
    <w:p w14:paraId="5EA9B2A9" w14:textId="77777777" w:rsidR="00F54749" w:rsidRPr="004F5FB4" w:rsidRDefault="00F54749" w:rsidP="00053717">
      <w:pPr>
        <w:pStyle w:val="ListParagraph"/>
        <w:numPr>
          <w:ilvl w:val="0"/>
          <w:numId w:val="32"/>
        </w:numPr>
        <w:ind w:left="1124" w:hanging="562"/>
        <w:contextualSpacing/>
        <w:rPr>
          <w:color w:val="000000"/>
        </w:rPr>
      </w:pPr>
      <w:r w:rsidRPr="004F5FB4">
        <w:rPr>
          <w:color w:val="000000"/>
        </w:rPr>
        <w:t>1</w:t>
      </w:r>
      <w:r w:rsidR="00C10292" w:rsidRPr="004F5FB4">
        <w:rPr>
          <w:color w:val="000000"/>
        </w:rPr>
        <w:t> </w:t>
      </w:r>
      <w:r w:rsidRPr="004F5FB4">
        <w:rPr>
          <w:color w:val="000000"/>
        </w:rPr>
        <w:t xml:space="preserve">geeigneter Entsorgungsbehälter für spitze Gegenstände (nicht in </w:t>
      </w:r>
      <w:r w:rsidR="0048507E" w:rsidRPr="004F5FB4">
        <w:rPr>
          <w:color w:val="000000"/>
        </w:rPr>
        <w:t xml:space="preserve">der </w:t>
      </w:r>
      <w:r w:rsidRPr="004F5FB4">
        <w:rPr>
          <w:color w:val="000000"/>
        </w:rPr>
        <w:t>Amsparity-Faltschachtel enthalten)</w:t>
      </w:r>
    </w:p>
    <w:p w14:paraId="2F37D822" w14:textId="77777777" w:rsidR="0048507E" w:rsidRPr="004F5FB4" w:rsidRDefault="0048507E" w:rsidP="00687087">
      <w:pPr>
        <w:pStyle w:val="ListParagraph"/>
        <w:ind w:left="562"/>
        <w:contextualSpacing/>
        <w:rPr>
          <w:color w:val="000000"/>
        </w:rPr>
      </w:pPr>
      <w:r w:rsidRPr="004F5FB4">
        <w:rPr>
          <w:b/>
          <w:color w:val="000000"/>
        </w:rPr>
        <w:t>Wichtig:</w:t>
      </w:r>
      <w:r w:rsidRPr="004F5FB4">
        <w:rPr>
          <w:color w:val="000000"/>
        </w:rPr>
        <w:t xml:space="preserve"> Wenn Sie Fragen zur Fertigspritze mit Amsparity für Ihr Kind oder zum Arzneimittel haben, sprechen Sie mit dem Arzt, medizinischen Fachpersonal oder Apotheker Ihres Kindes.</w:t>
      </w:r>
    </w:p>
    <w:p w14:paraId="0C6B68EC" w14:textId="77777777" w:rsidR="00E129C1" w:rsidRPr="004F5FB4" w:rsidRDefault="00E129C1" w:rsidP="00982118">
      <w:pPr>
        <w:rPr>
          <w:color w:val="000000"/>
        </w:rPr>
      </w:pPr>
    </w:p>
    <w:p w14:paraId="0FA4CDAD" w14:textId="2749050F" w:rsidR="00172509" w:rsidRPr="004F5FB4" w:rsidRDefault="00032CD3" w:rsidP="00172509">
      <w:pPr>
        <w:jc w:val="center"/>
        <w:rPr>
          <w:color w:val="000000"/>
          <w:lang w:val="en-GB"/>
        </w:rPr>
      </w:pPr>
      <w:r w:rsidRPr="004F5FB4">
        <w:rPr>
          <w:noProof/>
          <w:color w:val="000000"/>
          <w:lang w:bidi="he-IL"/>
        </w:rPr>
        <w:lastRenderedPageBreak/>
        <mc:AlternateContent>
          <mc:Choice Requires="wps">
            <w:drawing>
              <wp:anchor distT="0" distB="0" distL="114300" distR="114300" simplePos="0" relativeHeight="251658317" behindDoc="0" locked="0" layoutInCell="1" allowOverlap="1" wp14:anchorId="15583139" wp14:editId="090887A9">
                <wp:simplePos x="0" y="0"/>
                <wp:positionH relativeFrom="column">
                  <wp:posOffset>3785870</wp:posOffset>
                </wp:positionH>
                <wp:positionV relativeFrom="paragraph">
                  <wp:posOffset>1234440</wp:posOffset>
                </wp:positionV>
                <wp:extent cx="901065" cy="233680"/>
                <wp:effectExtent l="4445" t="0" r="0" b="0"/>
                <wp:wrapNone/>
                <wp:docPr id="132"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837BB" w14:textId="77777777" w:rsidR="008F3710" w:rsidRPr="006405A9" w:rsidRDefault="008F3710" w:rsidP="00172509">
                            <w:pPr>
                              <w:jc w:val="center"/>
                              <w:rPr>
                                <w:rFonts w:ascii="Arial" w:hAnsi="Arial" w:cs="Arial"/>
                                <w:sz w:val="16"/>
                                <w:szCs w:val="16"/>
                              </w:rPr>
                            </w:pPr>
                            <w:r>
                              <w:rPr>
                                <w:sz w:val="16"/>
                                <w:szCs w:val="16"/>
                              </w:rPr>
                              <w:t>Sichtfenster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83139" id="Text Box 215" o:spid="_x0000_s1067" type="#_x0000_t202" style="position:absolute;left:0;text-align:left;margin-left:298.1pt;margin-top:97.2pt;width:70.95pt;height:18.4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" stroked="f">
                <v:textbox>
                  <w:txbxContent>
                    <w:p w14:paraId="5F4837BB" w14:textId="77777777" w:rsidR="008F3710" w:rsidRPr="006405A9" w:rsidRDefault="008F3710" w:rsidP="00172509">
                      <w:pPr>
                        <w:jc w:val="center"/>
                        <w:rPr>
                          <w:rFonts w:ascii="Arial" w:hAnsi="Arial" w:cs="Arial"/>
                          <w:sz w:val="16"/>
                          <w:szCs w:val="16"/>
                        </w:rPr>
                      </w:pPr>
                      <w:r>
                        <w:rPr>
                          <w:sz w:val="16"/>
                          <w:szCs w:val="16"/>
                        </w:rPr>
                        <w:t>Sichtfenster</w:t>
                      </w:r>
                    </w:p>
                  </w:txbxContent>
                </v:textbox>
              </v:shape>
            </w:pict>
          </mc:Fallback>
        </mc:AlternateContent>
      </w:r>
      <w:r w:rsidRPr="004F5FB4">
        <w:rPr>
          <w:noProof/>
          <w:color w:val="000000"/>
          <w:lang w:bidi="he-IL"/>
        </w:rPr>
        <mc:AlternateContent>
          <mc:Choice Requires="wps">
            <w:drawing>
              <wp:anchor distT="0" distB="0" distL="114300" distR="114300" simplePos="0" relativeHeight="251658313" behindDoc="0" locked="0" layoutInCell="1" allowOverlap="1" wp14:anchorId="73651BF7" wp14:editId="67CC306C">
                <wp:simplePos x="0" y="0"/>
                <wp:positionH relativeFrom="column">
                  <wp:posOffset>3803650</wp:posOffset>
                </wp:positionH>
                <wp:positionV relativeFrom="paragraph">
                  <wp:posOffset>889000</wp:posOffset>
                </wp:positionV>
                <wp:extent cx="883285" cy="252730"/>
                <wp:effectExtent l="3175" t="3175" r="0" b="1270"/>
                <wp:wrapNone/>
                <wp:docPr id="13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5A33E" w14:textId="77777777" w:rsidR="008F3710" w:rsidRPr="006405A9" w:rsidRDefault="008F3710" w:rsidP="00172509">
                            <w:pPr>
                              <w:jc w:val="center"/>
                              <w:rPr>
                                <w:rFonts w:ascii="Arial" w:hAnsi="Arial" w:cs="Arial"/>
                                <w:sz w:val="16"/>
                                <w:szCs w:val="16"/>
                              </w:rPr>
                            </w:pPr>
                            <w:r>
                              <w:rPr>
                                <w:sz w:val="16"/>
                                <w:szCs w:val="16"/>
                              </w:rPr>
                              <w:t>Verfalldatum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51BF7" id="_x0000_s1068" type="#_x0000_t202" style="position:absolute;left:0;text-align:left;margin-left:299.5pt;margin-top:70pt;width:69.55pt;height:19.9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" stroked="f">
                <v:textbox>
                  <w:txbxContent>
                    <w:p w14:paraId="3745A33E" w14:textId="77777777" w:rsidR="008F3710" w:rsidRPr="006405A9" w:rsidRDefault="008F3710" w:rsidP="00172509">
                      <w:pPr>
                        <w:jc w:val="center"/>
                        <w:rPr>
                          <w:rFonts w:ascii="Arial" w:hAnsi="Arial" w:cs="Arial"/>
                          <w:sz w:val="16"/>
                          <w:szCs w:val="16"/>
                        </w:rPr>
                      </w:pPr>
                      <w:r>
                        <w:rPr>
                          <w:sz w:val="16"/>
                          <w:szCs w:val="16"/>
                        </w:rPr>
                        <w:t>Verfalldatum</w:t>
                      </w:r>
                    </w:p>
                  </w:txbxContent>
                </v:textbox>
              </v:shape>
            </w:pict>
          </mc:Fallback>
        </mc:AlternateContent>
      </w:r>
      <w:r w:rsidRPr="004F5FB4">
        <w:rPr>
          <w:noProof/>
          <w:color w:val="000000"/>
          <w:lang w:bidi="he-IL"/>
        </w:rPr>
        <mc:AlternateContent>
          <mc:Choice Requires="wps">
            <w:drawing>
              <wp:anchor distT="0" distB="0" distL="114300" distR="114300" simplePos="0" relativeHeight="251658316" behindDoc="0" locked="0" layoutInCell="1" allowOverlap="1" wp14:anchorId="08EEBEC8" wp14:editId="54D1D2BF">
                <wp:simplePos x="0" y="0"/>
                <wp:positionH relativeFrom="column">
                  <wp:posOffset>3225165</wp:posOffset>
                </wp:positionH>
                <wp:positionV relativeFrom="paragraph">
                  <wp:posOffset>390525</wp:posOffset>
                </wp:positionV>
                <wp:extent cx="808990" cy="239395"/>
                <wp:effectExtent l="0" t="0" r="4445" b="0"/>
                <wp:wrapNone/>
                <wp:docPr id="13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23939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285686E3" w14:textId="77777777" w:rsidR="008F3710" w:rsidRPr="009E6D01" w:rsidRDefault="008F3710" w:rsidP="00172509">
                            <w:pPr>
                              <w:rPr>
                                <w:sz w:val="12"/>
                                <w:szCs w:val="12"/>
                              </w:rPr>
                            </w:pPr>
                            <w:r>
                              <w:rPr>
                                <w:sz w:val="12"/>
                                <w:szCs w:val="12"/>
                              </w:rPr>
                              <w:t>JJJJ MM TT</w:t>
                            </w:r>
                          </w:p>
                          <w:p w14:paraId="1A818DCE" w14:textId="77777777" w:rsidR="008F3710" w:rsidRPr="006405A9" w:rsidRDefault="008F3710" w:rsidP="00172509">
                            <w:pPr>
                              <w:jc w:val="center"/>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EBEC8" id="Text Box 214" o:spid="_x0000_s1069" type="#_x0000_t202" style="position:absolute;left:0;text-align:left;margin-left:253.95pt;margin-top:30.75pt;width:63.7pt;height:18.8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" stroked="f">
                <v:shadow offset="5pt"/>
                <v:textbox>
                  <w:txbxContent>
                    <w:p w14:paraId="285686E3" w14:textId="77777777" w:rsidR="008F3710" w:rsidRPr="009E6D01" w:rsidRDefault="008F3710" w:rsidP="00172509">
                      <w:pPr>
                        <w:rPr>
                          <w:sz w:val="12"/>
                          <w:szCs w:val="12"/>
                        </w:rPr>
                      </w:pPr>
                      <w:r>
                        <w:rPr>
                          <w:sz w:val="12"/>
                          <w:szCs w:val="12"/>
                        </w:rPr>
                        <w:t>JJJJ MM TT</w:t>
                      </w:r>
                    </w:p>
                    <w:p w14:paraId="1A818DCE" w14:textId="77777777" w:rsidR="008F3710" w:rsidRPr="006405A9" w:rsidRDefault="008F3710" w:rsidP="00172509">
                      <w:pPr>
                        <w:jc w:val="center"/>
                        <w:rPr>
                          <w:rFonts w:ascii="Arial" w:hAnsi="Arial" w:cs="Arial"/>
                          <w:sz w:val="12"/>
                          <w:szCs w:val="12"/>
                        </w:rPr>
                      </w:pPr>
                    </w:p>
                  </w:txbxContent>
                </v:textbox>
              </v:shape>
            </w:pict>
          </mc:Fallback>
        </mc:AlternateContent>
      </w:r>
      <w:r w:rsidRPr="004F5FB4">
        <w:rPr>
          <w:noProof/>
          <w:color w:val="000000"/>
          <w:lang w:bidi="he-IL"/>
        </w:rPr>
        <mc:AlternateContent>
          <mc:Choice Requires="wps">
            <w:drawing>
              <wp:anchor distT="0" distB="0" distL="114300" distR="114300" simplePos="0" relativeHeight="251658314" behindDoc="0" locked="0" layoutInCell="1" allowOverlap="1" wp14:anchorId="4A19AF6F" wp14:editId="5952D53D">
                <wp:simplePos x="0" y="0"/>
                <wp:positionH relativeFrom="column">
                  <wp:posOffset>2420620</wp:posOffset>
                </wp:positionH>
                <wp:positionV relativeFrom="paragraph">
                  <wp:posOffset>2295525</wp:posOffset>
                </wp:positionV>
                <wp:extent cx="1190625" cy="233680"/>
                <wp:effectExtent l="1270" t="0" r="0" b="4445"/>
                <wp:wrapNone/>
                <wp:docPr id="12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391EF" w14:textId="77777777" w:rsidR="008F3710" w:rsidRPr="009E6D01" w:rsidRDefault="008F3710" w:rsidP="00172509">
                            <w:pPr>
                              <w:rPr>
                                <w:sz w:val="16"/>
                                <w:szCs w:val="16"/>
                              </w:rPr>
                            </w:pPr>
                            <w:r>
                              <w:rPr>
                                <w:sz w:val="16"/>
                                <w:szCs w:val="16"/>
                              </w:rPr>
                              <w:t>Spritzenzylinder</w:t>
                            </w:r>
                          </w:p>
                          <w:p w14:paraId="1E922D42" w14:textId="77777777" w:rsidR="008F3710" w:rsidRPr="006405A9" w:rsidRDefault="008F3710" w:rsidP="00172509">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9AF6F" id="Text Box 212" o:spid="_x0000_s1070" type="#_x0000_t202" style="position:absolute;left:0;text-align:left;margin-left:190.6pt;margin-top:180.75pt;width:93.75pt;height:18.4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" stroked="f">
                <v:textbox>
                  <w:txbxContent>
                    <w:p w14:paraId="1BD391EF" w14:textId="77777777" w:rsidR="008F3710" w:rsidRPr="009E6D01" w:rsidRDefault="008F3710" w:rsidP="00172509">
                      <w:pPr>
                        <w:rPr>
                          <w:sz w:val="16"/>
                          <w:szCs w:val="16"/>
                        </w:rPr>
                      </w:pPr>
                      <w:r>
                        <w:rPr>
                          <w:sz w:val="16"/>
                          <w:szCs w:val="16"/>
                        </w:rPr>
                        <w:t>Spritzenzylinder</w:t>
                      </w:r>
                    </w:p>
                    <w:p w14:paraId="1E922D42" w14:textId="77777777" w:rsidR="008F3710" w:rsidRPr="006405A9" w:rsidRDefault="008F3710" w:rsidP="00172509">
                      <w:pPr>
                        <w:jc w:val="center"/>
                        <w:rPr>
                          <w:rFonts w:ascii="Arial" w:hAnsi="Arial" w:cs="Arial"/>
                          <w:sz w:val="16"/>
                          <w:szCs w:val="16"/>
                        </w:rPr>
                      </w:pPr>
                    </w:p>
                  </w:txbxContent>
                </v:textbox>
              </v:shape>
            </w:pict>
          </mc:Fallback>
        </mc:AlternateContent>
      </w:r>
      <w:r w:rsidRPr="004F5FB4">
        <w:rPr>
          <w:noProof/>
          <w:color w:val="000000"/>
          <w:lang w:bidi="he-IL"/>
        </w:rPr>
        <mc:AlternateContent>
          <mc:Choice Requires="wps">
            <w:drawing>
              <wp:anchor distT="0" distB="0" distL="114300" distR="114300" simplePos="0" relativeHeight="251658312" behindDoc="0" locked="0" layoutInCell="1" allowOverlap="1" wp14:anchorId="566C18AE" wp14:editId="3BF9F015">
                <wp:simplePos x="0" y="0"/>
                <wp:positionH relativeFrom="column">
                  <wp:posOffset>4240530</wp:posOffset>
                </wp:positionH>
                <wp:positionV relativeFrom="paragraph">
                  <wp:posOffset>2387600</wp:posOffset>
                </wp:positionV>
                <wp:extent cx="883285" cy="201930"/>
                <wp:effectExtent l="1905" t="0" r="635" b="1270"/>
                <wp:wrapNone/>
                <wp:docPr id="128"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BC53C" w14:textId="77777777" w:rsidR="008F3710" w:rsidRPr="009E6D01" w:rsidRDefault="008F3710" w:rsidP="00172509">
                            <w:pPr>
                              <w:rPr>
                                <w:sz w:val="16"/>
                                <w:szCs w:val="16"/>
                              </w:rPr>
                            </w:pPr>
                            <w:r>
                              <w:rPr>
                                <w:sz w:val="16"/>
                                <w:szCs w:val="16"/>
                              </w:rPr>
                              <w:t>Nadelkappe</w:t>
                            </w:r>
                          </w:p>
                          <w:p w14:paraId="31EA6F28" w14:textId="77777777" w:rsidR="008F3710" w:rsidRPr="006405A9" w:rsidRDefault="008F3710" w:rsidP="00172509">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C18AE" id="_x0000_s1071" type="#_x0000_t202" style="position:absolute;left:0;text-align:left;margin-left:333.9pt;margin-top:188pt;width:69.55pt;height:15.9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" stroked="f">
                <v:textbox>
                  <w:txbxContent>
                    <w:p w14:paraId="4B9BC53C" w14:textId="77777777" w:rsidR="008F3710" w:rsidRPr="009E6D01" w:rsidRDefault="008F3710" w:rsidP="00172509">
                      <w:pPr>
                        <w:rPr>
                          <w:sz w:val="16"/>
                          <w:szCs w:val="16"/>
                        </w:rPr>
                      </w:pPr>
                      <w:r>
                        <w:rPr>
                          <w:sz w:val="16"/>
                          <w:szCs w:val="16"/>
                        </w:rPr>
                        <w:t>Nadelkappe</w:t>
                      </w:r>
                    </w:p>
                    <w:p w14:paraId="31EA6F28" w14:textId="77777777" w:rsidR="008F3710" w:rsidRPr="006405A9" w:rsidRDefault="008F3710" w:rsidP="00172509">
                      <w:pPr>
                        <w:jc w:val="center"/>
                        <w:rPr>
                          <w:rFonts w:ascii="Arial" w:hAnsi="Arial" w:cs="Arial"/>
                          <w:sz w:val="16"/>
                          <w:szCs w:val="16"/>
                        </w:rPr>
                      </w:pPr>
                    </w:p>
                  </w:txbxContent>
                </v:textbox>
              </v:shape>
            </w:pict>
          </mc:Fallback>
        </mc:AlternateContent>
      </w:r>
      <w:r w:rsidRPr="004F5FB4">
        <w:rPr>
          <w:noProof/>
          <w:color w:val="000000"/>
          <w:lang w:bidi="he-IL"/>
        </w:rPr>
        <mc:AlternateContent>
          <mc:Choice Requires="wps">
            <w:drawing>
              <wp:anchor distT="0" distB="0" distL="114300" distR="114300" simplePos="0" relativeHeight="251658315" behindDoc="0" locked="0" layoutInCell="1" allowOverlap="1" wp14:anchorId="0BFB9F82" wp14:editId="5CF36DA9">
                <wp:simplePos x="0" y="0"/>
                <wp:positionH relativeFrom="column">
                  <wp:posOffset>628015</wp:posOffset>
                </wp:positionH>
                <wp:positionV relativeFrom="paragraph">
                  <wp:posOffset>2018030</wp:posOffset>
                </wp:positionV>
                <wp:extent cx="883285" cy="201930"/>
                <wp:effectExtent l="0" t="0" r="3175" b="0"/>
                <wp:wrapNone/>
                <wp:docPr id="12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C0857" w14:textId="77777777" w:rsidR="008F3710" w:rsidRPr="009E6D01" w:rsidRDefault="008F3710" w:rsidP="00172509">
                            <w:pPr>
                              <w:rPr>
                                <w:sz w:val="16"/>
                                <w:szCs w:val="16"/>
                              </w:rPr>
                            </w:pPr>
                            <w:r>
                              <w:rPr>
                                <w:sz w:val="16"/>
                                <w:szCs w:val="16"/>
                              </w:rPr>
                              <w:t>Kolben</w:t>
                            </w:r>
                          </w:p>
                          <w:p w14:paraId="72C8E06C" w14:textId="77777777" w:rsidR="008F3710" w:rsidRPr="006405A9" w:rsidRDefault="008F3710" w:rsidP="00172509">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B9F82" id="Text Box 213" o:spid="_x0000_s1072" type="#_x0000_t202" style="position:absolute;left:0;text-align:left;margin-left:49.45pt;margin-top:158.9pt;width:69.55pt;height:15.9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" stroked="f">
                <v:textbox>
                  <w:txbxContent>
                    <w:p w14:paraId="50AC0857" w14:textId="77777777" w:rsidR="008F3710" w:rsidRPr="009E6D01" w:rsidRDefault="008F3710" w:rsidP="00172509">
                      <w:pPr>
                        <w:rPr>
                          <w:sz w:val="16"/>
                          <w:szCs w:val="16"/>
                        </w:rPr>
                      </w:pPr>
                      <w:r>
                        <w:rPr>
                          <w:sz w:val="16"/>
                          <w:szCs w:val="16"/>
                        </w:rPr>
                        <w:t>Kolben</w:t>
                      </w:r>
                    </w:p>
                    <w:p w14:paraId="72C8E06C" w14:textId="77777777" w:rsidR="008F3710" w:rsidRPr="006405A9" w:rsidRDefault="008F3710" w:rsidP="00172509">
                      <w:pPr>
                        <w:jc w:val="center"/>
                        <w:rPr>
                          <w:rFonts w:ascii="Arial" w:hAnsi="Arial" w:cs="Arial"/>
                          <w:sz w:val="16"/>
                          <w:szCs w:val="16"/>
                        </w:rPr>
                      </w:pPr>
                    </w:p>
                  </w:txbxContent>
                </v:textbox>
              </v:shape>
            </w:pict>
          </mc:Fallback>
        </mc:AlternateContent>
      </w:r>
      <w:r w:rsidRPr="004F5FB4">
        <w:rPr>
          <w:noProof/>
          <w:color w:val="000000"/>
        </w:rPr>
        <w:drawing>
          <wp:inline distT="0" distB="0" distL="0" distR="0" wp14:anchorId="6B02CD76" wp14:editId="7B5DC046">
            <wp:extent cx="4476750" cy="257175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571750"/>
                    </a:xfrm>
                    <a:prstGeom prst="rect">
                      <a:avLst/>
                    </a:prstGeom>
                    <a:noFill/>
                    <a:ln>
                      <a:noFill/>
                    </a:ln>
                  </pic:spPr>
                </pic:pic>
              </a:graphicData>
            </a:graphic>
          </wp:inline>
        </w:drawing>
      </w:r>
    </w:p>
    <w:p w14:paraId="40731235" w14:textId="77777777" w:rsidR="00053717" w:rsidRPr="004F5FB4" w:rsidRDefault="00053717" w:rsidP="00172509">
      <w:pPr>
        <w:jc w:val="center"/>
        <w:rPr>
          <w:color w:val="000000"/>
        </w:rPr>
      </w:pPr>
    </w:p>
    <w:p w14:paraId="198E431D" w14:textId="77777777" w:rsidR="00B9709B" w:rsidRPr="004F5FB4" w:rsidRDefault="00B9709B" w:rsidP="00982118">
      <w:pPr>
        <w:rPr>
          <w:color w:val="000000"/>
        </w:rPr>
      </w:pPr>
    </w:p>
    <w:p w14:paraId="01B16A6F" w14:textId="77777777" w:rsidR="00F54749" w:rsidRPr="004F5FB4" w:rsidRDefault="00EF3972" w:rsidP="00EF3972">
      <w:pPr>
        <w:keepNext/>
        <w:rPr>
          <w:b/>
          <w:color w:val="000000"/>
        </w:rPr>
      </w:pPr>
      <w:r w:rsidRPr="004F5FB4">
        <w:rPr>
          <w:b/>
          <w:color w:val="000000"/>
        </w:rPr>
        <w:t xml:space="preserve">2. </w:t>
      </w:r>
      <w:r w:rsidR="00464875" w:rsidRPr="004F5FB4">
        <w:rPr>
          <w:b/>
          <w:color w:val="000000"/>
        </w:rPr>
        <w:t>Vorbereitung</w:t>
      </w:r>
    </w:p>
    <w:p w14:paraId="0E4CCEF6" w14:textId="77777777" w:rsidR="00F54749" w:rsidRPr="004F5FB4" w:rsidRDefault="00F54749" w:rsidP="00755F77">
      <w:pPr>
        <w:keepNext/>
        <w:rPr>
          <w:color w:val="000000"/>
          <w:lang w:val="en-GB"/>
        </w:rPr>
      </w:pPr>
    </w:p>
    <w:p w14:paraId="33AC7469" w14:textId="77777777" w:rsidR="00F54749" w:rsidRPr="004F5FB4" w:rsidRDefault="00F54749" w:rsidP="00755F77">
      <w:pPr>
        <w:pStyle w:val="ListParagraph"/>
        <w:keepNext/>
        <w:numPr>
          <w:ilvl w:val="0"/>
          <w:numId w:val="31"/>
        </w:numPr>
        <w:ind w:left="562" w:hanging="562"/>
        <w:contextualSpacing/>
        <w:rPr>
          <w:color w:val="000000"/>
        </w:rPr>
      </w:pPr>
      <w:r w:rsidRPr="004F5FB4">
        <w:rPr>
          <w:color w:val="000000"/>
        </w:rPr>
        <w:t>Nehmen Sie die Amsparity-Packung aus dem Kühlschrank.</w:t>
      </w:r>
    </w:p>
    <w:p w14:paraId="79FA9DBB" w14:textId="77777777" w:rsidR="00F54749" w:rsidRPr="004F5FB4" w:rsidRDefault="00464875" w:rsidP="00053717">
      <w:pPr>
        <w:pStyle w:val="ListParagraph"/>
        <w:numPr>
          <w:ilvl w:val="0"/>
          <w:numId w:val="31"/>
        </w:numPr>
        <w:ind w:left="562" w:hanging="562"/>
        <w:contextualSpacing/>
        <w:rPr>
          <w:color w:val="000000"/>
        </w:rPr>
      </w:pPr>
      <w:r w:rsidRPr="004F5FB4">
        <w:rPr>
          <w:color w:val="000000"/>
        </w:rPr>
        <w:t>Öffnen Sie die Faltschachtel und entnehmen Sie die Blisterpackung mit der Fertigspritze.</w:t>
      </w:r>
      <w:r w:rsidR="00ED318D" w:rsidRPr="004F5FB4">
        <w:rPr>
          <w:b/>
          <w:noProof/>
          <w:color w:val="000000"/>
          <w:lang w:eastAsia="de-DE"/>
        </w:rPr>
        <w:t xml:space="preserve"> </w:t>
      </w:r>
    </w:p>
    <w:p w14:paraId="1E821AFA" w14:textId="6AB5C7B1" w:rsidR="00F54749" w:rsidRPr="004F5FB4" w:rsidRDefault="00032CD3" w:rsidP="00E23160">
      <w:pPr>
        <w:pStyle w:val="ListParagraph"/>
        <w:keepNext/>
        <w:numPr>
          <w:ilvl w:val="0"/>
          <w:numId w:val="31"/>
        </w:numPr>
        <w:ind w:left="562" w:hanging="562"/>
        <w:contextualSpacing/>
        <w:rPr>
          <w:color w:val="000000"/>
        </w:rPr>
      </w:pPr>
      <w:r w:rsidRPr="004F5FB4">
        <w:rPr>
          <w:noProof/>
          <w:color w:val="000000"/>
        </w:rPr>
        <mc:AlternateContent>
          <mc:Choice Requires="wps">
            <w:drawing>
              <wp:anchor distT="0" distB="0" distL="114300" distR="114300" simplePos="0" relativeHeight="251658335" behindDoc="0" locked="0" layoutInCell="1" allowOverlap="1" wp14:anchorId="4F22FEF7" wp14:editId="20C2C2BE">
                <wp:simplePos x="0" y="0"/>
                <wp:positionH relativeFrom="column">
                  <wp:posOffset>-4080510</wp:posOffset>
                </wp:positionH>
                <wp:positionV relativeFrom="paragraph">
                  <wp:posOffset>142240</wp:posOffset>
                </wp:positionV>
                <wp:extent cx="883285" cy="201930"/>
                <wp:effectExtent l="0" t="0" r="0" b="0"/>
                <wp:wrapNone/>
                <wp:docPr id="125"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54C144EB" w14:textId="77777777" w:rsidR="008F3710" w:rsidRPr="009E6D01" w:rsidRDefault="008F3710" w:rsidP="009E6D01">
                            <w:pPr>
                              <w:rPr>
                                <w:sz w:val="16"/>
                                <w:szCs w:val="16"/>
                              </w:rPr>
                            </w:pPr>
                            <w:r>
                              <w:rPr>
                                <w:sz w:val="16"/>
                                <w:szCs w:val="16"/>
                              </w:rPr>
                              <w:t>Kolben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2FEF7" id="Text Box 258" o:spid="_x0000_s1073" type="#_x0000_t202" style="position:absolute;left:0;text-align:left;margin-left:-321.3pt;margin-top:11.2pt;width:69.55pt;height:15.9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" stroked="f">
                <v:textbox>
                  <w:txbxContent>
                    <w:p w14:paraId="54C144EB" w14:textId="77777777" w:rsidR="008F3710" w:rsidRPr="009E6D01" w:rsidRDefault="008F3710" w:rsidP="009E6D01">
                      <w:pPr>
                        <w:rPr>
                          <w:sz w:val="16"/>
                          <w:szCs w:val="16"/>
                        </w:rPr>
                      </w:pPr>
                      <w:r>
                        <w:rPr>
                          <w:sz w:val="16"/>
                          <w:szCs w:val="16"/>
                        </w:rPr>
                        <w:t>Kolben</w:t>
                      </w:r>
                    </w:p>
                  </w:txbxContent>
                </v:textbox>
              </v:shape>
            </w:pict>
          </mc:Fallback>
        </mc:AlternateContent>
      </w:r>
      <w:r w:rsidR="00D6040E" w:rsidRPr="004F5FB4">
        <w:rPr>
          <w:noProof/>
          <w:color w:val="000000"/>
        </w:rPr>
        <w:t>Prüfen</w:t>
      </w:r>
      <w:r w:rsidR="00D6040E" w:rsidRPr="004F5FB4">
        <w:rPr>
          <w:color w:val="000000"/>
        </w:rPr>
        <w:t xml:space="preserve"> </w:t>
      </w:r>
      <w:r w:rsidR="00464875" w:rsidRPr="004F5FB4">
        <w:rPr>
          <w:color w:val="000000"/>
        </w:rPr>
        <w:t xml:space="preserve">Sie Faltschachtel und Blisterpackung. Verwenden Sie die Fertigspritze </w:t>
      </w:r>
      <w:r w:rsidR="00464875" w:rsidRPr="004F5FB4">
        <w:rPr>
          <w:b/>
          <w:color w:val="000000"/>
        </w:rPr>
        <w:t>nicht</w:t>
      </w:r>
      <w:r w:rsidR="00464875" w:rsidRPr="004F5FB4">
        <w:rPr>
          <w:color w:val="000000"/>
        </w:rPr>
        <w:t>, wenn:</w:t>
      </w:r>
    </w:p>
    <w:p w14:paraId="0051AF08" w14:textId="1D5B2FBC" w:rsidR="00F54749" w:rsidRPr="004F5FB4" w:rsidRDefault="00032CD3" w:rsidP="00E23160">
      <w:pPr>
        <w:pStyle w:val="ListParagraph"/>
        <w:numPr>
          <w:ilvl w:val="1"/>
          <w:numId w:val="31"/>
        </w:numPr>
        <w:ind w:left="1124" w:hanging="562"/>
        <w:contextualSpacing/>
        <w:rPr>
          <w:color w:val="000000"/>
        </w:rPr>
      </w:pPr>
      <w:r w:rsidRPr="004F5FB4">
        <w:rPr>
          <w:noProof/>
          <w:color w:val="000000"/>
        </w:rPr>
        <mc:AlternateContent>
          <mc:Choice Requires="wps">
            <w:drawing>
              <wp:anchor distT="0" distB="0" distL="114300" distR="114300" simplePos="0" relativeHeight="251658280" behindDoc="0" locked="0" layoutInCell="1" allowOverlap="1" wp14:anchorId="0C9C212D" wp14:editId="65BCF6F6">
                <wp:simplePos x="0" y="0"/>
                <wp:positionH relativeFrom="column">
                  <wp:posOffset>-2656205</wp:posOffset>
                </wp:positionH>
                <wp:positionV relativeFrom="paragraph">
                  <wp:posOffset>34925</wp:posOffset>
                </wp:positionV>
                <wp:extent cx="585470" cy="201930"/>
                <wp:effectExtent l="0" t="0" r="0" b="0"/>
                <wp:wrapNone/>
                <wp:docPr id="124"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01930"/>
                        </a:xfrm>
                        <a:prstGeom prst="rect">
                          <a:avLst/>
                        </a:prstGeom>
                        <a:solidFill>
                          <a:srgbClr val="FFFFFF"/>
                        </a:solidFill>
                        <a:ln>
                          <a:noFill/>
                        </a:ln>
                      </wps:spPr>
                      <wps:txbx>
                        <w:txbxContent>
                          <w:p w14:paraId="13D5A7DF" w14:textId="77777777" w:rsidR="008F3710" w:rsidRPr="009E6D01" w:rsidRDefault="008F3710" w:rsidP="009E6D01">
                            <w:pPr>
                              <w:rPr>
                                <w:sz w:val="16"/>
                                <w:szCs w:val="16"/>
                              </w:rPr>
                            </w:pPr>
                            <w:r>
                              <w:rPr>
                                <w:sz w:val="16"/>
                                <w:szCs w:val="16"/>
                              </w:rPr>
                              <w:t>Spritzenzylinder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C212D" id="Text Box 257" o:spid="_x0000_s1074" type="#_x0000_t202" style="position:absolute;left:0;text-align:left;margin-left:-209.15pt;margin-top:2.75pt;width:46.1pt;height:15.9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gm9wEAANEDAAAOAAAAZHJzL2Uyb0RvYy54bWysU8Fu2zAMvQ/YPwi6L06yZE2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" stroked="f">
                <v:textbox>
                  <w:txbxContent>
                    <w:p w14:paraId="13D5A7DF" w14:textId="77777777" w:rsidR="008F3710" w:rsidRPr="009E6D01" w:rsidRDefault="008F3710" w:rsidP="009E6D01">
                      <w:pPr>
                        <w:rPr>
                          <w:sz w:val="16"/>
                          <w:szCs w:val="16"/>
                        </w:rPr>
                      </w:pPr>
                      <w:r>
                        <w:rPr>
                          <w:sz w:val="16"/>
                          <w:szCs w:val="16"/>
                        </w:rPr>
                        <w:t>Spritzenzylinder</w:t>
                      </w:r>
                    </w:p>
                  </w:txbxContent>
                </v:textbox>
              </v:shape>
            </w:pict>
          </mc:Fallback>
        </mc:AlternateContent>
      </w:r>
      <w:r w:rsidR="00600527" w:rsidRPr="004F5FB4">
        <w:rPr>
          <w:color w:val="000000"/>
        </w:rPr>
        <w:t>d</w:t>
      </w:r>
      <w:r w:rsidR="00464875" w:rsidRPr="004F5FB4">
        <w:rPr>
          <w:color w:val="000000"/>
        </w:rPr>
        <w:t>as Verfalldatum abgelaufen ist</w:t>
      </w:r>
      <w:r w:rsidR="00600527" w:rsidRPr="004F5FB4">
        <w:rPr>
          <w:color w:val="000000"/>
        </w:rPr>
        <w:t>,</w:t>
      </w:r>
    </w:p>
    <w:p w14:paraId="58B480F3" w14:textId="77777777" w:rsidR="00F54749" w:rsidRPr="004F5FB4" w:rsidRDefault="00F54749" w:rsidP="00E23160">
      <w:pPr>
        <w:pStyle w:val="ListParagraph"/>
        <w:numPr>
          <w:ilvl w:val="1"/>
          <w:numId w:val="31"/>
        </w:numPr>
        <w:ind w:left="1124" w:hanging="562"/>
        <w:contextualSpacing/>
        <w:rPr>
          <w:color w:val="000000"/>
        </w:rPr>
      </w:pPr>
      <w:r w:rsidRPr="004F5FB4">
        <w:rPr>
          <w:color w:val="000000"/>
        </w:rPr>
        <w:t>die Fertigspritze eingefroren war oder aufgetaut wurde</w:t>
      </w:r>
      <w:r w:rsidR="00600527" w:rsidRPr="004F5FB4">
        <w:rPr>
          <w:color w:val="000000"/>
        </w:rPr>
        <w:t>,</w:t>
      </w:r>
    </w:p>
    <w:p w14:paraId="1FC3C937" w14:textId="77777777" w:rsidR="00F54749" w:rsidRPr="004F5FB4" w:rsidRDefault="00F54749" w:rsidP="00E23160">
      <w:pPr>
        <w:pStyle w:val="ListParagraph"/>
        <w:numPr>
          <w:ilvl w:val="1"/>
          <w:numId w:val="31"/>
        </w:numPr>
        <w:ind w:left="1124" w:hanging="562"/>
        <w:contextualSpacing/>
        <w:rPr>
          <w:color w:val="000000"/>
        </w:rPr>
      </w:pPr>
      <w:r w:rsidRPr="004F5FB4">
        <w:rPr>
          <w:color w:val="000000"/>
        </w:rPr>
        <w:t>die Fertigspritze heruntergefallen ist</w:t>
      </w:r>
      <w:r w:rsidR="00600527" w:rsidRPr="004F5FB4">
        <w:rPr>
          <w:color w:val="000000"/>
        </w:rPr>
        <w:t>,</w:t>
      </w:r>
      <w:r w:rsidR="00B9709B" w:rsidRPr="004F5FB4">
        <w:rPr>
          <w:color w:val="000000"/>
        </w:rPr>
        <w:t xml:space="preserve"> auch wenn sie unbeschädigt aussieht,</w:t>
      </w:r>
    </w:p>
    <w:p w14:paraId="350B0A2A" w14:textId="77777777" w:rsidR="00F54749" w:rsidRPr="004F5FB4" w:rsidRDefault="00F54749" w:rsidP="00E23160">
      <w:pPr>
        <w:pStyle w:val="ListParagraph"/>
        <w:numPr>
          <w:ilvl w:val="1"/>
          <w:numId w:val="31"/>
        </w:numPr>
        <w:ind w:left="1124" w:hanging="562"/>
        <w:contextualSpacing/>
        <w:rPr>
          <w:color w:val="000000"/>
        </w:rPr>
      </w:pPr>
      <w:r w:rsidRPr="004F5FB4">
        <w:rPr>
          <w:color w:val="000000"/>
        </w:rPr>
        <w:t>die Fertigspritze länger als 30 Tage nicht im Kühlschrank aufbewahrt wurde</w:t>
      </w:r>
      <w:r w:rsidR="00600527" w:rsidRPr="004F5FB4">
        <w:rPr>
          <w:color w:val="000000"/>
        </w:rPr>
        <w:t>,</w:t>
      </w:r>
    </w:p>
    <w:p w14:paraId="0391B62B" w14:textId="77777777" w:rsidR="00F54749" w:rsidRPr="004F5FB4" w:rsidRDefault="00F54749" w:rsidP="00E23160">
      <w:pPr>
        <w:pStyle w:val="ListParagraph"/>
        <w:numPr>
          <w:ilvl w:val="1"/>
          <w:numId w:val="31"/>
        </w:numPr>
        <w:ind w:left="1124" w:hanging="562"/>
        <w:contextualSpacing/>
        <w:rPr>
          <w:color w:val="000000"/>
        </w:rPr>
      </w:pPr>
      <w:r w:rsidRPr="004F5FB4">
        <w:rPr>
          <w:color w:val="000000"/>
        </w:rPr>
        <w:t>die Fertigspritze beschädigt aussieht</w:t>
      </w:r>
      <w:r w:rsidR="00600527" w:rsidRPr="004F5FB4">
        <w:rPr>
          <w:color w:val="000000"/>
        </w:rPr>
        <w:t>,</w:t>
      </w:r>
    </w:p>
    <w:p w14:paraId="080638FC" w14:textId="77777777" w:rsidR="00F54749" w:rsidRPr="004F5FB4" w:rsidRDefault="00F54749" w:rsidP="00E23160">
      <w:pPr>
        <w:pStyle w:val="ListParagraph"/>
        <w:numPr>
          <w:ilvl w:val="1"/>
          <w:numId w:val="31"/>
        </w:numPr>
        <w:ind w:left="1124" w:hanging="562"/>
        <w:contextualSpacing/>
        <w:rPr>
          <w:color w:val="000000"/>
        </w:rPr>
      </w:pPr>
      <w:r w:rsidRPr="004F5FB4">
        <w:rPr>
          <w:color w:val="000000"/>
        </w:rPr>
        <w:t xml:space="preserve">das Siegel einer neuen Faltschachtel </w:t>
      </w:r>
      <w:r w:rsidR="00497C67" w:rsidRPr="004F5FB4">
        <w:rPr>
          <w:color w:val="000000"/>
        </w:rPr>
        <w:t xml:space="preserve">bereits </w:t>
      </w:r>
      <w:r w:rsidRPr="004F5FB4">
        <w:rPr>
          <w:color w:val="000000"/>
        </w:rPr>
        <w:t xml:space="preserve">gebrochen </w:t>
      </w:r>
      <w:r w:rsidR="00497C67" w:rsidRPr="004F5FB4">
        <w:rPr>
          <w:color w:val="000000"/>
        </w:rPr>
        <w:t>ist</w:t>
      </w:r>
      <w:r w:rsidRPr="004F5FB4">
        <w:rPr>
          <w:color w:val="000000"/>
        </w:rPr>
        <w:t>.</w:t>
      </w:r>
    </w:p>
    <w:p w14:paraId="71C4D936" w14:textId="77777777" w:rsidR="00B9709B" w:rsidRPr="004F5FB4" w:rsidRDefault="00B9709B" w:rsidP="00687087">
      <w:pPr>
        <w:pStyle w:val="ListParagraph"/>
        <w:numPr>
          <w:ilvl w:val="0"/>
          <w:numId w:val="31"/>
        </w:numPr>
        <w:ind w:left="567" w:hanging="567"/>
        <w:contextualSpacing/>
        <w:rPr>
          <w:color w:val="000000"/>
        </w:rPr>
      </w:pPr>
      <w:r w:rsidRPr="004F5FB4">
        <w:rPr>
          <w:color w:val="000000"/>
        </w:rPr>
        <w:t xml:space="preserve">Sollte einer der oben genannten Punkte zutreffen, entsorgen Sie die Fertigspritze auf die gleiche Weise </w:t>
      </w:r>
      <w:r w:rsidR="00C956AA" w:rsidRPr="004F5FB4">
        <w:rPr>
          <w:color w:val="000000"/>
        </w:rPr>
        <w:t xml:space="preserve">wie </w:t>
      </w:r>
      <w:r w:rsidRPr="004F5FB4">
        <w:rPr>
          <w:color w:val="000000"/>
        </w:rPr>
        <w:t>eine benutzte Spritze</w:t>
      </w:r>
      <w:r w:rsidR="00D6040E" w:rsidRPr="004F5FB4">
        <w:rPr>
          <w:color w:val="000000"/>
        </w:rPr>
        <w:t>.</w:t>
      </w:r>
      <w:r w:rsidRPr="004F5FB4">
        <w:rPr>
          <w:color w:val="000000"/>
        </w:rPr>
        <w:t xml:space="preserve"> </w:t>
      </w:r>
      <w:r w:rsidR="00D6040E" w:rsidRPr="004F5FB4">
        <w:rPr>
          <w:color w:val="000000"/>
        </w:rPr>
        <w:t>V</w:t>
      </w:r>
      <w:r w:rsidRPr="004F5FB4">
        <w:rPr>
          <w:color w:val="000000"/>
        </w:rPr>
        <w:t>erwenden Sie eine neue Fertigspritze für die Injektion bei Ihrem Kind.</w:t>
      </w:r>
    </w:p>
    <w:p w14:paraId="27CDD944" w14:textId="77777777" w:rsidR="00F54749" w:rsidRPr="004F5FB4" w:rsidRDefault="00F54749" w:rsidP="00053717">
      <w:pPr>
        <w:pStyle w:val="ListParagraph"/>
        <w:numPr>
          <w:ilvl w:val="0"/>
          <w:numId w:val="31"/>
        </w:numPr>
        <w:ind w:left="562" w:hanging="562"/>
        <w:contextualSpacing/>
        <w:rPr>
          <w:color w:val="000000"/>
        </w:rPr>
      </w:pPr>
      <w:r w:rsidRPr="004F5FB4">
        <w:rPr>
          <w:color w:val="000000"/>
        </w:rPr>
        <w:t xml:space="preserve">Waschen Sie Ihre Hände mit Seife und Wasser und trocknen Sie sie gut ab. </w:t>
      </w:r>
    </w:p>
    <w:p w14:paraId="1F14C7DE" w14:textId="77777777" w:rsidR="00F54749" w:rsidRPr="004F5FB4" w:rsidRDefault="00F54749" w:rsidP="00E509AE">
      <w:pPr>
        <w:ind w:left="567"/>
        <w:contextualSpacing/>
        <w:rPr>
          <w:color w:val="000000"/>
        </w:rPr>
      </w:pPr>
      <w:r w:rsidRPr="004F5FB4">
        <w:rPr>
          <w:color w:val="000000"/>
        </w:rPr>
        <w:t xml:space="preserve">Wenn Sie Fragen zum Arzneimittel </w:t>
      </w:r>
      <w:r w:rsidR="00B9709B" w:rsidRPr="004F5FB4">
        <w:rPr>
          <w:color w:val="000000"/>
        </w:rPr>
        <w:t xml:space="preserve">Ihres Kindes </w:t>
      </w:r>
      <w:r w:rsidRPr="004F5FB4">
        <w:rPr>
          <w:color w:val="000000"/>
        </w:rPr>
        <w:t xml:space="preserve">haben, </w:t>
      </w:r>
      <w:r w:rsidR="00B859F9" w:rsidRPr="004F5FB4">
        <w:rPr>
          <w:color w:val="000000"/>
        </w:rPr>
        <w:t>sprechen Sie</w:t>
      </w:r>
      <w:r w:rsidRPr="004F5FB4">
        <w:rPr>
          <w:color w:val="000000"/>
        </w:rPr>
        <w:t xml:space="preserve"> bitte </w:t>
      </w:r>
      <w:r w:rsidR="00B859F9" w:rsidRPr="004F5FB4">
        <w:rPr>
          <w:color w:val="000000"/>
        </w:rPr>
        <w:t>mit dem</w:t>
      </w:r>
      <w:r w:rsidRPr="004F5FB4">
        <w:rPr>
          <w:color w:val="000000"/>
        </w:rPr>
        <w:t xml:space="preserve"> Arzt</w:t>
      </w:r>
      <w:r w:rsidR="00B9709B" w:rsidRPr="004F5FB4">
        <w:rPr>
          <w:color w:val="000000"/>
        </w:rPr>
        <w:t>, d</w:t>
      </w:r>
      <w:r w:rsidR="00B859F9" w:rsidRPr="004F5FB4">
        <w:rPr>
          <w:color w:val="000000"/>
        </w:rPr>
        <w:t>em</w:t>
      </w:r>
      <w:r w:rsidR="00B9709B" w:rsidRPr="004F5FB4">
        <w:rPr>
          <w:color w:val="000000"/>
        </w:rPr>
        <w:t xml:space="preserve"> medizinische</w:t>
      </w:r>
      <w:r w:rsidR="00B859F9" w:rsidRPr="004F5FB4">
        <w:rPr>
          <w:color w:val="000000"/>
        </w:rPr>
        <w:t>n</w:t>
      </w:r>
      <w:r w:rsidR="00B9709B" w:rsidRPr="004F5FB4">
        <w:rPr>
          <w:color w:val="000000"/>
        </w:rPr>
        <w:t xml:space="preserve"> Fachpersonal</w:t>
      </w:r>
      <w:r w:rsidRPr="004F5FB4">
        <w:rPr>
          <w:color w:val="000000"/>
        </w:rPr>
        <w:t xml:space="preserve"> oder </w:t>
      </w:r>
      <w:r w:rsidR="00B9709B" w:rsidRPr="004F5FB4">
        <w:rPr>
          <w:color w:val="000000"/>
        </w:rPr>
        <w:t>de</w:t>
      </w:r>
      <w:r w:rsidR="00B859F9" w:rsidRPr="004F5FB4">
        <w:rPr>
          <w:color w:val="000000"/>
        </w:rPr>
        <w:t>m</w:t>
      </w:r>
      <w:r w:rsidR="00B9709B" w:rsidRPr="004F5FB4">
        <w:rPr>
          <w:color w:val="000000"/>
        </w:rPr>
        <w:t xml:space="preserve"> </w:t>
      </w:r>
      <w:r w:rsidRPr="004F5FB4">
        <w:rPr>
          <w:color w:val="000000"/>
        </w:rPr>
        <w:t>Apotheker</w:t>
      </w:r>
      <w:r w:rsidR="00B9709B" w:rsidRPr="004F5FB4">
        <w:rPr>
          <w:color w:val="000000"/>
        </w:rPr>
        <w:t xml:space="preserve"> Ihres Kindes</w:t>
      </w:r>
      <w:r w:rsidRPr="004F5FB4">
        <w:rPr>
          <w:color w:val="000000"/>
        </w:rPr>
        <w:t>.</w:t>
      </w:r>
    </w:p>
    <w:p w14:paraId="7B445208" w14:textId="77777777" w:rsidR="00F54749" w:rsidRPr="004F5FB4" w:rsidRDefault="00F54749" w:rsidP="00E23160">
      <w:pPr>
        <w:pStyle w:val="ListParagraph"/>
        <w:ind w:left="562" w:hanging="562"/>
        <w:contextualSpacing/>
        <w:rPr>
          <w:color w:val="000000"/>
        </w:rPr>
      </w:pPr>
    </w:p>
    <w:p w14:paraId="070BFA91" w14:textId="77777777" w:rsidR="00F54749" w:rsidRPr="004F5FB4" w:rsidRDefault="00F54749" w:rsidP="00982118">
      <w:pPr>
        <w:jc w:val="center"/>
        <w:rPr>
          <w:color w:val="000000"/>
        </w:rPr>
      </w:pPr>
    </w:p>
    <w:p w14:paraId="71983150" w14:textId="149F65CD" w:rsidR="00F54749" w:rsidRPr="004F5FB4" w:rsidRDefault="00032CD3" w:rsidP="00172509">
      <w:pPr>
        <w:jc w:val="center"/>
        <w:rPr>
          <w:noProof/>
          <w:color w:val="000000"/>
        </w:rPr>
      </w:pPr>
      <w:r w:rsidRPr="004F5FB4">
        <w:rPr>
          <w:noProof/>
          <w:color w:val="000000"/>
          <w:lang w:eastAsia="de-DE"/>
        </w:rPr>
        <mc:AlternateContent>
          <mc:Choice Requires="wps">
            <w:drawing>
              <wp:anchor distT="0" distB="0" distL="114300" distR="114300" simplePos="0" relativeHeight="251658286" behindDoc="0" locked="0" layoutInCell="1" allowOverlap="1" wp14:anchorId="5CB16DD9" wp14:editId="3572EA9D">
                <wp:simplePos x="0" y="0"/>
                <wp:positionH relativeFrom="column">
                  <wp:posOffset>1077595</wp:posOffset>
                </wp:positionH>
                <wp:positionV relativeFrom="paragraph">
                  <wp:posOffset>44450</wp:posOffset>
                </wp:positionV>
                <wp:extent cx="2583815" cy="260985"/>
                <wp:effectExtent l="1270" t="0" r="0" b="0"/>
                <wp:wrapNone/>
                <wp:docPr id="12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9605D" w14:textId="77777777" w:rsidR="008F3710" w:rsidRPr="009A1F4C" w:rsidRDefault="008F3710" w:rsidP="00B9709B">
                            <w:pPr>
                              <w:rPr>
                                <w:rFonts w:ascii="Arial" w:hAnsi="Arial" w:cs="Arial"/>
                                <w:b/>
                                <w:bCs/>
                                <w:color w:val="FFFFFF"/>
                                <w:sz w:val="20"/>
                                <w:szCs w:val="18"/>
                              </w:rPr>
                            </w:pPr>
                            <w:r>
                              <w:rPr>
                                <w:rFonts w:ascii="Arial" w:hAnsi="Arial" w:cs="Arial"/>
                                <w:b/>
                                <w:bCs/>
                                <w:color w:val="FFFFFF"/>
                                <w:sz w:val="20"/>
                                <w:szCs w:val="18"/>
                              </w:rPr>
                              <w:t>Auspacken der Fertigspritze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16DD9" id="Text Box 131" o:spid="_x0000_s1075" type="#_x0000_t202" style="position:absolute;left:0;text-align:left;margin-left:84.85pt;margin-top:3.5pt;width:203.45pt;height:20.5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" fillcolor="#656666" stroked="f">
                <v:textbox>
                  <w:txbxContent>
                    <w:p w14:paraId="3CE9605D" w14:textId="77777777" w:rsidR="008F3710" w:rsidRPr="009A1F4C" w:rsidRDefault="008F3710" w:rsidP="00B9709B">
                      <w:pPr>
                        <w:rPr>
                          <w:rFonts w:ascii="Arial" w:hAnsi="Arial" w:cs="Arial"/>
                          <w:b/>
                          <w:bCs/>
                          <w:color w:val="FFFFFF"/>
                          <w:sz w:val="20"/>
                          <w:szCs w:val="18"/>
                        </w:rPr>
                      </w:pPr>
                      <w:r>
                        <w:rPr>
                          <w:rFonts w:ascii="Arial" w:hAnsi="Arial" w:cs="Arial"/>
                          <w:b/>
                          <w:bCs/>
                          <w:color w:val="FFFFFF"/>
                          <w:sz w:val="20"/>
                          <w:szCs w:val="18"/>
                        </w:rPr>
                        <w:t>Auspacken der Fertigspritze</w:t>
                      </w:r>
                    </w:p>
                  </w:txbxContent>
                </v:textbox>
              </v:shape>
            </w:pict>
          </mc:Fallback>
        </mc:AlternateContent>
      </w:r>
      <w:r w:rsidRPr="004F5FB4">
        <w:rPr>
          <w:noProof/>
          <w:color w:val="000000"/>
        </w:rPr>
        <w:drawing>
          <wp:inline distT="0" distB="0" distL="0" distR="0" wp14:anchorId="65910B98" wp14:editId="1D5E61FD">
            <wp:extent cx="4733925" cy="24955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3925" cy="2495550"/>
                    </a:xfrm>
                    <a:prstGeom prst="rect">
                      <a:avLst/>
                    </a:prstGeom>
                    <a:noFill/>
                    <a:ln>
                      <a:noFill/>
                    </a:ln>
                  </pic:spPr>
                </pic:pic>
              </a:graphicData>
            </a:graphic>
          </wp:inline>
        </w:drawing>
      </w:r>
    </w:p>
    <w:p w14:paraId="76A8C371" w14:textId="77777777" w:rsidR="00B9709B" w:rsidRPr="004F5FB4" w:rsidRDefault="00B9709B" w:rsidP="00172509">
      <w:pPr>
        <w:jc w:val="center"/>
        <w:rPr>
          <w:color w:val="000000"/>
          <w:lang w:val="en-GB"/>
        </w:rPr>
      </w:pPr>
    </w:p>
    <w:p w14:paraId="435ED025" w14:textId="77777777" w:rsidR="00F54749" w:rsidRPr="004F5FB4" w:rsidRDefault="00F54749" w:rsidP="00982118">
      <w:pPr>
        <w:rPr>
          <w:color w:val="000000"/>
          <w:lang w:val="en-GB"/>
        </w:rPr>
      </w:pPr>
    </w:p>
    <w:p w14:paraId="2763EC4A" w14:textId="77777777" w:rsidR="00CB669F" w:rsidRPr="004F5FB4" w:rsidRDefault="00CB669F" w:rsidP="00E23160">
      <w:pPr>
        <w:pStyle w:val="ListParagraph"/>
        <w:numPr>
          <w:ilvl w:val="0"/>
          <w:numId w:val="34"/>
        </w:numPr>
        <w:ind w:left="562" w:hanging="562"/>
        <w:contextualSpacing/>
        <w:rPr>
          <w:color w:val="000000"/>
        </w:rPr>
      </w:pPr>
      <w:r w:rsidRPr="004F5FB4">
        <w:rPr>
          <w:color w:val="000000"/>
        </w:rPr>
        <w:t>Entfernen Sie die Papierabdeckung von der Blisterpackung.</w:t>
      </w:r>
    </w:p>
    <w:p w14:paraId="3F6CAC59" w14:textId="77777777" w:rsidR="00CB669F" w:rsidRPr="004F5FB4" w:rsidRDefault="00CB669F" w:rsidP="00E23160">
      <w:pPr>
        <w:pStyle w:val="ListParagraph"/>
        <w:numPr>
          <w:ilvl w:val="0"/>
          <w:numId w:val="34"/>
        </w:numPr>
        <w:ind w:left="562" w:hanging="562"/>
        <w:contextualSpacing/>
        <w:rPr>
          <w:color w:val="000000"/>
        </w:rPr>
      </w:pPr>
      <w:r w:rsidRPr="004F5FB4">
        <w:rPr>
          <w:color w:val="000000"/>
        </w:rPr>
        <w:lastRenderedPageBreak/>
        <w:t>Nehmen Sie eine Fertigspritze aus der Blisterpackung und legen Sie die Originalverpackung mit eventuell verbleibenden, unbenutzten Fertigspritzen wieder in den Kühlschrank.</w:t>
      </w:r>
    </w:p>
    <w:p w14:paraId="471CA787" w14:textId="77777777" w:rsidR="00CB669F" w:rsidRPr="004F5FB4" w:rsidRDefault="00CB669F" w:rsidP="00E23160">
      <w:pPr>
        <w:pStyle w:val="ListParagraph"/>
        <w:numPr>
          <w:ilvl w:val="0"/>
          <w:numId w:val="34"/>
        </w:numPr>
        <w:ind w:left="562" w:hanging="562"/>
        <w:contextualSpacing/>
        <w:rPr>
          <w:color w:val="000000"/>
        </w:rPr>
      </w:pPr>
      <w:r w:rsidRPr="004F5FB4">
        <w:rPr>
          <w:color w:val="000000"/>
        </w:rPr>
        <w:t xml:space="preserve">Verwenden Sie die Fertigspritze </w:t>
      </w:r>
      <w:r w:rsidRPr="004F5FB4">
        <w:rPr>
          <w:b/>
          <w:bCs/>
          <w:color w:val="000000"/>
        </w:rPr>
        <w:t>nicht</w:t>
      </w:r>
      <w:r w:rsidRPr="004F5FB4">
        <w:rPr>
          <w:color w:val="000000"/>
        </w:rPr>
        <w:t>, wenn sie beschädigt aussieht.</w:t>
      </w:r>
    </w:p>
    <w:p w14:paraId="3153ADAD" w14:textId="77777777" w:rsidR="005160C9" w:rsidRPr="004F5FB4" w:rsidRDefault="005160C9" w:rsidP="00E23160">
      <w:pPr>
        <w:pStyle w:val="ListParagraph"/>
        <w:numPr>
          <w:ilvl w:val="0"/>
          <w:numId w:val="34"/>
        </w:numPr>
        <w:ind w:left="562" w:hanging="562"/>
        <w:contextualSpacing/>
        <w:rPr>
          <w:color w:val="000000"/>
        </w:rPr>
      </w:pPr>
      <w:r w:rsidRPr="004F5FB4">
        <w:rPr>
          <w:color w:val="000000"/>
        </w:rPr>
        <w:t>Die Fertigspritze kann direkt nach der Entnahme aus dem Kühlschrank angewendet werden.</w:t>
      </w:r>
    </w:p>
    <w:p w14:paraId="723A9232" w14:textId="77777777" w:rsidR="00CB669F" w:rsidRPr="004F5FB4" w:rsidRDefault="005160C9" w:rsidP="00E23160">
      <w:pPr>
        <w:pStyle w:val="ListParagraph"/>
        <w:numPr>
          <w:ilvl w:val="0"/>
          <w:numId w:val="34"/>
        </w:numPr>
        <w:ind w:left="562" w:hanging="562"/>
        <w:contextualSpacing/>
        <w:rPr>
          <w:color w:val="000000"/>
        </w:rPr>
      </w:pPr>
      <w:r w:rsidRPr="004F5FB4">
        <w:rPr>
          <w:color w:val="000000"/>
        </w:rPr>
        <w:t>Eventuell wird</w:t>
      </w:r>
      <w:r w:rsidR="00BB2E53" w:rsidRPr="004F5FB4">
        <w:rPr>
          <w:color w:val="000000"/>
        </w:rPr>
        <w:t xml:space="preserve"> durch</w:t>
      </w:r>
      <w:r w:rsidRPr="004F5FB4">
        <w:rPr>
          <w:color w:val="000000"/>
        </w:rPr>
        <w:t xml:space="preserve"> </w:t>
      </w:r>
      <w:r w:rsidR="00D6040E" w:rsidRPr="004F5FB4">
        <w:rPr>
          <w:color w:val="000000"/>
        </w:rPr>
        <w:t xml:space="preserve">die Anwendung einer auf Raumtemperatur </w:t>
      </w:r>
      <w:r w:rsidR="00BB2E53" w:rsidRPr="004F5FB4">
        <w:rPr>
          <w:color w:val="000000"/>
        </w:rPr>
        <w:t xml:space="preserve">aufgewärmten Fertigspritze ein Brennen reduziert und </w:t>
      </w:r>
      <w:r w:rsidRPr="004F5FB4">
        <w:rPr>
          <w:color w:val="000000"/>
        </w:rPr>
        <w:t>als weniger unangenehm empfunden.</w:t>
      </w:r>
      <w:r w:rsidR="00CB669F" w:rsidRPr="004F5FB4">
        <w:rPr>
          <w:color w:val="000000"/>
        </w:rPr>
        <w:t xml:space="preserve"> </w:t>
      </w:r>
      <w:r w:rsidRPr="004F5FB4">
        <w:rPr>
          <w:color w:val="000000"/>
        </w:rPr>
        <w:t>L</w:t>
      </w:r>
      <w:r w:rsidR="00CB669F" w:rsidRPr="004F5FB4">
        <w:rPr>
          <w:color w:val="000000"/>
        </w:rPr>
        <w:t xml:space="preserve">assen Sie die Fertigspritze vor der Injektion </w:t>
      </w:r>
      <w:r w:rsidR="00B859F9" w:rsidRPr="004F5FB4">
        <w:rPr>
          <w:color w:val="000000"/>
        </w:rPr>
        <w:t xml:space="preserve">bei Ihrem Kind </w:t>
      </w:r>
      <w:r w:rsidR="00CB669F" w:rsidRPr="004F5FB4">
        <w:rPr>
          <w:color w:val="000000"/>
        </w:rPr>
        <w:t xml:space="preserve">für 15 bis 30 Minuten </w:t>
      </w:r>
      <w:r w:rsidR="00B859F9" w:rsidRPr="004F5FB4">
        <w:rPr>
          <w:color w:val="000000"/>
        </w:rPr>
        <w:t xml:space="preserve">vor direktem Sonnenlicht geschützt </w:t>
      </w:r>
      <w:r w:rsidR="00CB669F" w:rsidRPr="004F5FB4">
        <w:rPr>
          <w:color w:val="000000"/>
        </w:rPr>
        <w:t>bei Raumtemperatur liegen.</w:t>
      </w:r>
    </w:p>
    <w:p w14:paraId="4C078BE3" w14:textId="77777777" w:rsidR="00CB669F" w:rsidRPr="004F5FB4" w:rsidRDefault="00CB669F" w:rsidP="00E23160">
      <w:pPr>
        <w:pStyle w:val="ListParagraph"/>
        <w:numPr>
          <w:ilvl w:val="0"/>
          <w:numId w:val="34"/>
        </w:numPr>
        <w:ind w:left="562" w:hanging="562"/>
        <w:contextualSpacing/>
        <w:rPr>
          <w:color w:val="000000"/>
        </w:rPr>
      </w:pPr>
      <w:r w:rsidRPr="004F5FB4">
        <w:rPr>
          <w:color w:val="000000"/>
        </w:rPr>
        <w:t xml:space="preserve">Entfernen Sie die Nadelkappe der Fertigspritze erst </w:t>
      </w:r>
      <w:r w:rsidRPr="004F5FB4">
        <w:rPr>
          <w:b/>
          <w:bCs/>
          <w:color w:val="000000"/>
        </w:rPr>
        <w:t>unmittelbar vor</w:t>
      </w:r>
      <w:r w:rsidRPr="004F5FB4">
        <w:rPr>
          <w:color w:val="000000"/>
        </w:rPr>
        <w:t xml:space="preserve"> der Injektion.</w:t>
      </w:r>
    </w:p>
    <w:p w14:paraId="588E69E4" w14:textId="77777777" w:rsidR="00CB669F" w:rsidRPr="004F5FB4" w:rsidRDefault="00CB669F" w:rsidP="00F17530">
      <w:pPr>
        <w:pStyle w:val="ListParagraph"/>
        <w:ind w:left="0"/>
        <w:contextualSpacing/>
        <w:rPr>
          <w:b/>
          <w:color w:val="000000"/>
        </w:rPr>
      </w:pPr>
      <w:r w:rsidRPr="004F5FB4">
        <w:rPr>
          <w:b/>
          <w:color w:val="000000"/>
        </w:rPr>
        <w:t>Halten Sie die Fertigspritze immer am Zylinder fest, um eine Beschädigung der Fertigspritze zu vermeiden.</w:t>
      </w:r>
    </w:p>
    <w:p w14:paraId="6A813547" w14:textId="77777777" w:rsidR="00CB669F" w:rsidRPr="004F5FB4" w:rsidRDefault="00CB669F" w:rsidP="00E23160">
      <w:pPr>
        <w:ind w:left="562" w:hanging="562"/>
        <w:contextualSpacing/>
        <w:rPr>
          <w:color w:val="000000"/>
        </w:rPr>
      </w:pPr>
    </w:p>
    <w:p w14:paraId="79E5E2BF" w14:textId="77777777" w:rsidR="00CB669F" w:rsidRPr="004F5FB4" w:rsidRDefault="00CB669F" w:rsidP="00E23160">
      <w:pPr>
        <w:ind w:left="562" w:hanging="562"/>
        <w:contextualSpacing/>
        <w:rPr>
          <w:color w:val="000000"/>
        </w:rPr>
      </w:pPr>
    </w:p>
    <w:p w14:paraId="0338A031" w14:textId="39AB1981" w:rsidR="00CB669F" w:rsidRPr="004F5FB4" w:rsidRDefault="00032CD3" w:rsidP="00982118">
      <w:pPr>
        <w:jc w:val="center"/>
        <w:rPr>
          <w:b/>
          <w:color w:val="000000"/>
        </w:rPr>
      </w:pPr>
      <w:r w:rsidRPr="004F5FB4">
        <w:rPr>
          <w:noProof/>
          <w:color w:val="000000"/>
          <w:lang w:eastAsia="de-DE"/>
        </w:rPr>
        <mc:AlternateContent>
          <mc:Choice Requires="wps">
            <w:drawing>
              <wp:anchor distT="0" distB="0" distL="114300" distR="114300" simplePos="0" relativeHeight="251658287" behindDoc="0" locked="0" layoutInCell="1" allowOverlap="1" wp14:anchorId="1DD00802" wp14:editId="5B49CF85">
                <wp:simplePos x="0" y="0"/>
                <wp:positionH relativeFrom="column">
                  <wp:posOffset>1507490</wp:posOffset>
                </wp:positionH>
                <wp:positionV relativeFrom="paragraph">
                  <wp:posOffset>87630</wp:posOffset>
                </wp:positionV>
                <wp:extent cx="2751455" cy="289560"/>
                <wp:effectExtent l="2540" t="1905" r="0" b="3810"/>
                <wp:wrapNone/>
                <wp:docPr id="12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45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1BED2" w14:textId="77777777" w:rsidR="008F3710" w:rsidRPr="009A1F4C" w:rsidRDefault="008F3710" w:rsidP="005160C9">
                            <w:pPr>
                              <w:rPr>
                                <w:rFonts w:ascii="Arial" w:hAnsi="Arial" w:cs="Arial"/>
                                <w:b/>
                                <w:bCs/>
                                <w:color w:val="FFFFFF"/>
                                <w:sz w:val="20"/>
                                <w:szCs w:val="18"/>
                              </w:rPr>
                            </w:pPr>
                            <w:r>
                              <w:rPr>
                                <w:rFonts w:ascii="Arial" w:hAnsi="Arial" w:cs="Arial"/>
                                <w:b/>
                                <w:bCs/>
                                <w:color w:val="FFFFFF"/>
                                <w:sz w:val="20"/>
                                <w:szCs w:val="18"/>
                              </w:rPr>
                              <w:t>Prüfen der Flüssigkeit in der Fertigspritze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00802" id="Text Box 139" o:spid="_x0000_s1076" type="#_x0000_t202" style="position:absolute;left:0;text-align:left;margin-left:118.7pt;margin-top:6.9pt;width:216.65pt;height:22.8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" fillcolor="#656666" stroked="f">
                <v:textbox>
                  <w:txbxContent>
                    <w:p w14:paraId="2E61BED2" w14:textId="77777777" w:rsidR="008F3710" w:rsidRPr="009A1F4C" w:rsidRDefault="008F3710" w:rsidP="005160C9">
                      <w:pPr>
                        <w:rPr>
                          <w:rFonts w:ascii="Arial" w:hAnsi="Arial" w:cs="Arial"/>
                          <w:b/>
                          <w:bCs/>
                          <w:color w:val="FFFFFF"/>
                          <w:sz w:val="20"/>
                          <w:szCs w:val="18"/>
                        </w:rPr>
                      </w:pPr>
                      <w:r>
                        <w:rPr>
                          <w:rFonts w:ascii="Arial" w:hAnsi="Arial" w:cs="Arial"/>
                          <w:b/>
                          <w:bCs/>
                          <w:color w:val="FFFFFF"/>
                          <w:sz w:val="20"/>
                          <w:szCs w:val="18"/>
                        </w:rPr>
                        <w:t>Prüfen der Flüssigkeit in der Fertigspritze</w:t>
                      </w:r>
                    </w:p>
                  </w:txbxContent>
                </v:textbox>
              </v:shape>
            </w:pict>
          </mc:Fallback>
        </mc:AlternateContent>
      </w:r>
      <w:r w:rsidRPr="004F5FB4">
        <w:rPr>
          <w:noProof/>
          <w:color w:val="000000"/>
        </w:rPr>
        <w:drawing>
          <wp:inline distT="0" distB="0" distL="0" distR="0" wp14:anchorId="0876BD6F" wp14:editId="01666E28">
            <wp:extent cx="3819525" cy="2447925"/>
            <wp:effectExtent l="0" t="0" r="0" b="0"/>
            <wp:docPr id="1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9525" cy="2447925"/>
                    </a:xfrm>
                    <a:prstGeom prst="rect">
                      <a:avLst/>
                    </a:prstGeom>
                    <a:noFill/>
                    <a:ln>
                      <a:noFill/>
                    </a:ln>
                  </pic:spPr>
                </pic:pic>
              </a:graphicData>
            </a:graphic>
          </wp:inline>
        </w:drawing>
      </w:r>
    </w:p>
    <w:p w14:paraId="2E66335F" w14:textId="77777777" w:rsidR="00F54749" w:rsidRPr="004F5FB4" w:rsidRDefault="00F54749" w:rsidP="00172509">
      <w:pPr>
        <w:jc w:val="center"/>
        <w:rPr>
          <w:color w:val="000000"/>
          <w:lang w:val="en-GB"/>
        </w:rPr>
      </w:pPr>
    </w:p>
    <w:p w14:paraId="21CD8681" w14:textId="77777777" w:rsidR="00F54749" w:rsidRPr="004F5FB4" w:rsidRDefault="00F54749" w:rsidP="00982118">
      <w:pPr>
        <w:rPr>
          <w:color w:val="000000"/>
          <w:lang w:val="en-GB"/>
        </w:rPr>
      </w:pPr>
    </w:p>
    <w:p w14:paraId="64ADB5D0" w14:textId="77777777" w:rsidR="00CB669F" w:rsidRPr="004F5FB4" w:rsidRDefault="00CB669F" w:rsidP="00E23160">
      <w:pPr>
        <w:pStyle w:val="ListParagraph"/>
        <w:numPr>
          <w:ilvl w:val="0"/>
          <w:numId w:val="36"/>
        </w:numPr>
        <w:ind w:left="562" w:hanging="562"/>
        <w:contextualSpacing/>
        <w:rPr>
          <w:color w:val="000000"/>
        </w:rPr>
      </w:pPr>
      <w:r w:rsidRPr="004F5FB4">
        <w:rPr>
          <w:color w:val="000000"/>
        </w:rPr>
        <w:t xml:space="preserve">Schauen Sie sich </w:t>
      </w:r>
      <w:r w:rsidR="00BB2E53" w:rsidRPr="004F5FB4">
        <w:rPr>
          <w:color w:val="000000"/>
        </w:rPr>
        <w:t>das Arzneimittel</w:t>
      </w:r>
      <w:r w:rsidRPr="004F5FB4">
        <w:rPr>
          <w:color w:val="000000"/>
        </w:rPr>
        <w:t xml:space="preserve"> </w:t>
      </w:r>
      <w:r w:rsidR="0060076E" w:rsidRPr="004F5FB4">
        <w:rPr>
          <w:color w:val="000000"/>
        </w:rPr>
        <w:t xml:space="preserve">für Ihr Kind </w:t>
      </w:r>
      <w:r w:rsidRPr="004F5FB4">
        <w:rPr>
          <w:color w:val="000000"/>
        </w:rPr>
        <w:t xml:space="preserve">im </w:t>
      </w:r>
      <w:r w:rsidR="00564088" w:rsidRPr="004F5FB4">
        <w:rPr>
          <w:color w:val="000000"/>
        </w:rPr>
        <w:t>Sichtf</w:t>
      </w:r>
      <w:r w:rsidRPr="004F5FB4">
        <w:rPr>
          <w:color w:val="000000"/>
        </w:rPr>
        <w:t xml:space="preserve">enster genau an. </w:t>
      </w:r>
    </w:p>
    <w:p w14:paraId="7724DA2E" w14:textId="77777777" w:rsidR="005160C9" w:rsidRPr="004F5FB4" w:rsidRDefault="005160C9" w:rsidP="00E23160">
      <w:pPr>
        <w:pStyle w:val="ListParagraph"/>
        <w:numPr>
          <w:ilvl w:val="0"/>
          <w:numId w:val="36"/>
        </w:numPr>
        <w:ind w:left="562" w:hanging="562"/>
        <w:contextualSpacing/>
        <w:rPr>
          <w:color w:val="000000"/>
        </w:rPr>
      </w:pPr>
      <w:r w:rsidRPr="004F5FB4">
        <w:rPr>
          <w:color w:val="000000"/>
        </w:rPr>
        <w:t>Neigen Sie die Spritze vorsichtig hin und her, um das Arzneimittel zu prüfen.</w:t>
      </w:r>
    </w:p>
    <w:p w14:paraId="5BD30CF2" w14:textId="77777777" w:rsidR="005160C9" w:rsidRPr="004F5FB4" w:rsidRDefault="005160C9" w:rsidP="00E23160">
      <w:pPr>
        <w:pStyle w:val="ListParagraph"/>
        <w:numPr>
          <w:ilvl w:val="0"/>
          <w:numId w:val="36"/>
        </w:numPr>
        <w:ind w:left="562" w:hanging="562"/>
        <w:contextualSpacing/>
        <w:rPr>
          <w:color w:val="000000"/>
        </w:rPr>
      </w:pPr>
      <w:r w:rsidRPr="004F5FB4">
        <w:rPr>
          <w:b/>
          <w:color w:val="000000"/>
        </w:rPr>
        <w:t>Schütteln</w:t>
      </w:r>
      <w:r w:rsidRPr="004F5FB4">
        <w:rPr>
          <w:color w:val="000000"/>
        </w:rPr>
        <w:t xml:space="preserve"> Sie die Fertigspritze </w:t>
      </w:r>
      <w:r w:rsidRPr="004F5FB4">
        <w:rPr>
          <w:b/>
          <w:color w:val="000000"/>
        </w:rPr>
        <w:t>nicht</w:t>
      </w:r>
      <w:r w:rsidRPr="004F5FB4">
        <w:rPr>
          <w:color w:val="000000"/>
        </w:rPr>
        <w:t>. Durch Schütteln kann das Arzneimittel Ihres Kindes unbrauchbar werden.</w:t>
      </w:r>
    </w:p>
    <w:p w14:paraId="4AA49208" w14:textId="77777777" w:rsidR="00CB669F" w:rsidRPr="004F5FB4" w:rsidRDefault="00CB669F" w:rsidP="00E23160">
      <w:pPr>
        <w:pStyle w:val="ListParagraph"/>
        <w:numPr>
          <w:ilvl w:val="0"/>
          <w:numId w:val="36"/>
        </w:numPr>
        <w:ind w:left="562" w:hanging="562"/>
        <w:contextualSpacing/>
        <w:rPr>
          <w:rFonts w:eastAsia="Calibri"/>
          <w:color w:val="000000"/>
        </w:rPr>
      </w:pPr>
      <w:r w:rsidRPr="004F5FB4">
        <w:rPr>
          <w:color w:val="000000"/>
        </w:rPr>
        <w:t xml:space="preserve">Vergewissern Sie sich, dass die Flüssigkeit klar und farblos bis sehr hellbraun und frei von Flocken oder Teilchen ist. Es ist normal, wenn eine oder mehrere Blasen im </w:t>
      </w:r>
      <w:r w:rsidR="00564088" w:rsidRPr="004F5FB4">
        <w:rPr>
          <w:color w:val="000000"/>
        </w:rPr>
        <w:t>Sichtf</w:t>
      </w:r>
      <w:r w:rsidRPr="004F5FB4">
        <w:rPr>
          <w:color w:val="000000"/>
        </w:rPr>
        <w:t>enster sichtbar sind.</w:t>
      </w:r>
      <w:r w:rsidR="005160C9" w:rsidRPr="004F5FB4">
        <w:rPr>
          <w:color w:val="000000"/>
        </w:rPr>
        <w:t xml:space="preserve"> </w:t>
      </w:r>
      <w:r w:rsidR="005160C9" w:rsidRPr="004F5FB4">
        <w:rPr>
          <w:b/>
          <w:color w:val="000000"/>
        </w:rPr>
        <w:t>Versuchen Sie nicht</w:t>
      </w:r>
      <w:r w:rsidR="005160C9" w:rsidRPr="004F5FB4">
        <w:rPr>
          <w:color w:val="000000"/>
        </w:rPr>
        <w:t>, Luftblasen zu entfernen.</w:t>
      </w:r>
    </w:p>
    <w:p w14:paraId="268308E3" w14:textId="77777777" w:rsidR="00CB669F" w:rsidRPr="004F5FB4" w:rsidRDefault="00CB669F" w:rsidP="00E509AE">
      <w:pPr>
        <w:ind w:left="562" w:firstLine="5"/>
        <w:contextualSpacing/>
        <w:rPr>
          <w:color w:val="000000"/>
        </w:rPr>
      </w:pPr>
      <w:r w:rsidRPr="004F5FB4">
        <w:rPr>
          <w:color w:val="000000"/>
        </w:rPr>
        <w:t xml:space="preserve">Wenn Sie Fragen zum Arzneimittel </w:t>
      </w:r>
      <w:r w:rsidR="00125931" w:rsidRPr="004F5FB4">
        <w:rPr>
          <w:color w:val="000000"/>
        </w:rPr>
        <w:t xml:space="preserve">Ihres Kindes </w:t>
      </w:r>
      <w:r w:rsidRPr="004F5FB4">
        <w:rPr>
          <w:color w:val="000000"/>
        </w:rPr>
        <w:t xml:space="preserve">haben, wenden Sie sich bitte an </w:t>
      </w:r>
      <w:r w:rsidR="00125931" w:rsidRPr="004F5FB4">
        <w:rPr>
          <w:color w:val="000000"/>
        </w:rPr>
        <w:t xml:space="preserve">den </w:t>
      </w:r>
      <w:r w:rsidRPr="004F5FB4">
        <w:rPr>
          <w:color w:val="000000"/>
        </w:rPr>
        <w:t>Arzt</w:t>
      </w:r>
      <w:r w:rsidR="00125931" w:rsidRPr="004F5FB4">
        <w:rPr>
          <w:color w:val="000000"/>
        </w:rPr>
        <w:t>, das medizinische Fachpersonal</w:t>
      </w:r>
      <w:r w:rsidRPr="004F5FB4">
        <w:rPr>
          <w:color w:val="000000"/>
        </w:rPr>
        <w:t xml:space="preserve"> oder</w:t>
      </w:r>
      <w:r w:rsidR="00125931" w:rsidRPr="004F5FB4">
        <w:rPr>
          <w:color w:val="000000"/>
        </w:rPr>
        <w:t xml:space="preserve"> den</w:t>
      </w:r>
      <w:r w:rsidRPr="004F5FB4">
        <w:rPr>
          <w:color w:val="000000"/>
        </w:rPr>
        <w:t xml:space="preserve"> Apotheker</w:t>
      </w:r>
      <w:r w:rsidR="00125931" w:rsidRPr="004F5FB4">
        <w:rPr>
          <w:color w:val="000000"/>
        </w:rPr>
        <w:t xml:space="preserve"> Ihres Kindes</w:t>
      </w:r>
      <w:r w:rsidRPr="004F5FB4">
        <w:rPr>
          <w:color w:val="000000"/>
        </w:rPr>
        <w:t xml:space="preserve">. </w:t>
      </w:r>
    </w:p>
    <w:p w14:paraId="0BF8A6FD" w14:textId="77777777" w:rsidR="00CB669F" w:rsidRPr="004F5FB4" w:rsidRDefault="00CB669F" w:rsidP="00E23160">
      <w:pPr>
        <w:pStyle w:val="ListParagraph"/>
        <w:ind w:left="562" w:hanging="562"/>
        <w:contextualSpacing/>
        <w:rPr>
          <w:color w:val="000000"/>
        </w:rPr>
      </w:pPr>
    </w:p>
    <w:p w14:paraId="5D2AE611" w14:textId="77777777" w:rsidR="00CB669F" w:rsidRPr="004F5FB4" w:rsidRDefault="00CB669F" w:rsidP="00982118">
      <w:pPr>
        <w:pStyle w:val="ListParagraph"/>
        <w:rPr>
          <w:color w:val="000000"/>
        </w:rPr>
      </w:pPr>
    </w:p>
    <w:p w14:paraId="51C8EFD1" w14:textId="5D72CBDE" w:rsidR="00F54749" w:rsidRPr="004F5FB4" w:rsidRDefault="00032CD3" w:rsidP="00982118">
      <w:pPr>
        <w:jc w:val="center"/>
        <w:rPr>
          <w:color w:val="000000"/>
        </w:rPr>
      </w:pPr>
      <w:r w:rsidRPr="004F5FB4">
        <w:rPr>
          <w:noProof/>
          <w:color w:val="000000"/>
          <w:lang w:eastAsia="de-DE"/>
        </w:rPr>
        <mc:AlternateContent>
          <mc:Choice Requires="wps">
            <w:drawing>
              <wp:anchor distT="0" distB="0" distL="114300" distR="114300" simplePos="0" relativeHeight="251658288" behindDoc="0" locked="0" layoutInCell="1" allowOverlap="1" wp14:anchorId="50CFF6F6" wp14:editId="66F19876">
                <wp:simplePos x="0" y="0"/>
                <wp:positionH relativeFrom="column">
                  <wp:posOffset>1082675</wp:posOffset>
                </wp:positionH>
                <wp:positionV relativeFrom="paragraph">
                  <wp:posOffset>46355</wp:posOffset>
                </wp:positionV>
                <wp:extent cx="3618865" cy="339090"/>
                <wp:effectExtent l="0" t="0" r="3810" b="0"/>
                <wp:wrapNone/>
                <wp:docPr id="12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8865" cy="3390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F17E8" w14:textId="77777777" w:rsidR="008F3710" w:rsidRPr="009A1F4C" w:rsidRDefault="008F3710" w:rsidP="00125931">
                            <w:pPr>
                              <w:rPr>
                                <w:rFonts w:ascii="Arial" w:hAnsi="Arial" w:cs="Arial"/>
                                <w:b/>
                                <w:bCs/>
                                <w:color w:val="FFFFFF"/>
                                <w:sz w:val="20"/>
                                <w:szCs w:val="18"/>
                              </w:rPr>
                            </w:pPr>
                            <w:r>
                              <w:rPr>
                                <w:rFonts w:ascii="Arial" w:hAnsi="Arial" w:cs="Arial"/>
                                <w:b/>
                                <w:bCs/>
                                <w:color w:val="FFFFFF"/>
                                <w:sz w:val="20"/>
                                <w:szCs w:val="18"/>
                              </w:rPr>
                              <w:t>Auswahl und Vorbereitung der Injektionsstelle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FF6F6" id="Text Box 140" o:spid="_x0000_s1077" type="#_x0000_t202" style="position:absolute;left:0;text-align:left;margin-left:85.25pt;margin-top:3.65pt;width:284.95pt;height:26.7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" fillcolor="#656666" stroked="f">
                <v:textbox>
                  <w:txbxContent>
                    <w:p w14:paraId="64AF17E8" w14:textId="77777777" w:rsidR="008F3710" w:rsidRPr="009A1F4C" w:rsidRDefault="008F3710" w:rsidP="00125931">
                      <w:pPr>
                        <w:rPr>
                          <w:rFonts w:ascii="Arial" w:hAnsi="Arial" w:cs="Arial"/>
                          <w:b/>
                          <w:bCs/>
                          <w:color w:val="FFFFFF"/>
                          <w:sz w:val="20"/>
                          <w:szCs w:val="18"/>
                        </w:rPr>
                      </w:pPr>
                      <w:r>
                        <w:rPr>
                          <w:rFonts w:ascii="Arial" w:hAnsi="Arial" w:cs="Arial"/>
                          <w:b/>
                          <w:bCs/>
                          <w:color w:val="FFFFFF"/>
                          <w:sz w:val="20"/>
                          <w:szCs w:val="18"/>
                        </w:rPr>
                        <w:t>Auswahl und Vorbereitung der Injektionsstelle</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311" behindDoc="0" locked="0" layoutInCell="1" allowOverlap="1" wp14:anchorId="55422B16" wp14:editId="57F4B6B6">
                <wp:simplePos x="0" y="0"/>
                <wp:positionH relativeFrom="column">
                  <wp:posOffset>3189605</wp:posOffset>
                </wp:positionH>
                <wp:positionV relativeFrom="paragraph">
                  <wp:posOffset>1428750</wp:posOffset>
                </wp:positionV>
                <wp:extent cx="1521460" cy="668020"/>
                <wp:effectExtent l="0" t="0" r="3810" b="0"/>
                <wp:wrapNone/>
                <wp:docPr id="12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668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DB200" w14:textId="77777777" w:rsidR="008F3710" w:rsidRPr="009A1F4C" w:rsidRDefault="008F3710" w:rsidP="00BA76E6">
                            <w:pPr>
                              <w:rPr>
                                <w:rFonts w:ascii="Arial" w:hAnsi="Arial" w:cs="Arial"/>
                                <w:b/>
                                <w:bCs/>
                                <w:color w:val="FF0000"/>
                                <w:sz w:val="20"/>
                                <w:szCs w:val="18"/>
                              </w:rPr>
                            </w:pPr>
                            <w:r>
                              <w:rPr>
                                <w:rFonts w:ascii="Arial" w:hAnsi="Arial" w:cs="Arial"/>
                                <w:b/>
                                <w:bCs/>
                                <w:color w:val="FF0000"/>
                                <w:sz w:val="20"/>
                                <w:szCs w:val="18"/>
                              </w:rPr>
                              <w:t>Oberschenkel</w:t>
                            </w:r>
                            <w:r w:rsidRPr="009A1F4C">
                              <w:rPr>
                                <w:rFonts w:ascii="Arial" w:hAnsi="Arial" w:cs="Arial"/>
                                <w:b/>
                                <w:bCs/>
                                <w:color w:val="FF0000"/>
                                <w:sz w:val="20"/>
                                <w:szCs w:val="18"/>
                              </w:rPr>
                              <w:t>:</w:t>
                            </w:r>
                          </w:p>
                          <w:p w14:paraId="1BB2583C" w14:textId="77777777" w:rsidR="008F3710" w:rsidRPr="009A1F4C" w:rsidRDefault="008F3710" w:rsidP="00BA76E6">
                            <w:pPr>
                              <w:rPr>
                                <w:rFonts w:ascii="Arial" w:hAnsi="Arial" w:cs="Arial"/>
                                <w:sz w:val="20"/>
                                <w:szCs w:val="18"/>
                              </w:rPr>
                            </w:pPr>
                            <w:r>
                              <w:rPr>
                                <w:rFonts w:ascii="Arial" w:hAnsi="Arial" w:cs="Arial"/>
                                <w:sz w:val="20"/>
                                <w:szCs w:val="18"/>
                              </w:rPr>
                              <w:t>Vorderseite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22B16" id="_x0000_s1078" type="#_x0000_t202" style="position:absolute;left:0;text-align:left;margin-left:251.15pt;margin-top:112.5pt;width:119.8pt;height:52.6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" stroked="f">
                <v:textbox>
                  <w:txbxContent>
                    <w:p w14:paraId="0C4DB200" w14:textId="77777777" w:rsidR="008F3710" w:rsidRPr="009A1F4C" w:rsidRDefault="008F3710" w:rsidP="00BA76E6">
                      <w:pPr>
                        <w:rPr>
                          <w:rFonts w:ascii="Arial" w:hAnsi="Arial" w:cs="Arial"/>
                          <w:b/>
                          <w:bCs/>
                          <w:color w:val="FF0000"/>
                          <w:sz w:val="20"/>
                          <w:szCs w:val="18"/>
                        </w:rPr>
                      </w:pPr>
                      <w:r>
                        <w:rPr>
                          <w:rFonts w:ascii="Arial" w:hAnsi="Arial" w:cs="Arial"/>
                          <w:b/>
                          <w:bCs/>
                          <w:color w:val="FF0000"/>
                          <w:sz w:val="20"/>
                          <w:szCs w:val="18"/>
                        </w:rPr>
                        <w:t>Oberschenkel</w:t>
                      </w:r>
                      <w:r w:rsidRPr="009A1F4C">
                        <w:rPr>
                          <w:rFonts w:ascii="Arial" w:hAnsi="Arial" w:cs="Arial"/>
                          <w:b/>
                          <w:bCs/>
                          <w:color w:val="FF0000"/>
                          <w:sz w:val="20"/>
                          <w:szCs w:val="18"/>
                        </w:rPr>
                        <w:t>:</w:t>
                      </w:r>
                    </w:p>
                    <w:p w14:paraId="1BB2583C" w14:textId="77777777" w:rsidR="008F3710" w:rsidRPr="009A1F4C" w:rsidRDefault="008F3710" w:rsidP="00BA76E6">
                      <w:pPr>
                        <w:rPr>
                          <w:rFonts w:ascii="Arial" w:hAnsi="Arial" w:cs="Arial"/>
                          <w:sz w:val="20"/>
                          <w:szCs w:val="18"/>
                        </w:rPr>
                      </w:pPr>
                      <w:r>
                        <w:rPr>
                          <w:rFonts w:ascii="Arial" w:hAnsi="Arial" w:cs="Arial"/>
                          <w:sz w:val="20"/>
                          <w:szCs w:val="18"/>
                        </w:rPr>
                        <w:t>Vorderseite</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289" behindDoc="0" locked="0" layoutInCell="1" allowOverlap="1" wp14:anchorId="667BBE29" wp14:editId="48F3E018">
                <wp:simplePos x="0" y="0"/>
                <wp:positionH relativeFrom="column">
                  <wp:posOffset>3206750</wp:posOffset>
                </wp:positionH>
                <wp:positionV relativeFrom="paragraph">
                  <wp:posOffset>537210</wp:posOffset>
                </wp:positionV>
                <wp:extent cx="1564640" cy="834390"/>
                <wp:effectExtent l="0" t="3810" r="635" b="0"/>
                <wp:wrapNone/>
                <wp:docPr id="11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834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80F51" w14:textId="77777777" w:rsidR="008F3710" w:rsidRPr="00687087" w:rsidRDefault="008F3710" w:rsidP="00125931">
                            <w:pPr>
                              <w:rPr>
                                <w:rFonts w:ascii="Arial" w:hAnsi="Arial" w:cs="Arial"/>
                                <w:b/>
                                <w:bCs/>
                                <w:color w:val="FF0000"/>
                                <w:sz w:val="20"/>
                                <w:szCs w:val="20"/>
                              </w:rPr>
                            </w:pPr>
                            <w:r w:rsidRPr="00687087">
                              <w:rPr>
                                <w:rFonts w:ascii="Arial" w:hAnsi="Arial" w:cs="Arial"/>
                                <w:b/>
                                <w:bCs/>
                                <w:color w:val="FF0000"/>
                                <w:sz w:val="20"/>
                                <w:szCs w:val="20"/>
                              </w:rPr>
                              <w:t>Bauch:</w:t>
                            </w:r>
                          </w:p>
                          <w:p w14:paraId="166070CB" w14:textId="77777777" w:rsidR="008F3710" w:rsidRPr="00687087" w:rsidRDefault="008F3710" w:rsidP="00125931">
                            <w:pPr>
                              <w:rPr>
                                <w:rFonts w:ascii="Arial" w:hAnsi="Arial" w:cs="Arial"/>
                                <w:sz w:val="20"/>
                                <w:szCs w:val="20"/>
                              </w:rPr>
                            </w:pPr>
                            <w:r w:rsidRPr="00687087">
                              <w:rPr>
                                <w:rFonts w:ascii="Arial" w:hAnsi="Arial" w:cs="Arial"/>
                                <w:sz w:val="20"/>
                                <w:szCs w:val="20"/>
                              </w:rPr>
                              <w:t>Wählen Sie eine Stelle, die mindestens 5 cm vom Bauchnabel entfernt 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BBE29" id="Text Box 142" o:spid="_x0000_s1079" type="#_x0000_t202" style="position:absolute;left:0;text-align:left;margin-left:252.5pt;margin-top:42.3pt;width:123.2pt;height:65.7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" stroked="f">
                <v:textbox>
                  <w:txbxContent>
                    <w:p w14:paraId="3CA80F51" w14:textId="77777777" w:rsidR="008F3710" w:rsidRPr="00687087" w:rsidRDefault="008F3710" w:rsidP="00125931">
                      <w:pPr>
                        <w:rPr>
                          <w:rFonts w:ascii="Arial" w:hAnsi="Arial" w:cs="Arial"/>
                          <w:b/>
                          <w:bCs/>
                          <w:color w:val="FF0000"/>
                          <w:sz w:val="20"/>
                          <w:szCs w:val="20"/>
                        </w:rPr>
                      </w:pPr>
                      <w:r w:rsidRPr="00687087">
                        <w:rPr>
                          <w:rFonts w:ascii="Arial" w:hAnsi="Arial" w:cs="Arial"/>
                          <w:b/>
                          <w:bCs/>
                          <w:color w:val="FF0000"/>
                          <w:sz w:val="20"/>
                          <w:szCs w:val="20"/>
                        </w:rPr>
                        <w:t>Bauch:</w:t>
                      </w:r>
                    </w:p>
                    <w:p w14:paraId="166070CB" w14:textId="77777777" w:rsidR="008F3710" w:rsidRPr="00687087" w:rsidRDefault="008F3710" w:rsidP="00125931">
                      <w:pPr>
                        <w:rPr>
                          <w:rFonts w:ascii="Arial" w:hAnsi="Arial" w:cs="Arial"/>
                          <w:sz w:val="20"/>
                          <w:szCs w:val="20"/>
                        </w:rPr>
                      </w:pPr>
                      <w:r w:rsidRPr="00687087">
                        <w:rPr>
                          <w:rFonts w:ascii="Arial" w:hAnsi="Arial" w:cs="Arial"/>
                          <w:sz w:val="20"/>
                          <w:szCs w:val="20"/>
                        </w:rPr>
                        <w:t>Wählen Sie eine Stelle, die mindestens 5 cm vom Bauchnabel entfernt ist.</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290" behindDoc="0" locked="0" layoutInCell="1" allowOverlap="1" wp14:anchorId="343B1C90" wp14:editId="2CEBE7A0">
                <wp:simplePos x="0" y="0"/>
                <wp:positionH relativeFrom="column">
                  <wp:posOffset>3345180</wp:posOffset>
                </wp:positionH>
                <wp:positionV relativeFrom="paragraph">
                  <wp:posOffset>3906520</wp:posOffset>
                </wp:positionV>
                <wp:extent cx="1426210" cy="521335"/>
                <wp:effectExtent l="1905" t="1270" r="635" b="1270"/>
                <wp:wrapNone/>
                <wp:docPr id="11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7CB80" w14:textId="77777777" w:rsidR="008F3710" w:rsidRPr="00125931" w:rsidRDefault="008F3710" w:rsidP="00125931">
                            <w:pPr>
                              <w:rPr>
                                <w:rFonts w:ascii="Arial" w:hAnsi="Arial" w:cs="Arial"/>
                                <w:b/>
                                <w:bCs/>
                                <w:color w:val="FF0000"/>
                                <w:sz w:val="18"/>
                                <w:szCs w:val="18"/>
                              </w:rPr>
                            </w:pPr>
                            <w:r w:rsidRPr="00125931">
                              <w:rPr>
                                <w:rFonts w:ascii="Arial" w:hAnsi="Arial" w:cs="Arial"/>
                                <w:b/>
                                <w:bCs/>
                                <w:color w:val="FF0000"/>
                                <w:sz w:val="18"/>
                                <w:szCs w:val="18"/>
                              </w:rPr>
                              <w:t>Oberschenkel:</w:t>
                            </w:r>
                          </w:p>
                          <w:p w14:paraId="6CE6BE58" w14:textId="77777777" w:rsidR="008F3710" w:rsidRPr="00125931" w:rsidRDefault="008F3710" w:rsidP="00125931">
                            <w:pPr>
                              <w:rPr>
                                <w:rFonts w:ascii="Arial" w:hAnsi="Arial" w:cs="Arial"/>
                                <w:sz w:val="18"/>
                                <w:szCs w:val="18"/>
                              </w:rPr>
                            </w:pPr>
                            <w:r w:rsidRPr="00125931">
                              <w:rPr>
                                <w:rFonts w:ascii="Arial" w:hAnsi="Arial" w:cs="Arial"/>
                                <w:sz w:val="18"/>
                                <w:szCs w:val="18"/>
                              </w:rPr>
                              <w:t>Vorderseite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B1C90" id="Text Box 143" o:spid="_x0000_s1080" type="#_x0000_t202" style="position:absolute;left:0;text-align:left;margin-left:263.4pt;margin-top:307.6pt;width:112.3pt;height:41.0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" stroked="f">
                <v:textbox>
                  <w:txbxContent>
                    <w:p w14:paraId="3517CB80" w14:textId="77777777" w:rsidR="008F3710" w:rsidRPr="00125931" w:rsidRDefault="008F3710" w:rsidP="00125931">
                      <w:pPr>
                        <w:rPr>
                          <w:rFonts w:ascii="Arial" w:hAnsi="Arial" w:cs="Arial"/>
                          <w:b/>
                          <w:bCs/>
                          <w:color w:val="FF0000"/>
                          <w:sz w:val="18"/>
                          <w:szCs w:val="18"/>
                        </w:rPr>
                      </w:pPr>
                      <w:r w:rsidRPr="00125931">
                        <w:rPr>
                          <w:rFonts w:ascii="Arial" w:hAnsi="Arial" w:cs="Arial"/>
                          <w:b/>
                          <w:bCs/>
                          <w:color w:val="FF0000"/>
                          <w:sz w:val="18"/>
                          <w:szCs w:val="18"/>
                        </w:rPr>
                        <w:t>Oberschenkel:</w:t>
                      </w:r>
                    </w:p>
                    <w:p w14:paraId="6CE6BE58" w14:textId="77777777" w:rsidR="008F3710" w:rsidRPr="00125931" w:rsidRDefault="008F3710" w:rsidP="00125931">
                      <w:pPr>
                        <w:rPr>
                          <w:rFonts w:ascii="Arial" w:hAnsi="Arial" w:cs="Arial"/>
                          <w:sz w:val="18"/>
                          <w:szCs w:val="18"/>
                        </w:rPr>
                      </w:pPr>
                      <w:r w:rsidRPr="00125931">
                        <w:rPr>
                          <w:rFonts w:ascii="Arial" w:hAnsi="Arial" w:cs="Arial"/>
                          <w:sz w:val="18"/>
                          <w:szCs w:val="18"/>
                        </w:rPr>
                        <w:t>Vorderseite</w:t>
                      </w:r>
                    </w:p>
                  </w:txbxContent>
                </v:textbox>
              </v:shape>
            </w:pict>
          </mc:Fallback>
        </mc:AlternateContent>
      </w:r>
      <w:r w:rsidRPr="004F5FB4">
        <w:rPr>
          <w:noProof/>
          <w:color w:val="000000"/>
        </w:rPr>
        <w:drawing>
          <wp:inline distT="0" distB="0" distL="0" distR="0" wp14:anchorId="4E4DFE6D" wp14:editId="39CEA13E">
            <wp:extent cx="4752975" cy="2466975"/>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2975" cy="2466975"/>
                    </a:xfrm>
                    <a:prstGeom prst="rect">
                      <a:avLst/>
                    </a:prstGeom>
                    <a:noFill/>
                    <a:ln>
                      <a:noFill/>
                    </a:ln>
                  </pic:spPr>
                </pic:pic>
              </a:graphicData>
            </a:graphic>
          </wp:inline>
        </w:drawing>
      </w:r>
    </w:p>
    <w:p w14:paraId="24A5165F" w14:textId="77777777" w:rsidR="00F54749" w:rsidRPr="004F5FB4" w:rsidRDefault="00F54749" w:rsidP="00172509">
      <w:pPr>
        <w:jc w:val="center"/>
        <w:rPr>
          <w:color w:val="000000"/>
          <w:lang w:val="en-GB"/>
        </w:rPr>
      </w:pPr>
    </w:p>
    <w:p w14:paraId="6C57EE23" w14:textId="77777777" w:rsidR="00CB669F" w:rsidRPr="004F5FB4" w:rsidRDefault="00CB669F" w:rsidP="00982118">
      <w:pPr>
        <w:rPr>
          <w:color w:val="000000"/>
          <w:lang w:val="en-GB"/>
        </w:rPr>
      </w:pPr>
    </w:p>
    <w:p w14:paraId="04579454"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Wählen Sie bei jeder </w:t>
      </w:r>
      <w:r w:rsidR="00125931" w:rsidRPr="004F5FB4">
        <w:rPr>
          <w:color w:val="000000"/>
        </w:rPr>
        <w:t xml:space="preserve">Injektion bei Ihrem Kind </w:t>
      </w:r>
      <w:r w:rsidRPr="004F5FB4">
        <w:rPr>
          <w:color w:val="000000"/>
        </w:rPr>
        <w:t>eine andere Körperstelle aus.</w:t>
      </w:r>
    </w:p>
    <w:p w14:paraId="2EE2054D"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Spritzen Sie </w:t>
      </w:r>
      <w:r w:rsidRPr="004F5FB4">
        <w:rPr>
          <w:b/>
          <w:color w:val="000000"/>
        </w:rPr>
        <w:t xml:space="preserve">nicht </w:t>
      </w:r>
      <w:r w:rsidRPr="004F5FB4">
        <w:rPr>
          <w:color w:val="000000"/>
        </w:rPr>
        <w:t>in Körperstellen</w:t>
      </w:r>
      <w:r w:rsidR="00125931" w:rsidRPr="004F5FB4">
        <w:rPr>
          <w:color w:val="000000"/>
        </w:rPr>
        <w:t xml:space="preserve"> Ihres Kindes</w:t>
      </w:r>
      <w:r w:rsidRPr="004F5FB4">
        <w:rPr>
          <w:color w:val="000000"/>
        </w:rPr>
        <w:t>, an denen sich Knochen dicht unter der Haut befinden oder die Blutergüsse oder Rötungen aufweisen oder wund (berührungsempfindlich) oder verhärtet sind. Vermeiden Sie Injektionen in Hautstellen mit Narben oder Dehnungsstreifen.</w:t>
      </w:r>
    </w:p>
    <w:p w14:paraId="2FF229F3" w14:textId="77777777" w:rsidR="00CB669F" w:rsidRPr="004F5FB4" w:rsidRDefault="009C49D3" w:rsidP="00E23160">
      <w:pPr>
        <w:pStyle w:val="ListParagraph"/>
        <w:numPr>
          <w:ilvl w:val="0"/>
          <w:numId w:val="32"/>
        </w:numPr>
        <w:ind w:left="1124" w:hanging="562"/>
        <w:contextualSpacing/>
        <w:rPr>
          <w:color w:val="000000"/>
        </w:rPr>
      </w:pPr>
      <w:r w:rsidRPr="004F5FB4">
        <w:rPr>
          <w:color w:val="000000"/>
        </w:rPr>
        <w:t>Wenn</w:t>
      </w:r>
      <w:r w:rsidR="00125931" w:rsidRPr="004F5FB4">
        <w:rPr>
          <w:color w:val="000000"/>
        </w:rPr>
        <w:t xml:space="preserve"> Ihr Kind Psoriasis</w:t>
      </w:r>
      <w:r w:rsidRPr="004F5FB4">
        <w:rPr>
          <w:color w:val="000000"/>
        </w:rPr>
        <w:t xml:space="preserve"> hat</w:t>
      </w:r>
      <w:r w:rsidR="00125931" w:rsidRPr="004F5FB4">
        <w:rPr>
          <w:color w:val="000000"/>
        </w:rPr>
        <w:t>,</w:t>
      </w:r>
      <w:r w:rsidR="00CB669F" w:rsidRPr="004F5FB4">
        <w:rPr>
          <w:color w:val="000000"/>
        </w:rPr>
        <w:t xml:space="preserve"> sollten</w:t>
      </w:r>
      <w:r w:rsidR="00125931" w:rsidRPr="004F5FB4">
        <w:rPr>
          <w:color w:val="000000"/>
        </w:rPr>
        <w:t xml:space="preserve"> Sie</w:t>
      </w:r>
      <w:r w:rsidR="00CB669F" w:rsidRPr="004F5FB4">
        <w:rPr>
          <w:color w:val="000000"/>
        </w:rPr>
        <w:t xml:space="preserve"> </w:t>
      </w:r>
      <w:r w:rsidR="00CB669F" w:rsidRPr="004F5FB4">
        <w:rPr>
          <w:b/>
          <w:color w:val="000000"/>
        </w:rPr>
        <w:t>nicht</w:t>
      </w:r>
      <w:r w:rsidR="00CB669F" w:rsidRPr="004F5FB4">
        <w:rPr>
          <w:color w:val="000000"/>
        </w:rPr>
        <w:t xml:space="preserve"> unmittelbar in Stellen </w:t>
      </w:r>
      <w:r w:rsidR="0060076E" w:rsidRPr="004F5FB4">
        <w:rPr>
          <w:color w:val="000000"/>
        </w:rPr>
        <w:t xml:space="preserve">Ihres Kindes </w:t>
      </w:r>
      <w:r w:rsidR="00CB669F" w:rsidRPr="004F5FB4">
        <w:rPr>
          <w:color w:val="000000"/>
        </w:rPr>
        <w:t>mit erhabener, verdickter, geröteter, schuppender oder wunder Haut spritzen.</w:t>
      </w:r>
    </w:p>
    <w:p w14:paraId="784013FC"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Spritzen Sie </w:t>
      </w:r>
      <w:r w:rsidRPr="004F5FB4">
        <w:rPr>
          <w:b/>
          <w:bCs/>
          <w:color w:val="000000"/>
        </w:rPr>
        <w:t>nicht</w:t>
      </w:r>
      <w:r w:rsidRPr="004F5FB4">
        <w:rPr>
          <w:color w:val="000000"/>
        </w:rPr>
        <w:t xml:space="preserve"> durch </w:t>
      </w:r>
      <w:r w:rsidR="00125931" w:rsidRPr="004F5FB4">
        <w:rPr>
          <w:color w:val="000000"/>
        </w:rPr>
        <w:t xml:space="preserve">die </w:t>
      </w:r>
      <w:r w:rsidRPr="004F5FB4">
        <w:rPr>
          <w:color w:val="000000"/>
        </w:rPr>
        <w:t>Kleidung</w:t>
      </w:r>
      <w:r w:rsidR="00125931" w:rsidRPr="004F5FB4">
        <w:rPr>
          <w:color w:val="000000"/>
        </w:rPr>
        <w:t xml:space="preserve"> Ihres Kindes</w:t>
      </w:r>
      <w:r w:rsidRPr="004F5FB4">
        <w:rPr>
          <w:color w:val="000000"/>
        </w:rPr>
        <w:t>.</w:t>
      </w:r>
    </w:p>
    <w:p w14:paraId="4D4B9A0A"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Wischen Sie die Haut an der gewählten Injektionsstelle mit einem Alkoholtupfer ab.</w:t>
      </w:r>
    </w:p>
    <w:p w14:paraId="68615642"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Warten Sie, bis die Haut an der Injektionsstelle getrocknet ist.</w:t>
      </w:r>
    </w:p>
    <w:p w14:paraId="79372001" w14:textId="77777777" w:rsidR="00CB669F" w:rsidRPr="004F5FB4" w:rsidRDefault="00CB669F" w:rsidP="00982118">
      <w:pPr>
        <w:rPr>
          <w:color w:val="000000"/>
        </w:rPr>
      </w:pPr>
    </w:p>
    <w:p w14:paraId="52D3B422" w14:textId="6B3966D9" w:rsidR="00CB669F" w:rsidRPr="004F5FB4" w:rsidRDefault="00032CD3" w:rsidP="00A46931">
      <w:pPr>
        <w:jc w:val="center"/>
        <w:rPr>
          <w:color w:val="000000"/>
        </w:rPr>
      </w:pPr>
      <w:r w:rsidRPr="004F5FB4">
        <w:rPr>
          <w:noProof/>
          <w:color w:val="000000"/>
          <w:lang w:eastAsia="de-DE"/>
        </w:rPr>
        <mc:AlternateContent>
          <mc:Choice Requires="wps">
            <w:drawing>
              <wp:anchor distT="0" distB="0" distL="114300" distR="114300" simplePos="0" relativeHeight="251658291" behindDoc="0" locked="0" layoutInCell="1" allowOverlap="1" wp14:anchorId="5AC388D7" wp14:editId="03DA5D49">
                <wp:simplePos x="0" y="0"/>
                <wp:positionH relativeFrom="column">
                  <wp:posOffset>1584325</wp:posOffset>
                </wp:positionH>
                <wp:positionV relativeFrom="paragraph">
                  <wp:posOffset>74295</wp:posOffset>
                </wp:positionV>
                <wp:extent cx="1705610" cy="250190"/>
                <wp:effectExtent l="3175" t="0" r="0" b="0"/>
                <wp:wrapNone/>
                <wp:docPr id="11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9A873" w14:textId="77777777" w:rsidR="008F3710" w:rsidRPr="009A1F4C" w:rsidRDefault="008F3710" w:rsidP="00125931">
                            <w:pPr>
                              <w:rPr>
                                <w:rFonts w:ascii="Arial" w:hAnsi="Arial" w:cs="Arial"/>
                                <w:b/>
                                <w:bCs/>
                                <w:color w:val="FFFFFF"/>
                                <w:sz w:val="20"/>
                                <w:szCs w:val="18"/>
                              </w:rPr>
                            </w:pPr>
                            <w:r>
                              <w:rPr>
                                <w:rFonts w:ascii="Arial" w:hAnsi="Arial" w:cs="Arial"/>
                                <w:b/>
                                <w:bCs/>
                                <w:color w:val="FFFFFF"/>
                                <w:sz w:val="20"/>
                                <w:szCs w:val="18"/>
                              </w:rPr>
                              <w:t>Nadelkappe entfernen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388D7" id="Text Box 145" o:spid="_x0000_s1081" type="#_x0000_t202" style="position:absolute;left:0;text-align:left;margin-left:124.75pt;margin-top:5.85pt;width:134.3pt;height:19.7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" fillcolor="#656666" stroked="f">
                <v:textbox>
                  <w:txbxContent>
                    <w:p w14:paraId="7419A873" w14:textId="77777777" w:rsidR="008F3710" w:rsidRPr="009A1F4C" w:rsidRDefault="008F3710" w:rsidP="00125931">
                      <w:pPr>
                        <w:rPr>
                          <w:rFonts w:ascii="Arial" w:hAnsi="Arial" w:cs="Arial"/>
                          <w:b/>
                          <w:bCs/>
                          <w:color w:val="FFFFFF"/>
                          <w:sz w:val="20"/>
                          <w:szCs w:val="18"/>
                        </w:rPr>
                      </w:pPr>
                      <w:r>
                        <w:rPr>
                          <w:rFonts w:ascii="Arial" w:hAnsi="Arial" w:cs="Arial"/>
                          <w:b/>
                          <w:bCs/>
                          <w:color w:val="FFFFFF"/>
                          <w:sz w:val="20"/>
                          <w:szCs w:val="18"/>
                        </w:rPr>
                        <w:t>Nadelkappe entfernen</w:t>
                      </w:r>
                    </w:p>
                  </w:txbxContent>
                </v:textbox>
              </v:shape>
            </w:pict>
          </mc:Fallback>
        </mc:AlternateContent>
      </w:r>
      <w:r w:rsidRPr="004F5FB4">
        <w:rPr>
          <w:noProof/>
          <w:color w:val="000000"/>
        </w:rPr>
        <w:drawing>
          <wp:inline distT="0" distB="0" distL="0" distR="0" wp14:anchorId="212670CB" wp14:editId="03868640">
            <wp:extent cx="3838575" cy="2514600"/>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8575" cy="2514600"/>
                    </a:xfrm>
                    <a:prstGeom prst="rect">
                      <a:avLst/>
                    </a:prstGeom>
                    <a:noFill/>
                    <a:ln>
                      <a:noFill/>
                    </a:ln>
                  </pic:spPr>
                </pic:pic>
              </a:graphicData>
            </a:graphic>
          </wp:inline>
        </w:drawing>
      </w:r>
    </w:p>
    <w:p w14:paraId="1EB25A3D" w14:textId="77777777" w:rsidR="00CB669F" w:rsidRPr="004F5FB4" w:rsidRDefault="00CB669F" w:rsidP="00982118">
      <w:pPr>
        <w:jc w:val="center"/>
        <w:rPr>
          <w:color w:val="000000"/>
        </w:rPr>
      </w:pPr>
    </w:p>
    <w:p w14:paraId="3B3CA07D" w14:textId="77777777" w:rsidR="00CB669F" w:rsidRPr="004F5FB4" w:rsidRDefault="00CB669F" w:rsidP="00982118">
      <w:pPr>
        <w:rPr>
          <w:color w:val="000000"/>
          <w:lang w:val="en-GB"/>
        </w:rPr>
      </w:pPr>
    </w:p>
    <w:p w14:paraId="1FE5BC72" w14:textId="77777777" w:rsidR="00CB669F" w:rsidRPr="004F5FB4" w:rsidRDefault="00CB669F" w:rsidP="00982118">
      <w:pPr>
        <w:rPr>
          <w:color w:val="000000"/>
          <w:lang w:val="en-GB"/>
        </w:rPr>
      </w:pPr>
    </w:p>
    <w:p w14:paraId="4B7B1D82"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Halten Sie die Fertigspritze am Spritzenzylinder fest. Ziehen Sie die Nadelkappe vorsichtig in einer geraden Bewegung nach oben und von Ihrem Körper weg von der Nadel, sobald Sie zur Injektion bereit sind.</w:t>
      </w:r>
    </w:p>
    <w:p w14:paraId="4D27D1A1"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Es ist normal, wenn </w:t>
      </w:r>
      <w:r w:rsidR="00125931" w:rsidRPr="004F5FB4">
        <w:rPr>
          <w:color w:val="000000"/>
        </w:rPr>
        <w:t xml:space="preserve">beim Abnehmen der Nadelkappe ein paar Tropfen </w:t>
      </w:r>
      <w:r w:rsidR="00926900" w:rsidRPr="004F5FB4">
        <w:rPr>
          <w:color w:val="000000"/>
        </w:rPr>
        <w:t>Arzneimittel</w:t>
      </w:r>
      <w:r w:rsidR="00125931" w:rsidRPr="004F5FB4">
        <w:rPr>
          <w:color w:val="000000"/>
        </w:rPr>
        <w:t xml:space="preserve"> </w:t>
      </w:r>
      <w:r w:rsidRPr="004F5FB4">
        <w:rPr>
          <w:color w:val="000000"/>
        </w:rPr>
        <w:t xml:space="preserve">an der Nadelspitze zu sehen </w:t>
      </w:r>
      <w:r w:rsidR="00125931" w:rsidRPr="004F5FB4">
        <w:rPr>
          <w:color w:val="000000"/>
        </w:rPr>
        <w:t>sind</w:t>
      </w:r>
      <w:r w:rsidRPr="004F5FB4">
        <w:rPr>
          <w:color w:val="000000"/>
        </w:rPr>
        <w:t>.</w:t>
      </w:r>
    </w:p>
    <w:p w14:paraId="0BA1D952"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Werfen Sie die Nadelkappe in den Entsorgungsbehälter für scharfe und spitze Gegenstände.</w:t>
      </w:r>
    </w:p>
    <w:p w14:paraId="5B1ACB5F" w14:textId="77777777" w:rsidR="00CB669F" w:rsidRPr="004F5FB4" w:rsidRDefault="00CB669F" w:rsidP="00E23160">
      <w:pPr>
        <w:pStyle w:val="ListParagraph"/>
        <w:ind w:left="562"/>
        <w:contextualSpacing/>
        <w:rPr>
          <w:color w:val="000000"/>
        </w:rPr>
      </w:pPr>
      <w:r w:rsidRPr="004F5FB4">
        <w:rPr>
          <w:b/>
          <w:color w:val="000000"/>
        </w:rPr>
        <w:t>Hinweis:</w:t>
      </w:r>
      <w:r w:rsidRPr="004F5FB4">
        <w:rPr>
          <w:color w:val="000000"/>
        </w:rPr>
        <w:t xml:space="preserve"> Seien Sie vorsichtig bei der Handhabung der Fertigspritze, damit Sie sich nicht versehentlich stechen.</w:t>
      </w:r>
    </w:p>
    <w:p w14:paraId="2DF8D846" w14:textId="77777777" w:rsidR="00CB669F" w:rsidRPr="004F5FB4" w:rsidRDefault="00CB669F" w:rsidP="00982118">
      <w:pPr>
        <w:rPr>
          <w:color w:val="000000"/>
        </w:rPr>
      </w:pPr>
    </w:p>
    <w:p w14:paraId="3E8DCA53" w14:textId="5FB91A5A" w:rsidR="00CB669F" w:rsidRPr="004F5FB4" w:rsidRDefault="00032CD3" w:rsidP="00982118">
      <w:pPr>
        <w:jc w:val="center"/>
        <w:rPr>
          <w:color w:val="000000"/>
        </w:rPr>
      </w:pPr>
      <w:r w:rsidRPr="004F5FB4">
        <w:rPr>
          <w:noProof/>
          <w:color w:val="000000"/>
          <w:lang w:eastAsia="de-DE"/>
        </w:rPr>
        <mc:AlternateContent>
          <mc:Choice Requires="wps">
            <w:drawing>
              <wp:anchor distT="0" distB="0" distL="114300" distR="114300" simplePos="0" relativeHeight="251658292" behindDoc="0" locked="0" layoutInCell="1" allowOverlap="1" wp14:anchorId="1A6599B7" wp14:editId="3BA90F34">
                <wp:simplePos x="0" y="0"/>
                <wp:positionH relativeFrom="column">
                  <wp:posOffset>1532890</wp:posOffset>
                </wp:positionH>
                <wp:positionV relativeFrom="paragraph">
                  <wp:posOffset>94615</wp:posOffset>
                </wp:positionV>
                <wp:extent cx="1290320" cy="276225"/>
                <wp:effectExtent l="0" t="0" r="0" b="635"/>
                <wp:wrapNone/>
                <wp:docPr id="11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7622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7BCD2C" w14:textId="77777777" w:rsidR="008F3710" w:rsidRPr="009A1F4C" w:rsidRDefault="008F3710" w:rsidP="00125931">
                            <w:pPr>
                              <w:rPr>
                                <w:rFonts w:ascii="Arial" w:hAnsi="Arial" w:cs="Arial"/>
                                <w:b/>
                                <w:bCs/>
                                <w:color w:val="FFFFFF"/>
                                <w:sz w:val="20"/>
                                <w:szCs w:val="18"/>
                              </w:rPr>
                            </w:pPr>
                            <w:r>
                              <w:rPr>
                                <w:rFonts w:ascii="Arial" w:hAnsi="Arial" w:cs="Arial"/>
                                <w:b/>
                                <w:bCs/>
                                <w:color w:val="FFFFFF"/>
                                <w:sz w:val="20"/>
                                <w:szCs w:val="18"/>
                              </w:rPr>
                              <w:t>Nadel einstechen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599B7" id="Text Box 146" o:spid="_x0000_s1082" type="#_x0000_t202" style="position:absolute;left:0;text-align:left;margin-left:120.7pt;margin-top:7.45pt;width:101.6pt;height:21.7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" fillcolor="#656666" stroked="f">
                <v:textbox>
                  <w:txbxContent>
                    <w:p w14:paraId="627BCD2C" w14:textId="77777777" w:rsidR="008F3710" w:rsidRPr="009A1F4C" w:rsidRDefault="008F3710" w:rsidP="00125931">
                      <w:pPr>
                        <w:rPr>
                          <w:rFonts w:ascii="Arial" w:hAnsi="Arial" w:cs="Arial"/>
                          <w:b/>
                          <w:bCs/>
                          <w:color w:val="FFFFFF"/>
                          <w:sz w:val="20"/>
                          <w:szCs w:val="18"/>
                        </w:rPr>
                      </w:pPr>
                      <w:r>
                        <w:rPr>
                          <w:rFonts w:ascii="Arial" w:hAnsi="Arial" w:cs="Arial"/>
                          <w:b/>
                          <w:bCs/>
                          <w:color w:val="FFFFFF"/>
                          <w:sz w:val="20"/>
                          <w:szCs w:val="18"/>
                        </w:rPr>
                        <w:t>Nadel einstechen</w:t>
                      </w:r>
                    </w:p>
                  </w:txbxContent>
                </v:textbox>
              </v:shape>
            </w:pict>
          </mc:Fallback>
        </mc:AlternateContent>
      </w:r>
      <w:r w:rsidRPr="004F5FB4">
        <w:rPr>
          <w:noProof/>
          <w:color w:val="000000"/>
        </w:rPr>
        <w:drawing>
          <wp:inline distT="0" distB="0" distL="0" distR="0" wp14:anchorId="5AC1E360" wp14:editId="2E10FC57">
            <wp:extent cx="3829050" cy="2514600"/>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9050" cy="2514600"/>
                    </a:xfrm>
                    <a:prstGeom prst="rect">
                      <a:avLst/>
                    </a:prstGeom>
                    <a:noFill/>
                    <a:ln>
                      <a:noFill/>
                    </a:ln>
                  </pic:spPr>
                </pic:pic>
              </a:graphicData>
            </a:graphic>
          </wp:inline>
        </w:drawing>
      </w:r>
    </w:p>
    <w:p w14:paraId="6097A446" w14:textId="77777777" w:rsidR="00CB669F" w:rsidRPr="004F5FB4" w:rsidRDefault="00CB669F" w:rsidP="00A46931">
      <w:pPr>
        <w:jc w:val="center"/>
        <w:rPr>
          <w:color w:val="000000"/>
          <w:lang w:val="en-GB"/>
        </w:rPr>
      </w:pPr>
    </w:p>
    <w:p w14:paraId="3485EE44" w14:textId="77777777" w:rsidR="00CB669F" w:rsidRPr="004F5FB4" w:rsidRDefault="00CB669F" w:rsidP="00982118">
      <w:pPr>
        <w:rPr>
          <w:color w:val="000000"/>
          <w:lang w:val="en-GB"/>
        </w:rPr>
      </w:pPr>
    </w:p>
    <w:p w14:paraId="11128292"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Greifen Sie ein Stück der gereinigten Hautfläche mit der freien Hand, drücken Sie es behutsam etwas zusammen und halten Sie es fest.</w:t>
      </w:r>
    </w:p>
    <w:p w14:paraId="0E27C2AE"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Stechen Sie die Nadel in einem Winkel von 45 Grad, wie hier gezeigt, vollständig in die Haut. </w:t>
      </w:r>
    </w:p>
    <w:p w14:paraId="2664440F"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Sobald die Nadel eingedrungen ist, lassen Sie die festgehaltene Haut los.</w:t>
      </w:r>
    </w:p>
    <w:p w14:paraId="6F93CBC9" w14:textId="77777777" w:rsidR="00125931" w:rsidRPr="004F5FB4" w:rsidRDefault="00D34DA4" w:rsidP="00687087">
      <w:pPr>
        <w:pStyle w:val="ListParagraph"/>
        <w:tabs>
          <w:tab w:val="left" w:pos="567"/>
        </w:tabs>
        <w:ind w:left="562"/>
        <w:contextualSpacing/>
        <w:rPr>
          <w:color w:val="000000"/>
        </w:rPr>
      </w:pPr>
      <w:r w:rsidRPr="004F5FB4">
        <w:rPr>
          <w:b/>
          <w:color w:val="000000"/>
        </w:rPr>
        <w:tab/>
      </w:r>
      <w:r w:rsidR="00125931" w:rsidRPr="004F5FB4">
        <w:rPr>
          <w:b/>
          <w:color w:val="000000"/>
        </w:rPr>
        <w:t>Wichtig:</w:t>
      </w:r>
      <w:r w:rsidR="00125931" w:rsidRPr="004F5FB4">
        <w:rPr>
          <w:color w:val="000000"/>
        </w:rPr>
        <w:t xml:space="preserve"> Stechen Sie die Nadel </w:t>
      </w:r>
      <w:r w:rsidR="00125931" w:rsidRPr="004F5FB4">
        <w:rPr>
          <w:b/>
          <w:color w:val="000000"/>
        </w:rPr>
        <w:t>nicht erneut</w:t>
      </w:r>
      <w:r w:rsidR="00125931" w:rsidRPr="004F5FB4">
        <w:rPr>
          <w:color w:val="000000"/>
        </w:rPr>
        <w:t xml:space="preserve"> in die Haut Ihres Kindes ein. Wurde die Nadel bereits in die Haut eingestochen und Sie möchten eine andere Injektionsstelle auswählen, müssen Sie </w:t>
      </w:r>
      <w:r w:rsidR="00DC12AB" w:rsidRPr="004F5FB4">
        <w:rPr>
          <w:color w:val="000000"/>
        </w:rPr>
        <w:t>eine neue Fertigspritze verwenden.</w:t>
      </w:r>
    </w:p>
    <w:p w14:paraId="13FDE425" w14:textId="77777777" w:rsidR="00CB669F" w:rsidRPr="004F5FB4" w:rsidRDefault="00CB669F" w:rsidP="00982118">
      <w:pPr>
        <w:rPr>
          <w:color w:val="000000"/>
        </w:rPr>
      </w:pPr>
    </w:p>
    <w:p w14:paraId="0E261851" w14:textId="77777777" w:rsidR="00CB669F" w:rsidRPr="004F5FB4" w:rsidRDefault="00CB669F" w:rsidP="00982118">
      <w:pPr>
        <w:rPr>
          <w:color w:val="000000"/>
        </w:rPr>
      </w:pPr>
    </w:p>
    <w:p w14:paraId="667F89BB" w14:textId="0D141695" w:rsidR="00CB669F" w:rsidRPr="004F5FB4" w:rsidRDefault="00032CD3" w:rsidP="00982118">
      <w:pPr>
        <w:jc w:val="center"/>
        <w:rPr>
          <w:b/>
          <w:color w:val="000000"/>
        </w:rPr>
      </w:pPr>
      <w:r w:rsidRPr="004F5FB4">
        <w:rPr>
          <w:noProof/>
          <w:color w:val="000000"/>
          <w:lang w:eastAsia="de-DE"/>
        </w:rPr>
        <mc:AlternateContent>
          <mc:Choice Requires="wps">
            <w:drawing>
              <wp:anchor distT="0" distB="0" distL="114300" distR="114300" simplePos="0" relativeHeight="251658293" behindDoc="0" locked="0" layoutInCell="1" allowOverlap="1" wp14:anchorId="46C6D3C0" wp14:editId="620FA404">
                <wp:simplePos x="0" y="0"/>
                <wp:positionH relativeFrom="column">
                  <wp:posOffset>1555750</wp:posOffset>
                </wp:positionH>
                <wp:positionV relativeFrom="paragraph">
                  <wp:posOffset>50165</wp:posOffset>
                </wp:positionV>
                <wp:extent cx="1628775" cy="289560"/>
                <wp:effectExtent l="3175" t="2540" r="0" b="3175"/>
                <wp:wrapNone/>
                <wp:docPr id="1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0860B"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Arzneimittel injizieren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6D3C0" id="Text Box 147" o:spid="_x0000_s1083" type="#_x0000_t202" style="position:absolute;left:0;text-align:left;margin-left:122.5pt;margin-top:3.95pt;width:128.25pt;height:22.8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" fillcolor="#656666" stroked="f">
                <v:textbox>
                  <w:txbxContent>
                    <w:p w14:paraId="01A0860B"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Arzneimittel injizieren</w:t>
                      </w:r>
                    </w:p>
                  </w:txbxContent>
                </v:textbox>
              </v:shape>
            </w:pict>
          </mc:Fallback>
        </mc:AlternateContent>
      </w:r>
      <w:r w:rsidRPr="004F5FB4">
        <w:rPr>
          <w:noProof/>
          <w:color w:val="000000"/>
        </w:rPr>
        <w:drawing>
          <wp:inline distT="0" distB="0" distL="0" distR="0" wp14:anchorId="5B3CCC97" wp14:editId="7296BCE7">
            <wp:extent cx="3829050" cy="2495550"/>
            <wp:effectExtent l="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29050" cy="2495550"/>
                    </a:xfrm>
                    <a:prstGeom prst="rect">
                      <a:avLst/>
                    </a:prstGeom>
                    <a:noFill/>
                    <a:ln>
                      <a:noFill/>
                    </a:ln>
                  </pic:spPr>
                </pic:pic>
              </a:graphicData>
            </a:graphic>
          </wp:inline>
        </w:drawing>
      </w:r>
    </w:p>
    <w:p w14:paraId="45D3AE83" w14:textId="77777777" w:rsidR="00CB669F" w:rsidRPr="004F5FB4" w:rsidRDefault="00CB669F" w:rsidP="00A46931">
      <w:pPr>
        <w:pStyle w:val="ListParagraph"/>
        <w:jc w:val="center"/>
        <w:rPr>
          <w:color w:val="000000"/>
          <w:lang w:val="en-GB"/>
        </w:rPr>
      </w:pPr>
    </w:p>
    <w:p w14:paraId="64DAC0CA" w14:textId="77777777" w:rsidR="00CB669F" w:rsidRPr="004F5FB4" w:rsidRDefault="00CB669F" w:rsidP="00982118">
      <w:pPr>
        <w:pStyle w:val="ListParagraph"/>
        <w:rPr>
          <w:color w:val="000000"/>
          <w:lang w:val="en-GB"/>
        </w:rPr>
      </w:pPr>
    </w:p>
    <w:p w14:paraId="3722E01F"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Drücken Sie den Kolben langsam und gleichmäßig ganz herunter, bis die gesamte Flüssigkeit injiziert wurde und der Spritzenzylinder leer ist.</w:t>
      </w:r>
      <w:r w:rsidR="00D4405E" w:rsidRPr="004F5FB4">
        <w:rPr>
          <w:color w:val="000000"/>
        </w:rPr>
        <w:t xml:space="preserve"> Die Verabreichung der Dosis dauert in der Regel 2 bis 5 Sekunden.</w:t>
      </w:r>
    </w:p>
    <w:p w14:paraId="4FFCDDD4" w14:textId="77777777" w:rsidR="00CB669F" w:rsidRPr="004F5FB4" w:rsidRDefault="00CB669F" w:rsidP="00E23160">
      <w:pPr>
        <w:pStyle w:val="ListParagraph"/>
        <w:ind w:left="562"/>
        <w:contextualSpacing/>
        <w:rPr>
          <w:color w:val="000000"/>
        </w:rPr>
      </w:pPr>
      <w:r w:rsidRPr="004F5FB4">
        <w:rPr>
          <w:b/>
          <w:color w:val="000000"/>
        </w:rPr>
        <w:t>Hinweis:</w:t>
      </w:r>
      <w:r w:rsidRPr="004F5FB4">
        <w:rPr>
          <w:color w:val="000000"/>
        </w:rPr>
        <w:t xml:space="preserve"> Es wird empfohlen, die Fertigspritze nach dem vollständigen Herunterdrücken des Kolbens weitere 5 Sekunden lang in der Haut zu lassen.</w:t>
      </w:r>
    </w:p>
    <w:p w14:paraId="32D6DC51"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Ziehen Sie die Nadel in demselben Winkel aus der Haut, in dem Sie sie eingestochen haben</w:t>
      </w:r>
      <w:r w:rsidRPr="004F5FB4">
        <w:rPr>
          <w:bCs/>
          <w:color w:val="000000"/>
        </w:rPr>
        <w:t>.</w:t>
      </w:r>
    </w:p>
    <w:p w14:paraId="77CEE225" w14:textId="77777777" w:rsidR="00CB669F" w:rsidRPr="004F5FB4" w:rsidRDefault="00CB669F" w:rsidP="00982118">
      <w:pPr>
        <w:rPr>
          <w:color w:val="000000"/>
        </w:rPr>
      </w:pPr>
    </w:p>
    <w:p w14:paraId="56C693A9" w14:textId="77777777" w:rsidR="00CB669F" w:rsidRPr="004F5FB4" w:rsidRDefault="00CB669F" w:rsidP="00982118">
      <w:pPr>
        <w:rPr>
          <w:color w:val="000000"/>
        </w:rPr>
      </w:pPr>
    </w:p>
    <w:p w14:paraId="1B1B9BBB" w14:textId="0B11FAB1" w:rsidR="00CB669F" w:rsidRPr="004F5FB4" w:rsidRDefault="00032CD3" w:rsidP="00982118">
      <w:pPr>
        <w:jc w:val="center"/>
        <w:rPr>
          <w:b/>
          <w:color w:val="000000"/>
        </w:rPr>
      </w:pPr>
      <w:r w:rsidRPr="004F5FB4">
        <w:rPr>
          <w:noProof/>
          <w:color w:val="000000"/>
          <w:lang w:eastAsia="de-DE"/>
        </w:rPr>
        <mc:AlternateContent>
          <mc:Choice Requires="wps">
            <w:drawing>
              <wp:anchor distT="0" distB="0" distL="114300" distR="114300" simplePos="0" relativeHeight="251658294" behindDoc="0" locked="0" layoutInCell="1" allowOverlap="1" wp14:anchorId="54B65786" wp14:editId="1818D0E1">
                <wp:simplePos x="0" y="0"/>
                <wp:positionH relativeFrom="column">
                  <wp:posOffset>1499235</wp:posOffset>
                </wp:positionH>
                <wp:positionV relativeFrom="paragraph">
                  <wp:posOffset>93980</wp:posOffset>
                </wp:positionV>
                <wp:extent cx="1457960" cy="241935"/>
                <wp:effectExtent l="3810" t="0" r="0" b="0"/>
                <wp:wrapNone/>
                <wp:docPr id="11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24193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36CFC"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Fertigspritze prüfen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65786" id="Text Box 148" o:spid="_x0000_s1084" type="#_x0000_t202" style="position:absolute;left:0;text-align:left;margin-left:118.05pt;margin-top:7.4pt;width:114.8pt;height:19.0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" fillcolor="#656666" stroked="f">
                <v:textbox>
                  <w:txbxContent>
                    <w:p w14:paraId="53436CFC"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Fertigspritze prüfen</w:t>
                      </w:r>
                    </w:p>
                  </w:txbxContent>
                </v:textbox>
              </v:shape>
            </w:pict>
          </mc:Fallback>
        </mc:AlternateContent>
      </w:r>
      <w:r w:rsidRPr="004F5FB4">
        <w:rPr>
          <w:noProof/>
          <w:color w:val="000000"/>
        </w:rPr>
        <w:drawing>
          <wp:inline distT="0" distB="0" distL="0" distR="0" wp14:anchorId="46819A37" wp14:editId="196E2F98">
            <wp:extent cx="3810000" cy="2524125"/>
            <wp:effectExtent l="0" t="0" r="0" b="0"/>
            <wp:docPr id="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14:paraId="0D32068A" w14:textId="77777777" w:rsidR="00CB669F" w:rsidRPr="004F5FB4" w:rsidRDefault="00CB669F" w:rsidP="002D3A04">
      <w:pPr>
        <w:pStyle w:val="ListParagraph"/>
        <w:jc w:val="center"/>
        <w:rPr>
          <w:color w:val="000000"/>
          <w:lang w:val="en-GB"/>
        </w:rPr>
      </w:pPr>
    </w:p>
    <w:p w14:paraId="5331990C"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Vergewissern Sie sich, dass die Fertigspritze </w:t>
      </w:r>
      <w:r w:rsidR="00921DD2" w:rsidRPr="004F5FB4">
        <w:rPr>
          <w:color w:val="000000"/>
        </w:rPr>
        <w:t xml:space="preserve">Ihres Kindes </w:t>
      </w:r>
      <w:r w:rsidRPr="004F5FB4">
        <w:rPr>
          <w:color w:val="000000"/>
        </w:rPr>
        <w:t>vollständig leer ist.</w:t>
      </w:r>
    </w:p>
    <w:p w14:paraId="30C9550D" w14:textId="77777777" w:rsidR="00CB669F" w:rsidRPr="004F5FB4" w:rsidRDefault="00CB669F" w:rsidP="00E23160">
      <w:pPr>
        <w:pStyle w:val="ListParagraph"/>
        <w:numPr>
          <w:ilvl w:val="0"/>
          <w:numId w:val="35"/>
        </w:numPr>
        <w:ind w:left="562" w:hanging="562"/>
        <w:contextualSpacing/>
        <w:rPr>
          <w:b/>
          <w:color w:val="000000"/>
        </w:rPr>
      </w:pPr>
      <w:r w:rsidRPr="004F5FB4">
        <w:rPr>
          <w:b/>
          <w:color w:val="000000"/>
        </w:rPr>
        <w:t>Stechen Sie dieselbe Nadel niemals erneut in die Haut ein.</w:t>
      </w:r>
    </w:p>
    <w:p w14:paraId="36D09895" w14:textId="77777777" w:rsidR="00CB669F" w:rsidRPr="004F5FB4" w:rsidRDefault="00CB669F" w:rsidP="00E23160">
      <w:pPr>
        <w:pStyle w:val="ListParagraph"/>
        <w:numPr>
          <w:ilvl w:val="0"/>
          <w:numId w:val="35"/>
        </w:numPr>
        <w:ind w:left="562" w:hanging="562"/>
        <w:contextualSpacing/>
        <w:rPr>
          <w:b/>
          <w:color w:val="000000"/>
        </w:rPr>
      </w:pPr>
      <w:r w:rsidRPr="004F5FB4">
        <w:rPr>
          <w:b/>
          <w:color w:val="000000"/>
        </w:rPr>
        <w:t>Versuchen Sie niemals, die Nadelkappe wieder aufzusetzen.</w:t>
      </w:r>
    </w:p>
    <w:p w14:paraId="7B7A6331" w14:textId="77777777" w:rsidR="00CB669F" w:rsidRPr="004F5FB4" w:rsidRDefault="00CB669F" w:rsidP="00E23160">
      <w:pPr>
        <w:pStyle w:val="ListParagraph"/>
        <w:ind w:left="562"/>
        <w:contextualSpacing/>
        <w:rPr>
          <w:color w:val="000000"/>
        </w:rPr>
      </w:pPr>
      <w:r w:rsidRPr="004F5FB4">
        <w:rPr>
          <w:b/>
          <w:color w:val="000000"/>
        </w:rPr>
        <w:lastRenderedPageBreak/>
        <w:t>Hinweis:</w:t>
      </w:r>
      <w:r w:rsidRPr="004F5FB4">
        <w:rPr>
          <w:color w:val="000000"/>
        </w:rPr>
        <w:t xml:space="preserve"> Wenn sich der graue Stopfen nicht in der gezeigten Position befindet, wurde das Arzneimittel </w:t>
      </w:r>
      <w:r w:rsidR="00D4405E" w:rsidRPr="004F5FB4">
        <w:rPr>
          <w:color w:val="000000"/>
        </w:rPr>
        <w:t xml:space="preserve">für Ihr Kind </w:t>
      </w:r>
      <w:r w:rsidRPr="004F5FB4">
        <w:rPr>
          <w:color w:val="000000"/>
        </w:rPr>
        <w:t xml:space="preserve">möglicherweise nicht vollständig injiziert. </w:t>
      </w:r>
      <w:r w:rsidR="00D4405E" w:rsidRPr="004F5FB4">
        <w:rPr>
          <w:color w:val="000000"/>
        </w:rPr>
        <w:t xml:space="preserve">Sprechen </w:t>
      </w:r>
      <w:r w:rsidRPr="004F5FB4">
        <w:rPr>
          <w:color w:val="000000"/>
        </w:rPr>
        <w:t xml:space="preserve">Sie bitte umgehend </w:t>
      </w:r>
      <w:r w:rsidR="00D4405E" w:rsidRPr="004F5FB4">
        <w:rPr>
          <w:color w:val="000000"/>
        </w:rPr>
        <w:t>mit</w:t>
      </w:r>
      <w:r w:rsidRPr="004F5FB4">
        <w:rPr>
          <w:color w:val="000000"/>
        </w:rPr>
        <w:t xml:space="preserve"> </w:t>
      </w:r>
      <w:r w:rsidR="00D4405E" w:rsidRPr="004F5FB4">
        <w:rPr>
          <w:color w:val="000000"/>
        </w:rPr>
        <w:t>dem</w:t>
      </w:r>
      <w:r w:rsidRPr="004F5FB4">
        <w:rPr>
          <w:color w:val="000000"/>
        </w:rPr>
        <w:t xml:space="preserve"> Arzt</w:t>
      </w:r>
      <w:r w:rsidR="00D4405E" w:rsidRPr="004F5FB4">
        <w:rPr>
          <w:color w:val="000000"/>
        </w:rPr>
        <w:t>, medizinischen Fachpersonal</w:t>
      </w:r>
      <w:r w:rsidRPr="004F5FB4">
        <w:rPr>
          <w:color w:val="000000"/>
        </w:rPr>
        <w:t xml:space="preserve"> oder Apotheker</w:t>
      </w:r>
      <w:r w:rsidR="00D4405E" w:rsidRPr="004F5FB4">
        <w:rPr>
          <w:color w:val="000000"/>
        </w:rPr>
        <w:t xml:space="preserve"> Ihres Kindes</w:t>
      </w:r>
      <w:r w:rsidRPr="004F5FB4">
        <w:rPr>
          <w:color w:val="000000"/>
        </w:rPr>
        <w:t>.</w:t>
      </w:r>
    </w:p>
    <w:p w14:paraId="213C518E" w14:textId="77777777" w:rsidR="00CB669F" w:rsidRPr="004F5FB4" w:rsidRDefault="00CB669F" w:rsidP="00E23160">
      <w:pPr>
        <w:pStyle w:val="ListParagraph"/>
        <w:ind w:left="562" w:hanging="562"/>
        <w:contextualSpacing/>
        <w:rPr>
          <w:color w:val="000000"/>
        </w:rPr>
      </w:pPr>
    </w:p>
    <w:p w14:paraId="221166B7" w14:textId="77777777" w:rsidR="00CB669F" w:rsidRPr="004F5FB4" w:rsidRDefault="00CB669F" w:rsidP="00E23160">
      <w:pPr>
        <w:pStyle w:val="ListParagraph"/>
        <w:ind w:left="562" w:hanging="562"/>
        <w:contextualSpacing/>
        <w:rPr>
          <w:color w:val="000000"/>
        </w:rPr>
      </w:pPr>
    </w:p>
    <w:p w14:paraId="109E41D1" w14:textId="785A6CF8" w:rsidR="00CB669F" w:rsidRPr="004F5FB4" w:rsidRDefault="00032CD3" w:rsidP="00982118">
      <w:pPr>
        <w:jc w:val="center"/>
        <w:rPr>
          <w:b/>
          <w:color w:val="000000"/>
        </w:rPr>
      </w:pPr>
      <w:r w:rsidRPr="004F5FB4">
        <w:rPr>
          <w:noProof/>
          <w:color w:val="000000"/>
          <w:lang w:eastAsia="de-DE"/>
        </w:rPr>
        <mc:AlternateContent>
          <mc:Choice Requires="wps">
            <w:drawing>
              <wp:anchor distT="0" distB="0" distL="114300" distR="114300" simplePos="0" relativeHeight="251658295" behindDoc="0" locked="0" layoutInCell="1" allowOverlap="1" wp14:anchorId="7248834C" wp14:editId="18B1CEE2">
                <wp:simplePos x="0" y="0"/>
                <wp:positionH relativeFrom="column">
                  <wp:posOffset>1435735</wp:posOffset>
                </wp:positionH>
                <wp:positionV relativeFrom="paragraph">
                  <wp:posOffset>48260</wp:posOffset>
                </wp:positionV>
                <wp:extent cx="2534920" cy="304800"/>
                <wp:effectExtent l="0" t="635" r="1270" b="0"/>
                <wp:wrapNone/>
                <wp:docPr id="11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030A3"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Entsorgen der verwendeten Spritze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8834C" id="Text Box 149" o:spid="_x0000_s1085" type="#_x0000_t202" style="position:absolute;left:0;text-align:left;margin-left:113.05pt;margin-top:3.8pt;width:199.6pt;height:24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" fillcolor="#656666" stroked="f">
                <v:textbox>
                  <w:txbxContent>
                    <w:p w14:paraId="3BB030A3"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Entsorgen der verwendeten Spritze</w:t>
                      </w:r>
                    </w:p>
                  </w:txbxContent>
                </v:textbox>
              </v:shape>
            </w:pict>
          </mc:Fallback>
        </mc:AlternateContent>
      </w:r>
      <w:r w:rsidRPr="004F5FB4">
        <w:rPr>
          <w:noProof/>
          <w:color w:val="000000"/>
        </w:rPr>
        <w:drawing>
          <wp:inline distT="0" distB="0" distL="0" distR="0" wp14:anchorId="75061641" wp14:editId="256D1CBF">
            <wp:extent cx="3829050" cy="2466975"/>
            <wp:effectExtent l="0" t="0" r="0" b="0"/>
            <wp:docPr id="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9050" cy="2466975"/>
                    </a:xfrm>
                    <a:prstGeom prst="rect">
                      <a:avLst/>
                    </a:prstGeom>
                    <a:noFill/>
                    <a:ln>
                      <a:noFill/>
                    </a:ln>
                  </pic:spPr>
                </pic:pic>
              </a:graphicData>
            </a:graphic>
          </wp:inline>
        </w:drawing>
      </w:r>
    </w:p>
    <w:p w14:paraId="224F9F68" w14:textId="77777777" w:rsidR="00CB669F" w:rsidRPr="004F5FB4" w:rsidRDefault="00CB669F" w:rsidP="002D3A04">
      <w:pPr>
        <w:jc w:val="center"/>
        <w:rPr>
          <w:color w:val="000000"/>
          <w:lang w:val="en-GB"/>
        </w:rPr>
      </w:pPr>
    </w:p>
    <w:p w14:paraId="63A32043" w14:textId="77777777" w:rsidR="00CB669F" w:rsidRPr="004F5FB4" w:rsidRDefault="00CB669F" w:rsidP="00982118">
      <w:pPr>
        <w:rPr>
          <w:color w:val="000000"/>
          <w:lang w:val="en-GB"/>
        </w:rPr>
      </w:pPr>
    </w:p>
    <w:p w14:paraId="04198F1F" w14:textId="77777777" w:rsidR="00CB669F" w:rsidRPr="004F5FB4" w:rsidRDefault="00CB669F" w:rsidP="00E23160">
      <w:pPr>
        <w:pStyle w:val="ListParagraph"/>
        <w:numPr>
          <w:ilvl w:val="0"/>
          <w:numId w:val="37"/>
        </w:numPr>
        <w:ind w:left="562" w:hanging="562"/>
        <w:contextualSpacing/>
        <w:rPr>
          <w:color w:val="000000"/>
        </w:rPr>
      </w:pPr>
      <w:r w:rsidRPr="004F5FB4">
        <w:rPr>
          <w:color w:val="000000"/>
        </w:rPr>
        <w:t xml:space="preserve">Entsorgen Sie die Spritze umgehend gemäß den Anweisungen </w:t>
      </w:r>
      <w:r w:rsidR="00D4405E" w:rsidRPr="004F5FB4">
        <w:rPr>
          <w:color w:val="000000"/>
        </w:rPr>
        <w:t xml:space="preserve">des </w:t>
      </w:r>
      <w:r w:rsidRPr="004F5FB4">
        <w:rPr>
          <w:color w:val="000000"/>
        </w:rPr>
        <w:t>Arztes</w:t>
      </w:r>
      <w:r w:rsidR="00D4405E" w:rsidRPr="004F5FB4">
        <w:rPr>
          <w:color w:val="000000"/>
        </w:rPr>
        <w:t>, medizinischen Fachpersonals</w:t>
      </w:r>
      <w:r w:rsidRPr="004F5FB4">
        <w:rPr>
          <w:color w:val="000000"/>
        </w:rPr>
        <w:t xml:space="preserve"> oder Apothekers </w:t>
      </w:r>
      <w:r w:rsidR="00D4405E" w:rsidRPr="004F5FB4">
        <w:rPr>
          <w:color w:val="000000"/>
        </w:rPr>
        <w:t xml:space="preserve">Ihres Kindes </w:t>
      </w:r>
      <w:r w:rsidRPr="004F5FB4">
        <w:rPr>
          <w:color w:val="000000"/>
        </w:rPr>
        <w:t>und im Einklang mit vor Ort geltenden Gesundheits- und Sicherheitsvorschriften.</w:t>
      </w:r>
    </w:p>
    <w:p w14:paraId="63945780" w14:textId="77777777" w:rsidR="00CB669F" w:rsidRPr="004F5FB4" w:rsidRDefault="00CB669F" w:rsidP="00982118">
      <w:pPr>
        <w:rPr>
          <w:color w:val="000000"/>
        </w:rPr>
      </w:pPr>
    </w:p>
    <w:p w14:paraId="4CEDAF07" w14:textId="77777777" w:rsidR="00CB669F" w:rsidRPr="004F5FB4" w:rsidRDefault="00CB669F" w:rsidP="00982118">
      <w:pPr>
        <w:rPr>
          <w:color w:val="000000"/>
        </w:rPr>
      </w:pPr>
    </w:p>
    <w:p w14:paraId="55607E1A" w14:textId="4E7FBF66" w:rsidR="00CB669F" w:rsidRPr="004F5FB4" w:rsidRDefault="00032CD3" w:rsidP="00982118">
      <w:pPr>
        <w:jc w:val="center"/>
        <w:rPr>
          <w:b/>
          <w:color w:val="000000"/>
        </w:rPr>
      </w:pPr>
      <w:r w:rsidRPr="004F5FB4">
        <w:rPr>
          <w:noProof/>
          <w:color w:val="000000"/>
          <w:lang w:eastAsia="de-DE"/>
        </w:rPr>
        <mc:AlternateContent>
          <mc:Choice Requires="wps">
            <w:drawing>
              <wp:anchor distT="0" distB="0" distL="114300" distR="114300" simplePos="0" relativeHeight="251658296" behindDoc="0" locked="0" layoutInCell="1" allowOverlap="1" wp14:anchorId="62E1EFB8" wp14:editId="36C213D6">
                <wp:simplePos x="0" y="0"/>
                <wp:positionH relativeFrom="column">
                  <wp:posOffset>1435735</wp:posOffset>
                </wp:positionH>
                <wp:positionV relativeFrom="paragraph">
                  <wp:posOffset>96520</wp:posOffset>
                </wp:positionV>
                <wp:extent cx="1553210" cy="290195"/>
                <wp:effectExtent l="0" t="1270" r="1905" b="3810"/>
                <wp:wrapNone/>
                <wp:docPr id="11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9019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510C9D"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Nach der Injektion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1EFB8" id="Text Box 150" o:spid="_x0000_s1086" type="#_x0000_t202" style="position:absolute;left:0;text-align:left;margin-left:113.05pt;margin-top:7.6pt;width:122.3pt;height:22.8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" fillcolor="#656666" stroked="f">
                <v:textbox>
                  <w:txbxContent>
                    <w:p w14:paraId="40510C9D" w14:textId="77777777" w:rsidR="008F3710" w:rsidRPr="009A1F4C" w:rsidRDefault="008F3710" w:rsidP="00D4405E">
                      <w:pPr>
                        <w:rPr>
                          <w:rFonts w:ascii="Arial" w:hAnsi="Arial" w:cs="Arial"/>
                          <w:b/>
                          <w:bCs/>
                          <w:color w:val="FFFFFF"/>
                          <w:sz w:val="20"/>
                          <w:szCs w:val="18"/>
                        </w:rPr>
                      </w:pPr>
                      <w:r>
                        <w:rPr>
                          <w:rFonts w:ascii="Arial" w:hAnsi="Arial" w:cs="Arial"/>
                          <w:b/>
                          <w:bCs/>
                          <w:color w:val="FFFFFF"/>
                          <w:sz w:val="20"/>
                          <w:szCs w:val="18"/>
                        </w:rPr>
                        <w:t>Nach der Injektion</w:t>
                      </w:r>
                    </w:p>
                  </w:txbxContent>
                </v:textbox>
              </v:shape>
            </w:pict>
          </mc:Fallback>
        </mc:AlternateContent>
      </w:r>
      <w:r w:rsidRPr="004F5FB4">
        <w:rPr>
          <w:noProof/>
          <w:color w:val="000000"/>
        </w:rPr>
        <w:drawing>
          <wp:inline distT="0" distB="0" distL="0" distR="0" wp14:anchorId="0590B97F" wp14:editId="7BEC77BB">
            <wp:extent cx="3876675" cy="2505075"/>
            <wp:effectExtent l="0" t="0" r="0" b="0"/>
            <wp:docPr id="2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6675" cy="2505075"/>
                    </a:xfrm>
                    <a:prstGeom prst="rect">
                      <a:avLst/>
                    </a:prstGeom>
                    <a:noFill/>
                    <a:ln>
                      <a:noFill/>
                    </a:ln>
                  </pic:spPr>
                </pic:pic>
              </a:graphicData>
            </a:graphic>
          </wp:inline>
        </w:drawing>
      </w:r>
    </w:p>
    <w:p w14:paraId="35A343EF" w14:textId="77777777" w:rsidR="00CB669F" w:rsidRPr="004F5FB4" w:rsidRDefault="00CB669F" w:rsidP="002D3A04">
      <w:pPr>
        <w:jc w:val="center"/>
        <w:rPr>
          <w:color w:val="000000"/>
          <w:lang w:val="en-GB"/>
        </w:rPr>
      </w:pPr>
    </w:p>
    <w:p w14:paraId="5371E74A" w14:textId="77777777" w:rsidR="00CB669F" w:rsidRPr="004F5FB4" w:rsidRDefault="00CB669F" w:rsidP="00982118">
      <w:pPr>
        <w:rPr>
          <w:color w:val="000000"/>
          <w:lang w:val="en-GB"/>
        </w:rPr>
      </w:pPr>
    </w:p>
    <w:p w14:paraId="53C2D5F4"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Prüfen Sie die Injektionsstelle </w:t>
      </w:r>
      <w:r w:rsidR="00D4405E" w:rsidRPr="004F5FB4">
        <w:rPr>
          <w:color w:val="000000"/>
        </w:rPr>
        <w:t xml:space="preserve">bei Ihrem Kind </w:t>
      </w:r>
      <w:r w:rsidRPr="004F5FB4">
        <w:rPr>
          <w:color w:val="000000"/>
        </w:rPr>
        <w:t xml:space="preserve">sorgfältig. Wenn Blut austritt, drücken Sie ein sauberes Stück Gaze oder einen Wattebausch für einige Sekunden leicht auf die Haut. </w:t>
      </w:r>
    </w:p>
    <w:p w14:paraId="7496C3D6" w14:textId="77777777" w:rsidR="00CB669F" w:rsidRPr="004F5FB4" w:rsidRDefault="00CB669F" w:rsidP="00E23160">
      <w:pPr>
        <w:pStyle w:val="ListParagraph"/>
        <w:numPr>
          <w:ilvl w:val="0"/>
          <w:numId w:val="35"/>
        </w:numPr>
        <w:ind w:left="562" w:hanging="562"/>
        <w:contextualSpacing/>
        <w:rPr>
          <w:color w:val="000000"/>
        </w:rPr>
      </w:pPr>
      <w:r w:rsidRPr="004F5FB4">
        <w:rPr>
          <w:color w:val="000000"/>
        </w:rPr>
        <w:t xml:space="preserve">Einstichstelle </w:t>
      </w:r>
      <w:r w:rsidRPr="004F5FB4">
        <w:rPr>
          <w:b/>
          <w:bCs/>
          <w:color w:val="000000"/>
        </w:rPr>
        <w:t>nicht</w:t>
      </w:r>
      <w:r w:rsidRPr="004F5FB4">
        <w:rPr>
          <w:color w:val="000000"/>
        </w:rPr>
        <w:t xml:space="preserve"> reiben.</w:t>
      </w:r>
    </w:p>
    <w:p w14:paraId="56E3CC8C" w14:textId="77777777" w:rsidR="00CB669F" w:rsidRPr="004F5FB4" w:rsidRDefault="00CB669F" w:rsidP="00E03946">
      <w:pPr>
        <w:pStyle w:val="ListParagraph"/>
        <w:ind w:left="562"/>
        <w:contextualSpacing/>
        <w:rPr>
          <w:color w:val="000000"/>
        </w:rPr>
      </w:pPr>
      <w:r w:rsidRPr="004F5FB4">
        <w:rPr>
          <w:b/>
          <w:color w:val="000000"/>
        </w:rPr>
        <w:t xml:space="preserve">Hinweis: </w:t>
      </w:r>
      <w:r w:rsidRPr="004F5FB4">
        <w:rPr>
          <w:color w:val="000000"/>
        </w:rPr>
        <w:t>Bewahren Sie nicht verwendete Spritzen in der Originalverpackung im Kühlschrank auf.</w:t>
      </w:r>
    </w:p>
    <w:p w14:paraId="7C2AEE99" w14:textId="77777777" w:rsidR="00CB669F" w:rsidRPr="004F5FB4" w:rsidRDefault="00CB669F" w:rsidP="00E23160">
      <w:pPr>
        <w:ind w:left="562" w:hanging="562"/>
        <w:contextualSpacing/>
        <w:rPr>
          <w:color w:val="000000"/>
        </w:rPr>
      </w:pPr>
    </w:p>
    <w:p w14:paraId="16105853" w14:textId="77777777" w:rsidR="00CB669F" w:rsidRPr="004F5FB4" w:rsidRDefault="00CB669F" w:rsidP="00982118">
      <w:pPr>
        <w:rPr>
          <w:color w:val="000000"/>
        </w:rPr>
      </w:pPr>
    </w:p>
    <w:p w14:paraId="0C191BA2" w14:textId="77777777" w:rsidR="00E129C1" w:rsidRPr="004F5FB4" w:rsidRDefault="00E129C1" w:rsidP="00982118">
      <w:pPr>
        <w:rPr>
          <w:color w:val="000000"/>
        </w:rPr>
      </w:pPr>
      <w:r w:rsidRPr="004F5FB4">
        <w:rPr>
          <w:color w:val="000000"/>
        </w:rPr>
        <w:t>Siehe auch</w:t>
      </w:r>
    </w:p>
    <w:p w14:paraId="3A45C129" w14:textId="77777777" w:rsidR="00E129C1" w:rsidRPr="004F5FB4" w:rsidRDefault="00E129C1" w:rsidP="00982118">
      <w:pPr>
        <w:rPr>
          <w:color w:val="000000"/>
        </w:rPr>
      </w:pPr>
      <w:r w:rsidRPr="004F5FB4">
        <w:rPr>
          <w:color w:val="000000"/>
        </w:rPr>
        <w:t>Gebrauchsinformation: Information für Patienten</w:t>
      </w:r>
    </w:p>
    <w:p w14:paraId="21101B49" w14:textId="77777777" w:rsidR="00C46587" w:rsidRPr="004F5FB4" w:rsidRDefault="00E129C1" w:rsidP="00982118">
      <w:pPr>
        <w:jc w:val="center"/>
        <w:rPr>
          <w:b/>
          <w:color w:val="000000"/>
        </w:rPr>
      </w:pPr>
      <w:r w:rsidRPr="004F5FB4">
        <w:rPr>
          <w:color w:val="000000"/>
        </w:rPr>
        <w:br w:type="page"/>
      </w:r>
      <w:r w:rsidRPr="004F5FB4">
        <w:rPr>
          <w:b/>
          <w:color w:val="000000"/>
        </w:rPr>
        <w:lastRenderedPageBreak/>
        <w:t>Gebrauchsinformation: Information für Patienten</w:t>
      </w:r>
    </w:p>
    <w:p w14:paraId="01F38DC0" w14:textId="77777777" w:rsidR="00C46587" w:rsidRPr="004F5FB4" w:rsidRDefault="00C46587" w:rsidP="00982118">
      <w:pPr>
        <w:jc w:val="center"/>
        <w:rPr>
          <w:b/>
          <w:color w:val="000000"/>
        </w:rPr>
      </w:pPr>
    </w:p>
    <w:p w14:paraId="7791A423" w14:textId="77777777" w:rsidR="00C46587" w:rsidRPr="004F5FB4" w:rsidRDefault="006A1144" w:rsidP="00982118">
      <w:pPr>
        <w:jc w:val="center"/>
        <w:rPr>
          <w:b/>
          <w:color w:val="000000"/>
        </w:rPr>
      </w:pPr>
      <w:r w:rsidRPr="004F5FB4">
        <w:rPr>
          <w:b/>
          <w:color w:val="000000"/>
        </w:rPr>
        <w:t>Amsparity 40 mg/0,8 ml Injektionslösung</w:t>
      </w:r>
    </w:p>
    <w:p w14:paraId="2952C50F" w14:textId="77777777" w:rsidR="00C46587" w:rsidRPr="004F5FB4" w:rsidRDefault="00C46587" w:rsidP="00982118">
      <w:pPr>
        <w:jc w:val="center"/>
        <w:rPr>
          <w:color w:val="000000"/>
        </w:rPr>
      </w:pPr>
      <w:r w:rsidRPr="004F5FB4">
        <w:rPr>
          <w:color w:val="000000"/>
        </w:rPr>
        <w:t>Adalimumab</w:t>
      </w:r>
    </w:p>
    <w:p w14:paraId="675EA20B" w14:textId="77777777" w:rsidR="00C46587" w:rsidRPr="004F5FB4" w:rsidRDefault="00C46587" w:rsidP="00982118">
      <w:pPr>
        <w:rPr>
          <w:color w:val="000000"/>
        </w:rPr>
      </w:pPr>
    </w:p>
    <w:p w14:paraId="7FD56300" w14:textId="77777777" w:rsidR="00934A4A" w:rsidRPr="004F5FB4" w:rsidRDefault="00934A4A" w:rsidP="00982118">
      <w:pPr>
        <w:rPr>
          <w:b/>
          <w:color w:val="000000"/>
        </w:rPr>
      </w:pPr>
    </w:p>
    <w:p w14:paraId="3843E8BE" w14:textId="77777777" w:rsidR="00C46587" w:rsidRPr="004F5FB4" w:rsidRDefault="00C46587" w:rsidP="00982118">
      <w:pPr>
        <w:rPr>
          <w:b/>
          <w:color w:val="000000"/>
        </w:rPr>
      </w:pPr>
      <w:r w:rsidRPr="004F5FB4">
        <w:rPr>
          <w:b/>
          <w:color w:val="000000"/>
        </w:rPr>
        <w:t xml:space="preserve">Lesen Sie die gesamte Packungsbeilage sorgfältig durch, bevor Ihr Kind mit der Anwendung dieses Arzneimittels beginnt, denn sie enthält wichtige Informationen. </w:t>
      </w:r>
    </w:p>
    <w:p w14:paraId="204490AD" w14:textId="77777777" w:rsidR="00C46587" w:rsidRPr="004F5FB4" w:rsidRDefault="00C46587" w:rsidP="00982118">
      <w:pPr>
        <w:numPr>
          <w:ilvl w:val="0"/>
          <w:numId w:val="4"/>
        </w:numPr>
        <w:ind w:left="562" w:hanging="562"/>
        <w:rPr>
          <w:color w:val="000000"/>
        </w:rPr>
      </w:pPr>
      <w:r w:rsidRPr="004F5FB4">
        <w:rPr>
          <w:color w:val="000000"/>
        </w:rPr>
        <w:t xml:space="preserve">Heben Sie die Packungsbeilage auf. Vielleicht möchten Sie diese später nochmals lesen. </w:t>
      </w:r>
    </w:p>
    <w:p w14:paraId="016EF38D" w14:textId="77777777" w:rsidR="00C46587" w:rsidRPr="004F5FB4" w:rsidRDefault="00C46587" w:rsidP="00982118">
      <w:pPr>
        <w:numPr>
          <w:ilvl w:val="0"/>
          <w:numId w:val="4"/>
        </w:numPr>
        <w:ind w:left="562" w:hanging="562"/>
        <w:rPr>
          <w:color w:val="000000"/>
        </w:rPr>
      </w:pPr>
      <w:r w:rsidRPr="004F5FB4">
        <w:rPr>
          <w:color w:val="000000"/>
        </w:rPr>
        <w:t xml:space="preserve">Der Arzt Ihres Kindes wird Ihnen auch einen Patientenpass aushändigen, der wichtige Informationen zur Sicherheit enthält, die Sie vor und während der Behandlung Ihres Kindes mit Amsparity beachten sollten. Sie oder Ihr Kind sollten diesen Patientenpass mit sich führen. </w:t>
      </w:r>
    </w:p>
    <w:p w14:paraId="18820C44" w14:textId="77777777" w:rsidR="00C46587" w:rsidRPr="004F5FB4" w:rsidRDefault="00C46587" w:rsidP="00982118">
      <w:pPr>
        <w:numPr>
          <w:ilvl w:val="0"/>
          <w:numId w:val="4"/>
        </w:numPr>
        <w:ind w:left="562" w:hanging="562"/>
        <w:rPr>
          <w:color w:val="000000"/>
        </w:rPr>
      </w:pPr>
      <w:r w:rsidRPr="004F5FB4">
        <w:rPr>
          <w:color w:val="000000"/>
        </w:rPr>
        <w:t>Wenn Sie weitere Fragen haben, wenden Sie sich an den Arzt oder Apotheker Ihres Kindes.</w:t>
      </w:r>
    </w:p>
    <w:p w14:paraId="501D4E57" w14:textId="77777777" w:rsidR="00C46587" w:rsidRPr="004F5FB4" w:rsidRDefault="00C46587" w:rsidP="00982118">
      <w:pPr>
        <w:numPr>
          <w:ilvl w:val="0"/>
          <w:numId w:val="4"/>
        </w:numPr>
        <w:ind w:left="562" w:hanging="562"/>
        <w:rPr>
          <w:color w:val="000000"/>
        </w:rPr>
      </w:pPr>
      <w:r w:rsidRPr="004F5FB4">
        <w:rPr>
          <w:color w:val="000000"/>
        </w:rPr>
        <w:t>Dieses Arzneimittel wurde Ihrem Kind persönlich verschrieben. Geben Sie es nicht an Dritte weiter. Es kann anderen Menschen schaden, auch wenn diese die gleichen Beschwerden haben wie Ihr Kind.</w:t>
      </w:r>
    </w:p>
    <w:p w14:paraId="0F534972" w14:textId="77777777" w:rsidR="00C46587" w:rsidRPr="004F5FB4" w:rsidRDefault="00C46587" w:rsidP="00982118">
      <w:pPr>
        <w:numPr>
          <w:ilvl w:val="0"/>
          <w:numId w:val="4"/>
        </w:numPr>
        <w:ind w:left="562" w:hanging="562"/>
        <w:rPr>
          <w:color w:val="000000"/>
        </w:rPr>
      </w:pPr>
      <w:r w:rsidRPr="004F5FB4">
        <w:rPr>
          <w:color w:val="000000"/>
        </w:rPr>
        <w:t>Wenn Ihr Kind Nebenwirkungen bekommt, wenden Sie sich an den Arzt oder Apotheker Ihres Kindes. Dies gilt auch für Nebenwirkungen, die nicht in dieser Packungsbeilage angegeben sind. Siehe Abschnitt</w:t>
      </w:r>
      <w:r w:rsidR="00A87FE1" w:rsidRPr="004F5FB4">
        <w:rPr>
          <w:color w:val="000000"/>
        </w:rPr>
        <w:t> </w:t>
      </w:r>
      <w:r w:rsidRPr="004F5FB4">
        <w:rPr>
          <w:color w:val="000000"/>
        </w:rPr>
        <w:t xml:space="preserve">4. </w:t>
      </w:r>
    </w:p>
    <w:p w14:paraId="09355084" w14:textId="77777777" w:rsidR="00C46587" w:rsidRPr="004F5FB4" w:rsidRDefault="00C46587" w:rsidP="00982118">
      <w:pPr>
        <w:rPr>
          <w:color w:val="000000"/>
          <w:lang w:val="en-GB"/>
        </w:rPr>
      </w:pPr>
    </w:p>
    <w:p w14:paraId="5D5E90F9" w14:textId="77777777" w:rsidR="00C46587" w:rsidRPr="004F5FB4" w:rsidRDefault="00C46587" w:rsidP="00982118">
      <w:pPr>
        <w:rPr>
          <w:b/>
          <w:color w:val="000000"/>
        </w:rPr>
      </w:pPr>
      <w:r w:rsidRPr="004F5FB4">
        <w:rPr>
          <w:b/>
          <w:color w:val="000000"/>
        </w:rPr>
        <w:t xml:space="preserve">Was in dieser Packungsbeilage steht </w:t>
      </w:r>
    </w:p>
    <w:p w14:paraId="0FEC8311" w14:textId="77777777" w:rsidR="00DB1934" w:rsidRPr="004F5FB4" w:rsidRDefault="00DB1934" w:rsidP="00982118">
      <w:pPr>
        <w:rPr>
          <w:b/>
          <w:color w:val="000000"/>
        </w:rPr>
      </w:pPr>
    </w:p>
    <w:p w14:paraId="7F6CD826" w14:textId="77777777" w:rsidR="00C46587" w:rsidRPr="004F5FB4" w:rsidRDefault="00C46587" w:rsidP="003533D2">
      <w:pPr>
        <w:numPr>
          <w:ilvl w:val="0"/>
          <w:numId w:val="64"/>
        </w:numPr>
        <w:ind w:left="567" w:hanging="567"/>
        <w:rPr>
          <w:color w:val="000000"/>
        </w:rPr>
      </w:pPr>
      <w:r w:rsidRPr="004F5FB4">
        <w:rPr>
          <w:color w:val="000000"/>
        </w:rPr>
        <w:t xml:space="preserve">Was ist Amsparity und wofür wird es angewendet? </w:t>
      </w:r>
    </w:p>
    <w:p w14:paraId="0DAD13C2" w14:textId="77777777" w:rsidR="00C46587" w:rsidRPr="004F5FB4" w:rsidRDefault="00C46587" w:rsidP="003533D2">
      <w:pPr>
        <w:numPr>
          <w:ilvl w:val="0"/>
          <w:numId w:val="64"/>
        </w:numPr>
        <w:ind w:left="567" w:hanging="567"/>
        <w:rPr>
          <w:color w:val="000000"/>
        </w:rPr>
      </w:pPr>
      <w:r w:rsidRPr="004F5FB4">
        <w:rPr>
          <w:color w:val="000000"/>
        </w:rPr>
        <w:t xml:space="preserve">Was sollten Sie vor der Anwendung von Amsparity bei Ihrem Kind beachten? </w:t>
      </w:r>
    </w:p>
    <w:p w14:paraId="43DBA6F5" w14:textId="77777777" w:rsidR="00C46587" w:rsidRPr="004F5FB4" w:rsidRDefault="00C46587" w:rsidP="003533D2">
      <w:pPr>
        <w:numPr>
          <w:ilvl w:val="0"/>
          <w:numId w:val="64"/>
        </w:numPr>
        <w:ind w:left="567" w:hanging="567"/>
        <w:rPr>
          <w:color w:val="000000"/>
        </w:rPr>
      </w:pPr>
      <w:r w:rsidRPr="004F5FB4">
        <w:rPr>
          <w:color w:val="000000"/>
        </w:rPr>
        <w:t xml:space="preserve">Wie ist Amsparity anzuwenden? </w:t>
      </w:r>
    </w:p>
    <w:p w14:paraId="5CA0E8A8" w14:textId="77777777" w:rsidR="00C46587" w:rsidRPr="004F5FB4" w:rsidRDefault="00C46587" w:rsidP="003533D2">
      <w:pPr>
        <w:numPr>
          <w:ilvl w:val="0"/>
          <w:numId w:val="64"/>
        </w:numPr>
        <w:ind w:left="567" w:hanging="567"/>
        <w:rPr>
          <w:color w:val="000000"/>
        </w:rPr>
      </w:pPr>
      <w:r w:rsidRPr="004F5FB4">
        <w:rPr>
          <w:color w:val="000000"/>
        </w:rPr>
        <w:t xml:space="preserve">Welche Nebenwirkungen sind möglich? </w:t>
      </w:r>
    </w:p>
    <w:p w14:paraId="240A6533" w14:textId="77777777" w:rsidR="00C46587" w:rsidRPr="004F5FB4" w:rsidRDefault="00C46587" w:rsidP="003533D2">
      <w:pPr>
        <w:numPr>
          <w:ilvl w:val="0"/>
          <w:numId w:val="64"/>
        </w:numPr>
        <w:ind w:left="567" w:hanging="567"/>
        <w:rPr>
          <w:color w:val="000000"/>
        </w:rPr>
      </w:pPr>
      <w:r w:rsidRPr="004F5FB4">
        <w:rPr>
          <w:color w:val="000000"/>
        </w:rPr>
        <w:t xml:space="preserve">Wie ist Amsparity aufzubewahren? </w:t>
      </w:r>
    </w:p>
    <w:p w14:paraId="3DD92C25" w14:textId="77777777" w:rsidR="00DA2253" w:rsidRPr="004F5FB4" w:rsidRDefault="00C46587" w:rsidP="003533D2">
      <w:pPr>
        <w:numPr>
          <w:ilvl w:val="0"/>
          <w:numId w:val="64"/>
        </w:numPr>
        <w:ind w:left="567" w:hanging="567"/>
        <w:rPr>
          <w:color w:val="000000"/>
        </w:rPr>
      </w:pPr>
      <w:r w:rsidRPr="004F5FB4">
        <w:rPr>
          <w:color w:val="000000"/>
        </w:rPr>
        <w:t>Inhalt der Packung und weitere Informationen</w:t>
      </w:r>
    </w:p>
    <w:p w14:paraId="4F7F6061" w14:textId="77777777" w:rsidR="00C46587" w:rsidRPr="004F5FB4" w:rsidRDefault="00C46587" w:rsidP="00982118">
      <w:pPr>
        <w:rPr>
          <w:color w:val="000000"/>
        </w:rPr>
      </w:pPr>
    </w:p>
    <w:p w14:paraId="64A15A61" w14:textId="77777777" w:rsidR="00C46587" w:rsidRPr="004F5FB4" w:rsidRDefault="00C46587" w:rsidP="00982118">
      <w:pPr>
        <w:rPr>
          <w:color w:val="000000"/>
        </w:rPr>
      </w:pPr>
    </w:p>
    <w:p w14:paraId="1D151FB8" w14:textId="77777777" w:rsidR="00C46587" w:rsidRPr="004F5FB4" w:rsidRDefault="00C46587" w:rsidP="00982118">
      <w:pPr>
        <w:tabs>
          <w:tab w:val="left" w:pos="562"/>
        </w:tabs>
        <w:rPr>
          <w:b/>
          <w:color w:val="000000"/>
        </w:rPr>
      </w:pPr>
      <w:r w:rsidRPr="004F5FB4">
        <w:rPr>
          <w:b/>
          <w:color w:val="000000"/>
        </w:rPr>
        <w:t>1</w:t>
      </w:r>
      <w:r w:rsidR="00DB1934" w:rsidRPr="004F5FB4">
        <w:rPr>
          <w:b/>
          <w:color w:val="000000"/>
        </w:rPr>
        <w:t>.</w:t>
      </w:r>
      <w:r w:rsidRPr="004F5FB4">
        <w:rPr>
          <w:b/>
          <w:color w:val="000000"/>
        </w:rPr>
        <w:tab/>
        <w:t xml:space="preserve">Was ist Amsparity und wofür wird es angewendet? </w:t>
      </w:r>
    </w:p>
    <w:p w14:paraId="4E6E9F93" w14:textId="77777777" w:rsidR="00C46587" w:rsidRPr="004F5FB4" w:rsidRDefault="00C46587" w:rsidP="00982118">
      <w:pPr>
        <w:rPr>
          <w:color w:val="000000"/>
        </w:rPr>
      </w:pPr>
    </w:p>
    <w:p w14:paraId="04EC9A0E" w14:textId="77777777" w:rsidR="00336C36" w:rsidRPr="004F5FB4" w:rsidRDefault="006A1144" w:rsidP="00982118">
      <w:pPr>
        <w:rPr>
          <w:color w:val="000000"/>
        </w:rPr>
      </w:pPr>
      <w:r w:rsidRPr="004F5FB4">
        <w:rPr>
          <w:color w:val="000000"/>
        </w:rPr>
        <w:t xml:space="preserve">Amsparity enthält den Wirkstoff Adalimumab, ein Arzneimittel, das auf das Abwehrsystem </w:t>
      </w:r>
      <w:r w:rsidRPr="004F5FB4">
        <w:rPr>
          <w:i/>
          <w:color w:val="000000"/>
        </w:rPr>
        <w:t>(Immunsystem)</w:t>
      </w:r>
      <w:r w:rsidRPr="004F5FB4">
        <w:rPr>
          <w:color w:val="000000"/>
        </w:rPr>
        <w:t xml:space="preserve"> </w:t>
      </w:r>
      <w:r w:rsidR="00104C1E" w:rsidRPr="004F5FB4">
        <w:rPr>
          <w:color w:val="000000"/>
        </w:rPr>
        <w:t>d</w:t>
      </w:r>
      <w:r w:rsidRPr="004F5FB4">
        <w:rPr>
          <w:color w:val="000000"/>
        </w:rPr>
        <w:t>es Körpers</w:t>
      </w:r>
      <w:r w:rsidR="00104C1E" w:rsidRPr="004F5FB4">
        <w:rPr>
          <w:color w:val="000000"/>
        </w:rPr>
        <w:t xml:space="preserve"> Ihres Kindes</w:t>
      </w:r>
      <w:r w:rsidRPr="004F5FB4">
        <w:rPr>
          <w:color w:val="000000"/>
        </w:rPr>
        <w:t xml:space="preserve"> einwirkt. </w:t>
      </w:r>
    </w:p>
    <w:p w14:paraId="03DEC1CA" w14:textId="77777777" w:rsidR="00336C36" w:rsidRPr="004F5FB4" w:rsidRDefault="00336C36" w:rsidP="00982118">
      <w:pPr>
        <w:rPr>
          <w:color w:val="000000"/>
        </w:rPr>
      </w:pPr>
    </w:p>
    <w:p w14:paraId="13BD066D" w14:textId="77777777" w:rsidR="00336C36" w:rsidRPr="004F5FB4" w:rsidRDefault="006A1144" w:rsidP="00982118">
      <w:pPr>
        <w:rPr>
          <w:color w:val="000000"/>
        </w:rPr>
      </w:pPr>
      <w:r w:rsidRPr="004F5FB4">
        <w:rPr>
          <w:color w:val="000000"/>
        </w:rPr>
        <w:t>Amsparity ist für die Behandlung folgender entzündlicher Erkrankungen vorgesehen:</w:t>
      </w:r>
    </w:p>
    <w:p w14:paraId="55AC453C" w14:textId="77777777" w:rsidR="00336C36" w:rsidRPr="004F5FB4" w:rsidRDefault="00151911" w:rsidP="00982118">
      <w:pPr>
        <w:numPr>
          <w:ilvl w:val="0"/>
          <w:numId w:val="18"/>
        </w:numPr>
        <w:ind w:left="360"/>
        <w:rPr>
          <w:color w:val="000000"/>
        </w:rPr>
      </w:pPr>
      <w:r w:rsidRPr="004F5FB4">
        <w:rPr>
          <w:color w:val="000000"/>
        </w:rPr>
        <w:t>p</w:t>
      </w:r>
      <w:r w:rsidR="00A94D54" w:rsidRPr="004F5FB4">
        <w:rPr>
          <w:color w:val="000000"/>
        </w:rPr>
        <w:t xml:space="preserve">olyartikuläre juvenile idiopathische Arthritis, </w:t>
      </w:r>
    </w:p>
    <w:p w14:paraId="4CE8ED22" w14:textId="77777777" w:rsidR="00336C36" w:rsidRPr="004F5FB4" w:rsidRDefault="00B53A18" w:rsidP="00982118">
      <w:pPr>
        <w:numPr>
          <w:ilvl w:val="0"/>
          <w:numId w:val="18"/>
        </w:numPr>
        <w:ind w:left="360"/>
        <w:rPr>
          <w:color w:val="000000"/>
        </w:rPr>
      </w:pPr>
      <w:r w:rsidRPr="004F5FB4">
        <w:rPr>
          <w:color w:val="000000"/>
        </w:rPr>
        <w:t>Enthesitis-assoziierte Arthritis bei Kindern und Jugendlichen,</w:t>
      </w:r>
    </w:p>
    <w:p w14:paraId="1EDDFF21" w14:textId="77777777" w:rsidR="00336C36" w:rsidRPr="004F5FB4" w:rsidRDefault="00A94D54" w:rsidP="00982118">
      <w:pPr>
        <w:numPr>
          <w:ilvl w:val="0"/>
          <w:numId w:val="18"/>
        </w:numPr>
        <w:ind w:left="360"/>
        <w:rPr>
          <w:color w:val="000000"/>
        </w:rPr>
      </w:pPr>
      <w:r w:rsidRPr="004F5FB4">
        <w:rPr>
          <w:color w:val="000000"/>
        </w:rPr>
        <w:t xml:space="preserve">Plaque-Psoriasis bei Kindern und Jugendlichen, </w:t>
      </w:r>
    </w:p>
    <w:p w14:paraId="45915D4B" w14:textId="77777777" w:rsidR="00336C36" w:rsidRPr="004F5FB4" w:rsidRDefault="00A94D54" w:rsidP="00982118">
      <w:pPr>
        <w:numPr>
          <w:ilvl w:val="0"/>
          <w:numId w:val="18"/>
        </w:numPr>
        <w:ind w:left="360"/>
        <w:rPr>
          <w:color w:val="000000"/>
        </w:rPr>
      </w:pPr>
      <w:r w:rsidRPr="004F5FB4">
        <w:rPr>
          <w:color w:val="000000"/>
        </w:rPr>
        <w:t xml:space="preserve">Hidradenitis suppurativa (Acne inversa) bei Jugendlichen, </w:t>
      </w:r>
    </w:p>
    <w:p w14:paraId="74B4EAF2" w14:textId="77777777" w:rsidR="00336C36" w:rsidRDefault="00A94D54" w:rsidP="00982118">
      <w:pPr>
        <w:numPr>
          <w:ilvl w:val="0"/>
          <w:numId w:val="18"/>
        </w:numPr>
        <w:ind w:left="360"/>
        <w:rPr>
          <w:color w:val="000000"/>
        </w:rPr>
      </w:pPr>
      <w:r w:rsidRPr="004F5FB4">
        <w:rPr>
          <w:color w:val="000000"/>
        </w:rPr>
        <w:t>Morbus Crohn bei Kindern und Jugendlichen,</w:t>
      </w:r>
    </w:p>
    <w:p w14:paraId="5BA64AE9" w14:textId="77777777" w:rsidR="00D45061" w:rsidRPr="004F5FB4" w:rsidRDefault="00D45061" w:rsidP="00982118">
      <w:pPr>
        <w:numPr>
          <w:ilvl w:val="0"/>
          <w:numId w:val="18"/>
        </w:numPr>
        <w:ind w:left="360"/>
        <w:rPr>
          <w:color w:val="000000"/>
        </w:rPr>
      </w:pPr>
      <w:r>
        <w:rPr>
          <w:color w:val="000000"/>
        </w:rPr>
        <w:t>Colitis ulcerosa bei Kindern und Jugendlichen,</w:t>
      </w:r>
    </w:p>
    <w:p w14:paraId="1594B65F" w14:textId="77777777" w:rsidR="00336C36" w:rsidRPr="004F5FB4" w:rsidRDefault="00A94D54" w:rsidP="00982118">
      <w:pPr>
        <w:numPr>
          <w:ilvl w:val="0"/>
          <w:numId w:val="18"/>
        </w:numPr>
        <w:ind w:left="360"/>
        <w:rPr>
          <w:color w:val="000000"/>
        </w:rPr>
      </w:pPr>
      <w:r w:rsidRPr="004F5FB4">
        <w:rPr>
          <w:color w:val="000000"/>
        </w:rPr>
        <w:t xml:space="preserve">Uveitis bei Kindern und Jugendlichen. </w:t>
      </w:r>
    </w:p>
    <w:p w14:paraId="0525194E" w14:textId="77777777" w:rsidR="00336C36" w:rsidRPr="004F5FB4" w:rsidRDefault="00336C36" w:rsidP="00982118">
      <w:pPr>
        <w:rPr>
          <w:color w:val="000000"/>
        </w:rPr>
      </w:pPr>
    </w:p>
    <w:p w14:paraId="7B48810D" w14:textId="77777777" w:rsidR="00A94D54" w:rsidRPr="004F5FB4" w:rsidRDefault="00C46587" w:rsidP="00982118">
      <w:pPr>
        <w:rPr>
          <w:color w:val="000000"/>
        </w:rPr>
      </w:pPr>
      <w:r w:rsidRPr="004F5FB4">
        <w:rPr>
          <w:color w:val="000000"/>
        </w:rPr>
        <w:t xml:space="preserve">Der Wirkstoff von Amsparity, Adalimumab, ist ein monoklonaler Antikörper. Monoklonale Antikörper sind Eiweiße, die sich an ein bestimmtes Ziel im Körper anheften. </w:t>
      </w:r>
    </w:p>
    <w:p w14:paraId="278BC703" w14:textId="77777777" w:rsidR="00A94D54" w:rsidRPr="004F5FB4" w:rsidRDefault="00A94D54" w:rsidP="00982118">
      <w:pPr>
        <w:rPr>
          <w:color w:val="000000"/>
        </w:rPr>
      </w:pPr>
    </w:p>
    <w:p w14:paraId="385E7829" w14:textId="77777777" w:rsidR="00C46587" w:rsidRPr="004F5FB4" w:rsidRDefault="00336C36" w:rsidP="00982118">
      <w:pPr>
        <w:rPr>
          <w:color w:val="000000"/>
        </w:rPr>
      </w:pPr>
      <w:r w:rsidRPr="004F5FB4">
        <w:rPr>
          <w:color w:val="000000"/>
        </w:rPr>
        <w:t xml:space="preserve">Das Ziel von Adalimumab ist das Eiweiß Tumornekrosefaktor-alpha (TNFα). TNFα ist beteiligt an Abwehrreaktionen des Körpers. Bei den oben genannten Erkrankungen ist die Menge an TNFα erhöht. Amsparity heftet sich an TNFα und verringert dadurch die entzündlichen Vorgänge bei diesen Erkrankungen. </w:t>
      </w:r>
    </w:p>
    <w:p w14:paraId="1B348DF8" w14:textId="77777777" w:rsidR="0069483F" w:rsidRPr="004F5FB4" w:rsidRDefault="0069483F" w:rsidP="00982118">
      <w:pPr>
        <w:rPr>
          <w:color w:val="000000"/>
        </w:rPr>
      </w:pPr>
    </w:p>
    <w:p w14:paraId="4A372B19" w14:textId="77777777" w:rsidR="00056D0F" w:rsidRPr="004F5FB4" w:rsidRDefault="00056D0F" w:rsidP="00056D0F">
      <w:pPr>
        <w:keepNext/>
        <w:rPr>
          <w:color w:val="000000"/>
          <w:u w:val="single"/>
        </w:rPr>
      </w:pPr>
      <w:r w:rsidRPr="004F5FB4">
        <w:rPr>
          <w:color w:val="000000"/>
          <w:u w:val="single"/>
        </w:rPr>
        <w:t>Polyartikuläre juvenile idiopathische Arthritis</w:t>
      </w:r>
    </w:p>
    <w:p w14:paraId="417D4D47" w14:textId="77777777" w:rsidR="00056D0F" w:rsidRPr="004F5FB4" w:rsidRDefault="00056D0F" w:rsidP="00056D0F">
      <w:pPr>
        <w:keepNext/>
        <w:rPr>
          <w:color w:val="000000"/>
          <w:u w:val="single"/>
        </w:rPr>
      </w:pPr>
    </w:p>
    <w:p w14:paraId="7F0A658B" w14:textId="77777777" w:rsidR="00056D0F" w:rsidRPr="008419B6" w:rsidRDefault="00056D0F" w:rsidP="00687087">
      <w:pPr>
        <w:rPr>
          <w:color w:val="000000"/>
        </w:rPr>
      </w:pPr>
      <w:r w:rsidRPr="008419B6">
        <w:rPr>
          <w:color w:val="000000"/>
        </w:rPr>
        <w:t>Die polyartikuläre juvenile idiopathische Arthritis ist eine entzündliche Erkrankung der Gelenke, die üblicherweise das erste Mal in der Kindheit auftritt.</w:t>
      </w:r>
    </w:p>
    <w:p w14:paraId="4CE69402" w14:textId="77777777" w:rsidR="00056D0F" w:rsidRPr="008419B6" w:rsidRDefault="00056D0F" w:rsidP="00687087">
      <w:pPr>
        <w:rPr>
          <w:color w:val="000000"/>
        </w:rPr>
      </w:pPr>
    </w:p>
    <w:p w14:paraId="44C8FD26" w14:textId="77777777" w:rsidR="00056D0F" w:rsidRPr="004F5FB4" w:rsidRDefault="00056D0F" w:rsidP="00687087">
      <w:pPr>
        <w:rPr>
          <w:color w:val="000000"/>
          <w:u w:val="single"/>
        </w:rPr>
      </w:pPr>
      <w:r w:rsidRPr="008419B6">
        <w:rPr>
          <w:color w:val="000000"/>
        </w:rPr>
        <w:t>Amsparity wird angewendet, um die polyartikuläre idiopathische Arthritis bei Kindern und Jugendlichen im Alter von 2 bis 17 Jahren zu behandeln. Möglicherweise bekommt Ihr Kind zunächst andere Arzneimittel (Basistherapeutika wie Methotrexat). Wenn diese nicht ausreichend wirken, erhält Ihr Kind Amsparity, um die polyartikuläre juvenile idiopathische Arthritis zu behandeln.</w:t>
      </w:r>
    </w:p>
    <w:p w14:paraId="6DA46E46" w14:textId="77777777" w:rsidR="00056D0F" w:rsidRPr="004F5FB4" w:rsidRDefault="00056D0F" w:rsidP="00687087">
      <w:pPr>
        <w:rPr>
          <w:color w:val="000000"/>
          <w:u w:val="single"/>
        </w:rPr>
      </w:pPr>
    </w:p>
    <w:p w14:paraId="58275A9B" w14:textId="77777777" w:rsidR="00056D0F" w:rsidRPr="004F5FB4" w:rsidRDefault="00056D0F" w:rsidP="00056D0F">
      <w:pPr>
        <w:keepNext/>
        <w:rPr>
          <w:color w:val="000000"/>
          <w:u w:val="single"/>
        </w:rPr>
      </w:pPr>
      <w:r w:rsidRPr="004F5FB4">
        <w:rPr>
          <w:color w:val="000000"/>
          <w:u w:val="single"/>
        </w:rPr>
        <w:t>Enthesitis-assoziierte Arthritis bei Kindern und Jugendlichen</w:t>
      </w:r>
    </w:p>
    <w:p w14:paraId="78CBCACA" w14:textId="77777777" w:rsidR="00056D0F" w:rsidRPr="004F5FB4" w:rsidRDefault="00056D0F" w:rsidP="00056D0F">
      <w:pPr>
        <w:keepNext/>
        <w:rPr>
          <w:color w:val="000000"/>
          <w:u w:val="single"/>
        </w:rPr>
      </w:pPr>
    </w:p>
    <w:p w14:paraId="3D2FA975" w14:textId="77777777" w:rsidR="00056D0F" w:rsidRPr="008419B6" w:rsidRDefault="00056D0F" w:rsidP="00056D0F">
      <w:pPr>
        <w:keepNext/>
        <w:rPr>
          <w:color w:val="000000"/>
        </w:rPr>
      </w:pPr>
      <w:r w:rsidRPr="008419B6">
        <w:rPr>
          <w:color w:val="000000"/>
        </w:rPr>
        <w:t xml:space="preserve">Die Enthesitis-assoziierte Arthritis bei Kindern und Jugendlichen ist eine entzündliche Erkrankung der Gelenke und </w:t>
      </w:r>
      <w:r w:rsidR="004F2C66" w:rsidRPr="008419B6">
        <w:rPr>
          <w:color w:val="000000"/>
        </w:rPr>
        <w:t xml:space="preserve">der </w:t>
      </w:r>
      <w:r w:rsidRPr="008419B6">
        <w:rPr>
          <w:color w:val="000000"/>
        </w:rPr>
        <w:t>Übergänge von Sehnen auf Knochen.</w:t>
      </w:r>
    </w:p>
    <w:p w14:paraId="6884D3EE" w14:textId="77777777" w:rsidR="00056D0F" w:rsidRPr="008419B6" w:rsidRDefault="00056D0F" w:rsidP="00056D0F">
      <w:pPr>
        <w:keepNext/>
        <w:rPr>
          <w:color w:val="000000"/>
        </w:rPr>
      </w:pPr>
    </w:p>
    <w:p w14:paraId="4AC336EA" w14:textId="77777777" w:rsidR="00056D0F" w:rsidRPr="004F5FB4" w:rsidRDefault="00056D0F" w:rsidP="00056D0F">
      <w:pPr>
        <w:keepNext/>
        <w:rPr>
          <w:color w:val="000000"/>
          <w:u w:val="single"/>
        </w:rPr>
      </w:pPr>
      <w:r w:rsidRPr="008419B6">
        <w:rPr>
          <w:color w:val="000000"/>
        </w:rPr>
        <w:t>Amsparity wird angewendet, um Enthesitis-assoziierte Arthritis bei Kindern und Jugendlichen im Alter von 6 bis 17 Jahren zu behandeln. Möglicherweise bekommt Ihr Kind zunächst andere Arzneimittel (Basistherapeutika wie</w:t>
      </w:r>
      <w:r w:rsidRPr="008419B6" w:rsidDel="00183DF2">
        <w:rPr>
          <w:color w:val="000000"/>
        </w:rPr>
        <w:t xml:space="preserve"> </w:t>
      </w:r>
      <w:r w:rsidRPr="008419B6">
        <w:rPr>
          <w:color w:val="000000"/>
        </w:rPr>
        <w:t>Methotrexat). Wenn diese nicht ausreichend wirken, erhält Ihr Kind Amsparity, um die Enthesitis-assoziierte Arthritis zu behandeln.</w:t>
      </w:r>
    </w:p>
    <w:p w14:paraId="3E1E8699" w14:textId="77777777" w:rsidR="00C46587" w:rsidRPr="004F5FB4" w:rsidRDefault="00C46587" w:rsidP="00982118">
      <w:pPr>
        <w:rPr>
          <w:color w:val="000000"/>
        </w:rPr>
      </w:pPr>
    </w:p>
    <w:p w14:paraId="341E8262" w14:textId="77777777" w:rsidR="00C46587" w:rsidRPr="004F5FB4" w:rsidRDefault="00C67026" w:rsidP="00982118">
      <w:pPr>
        <w:keepNext/>
        <w:rPr>
          <w:color w:val="000000"/>
          <w:u w:val="single"/>
        </w:rPr>
      </w:pPr>
      <w:r w:rsidRPr="004F5FB4">
        <w:rPr>
          <w:color w:val="000000"/>
          <w:u w:val="single"/>
        </w:rPr>
        <w:t>Plaque-Psoriasis bei Kindern und Jugendlichen</w:t>
      </w:r>
    </w:p>
    <w:p w14:paraId="117CCB89" w14:textId="77777777" w:rsidR="00C46587" w:rsidRPr="004F5FB4" w:rsidRDefault="00C46587" w:rsidP="00982118">
      <w:pPr>
        <w:keepNext/>
        <w:rPr>
          <w:color w:val="000000"/>
        </w:rPr>
      </w:pPr>
    </w:p>
    <w:p w14:paraId="7B9909C1" w14:textId="77777777" w:rsidR="00C46587" w:rsidRPr="004F5FB4" w:rsidRDefault="00C46587" w:rsidP="00982118">
      <w:pPr>
        <w:rPr>
          <w:color w:val="000000"/>
        </w:rPr>
      </w:pPr>
      <w:r w:rsidRPr="004F5FB4">
        <w:rPr>
          <w:color w:val="000000"/>
        </w:rPr>
        <w:t xml:space="preserve">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vom Nagelbett abheben, was schmerzhaft sein kann. Es wird angenommen, dass die Schuppenflechte durch ein Problem mit dem körpereigenen Abwehrsystem verursacht wird. Dadurch kommt es zu einer vermehrten Produktion von Hautzellen. </w:t>
      </w:r>
    </w:p>
    <w:p w14:paraId="391819CA" w14:textId="77777777" w:rsidR="00C46587" w:rsidRPr="004F5FB4" w:rsidRDefault="00C46587" w:rsidP="00982118">
      <w:pPr>
        <w:rPr>
          <w:color w:val="000000"/>
        </w:rPr>
      </w:pPr>
    </w:p>
    <w:p w14:paraId="6CA22AC7" w14:textId="77777777" w:rsidR="00C46587" w:rsidRPr="004F5FB4" w:rsidRDefault="006A1144" w:rsidP="00982118">
      <w:pPr>
        <w:rPr>
          <w:color w:val="000000"/>
        </w:rPr>
      </w:pPr>
      <w:r w:rsidRPr="004F5FB4">
        <w:rPr>
          <w:color w:val="000000"/>
        </w:rPr>
        <w:t xml:space="preserve">Amsparity wird angewendet, um die schwere chronische Plaque-Psoriasis bei Kindern und Jugendlichen zwischen 4 und 17 Jahren zu behandeln, bei denen Medikamente, die auf die Haut aufgetragen werden, und Behandlungen mit UV-Licht entweder nicht sehr gut gewirkt haben oder nicht geeignet sind. </w:t>
      </w:r>
    </w:p>
    <w:p w14:paraId="245010AD" w14:textId="77777777" w:rsidR="00C46587" w:rsidRPr="004F5FB4" w:rsidRDefault="00C46587" w:rsidP="00982118">
      <w:pPr>
        <w:rPr>
          <w:color w:val="000000"/>
        </w:rPr>
      </w:pPr>
    </w:p>
    <w:p w14:paraId="2E9C8468" w14:textId="77777777" w:rsidR="00C46587" w:rsidRPr="004F5FB4" w:rsidRDefault="00C46587" w:rsidP="00982118">
      <w:pPr>
        <w:rPr>
          <w:color w:val="000000"/>
          <w:u w:val="single"/>
        </w:rPr>
      </w:pPr>
      <w:r w:rsidRPr="004F5FB4">
        <w:rPr>
          <w:color w:val="000000"/>
          <w:u w:val="single"/>
        </w:rPr>
        <w:t xml:space="preserve">Hidradenitis suppurativa </w:t>
      </w:r>
      <w:r w:rsidRPr="004F5FB4">
        <w:rPr>
          <w:i/>
          <w:color w:val="000000"/>
          <w:u w:val="single"/>
        </w:rPr>
        <w:t>(Acne inversa)</w:t>
      </w:r>
      <w:r w:rsidRPr="004F5FB4">
        <w:rPr>
          <w:color w:val="000000"/>
          <w:u w:val="single"/>
        </w:rPr>
        <w:t xml:space="preserve"> bei Jugendlichen</w:t>
      </w:r>
    </w:p>
    <w:p w14:paraId="45904F2A" w14:textId="77777777" w:rsidR="00C46587" w:rsidRPr="004F5FB4" w:rsidRDefault="00C46587" w:rsidP="00982118">
      <w:pPr>
        <w:rPr>
          <w:color w:val="000000"/>
        </w:rPr>
      </w:pPr>
    </w:p>
    <w:p w14:paraId="4C39DFBD" w14:textId="77777777" w:rsidR="00C46587" w:rsidRPr="004F5FB4" w:rsidRDefault="00C46587" w:rsidP="00982118">
      <w:pPr>
        <w:rPr>
          <w:color w:val="000000"/>
        </w:rPr>
      </w:pPr>
      <w:r w:rsidRPr="004F5FB4">
        <w:rPr>
          <w:color w:val="000000"/>
        </w:rPr>
        <w:t xml:space="preserve">Hidradenitis suppurativa (manchmal auch als Acne inversa bezeichnet) ist eine chronische und oft schmerzhafte entzündliche Hauterkrankung. Zu den Beschwerden gehören unter anderem druckempfindliche Knötchen und Eiteransammlungen </w:t>
      </w:r>
      <w:r w:rsidRPr="004F5FB4">
        <w:rPr>
          <w:i/>
          <w:color w:val="000000"/>
        </w:rPr>
        <w:t>(Abszesse)</w:t>
      </w:r>
      <w:r w:rsidRPr="004F5FB4">
        <w:rPr>
          <w:color w:val="000000"/>
        </w:rPr>
        <w:t>, aus denen Eiter austreten kann. Am häufigsten sind bestimmte Bereiche der Haut betroffen, wie z.</w:t>
      </w:r>
      <w:r w:rsidR="00F25D2C" w:rsidRPr="004F5FB4">
        <w:rPr>
          <w:color w:val="000000"/>
        </w:rPr>
        <w:t> </w:t>
      </w:r>
      <w:r w:rsidRPr="004F5FB4">
        <w:rPr>
          <w:color w:val="000000"/>
        </w:rPr>
        <w:t xml:space="preserve">B. unter den Brüsten, unter den Achseln, an den Innenseiten der Oberschenkel, in der Leistengegend und am Gesäß. An den betroffenen Stellen kann es auch zu Vernarbungen kommen. </w:t>
      </w:r>
    </w:p>
    <w:p w14:paraId="63493B90" w14:textId="77777777" w:rsidR="00C46587" w:rsidRPr="004F5FB4" w:rsidRDefault="00C46587" w:rsidP="00982118">
      <w:pPr>
        <w:rPr>
          <w:color w:val="000000"/>
        </w:rPr>
      </w:pPr>
    </w:p>
    <w:p w14:paraId="0B7EDE5B" w14:textId="77777777" w:rsidR="00C46587" w:rsidRPr="004F5FB4" w:rsidRDefault="006A1144" w:rsidP="00982118">
      <w:pPr>
        <w:rPr>
          <w:color w:val="000000"/>
        </w:rPr>
      </w:pPr>
      <w:r w:rsidRPr="004F5FB4">
        <w:rPr>
          <w:color w:val="000000"/>
        </w:rPr>
        <w:t>Amsparity wird zur Behandlung von Hidradenitis suppurativa bei Jugendlichen ab einem Alter von 12</w:t>
      </w:r>
      <w:r w:rsidR="00B00A90" w:rsidRPr="004F5FB4">
        <w:rPr>
          <w:color w:val="000000"/>
        </w:rPr>
        <w:t> </w:t>
      </w:r>
      <w:r w:rsidRPr="004F5FB4">
        <w:rPr>
          <w:color w:val="000000"/>
        </w:rPr>
        <w:t xml:space="preserve">Jahren eingesetzt. Amsparity kann die Anzahl </w:t>
      </w:r>
      <w:r w:rsidR="00104C1E" w:rsidRPr="004F5FB4">
        <w:rPr>
          <w:color w:val="000000"/>
        </w:rPr>
        <w:t>d</w:t>
      </w:r>
      <w:r w:rsidRPr="004F5FB4">
        <w:rPr>
          <w:color w:val="000000"/>
        </w:rPr>
        <w:t xml:space="preserve">er Knötchen und Eiteransammlungen </w:t>
      </w:r>
      <w:r w:rsidR="00104C1E" w:rsidRPr="004F5FB4">
        <w:rPr>
          <w:color w:val="000000"/>
        </w:rPr>
        <w:t xml:space="preserve">bei Ihrem Kind </w:t>
      </w:r>
      <w:r w:rsidRPr="004F5FB4">
        <w:rPr>
          <w:color w:val="000000"/>
        </w:rPr>
        <w:t>verringern und kann die Schmerzen, die oft mit dieser Erkrankung einhergehen, lindern. Möglicherweise bekomm</w:t>
      </w:r>
      <w:r w:rsidR="00104C1E" w:rsidRPr="004F5FB4">
        <w:rPr>
          <w:color w:val="000000"/>
        </w:rPr>
        <w:t>t Ihr Kind</w:t>
      </w:r>
      <w:r w:rsidRPr="004F5FB4">
        <w:rPr>
          <w:color w:val="000000"/>
        </w:rPr>
        <w:t xml:space="preserve"> zunächst andere Arzneimittel. Wenn diese Arzneimittel nicht ausreichend gut wirken, </w:t>
      </w:r>
      <w:r w:rsidR="00104C1E" w:rsidRPr="004F5FB4">
        <w:rPr>
          <w:color w:val="000000"/>
        </w:rPr>
        <w:t>erhält Ihr Kind</w:t>
      </w:r>
      <w:r w:rsidRPr="004F5FB4">
        <w:rPr>
          <w:color w:val="000000"/>
        </w:rPr>
        <w:t xml:space="preserve"> Amsparity. </w:t>
      </w:r>
    </w:p>
    <w:p w14:paraId="1D24F0C6" w14:textId="77777777" w:rsidR="00C46587" w:rsidRPr="004F5FB4" w:rsidRDefault="00C46587" w:rsidP="00982118">
      <w:pPr>
        <w:rPr>
          <w:color w:val="000000"/>
        </w:rPr>
      </w:pPr>
    </w:p>
    <w:p w14:paraId="2D3599BF" w14:textId="77777777" w:rsidR="00B550A1" w:rsidRPr="004F5FB4" w:rsidRDefault="00B550A1" w:rsidP="00982118">
      <w:pPr>
        <w:rPr>
          <w:color w:val="000000"/>
          <w:u w:val="single"/>
        </w:rPr>
      </w:pPr>
      <w:r w:rsidRPr="004F5FB4">
        <w:rPr>
          <w:color w:val="000000"/>
          <w:u w:val="single"/>
        </w:rPr>
        <w:t>Morbus Crohn bei Kindern und Jugendlichen</w:t>
      </w:r>
    </w:p>
    <w:p w14:paraId="7C58089A" w14:textId="77777777" w:rsidR="00B550A1" w:rsidRPr="004F5FB4" w:rsidRDefault="00B550A1" w:rsidP="00982118">
      <w:pPr>
        <w:rPr>
          <w:color w:val="000000"/>
        </w:rPr>
      </w:pPr>
    </w:p>
    <w:p w14:paraId="584F0271" w14:textId="77777777" w:rsidR="00B63A4C" w:rsidRPr="004F5FB4" w:rsidRDefault="00B550A1" w:rsidP="00982118">
      <w:pPr>
        <w:rPr>
          <w:color w:val="000000"/>
        </w:rPr>
      </w:pPr>
      <w:r w:rsidRPr="004F5FB4">
        <w:rPr>
          <w:color w:val="000000"/>
        </w:rPr>
        <w:t>Morbus Crohn ist eine entzündliche Erkrankung des Darms.</w:t>
      </w:r>
    </w:p>
    <w:p w14:paraId="6A1D84B0" w14:textId="77777777" w:rsidR="00B63A4C" w:rsidRPr="004F5FB4" w:rsidRDefault="00B63A4C" w:rsidP="00982118">
      <w:pPr>
        <w:rPr>
          <w:color w:val="000000"/>
        </w:rPr>
      </w:pPr>
    </w:p>
    <w:p w14:paraId="09783366" w14:textId="77777777" w:rsidR="00B63A4C" w:rsidRPr="004F5FB4" w:rsidRDefault="006A1144" w:rsidP="00982118">
      <w:pPr>
        <w:rPr>
          <w:color w:val="000000"/>
        </w:rPr>
      </w:pPr>
      <w:r w:rsidRPr="004F5FB4">
        <w:rPr>
          <w:color w:val="000000"/>
        </w:rPr>
        <w:t>Amsparity wird angewendet zur Behandlung von Morbus Crohn bei Kindern und Jugendlichen zwischen 6 und 17 Jahren.</w:t>
      </w:r>
    </w:p>
    <w:p w14:paraId="63589343" w14:textId="77777777" w:rsidR="00B63A4C" w:rsidRPr="004F5FB4" w:rsidRDefault="00B63A4C" w:rsidP="00982118">
      <w:pPr>
        <w:rPr>
          <w:color w:val="000000"/>
        </w:rPr>
      </w:pPr>
    </w:p>
    <w:p w14:paraId="58166EEB" w14:textId="77777777" w:rsidR="00B550A1" w:rsidRPr="004F5FB4" w:rsidRDefault="00FE7F98" w:rsidP="00982118">
      <w:pPr>
        <w:rPr>
          <w:color w:val="000000"/>
        </w:rPr>
      </w:pPr>
      <w:r w:rsidRPr="004F5FB4">
        <w:rPr>
          <w:color w:val="000000"/>
        </w:rPr>
        <w:t>Wenn Ihr Kind an Morbus Crohn erkrankt ist, wird es zunächst mit anderen Arzneimitteln behandelt. Wenn Ihr Kind nicht ausreichend auf diese Arzneimittel anspricht, erhält es Amsparity, um die Anzeichen und Beschwerden von Morbus Crohn zu vermindern.</w:t>
      </w:r>
    </w:p>
    <w:p w14:paraId="6FAA17B1" w14:textId="77777777" w:rsidR="00B550A1" w:rsidRDefault="00B550A1" w:rsidP="00982118">
      <w:pPr>
        <w:rPr>
          <w:color w:val="000000"/>
        </w:rPr>
      </w:pPr>
    </w:p>
    <w:p w14:paraId="6B5BD7D6" w14:textId="77777777" w:rsidR="00D45061" w:rsidRPr="008419B6" w:rsidRDefault="00D45061" w:rsidP="00D45061">
      <w:pPr>
        <w:rPr>
          <w:color w:val="000000"/>
          <w:u w:val="single"/>
        </w:rPr>
      </w:pPr>
      <w:r w:rsidRPr="008419B6">
        <w:rPr>
          <w:color w:val="000000"/>
          <w:u w:val="single"/>
        </w:rPr>
        <w:t>Colitis ulcerosa bei Kindern und Jugendlichen</w:t>
      </w:r>
    </w:p>
    <w:p w14:paraId="3D74145E" w14:textId="77777777" w:rsidR="00D45061" w:rsidRDefault="00D45061" w:rsidP="00D45061">
      <w:pPr>
        <w:rPr>
          <w:color w:val="000000"/>
        </w:rPr>
      </w:pPr>
    </w:p>
    <w:p w14:paraId="293E3C15" w14:textId="77777777" w:rsidR="00D45061" w:rsidRDefault="00D45061" w:rsidP="00D45061">
      <w:pPr>
        <w:rPr>
          <w:color w:val="000000"/>
        </w:rPr>
      </w:pPr>
      <w:r w:rsidRPr="00D45061">
        <w:rPr>
          <w:color w:val="000000"/>
        </w:rPr>
        <w:t>Colitis ulcerosa ist eine entz</w:t>
      </w:r>
      <w:r w:rsidRPr="00D45061">
        <w:rPr>
          <w:rFonts w:hint="eastAsia"/>
          <w:color w:val="000000"/>
        </w:rPr>
        <w:t>ü</w:t>
      </w:r>
      <w:r w:rsidRPr="00D45061">
        <w:rPr>
          <w:color w:val="000000"/>
        </w:rPr>
        <w:t xml:space="preserve">ndliche Erkrankung des Dickdarms. </w:t>
      </w:r>
      <w:r w:rsidR="00A46DB5">
        <w:rPr>
          <w:color w:val="000000"/>
        </w:rPr>
        <w:t>Amsparity</w:t>
      </w:r>
      <w:r w:rsidRPr="00D45061">
        <w:rPr>
          <w:color w:val="000000"/>
        </w:rPr>
        <w:t xml:space="preserve"> wird angewendet, um</w:t>
      </w:r>
      <w:r>
        <w:rPr>
          <w:color w:val="000000"/>
        </w:rPr>
        <w:t xml:space="preserve"> </w:t>
      </w:r>
      <w:r w:rsidRPr="00D45061">
        <w:rPr>
          <w:color w:val="000000"/>
        </w:rPr>
        <w:t>mittelschwere bis schwere Colitis ulcerosa bei Kindern und Jugendlichen zwischen 6 und 17</w:t>
      </w:r>
      <w:r w:rsidR="00A46DB5">
        <w:rPr>
          <w:color w:val="000000"/>
        </w:rPr>
        <w:t> </w:t>
      </w:r>
      <w:r w:rsidRPr="00D45061">
        <w:rPr>
          <w:color w:val="000000"/>
        </w:rPr>
        <w:t>Jahren</w:t>
      </w:r>
      <w:r>
        <w:rPr>
          <w:color w:val="000000"/>
        </w:rPr>
        <w:t xml:space="preserve"> </w:t>
      </w:r>
      <w:r w:rsidRPr="00D45061">
        <w:rPr>
          <w:color w:val="000000"/>
        </w:rPr>
        <w:t>zu behandeln. M</w:t>
      </w:r>
      <w:r w:rsidRPr="00D45061">
        <w:rPr>
          <w:rFonts w:hint="eastAsia"/>
          <w:color w:val="000000"/>
        </w:rPr>
        <w:t>ö</w:t>
      </w:r>
      <w:r w:rsidRPr="00D45061">
        <w:rPr>
          <w:color w:val="000000"/>
        </w:rPr>
        <w:t>glicherweise bekommt Ihr Kind zun</w:t>
      </w:r>
      <w:r w:rsidRPr="00D45061">
        <w:rPr>
          <w:rFonts w:hint="eastAsia"/>
          <w:color w:val="000000"/>
        </w:rPr>
        <w:t>ä</w:t>
      </w:r>
      <w:r w:rsidRPr="00D45061">
        <w:rPr>
          <w:color w:val="000000"/>
        </w:rPr>
        <w:t>chst andere Arzneimittel. Wenn diese nicht</w:t>
      </w:r>
      <w:r>
        <w:rPr>
          <w:color w:val="000000"/>
        </w:rPr>
        <w:t xml:space="preserve"> </w:t>
      </w:r>
      <w:r w:rsidRPr="00D45061">
        <w:rPr>
          <w:color w:val="000000"/>
        </w:rPr>
        <w:t>ausreichend wirken, erh</w:t>
      </w:r>
      <w:r w:rsidRPr="00D45061">
        <w:rPr>
          <w:rFonts w:hint="eastAsia"/>
          <w:color w:val="000000"/>
        </w:rPr>
        <w:t>ä</w:t>
      </w:r>
      <w:r w:rsidRPr="00D45061">
        <w:rPr>
          <w:color w:val="000000"/>
        </w:rPr>
        <w:t xml:space="preserve">lt Ihr Kind </w:t>
      </w:r>
      <w:r w:rsidR="00A46DB5">
        <w:rPr>
          <w:color w:val="000000"/>
        </w:rPr>
        <w:t>Amsparity</w:t>
      </w:r>
      <w:r w:rsidRPr="00D45061">
        <w:rPr>
          <w:color w:val="000000"/>
        </w:rPr>
        <w:t>, um die Anzeichen und Beschwerden der Erkrankung zu</w:t>
      </w:r>
      <w:r>
        <w:rPr>
          <w:color w:val="000000"/>
        </w:rPr>
        <w:t xml:space="preserve"> </w:t>
      </w:r>
      <w:r w:rsidRPr="00D45061">
        <w:rPr>
          <w:color w:val="000000"/>
        </w:rPr>
        <w:t>vermindern.</w:t>
      </w:r>
    </w:p>
    <w:p w14:paraId="5393B49D" w14:textId="77777777" w:rsidR="00D45061" w:rsidRPr="004F5FB4" w:rsidRDefault="00D45061" w:rsidP="00982118">
      <w:pPr>
        <w:rPr>
          <w:color w:val="000000"/>
        </w:rPr>
      </w:pPr>
    </w:p>
    <w:p w14:paraId="6484D3B5" w14:textId="77777777" w:rsidR="002D5545" w:rsidRPr="004F5FB4" w:rsidRDefault="00B550A1" w:rsidP="00982118">
      <w:pPr>
        <w:rPr>
          <w:color w:val="000000"/>
          <w:u w:val="single"/>
        </w:rPr>
      </w:pPr>
      <w:r w:rsidRPr="004F5FB4">
        <w:rPr>
          <w:color w:val="000000"/>
          <w:u w:val="single"/>
        </w:rPr>
        <w:t>Uveitis bei Kindern und Jugendlichen</w:t>
      </w:r>
    </w:p>
    <w:p w14:paraId="56BABD70" w14:textId="77777777" w:rsidR="00C46587" w:rsidRPr="004F5FB4" w:rsidRDefault="00C46587" w:rsidP="00982118">
      <w:pPr>
        <w:rPr>
          <w:color w:val="000000"/>
        </w:rPr>
      </w:pPr>
    </w:p>
    <w:p w14:paraId="55026719" w14:textId="77777777" w:rsidR="002D5545" w:rsidRPr="004F5FB4" w:rsidRDefault="00C46587" w:rsidP="00982118">
      <w:pPr>
        <w:rPr>
          <w:color w:val="000000"/>
        </w:rPr>
      </w:pPr>
      <w:r w:rsidRPr="004F5FB4">
        <w:rPr>
          <w:color w:val="000000"/>
        </w:rPr>
        <w:t>Die nicht infektiöse Uveitis ist eine entzündliche Erkrankung, die bestimmte Teile des Auges betrifft. Diese Entzündung kann dazu führen, dass man schlechter sieht und/</w:t>
      </w:r>
      <w:r w:rsidR="00192922" w:rsidRPr="004F5FB4">
        <w:rPr>
          <w:color w:val="000000"/>
        </w:rPr>
        <w:t xml:space="preserve"> </w:t>
      </w:r>
      <w:r w:rsidRPr="004F5FB4">
        <w:rPr>
          <w:color w:val="000000"/>
        </w:rPr>
        <w:t>oder dass man Schwebeteile sieht (schwarze Punkte oder Schlieren, die sich durch das Blickfeld bewegen). Amsparity wirkt, indem es diese Entzündung verringert.</w:t>
      </w:r>
    </w:p>
    <w:p w14:paraId="583A1C1F" w14:textId="77777777" w:rsidR="00764B9A" w:rsidRPr="004F5FB4" w:rsidRDefault="00764B9A" w:rsidP="00982118">
      <w:pPr>
        <w:rPr>
          <w:color w:val="000000"/>
        </w:rPr>
      </w:pPr>
    </w:p>
    <w:p w14:paraId="4855BCA2" w14:textId="77777777" w:rsidR="002D5545" w:rsidRPr="004F5FB4" w:rsidRDefault="006A1144" w:rsidP="00982118">
      <w:pPr>
        <w:rPr>
          <w:color w:val="000000"/>
        </w:rPr>
      </w:pPr>
      <w:r w:rsidRPr="004F5FB4">
        <w:rPr>
          <w:color w:val="000000"/>
        </w:rPr>
        <w:t xml:space="preserve">Amsparity wird angewendet zur Behandlung von Kindern </w:t>
      </w:r>
      <w:r w:rsidR="00104C1E" w:rsidRPr="004F5FB4">
        <w:rPr>
          <w:color w:val="000000"/>
        </w:rPr>
        <w:t xml:space="preserve">und Jugendlichen </w:t>
      </w:r>
      <w:r w:rsidRPr="004F5FB4">
        <w:rPr>
          <w:color w:val="000000"/>
        </w:rPr>
        <w:t xml:space="preserve">mit chronischer nicht infektiöser Uveitis ab 2 Jahren mit einer Entzündung im vorderen Bereich des Auges. </w:t>
      </w:r>
    </w:p>
    <w:p w14:paraId="1C3277DB" w14:textId="77777777" w:rsidR="00764B9A" w:rsidRPr="004F5FB4" w:rsidRDefault="00764B9A" w:rsidP="00982118">
      <w:pPr>
        <w:pStyle w:val="BodyText"/>
        <w:widowControl/>
        <w:kinsoku w:val="0"/>
        <w:overflowPunct w:val="0"/>
        <w:ind w:left="0" w:right="354"/>
        <w:rPr>
          <w:color w:val="000000"/>
        </w:rPr>
      </w:pPr>
    </w:p>
    <w:p w14:paraId="572CE0B4" w14:textId="77777777" w:rsidR="00B53A18" w:rsidRPr="004F5FB4" w:rsidRDefault="00B53A18" w:rsidP="00982118">
      <w:pPr>
        <w:pStyle w:val="BodyText"/>
        <w:widowControl/>
        <w:kinsoku w:val="0"/>
        <w:overflowPunct w:val="0"/>
        <w:ind w:left="0" w:right="354"/>
        <w:rPr>
          <w:color w:val="000000"/>
        </w:rPr>
      </w:pPr>
      <w:r w:rsidRPr="004F5FB4">
        <w:rPr>
          <w:color w:val="000000"/>
        </w:rPr>
        <w:t>Möglicherweise bekommt Ihr Kind zunächst andere Arzneimittel. Wenn diese nicht ausreichend wirken, erhält Ihr Kind Amsparity, um die Anzeichen und Beschwerden der Erkrankung zu vermindern.</w:t>
      </w:r>
    </w:p>
    <w:p w14:paraId="6FB5328D" w14:textId="77777777" w:rsidR="00C46587" w:rsidRPr="004F5FB4" w:rsidRDefault="00C46587" w:rsidP="00982118">
      <w:pPr>
        <w:rPr>
          <w:color w:val="000000"/>
        </w:rPr>
      </w:pPr>
    </w:p>
    <w:p w14:paraId="15615146" w14:textId="77777777" w:rsidR="00C46587" w:rsidRPr="004F5FB4" w:rsidRDefault="00C46587" w:rsidP="00982118">
      <w:pPr>
        <w:rPr>
          <w:color w:val="000000"/>
        </w:rPr>
      </w:pPr>
    </w:p>
    <w:p w14:paraId="51779C42" w14:textId="77777777" w:rsidR="00C46587" w:rsidRPr="004F5FB4" w:rsidRDefault="00C46587" w:rsidP="00764B9A">
      <w:pPr>
        <w:keepNext/>
        <w:tabs>
          <w:tab w:val="left" w:pos="562"/>
        </w:tabs>
        <w:rPr>
          <w:b/>
          <w:color w:val="000000"/>
        </w:rPr>
      </w:pPr>
      <w:r w:rsidRPr="004F5FB4">
        <w:rPr>
          <w:b/>
          <w:color w:val="000000"/>
        </w:rPr>
        <w:t>2</w:t>
      </w:r>
      <w:r w:rsidR="00DB1934" w:rsidRPr="004F5FB4">
        <w:rPr>
          <w:b/>
          <w:color w:val="000000"/>
        </w:rPr>
        <w:t>.</w:t>
      </w:r>
      <w:r w:rsidRPr="004F5FB4">
        <w:rPr>
          <w:b/>
          <w:color w:val="000000"/>
        </w:rPr>
        <w:tab/>
        <w:t xml:space="preserve">Was sollten Sie vor der Anwendung von Amsparity bei Ihrem Kind beachten? </w:t>
      </w:r>
    </w:p>
    <w:p w14:paraId="74B261CC" w14:textId="77777777" w:rsidR="00C46587" w:rsidRPr="004F5FB4" w:rsidRDefault="00C46587" w:rsidP="00764B9A">
      <w:pPr>
        <w:keepNext/>
        <w:rPr>
          <w:color w:val="000000"/>
        </w:rPr>
      </w:pPr>
    </w:p>
    <w:p w14:paraId="7A5EB66F" w14:textId="77777777" w:rsidR="00C46587" w:rsidRPr="004F5FB4" w:rsidRDefault="00C46587" w:rsidP="00764B9A">
      <w:pPr>
        <w:keepNext/>
        <w:rPr>
          <w:b/>
          <w:color w:val="000000"/>
        </w:rPr>
      </w:pPr>
      <w:r w:rsidRPr="004F5FB4">
        <w:rPr>
          <w:b/>
          <w:color w:val="000000"/>
        </w:rPr>
        <w:t xml:space="preserve">Amsparity darf nicht angewendet werden, </w:t>
      </w:r>
    </w:p>
    <w:p w14:paraId="1E89ACBF" w14:textId="77777777" w:rsidR="00C46587" w:rsidRPr="004F5FB4" w:rsidRDefault="00C46587" w:rsidP="00764B9A">
      <w:pPr>
        <w:keepNext/>
        <w:rPr>
          <w:color w:val="000000"/>
        </w:rPr>
      </w:pPr>
    </w:p>
    <w:p w14:paraId="22B4EEEF" w14:textId="77777777" w:rsidR="00C46587" w:rsidRPr="004F5FB4" w:rsidRDefault="002E513E"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wenn Ihr Kind allergisch gegen Adalimumab oder einen der in Abschnitt</w:t>
      </w:r>
      <w:r w:rsidR="00A87FE1" w:rsidRPr="004F5FB4">
        <w:rPr>
          <w:color w:val="000000"/>
        </w:rPr>
        <w:t> </w:t>
      </w:r>
      <w:r w:rsidRPr="004F5FB4">
        <w:rPr>
          <w:color w:val="000000"/>
        </w:rPr>
        <w:t>6. genannten sonstigen Bestandteile dieses Arzneimittels ist</w:t>
      </w:r>
      <w:r w:rsidR="00DB1934" w:rsidRPr="004F5FB4">
        <w:rPr>
          <w:color w:val="000000"/>
        </w:rPr>
        <w:t>,</w:t>
      </w:r>
    </w:p>
    <w:p w14:paraId="123F0E9C" w14:textId="77777777" w:rsidR="00C46587" w:rsidRPr="004F5FB4" w:rsidRDefault="00C46587" w:rsidP="00982118">
      <w:pPr>
        <w:rPr>
          <w:color w:val="000000"/>
        </w:rPr>
      </w:pPr>
    </w:p>
    <w:p w14:paraId="18202A9A" w14:textId="77777777" w:rsidR="00C46587" w:rsidRPr="004F5FB4" w:rsidRDefault="002E513E"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Ihr Kind an einer schweren Infektion erkrankt ist, einschließlich Tuberkulose, Blutvergiftung </w:t>
      </w:r>
      <w:r w:rsidRPr="004F5FB4">
        <w:rPr>
          <w:i/>
          <w:color w:val="000000"/>
        </w:rPr>
        <w:t>(Sepsis)</w:t>
      </w:r>
      <w:r w:rsidRPr="004F5FB4">
        <w:rPr>
          <w:color w:val="000000"/>
        </w:rPr>
        <w:t xml:space="preserve"> oder ungewöhnlicher Infektionen, die bei einem geschwächten Immunsystem entstehen </w:t>
      </w:r>
      <w:r w:rsidRPr="004F5FB4">
        <w:rPr>
          <w:i/>
          <w:color w:val="000000"/>
        </w:rPr>
        <w:t>(opportunistische Infektionen)</w:t>
      </w:r>
      <w:r w:rsidRPr="004F5FB4">
        <w:rPr>
          <w:color w:val="000000"/>
        </w:rPr>
        <w:t xml:space="preserve">. Es ist wichtig, dass Sie den Arzt Ihres Kindes informieren, wenn bei Ihrem Kind Anzeichen von Infektionen, z. B. Fieber, Wunden, Abgeschlagenheit, Zahnprobleme, vorliegen (siehe „Warnhinweise und Vorsichtsmaßnahmen“). </w:t>
      </w:r>
    </w:p>
    <w:p w14:paraId="250F04B4" w14:textId="77777777" w:rsidR="00C46587" w:rsidRPr="004F5FB4" w:rsidRDefault="00C46587" w:rsidP="00982118">
      <w:pPr>
        <w:rPr>
          <w:color w:val="000000"/>
        </w:rPr>
      </w:pPr>
    </w:p>
    <w:p w14:paraId="4C342E0E" w14:textId="77777777" w:rsidR="00C46587" w:rsidRPr="004F5FB4" w:rsidRDefault="00DB1934"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w:t>
      </w:r>
      <w:r w:rsidR="002E513E" w:rsidRPr="004F5FB4">
        <w:rPr>
          <w:color w:val="000000"/>
        </w:rPr>
        <w:t xml:space="preserve">enn Ihr Kind an mäßiger bis schwerer Herzschwäche </w:t>
      </w:r>
      <w:r w:rsidR="002E513E" w:rsidRPr="004F5FB4">
        <w:rPr>
          <w:i/>
          <w:color w:val="000000"/>
        </w:rPr>
        <w:t>(Herzinsuffizienz)</w:t>
      </w:r>
      <w:r w:rsidR="002E513E" w:rsidRPr="004F5FB4">
        <w:rPr>
          <w:color w:val="000000"/>
        </w:rPr>
        <w:t xml:space="preserve"> erkrankt ist. Es ist wichtig, dass Sie den Arzt Ihres Kindes informieren, wenn Ihr Kind ernsthafte Herzbeschwerden hatte oder hat (siehe „Warnhinweise und Vorsichtsmaßnahmen“). </w:t>
      </w:r>
    </w:p>
    <w:p w14:paraId="08D79F90" w14:textId="77777777" w:rsidR="00C46587" w:rsidRPr="004F5FB4" w:rsidRDefault="00C46587" w:rsidP="00982118">
      <w:pPr>
        <w:rPr>
          <w:color w:val="000000"/>
        </w:rPr>
      </w:pPr>
    </w:p>
    <w:p w14:paraId="53110DEF" w14:textId="77777777" w:rsidR="00C46587" w:rsidRPr="004F5FB4" w:rsidRDefault="00C46587" w:rsidP="003533D2">
      <w:pPr>
        <w:keepNext/>
        <w:rPr>
          <w:color w:val="000000"/>
        </w:rPr>
      </w:pPr>
      <w:r w:rsidRPr="004F5FB4">
        <w:rPr>
          <w:b/>
          <w:color w:val="000000"/>
        </w:rPr>
        <w:t xml:space="preserve">Warnhinweise und Vorsichtsmaßnahmen </w:t>
      </w:r>
    </w:p>
    <w:p w14:paraId="5050739F" w14:textId="77777777" w:rsidR="00260E03" w:rsidRPr="004F5FB4" w:rsidRDefault="00C46587" w:rsidP="00982118">
      <w:pPr>
        <w:rPr>
          <w:color w:val="000000"/>
        </w:rPr>
      </w:pPr>
      <w:r w:rsidRPr="004F5FB4">
        <w:rPr>
          <w:color w:val="000000"/>
        </w:rPr>
        <w:t>Bitte sprechen Sie mit dem Arzt Ihres Kindes oder dem Apotheker, bevor Ihr Kind Amsparity anwendet.</w:t>
      </w:r>
    </w:p>
    <w:p w14:paraId="397086E2" w14:textId="77777777" w:rsidR="00260E03" w:rsidRPr="004F5FB4" w:rsidRDefault="00260E03" w:rsidP="00982118">
      <w:pPr>
        <w:rPr>
          <w:color w:val="000000"/>
        </w:rPr>
      </w:pPr>
    </w:p>
    <w:p w14:paraId="2CF36A10" w14:textId="77777777" w:rsidR="00260E03" w:rsidRPr="004F5FB4" w:rsidRDefault="00260E03" w:rsidP="00982118">
      <w:pPr>
        <w:pStyle w:val="BodyText"/>
        <w:widowControl/>
        <w:tabs>
          <w:tab w:val="left" w:pos="720"/>
        </w:tabs>
        <w:ind w:left="0" w:right="291"/>
        <w:rPr>
          <w:color w:val="000000"/>
        </w:rPr>
      </w:pPr>
      <w:r w:rsidRPr="004F5FB4">
        <w:rPr>
          <w:color w:val="000000"/>
        </w:rPr>
        <w:t>Es ist wichtig, dass Sie und der Arzt Ihres Kindes den Markennamen und die Chargenbezeichnung des Arzneimittels Ihres Kindes notieren.</w:t>
      </w:r>
    </w:p>
    <w:p w14:paraId="1138B91D" w14:textId="77777777" w:rsidR="00A35350" w:rsidRPr="004F5FB4" w:rsidRDefault="00C46587" w:rsidP="00982118">
      <w:pPr>
        <w:pStyle w:val="BodyText"/>
        <w:widowControl/>
        <w:tabs>
          <w:tab w:val="left" w:pos="720"/>
        </w:tabs>
        <w:ind w:left="0" w:right="291"/>
        <w:rPr>
          <w:color w:val="000000"/>
        </w:rPr>
      </w:pPr>
      <w:r w:rsidRPr="004F5FB4">
        <w:rPr>
          <w:color w:val="000000"/>
        </w:rPr>
        <w:t xml:space="preserve"> </w:t>
      </w:r>
    </w:p>
    <w:p w14:paraId="48224415" w14:textId="77777777" w:rsidR="00C46587" w:rsidRPr="004F5FB4" w:rsidRDefault="00A35350" w:rsidP="00982118">
      <w:pPr>
        <w:pStyle w:val="BodyText"/>
        <w:widowControl/>
        <w:tabs>
          <w:tab w:val="left" w:pos="6480"/>
        </w:tabs>
        <w:kinsoku w:val="0"/>
        <w:overflowPunct w:val="0"/>
        <w:spacing w:line="479" w:lineRule="auto"/>
        <w:ind w:left="0" w:right="2150"/>
        <w:rPr>
          <w:color w:val="000000"/>
        </w:rPr>
      </w:pPr>
      <w:r w:rsidRPr="004F5FB4">
        <w:rPr>
          <w:color w:val="000000"/>
          <w:u w:val="single"/>
        </w:rPr>
        <w:t>Allergische Reaktionen</w:t>
      </w:r>
    </w:p>
    <w:p w14:paraId="659ABC75" w14:textId="77777777" w:rsidR="00C46587" w:rsidRPr="004F5FB4" w:rsidRDefault="00C46587"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Sollten bei Ihrem Kind allergische Reaktionen mit Symptomen wie Engegefühl in der Brust, pfeifende Atemgeräusche, Schwindel, Schwellungen oder Hautausschlag</w:t>
      </w:r>
      <w:r w:rsidR="0003515B" w:rsidRPr="004F5FB4">
        <w:rPr>
          <w:color w:val="000000"/>
        </w:rPr>
        <w:t xml:space="preserve"> auftreten</w:t>
      </w:r>
      <w:r w:rsidRPr="004F5FB4">
        <w:rPr>
          <w:color w:val="000000"/>
        </w:rPr>
        <w:t xml:space="preserve">, spritzen Sie Ihrem Kind kein weiteres Amsparity mehr und setzen Sie sich unverzüglich mit dem Arzt Ihres Kindes in Verbindung, da diese Reaktionen in seltenen Fällen lebensbedrohlich sein können. </w:t>
      </w:r>
    </w:p>
    <w:p w14:paraId="7C3CC4BE" w14:textId="77777777" w:rsidR="00C46587" w:rsidRPr="004F5FB4" w:rsidRDefault="00C46587" w:rsidP="00982118">
      <w:pPr>
        <w:rPr>
          <w:color w:val="000000"/>
        </w:rPr>
      </w:pPr>
    </w:p>
    <w:p w14:paraId="4254B0F9" w14:textId="77777777" w:rsidR="00A35350" w:rsidRPr="004F5FB4" w:rsidRDefault="00A35350" w:rsidP="00982118">
      <w:pPr>
        <w:pStyle w:val="BodyText"/>
        <w:widowControl/>
        <w:kinsoku w:val="0"/>
        <w:overflowPunct w:val="0"/>
        <w:ind w:left="0"/>
        <w:rPr>
          <w:color w:val="000000"/>
        </w:rPr>
      </w:pPr>
      <w:r w:rsidRPr="004F5FB4">
        <w:rPr>
          <w:color w:val="000000"/>
          <w:u w:val="single"/>
        </w:rPr>
        <w:t>Infektionen</w:t>
      </w:r>
    </w:p>
    <w:p w14:paraId="4616155A" w14:textId="77777777" w:rsidR="00A35350" w:rsidRPr="004F5FB4" w:rsidRDefault="00A35350" w:rsidP="00982118">
      <w:pPr>
        <w:rPr>
          <w:color w:val="000000"/>
          <w:lang w:val="en-GB"/>
        </w:rPr>
      </w:pPr>
    </w:p>
    <w:p w14:paraId="583DEFD1" w14:textId="77777777" w:rsidR="00C46587" w:rsidRPr="004F5FB4" w:rsidRDefault="00C46587" w:rsidP="000B37D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Wenn Ihr Kind eine Infektion hat, sprechen Sie mit dem Arzt Ihres Kindes, bevor mit der Amsparity</w:t>
      </w:r>
      <w:r w:rsidRPr="004F5FB4">
        <w:rPr>
          <w:color w:val="000000"/>
        </w:rPr>
        <w:noBreakHyphen/>
        <w:t xml:space="preserve">Behandlung begonnen wird; auch dann, wenn Ihr Kind die Infektion schon länger </w:t>
      </w:r>
      <w:r w:rsidRPr="004F5FB4">
        <w:rPr>
          <w:color w:val="000000"/>
        </w:rPr>
        <w:lastRenderedPageBreak/>
        <w:t xml:space="preserve">hat oder die Infektion örtlich begrenzt ist (z. B. ein Unterschenkelgeschwür). Wenn Sie unsicher sind, fragen Sie den Arzt Ihres Kindes. </w:t>
      </w:r>
    </w:p>
    <w:p w14:paraId="5B2601C3" w14:textId="77777777" w:rsidR="00C46587" w:rsidRPr="004F5FB4" w:rsidRDefault="00C46587" w:rsidP="000B37DD">
      <w:pPr>
        <w:pStyle w:val="BodyText"/>
        <w:widowControl/>
        <w:kinsoku w:val="0"/>
        <w:overflowPunct w:val="0"/>
        <w:autoSpaceDE w:val="0"/>
        <w:autoSpaceDN w:val="0"/>
        <w:adjustRightInd w:val="0"/>
        <w:ind w:left="0"/>
        <w:rPr>
          <w:color w:val="000000"/>
        </w:rPr>
      </w:pPr>
    </w:p>
    <w:p w14:paraId="5C1E71B3" w14:textId="77777777" w:rsidR="00C46587" w:rsidRPr="004F5FB4" w:rsidRDefault="00C46587" w:rsidP="000B37D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Während der Behandlung mit Amsparity kann Ihr Kind leichter an Infektionen erkranken. Dieses Risiko kann sich zusätzlich erhöhen, wenn Ihr Kind Probleme mit seiner Lunge hat. Diese Infektionen können schwerwiegend sein und umfassen Tuberkulose, Infektionen, die durch Viren, Pilze, Parasiten oder Bakterien verursacht werden, oder andere Infektionen, die auftreten, wenn die Widerstandskraft gegenüber Krankheiten vermindert ist (opportunistische Infektionen durch ungewöhnliche infektiöse Organismen), sowie Blutvergiftung </w:t>
      </w:r>
      <w:r w:rsidRPr="004F5FB4">
        <w:rPr>
          <w:i/>
          <w:color w:val="000000"/>
        </w:rPr>
        <w:t>(Sepsis)</w:t>
      </w:r>
      <w:r w:rsidRPr="004F5FB4">
        <w:rPr>
          <w:color w:val="000000"/>
        </w:rPr>
        <w:t xml:space="preserve">. Diese Infektionen können in seltenen Fällen lebensbedrohlich sein. Es ist wichtig, dass Sie den Arzt Ihres Kindes informieren, wenn bei Ihrem Kind Anzeichen wie Fieber, Wunden, Abgeschlagenheit oder Zahnprobleme auftreten. </w:t>
      </w:r>
      <w:r w:rsidR="00F963AF" w:rsidRPr="004F5FB4">
        <w:rPr>
          <w:color w:val="000000"/>
        </w:rPr>
        <w:t>Der</w:t>
      </w:r>
      <w:r w:rsidRPr="004F5FB4">
        <w:rPr>
          <w:color w:val="000000"/>
        </w:rPr>
        <w:t xml:space="preserve"> Arzt</w:t>
      </w:r>
      <w:r w:rsidR="00F963AF" w:rsidRPr="004F5FB4">
        <w:rPr>
          <w:color w:val="000000"/>
        </w:rPr>
        <w:t xml:space="preserve"> Ihres Kindes</w:t>
      </w:r>
      <w:r w:rsidRPr="004F5FB4">
        <w:rPr>
          <w:color w:val="000000"/>
        </w:rPr>
        <w:t xml:space="preserve"> wird Ihnen dann möglicherweise sagen, dass die Anwendung von Amsparity für eine bestimmte Zeit unterbrochen werden soll. </w:t>
      </w:r>
    </w:p>
    <w:p w14:paraId="16FCD465" w14:textId="77777777" w:rsidR="00C46587" w:rsidRPr="004F5FB4" w:rsidRDefault="00C46587" w:rsidP="00982118">
      <w:pPr>
        <w:rPr>
          <w:color w:val="000000"/>
        </w:rPr>
      </w:pPr>
    </w:p>
    <w:p w14:paraId="7C6CDD89" w14:textId="77777777" w:rsidR="004E39F4" w:rsidRPr="004F5FB4" w:rsidRDefault="004E39F4" w:rsidP="00982118">
      <w:pPr>
        <w:pStyle w:val="BodyText"/>
        <w:keepNext/>
        <w:widowControl/>
        <w:kinsoku w:val="0"/>
        <w:overflowPunct w:val="0"/>
        <w:ind w:left="0"/>
        <w:rPr>
          <w:color w:val="000000"/>
        </w:rPr>
      </w:pPr>
      <w:r w:rsidRPr="004F5FB4">
        <w:rPr>
          <w:color w:val="000000"/>
          <w:u w:val="single"/>
        </w:rPr>
        <w:t>Tuberkulose</w:t>
      </w:r>
    </w:p>
    <w:p w14:paraId="777BCF78" w14:textId="77777777" w:rsidR="004E39F4" w:rsidRPr="004F5FB4" w:rsidRDefault="004E39F4" w:rsidP="00982118">
      <w:pPr>
        <w:rPr>
          <w:color w:val="000000"/>
          <w:lang w:val="en-GB"/>
        </w:rPr>
      </w:pPr>
    </w:p>
    <w:p w14:paraId="63D334CA" w14:textId="77777777" w:rsidR="00EF27DD" w:rsidRPr="004F5FB4" w:rsidRDefault="007D4B66" w:rsidP="000B37D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Der</w:t>
      </w:r>
      <w:r w:rsidR="00C46587" w:rsidRPr="004F5FB4">
        <w:rPr>
          <w:color w:val="000000"/>
        </w:rPr>
        <w:t xml:space="preserve"> Arzt </w:t>
      </w:r>
      <w:r w:rsidRPr="004F5FB4">
        <w:rPr>
          <w:color w:val="000000"/>
        </w:rPr>
        <w:t xml:space="preserve">Ihres Kindes </w:t>
      </w:r>
      <w:r w:rsidR="00C46587" w:rsidRPr="004F5FB4">
        <w:rPr>
          <w:color w:val="000000"/>
        </w:rPr>
        <w:t>wird Ihr Kind vor Beginn der Behandlung mit Amsparity auf Anzeichen und Krankheitserscheinungen einer Tuberkulose untersuchen, da bei mit Adalimumab behandelten Patienten von Tuberkulosefällen berichtet wurde. Zu dieser gründlichen Untersuchung gehören die Aufnahme einer umfassenden medizinischen Vorgeschichte und geeignete Tests (z.</w:t>
      </w:r>
      <w:r w:rsidR="00F25D2C" w:rsidRPr="004F5FB4">
        <w:rPr>
          <w:color w:val="000000"/>
        </w:rPr>
        <w:t> </w:t>
      </w:r>
      <w:r w:rsidR="00C46587" w:rsidRPr="004F5FB4">
        <w:rPr>
          <w:color w:val="000000"/>
        </w:rPr>
        <w:t>B. eine Röntgen</w:t>
      </w:r>
      <w:r w:rsidR="00C46587" w:rsidRPr="004F5FB4">
        <w:rPr>
          <w:color w:val="000000"/>
        </w:rPr>
        <w:noBreakHyphen/>
        <w:t>Aufnahme des Brustkorbs und ein Tuberkulintest). Die Durchführung und Ergebnisse dieser Tests sollten in dem Patientenpass Ihres Kindes dokumentiert werden.</w:t>
      </w:r>
    </w:p>
    <w:p w14:paraId="389D0F83" w14:textId="77777777" w:rsidR="0075699B" w:rsidRPr="004F5FB4" w:rsidRDefault="00C46587" w:rsidP="00982118">
      <w:pPr>
        <w:ind w:left="720"/>
        <w:rPr>
          <w:color w:val="000000"/>
        </w:rPr>
      </w:pPr>
      <w:r w:rsidRPr="004F5FB4">
        <w:rPr>
          <w:color w:val="000000"/>
        </w:rPr>
        <w:t xml:space="preserve"> </w:t>
      </w:r>
    </w:p>
    <w:p w14:paraId="7C68DE2B" w14:textId="77777777" w:rsidR="0075699B" w:rsidRPr="004F5FB4" w:rsidRDefault="00C46587" w:rsidP="000B37DD">
      <w:pPr>
        <w:pStyle w:val="BodyText"/>
        <w:widowControl/>
        <w:numPr>
          <w:ilvl w:val="0"/>
          <w:numId w:val="6"/>
        </w:numPr>
        <w:kinsoku w:val="0"/>
        <w:overflowPunct w:val="0"/>
        <w:autoSpaceDE w:val="0"/>
        <w:autoSpaceDN w:val="0"/>
        <w:adjustRightInd w:val="0"/>
        <w:ind w:left="562" w:hanging="562"/>
        <w:rPr>
          <w:color w:val="000000"/>
        </w:rPr>
      </w:pPr>
      <w:r w:rsidRPr="004F5FB4">
        <w:rPr>
          <w:color w:val="000000"/>
        </w:rPr>
        <w:t xml:space="preserve">Es ist sehr wichtig, dass Sie </w:t>
      </w:r>
      <w:r w:rsidR="007D4B66" w:rsidRPr="004F5FB4">
        <w:rPr>
          <w:color w:val="000000"/>
        </w:rPr>
        <w:t>d</w:t>
      </w:r>
      <w:r w:rsidRPr="004F5FB4">
        <w:rPr>
          <w:color w:val="000000"/>
        </w:rPr>
        <w:t>em Arzt</w:t>
      </w:r>
      <w:r w:rsidR="007D4B66" w:rsidRPr="004F5FB4">
        <w:rPr>
          <w:color w:val="000000"/>
        </w:rPr>
        <w:t xml:space="preserve"> Ihres Kindes</w:t>
      </w:r>
      <w:r w:rsidRPr="004F5FB4">
        <w:rPr>
          <w:color w:val="000000"/>
        </w:rPr>
        <w:t xml:space="preserve"> mitteilen, wenn Ihr Kind jemals Tuberkulose hatte oder wenn es engen Kontakt mit jemandem hatte, der Tuberkulose hatte. Wenn Ihr Kind eine aktive Tuberkulose hat, darf Amsparity nicht angewendet werden.</w:t>
      </w:r>
    </w:p>
    <w:p w14:paraId="5E1FFFB2" w14:textId="77777777" w:rsidR="00EF27DD" w:rsidRPr="004F5FB4" w:rsidRDefault="00EF27DD" w:rsidP="00982118">
      <w:pPr>
        <w:pStyle w:val="BodyText"/>
        <w:widowControl/>
        <w:tabs>
          <w:tab w:val="left" w:pos="720"/>
        </w:tabs>
        <w:kinsoku w:val="0"/>
        <w:overflowPunct w:val="0"/>
        <w:autoSpaceDE w:val="0"/>
        <w:autoSpaceDN w:val="0"/>
        <w:adjustRightInd w:val="0"/>
        <w:ind w:left="720" w:right="142"/>
        <w:rPr>
          <w:color w:val="000000"/>
        </w:rPr>
      </w:pPr>
    </w:p>
    <w:p w14:paraId="0CA1350C" w14:textId="77777777" w:rsidR="0075699B" w:rsidRPr="004F5FB4" w:rsidRDefault="00C46587" w:rsidP="000B37DD">
      <w:pPr>
        <w:numPr>
          <w:ilvl w:val="0"/>
          <w:numId w:val="6"/>
        </w:numPr>
        <w:kinsoku w:val="0"/>
        <w:overflowPunct w:val="0"/>
        <w:autoSpaceDE w:val="0"/>
        <w:autoSpaceDN w:val="0"/>
        <w:adjustRightInd w:val="0"/>
        <w:ind w:left="562" w:hanging="562"/>
        <w:rPr>
          <w:color w:val="000000"/>
        </w:rPr>
      </w:pPr>
      <w:r w:rsidRPr="004F5FB4">
        <w:rPr>
          <w:color w:val="000000"/>
        </w:rPr>
        <w:t xml:space="preserve">Tuberkulose kann sich während der Behandlung entwickeln, sogar dann, wenn Ihr Kind eine Behandlung zur Vorbeugung gegen Tuberkulose bekommen hat. </w:t>
      </w:r>
    </w:p>
    <w:p w14:paraId="1F7CB79F" w14:textId="77777777" w:rsidR="00EF27DD" w:rsidRPr="004F5FB4" w:rsidRDefault="00EF27DD" w:rsidP="00982118">
      <w:pPr>
        <w:ind w:left="720"/>
        <w:rPr>
          <w:color w:val="000000"/>
        </w:rPr>
      </w:pPr>
    </w:p>
    <w:p w14:paraId="0E9D1353" w14:textId="77777777" w:rsidR="00C46587" w:rsidRPr="004F5FB4" w:rsidRDefault="00C46587" w:rsidP="000B37DD">
      <w:pPr>
        <w:numPr>
          <w:ilvl w:val="0"/>
          <w:numId w:val="6"/>
        </w:numPr>
        <w:kinsoku w:val="0"/>
        <w:overflowPunct w:val="0"/>
        <w:autoSpaceDE w:val="0"/>
        <w:autoSpaceDN w:val="0"/>
        <w:adjustRightInd w:val="0"/>
        <w:ind w:left="562" w:hanging="562"/>
        <w:rPr>
          <w:color w:val="000000"/>
        </w:rPr>
      </w:pPr>
      <w:r w:rsidRPr="004F5FB4">
        <w:rPr>
          <w:color w:val="000000"/>
        </w:rPr>
        <w:t>Benachrichtigen Sie unverzüglich den Arzt Ihres Kindes, wenn bei Ihrem Kind Anzeichen einer Tuberkulose oder einer anderen Infektion während oder nach der Behandlung auftreten. Anzeichen einer Tuberkulose können z.</w:t>
      </w:r>
      <w:r w:rsidR="003D72F8" w:rsidRPr="004F5FB4">
        <w:rPr>
          <w:color w:val="000000"/>
        </w:rPr>
        <w:t> </w:t>
      </w:r>
      <w:r w:rsidRPr="004F5FB4">
        <w:rPr>
          <w:color w:val="000000"/>
        </w:rPr>
        <w:t xml:space="preserve">B. sein: anhaltender Husten, Gewichtsverlust, das Gefühl, keine Energie zu haben, leichtes Fieber. </w:t>
      </w:r>
    </w:p>
    <w:p w14:paraId="3AFB1259" w14:textId="77777777" w:rsidR="00C46587" w:rsidRPr="004F5FB4" w:rsidRDefault="00C46587" w:rsidP="00982118">
      <w:pPr>
        <w:rPr>
          <w:color w:val="000000"/>
        </w:rPr>
      </w:pPr>
    </w:p>
    <w:p w14:paraId="4CFBA6D7" w14:textId="77777777" w:rsidR="0075699B" w:rsidRPr="004F5FB4" w:rsidRDefault="0075699B" w:rsidP="00982118">
      <w:pPr>
        <w:keepNext/>
        <w:rPr>
          <w:color w:val="000000"/>
          <w:u w:val="single"/>
        </w:rPr>
      </w:pPr>
      <w:r w:rsidRPr="004F5FB4">
        <w:rPr>
          <w:color w:val="000000"/>
          <w:u w:val="single"/>
        </w:rPr>
        <w:t>Reisen/</w:t>
      </w:r>
      <w:r w:rsidR="003D72F8" w:rsidRPr="004F5FB4">
        <w:rPr>
          <w:color w:val="000000"/>
          <w:u w:val="single"/>
        </w:rPr>
        <w:t xml:space="preserve"> </w:t>
      </w:r>
      <w:r w:rsidRPr="004F5FB4">
        <w:rPr>
          <w:color w:val="000000"/>
          <w:u w:val="single"/>
        </w:rPr>
        <w:t>wiederkehrende Infektionen</w:t>
      </w:r>
    </w:p>
    <w:p w14:paraId="6D3C5D05" w14:textId="77777777" w:rsidR="0075699B" w:rsidRPr="004F5FB4" w:rsidRDefault="0075699B" w:rsidP="00982118">
      <w:pPr>
        <w:rPr>
          <w:color w:val="000000"/>
          <w:lang w:val="en-GB"/>
        </w:rPr>
      </w:pPr>
    </w:p>
    <w:p w14:paraId="3FC97DA1" w14:textId="77777777" w:rsidR="00C46587" w:rsidRPr="004F5FB4" w:rsidRDefault="008B6BAC" w:rsidP="00AA4681">
      <w:pPr>
        <w:numPr>
          <w:ilvl w:val="0"/>
          <w:numId w:val="6"/>
        </w:numPr>
        <w:ind w:left="562" w:hanging="562"/>
        <w:rPr>
          <w:color w:val="000000"/>
        </w:rPr>
      </w:pPr>
      <w:r w:rsidRPr="004F5FB4">
        <w:rPr>
          <w:color w:val="000000"/>
        </w:rPr>
        <w:t xml:space="preserve">Informieren Sie den Arzt Ihres Kindes, wenn Ihr Kind in Regionen gelebt hat oder gereist ist, in denen Pilzinfektionen häufig vorkommen (z. B. </w:t>
      </w:r>
      <w:r w:rsidRPr="004F5FB4">
        <w:rPr>
          <w:i/>
          <w:color w:val="000000"/>
        </w:rPr>
        <w:t>Histoplasmose, Kokzidioidomykose</w:t>
      </w:r>
      <w:r w:rsidRPr="004F5FB4">
        <w:rPr>
          <w:color w:val="000000"/>
        </w:rPr>
        <w:t xml:space="preserve"> oder </w:t>
      </w:r>
      <w:r w:rsidRPr="004F5FB4">
        <w:rPr>
          <w:i/>
          <w:color w:val="000000"/>
        </w:rPr>
        <w:t>Blastomykose</w:t>
      </w:r>
      <w:r w:rsidRPr="004F5FB4">
        <w:rPr>
          <w:color w:val="000000"/>
        </w:rPr>
        <w:t xml:space="preserve">). </w:t>
      </w:r>
    </w:p>
    <w:p w14:paraId="2FE56A39" w14:textId="77777777" w:rsidR="00C46587" w:rsidRPr="004F5FB4" w:rsidRDefault="00C46587" w:rsidP="00AA4681">
      <w:pPr>
        <w:ind w:left="562" w:hanging="562"/>
        <w:rPr>
          <w:color w:val="000000"/>
        </w:rPr>
      </w:pPr>
    </w:p>
    <w:p w14:paraId="0F28D34B" w14:textId="77777777" w:rsidR="00C46587" w:rsidRPr="004F5FB4" w:rsidRDefault="0075699B" w:rsidP="00AA4681">
      <w:pPr>
        <w:numPr>
          <w:ilvl w:val="0"/>
          <w:numId w:val="6"/>
        </w:numPr>
        <w:ind w:left="562" w:hanging="562"/>
        <w:rPr>
          <w:color w:val="000000"/>
        </w:rPr>
      </w:pPr>
      <w:r w:rsidRPr="004F5FB4">
        <w:rPr>
          <w:color w:val="000000"/>
        </w:rPr>
        <w:t xml:space="preserve">Informieren Sie den Arzt Ihres Kindes, wenn Ihr Kind in der Vergangenheit Infektionen gehabt hat, die immer wieder aufgetreten sind, oder wenn es andere Krankheiten gehabt hat, die das Risiko einer Infektion erhöhen. </w:t>
      </w:r>
    </w:p>
    <w:p w14:paraId="2C3E9BC5" w14:textId="77777777" w:rsidR="008B6BAC" w:rsidRPr="004F5FB4" w:rsidRDefault="008B6BAC" w:rsidP="00AA4681">
      <w:pPr>
        <w:ind w:left="562" w:hanging="562"/>
        <w:rPr>
          <w:color w:val="000000"/>
        </w:rPr>
      </w:pPr>
    </w:p>
    <w:p w14:paraId="78EA9EE4" w14:textId="77777777" w:rsidR="0075699B" w:rsidRPr="004F5FB4" w:rsidRDefault="00260A57" w:rsidP="00AA4681">
      <w:pPr>
        <w:numPr>
          <w:ilvl w:val="0"/>
          <w:numId w:val="6"/>
        </w:numPr>
        <w:ind w:left="562" w:hanging="562"/>
        <w:rPr>
          <w:color w:val="000000"/>
        </w:rPr>
      </w:pPr>
      <w:r w:rsidRPr="004F5FB4">
        <w:rPr>
          <w:color w:val="000000"/>
        </w:rPr>
        <w:t xml:space="preserve">Sie und der Arzt Ihres Kindes sollten daher besonders auf Anzeichen einer Infektion achten, während Ihr Kind mit Amsparity behandelt wird. Es ist wichtig, dass Sie den Arzt Ihres Kindes informieren, wenn bei Ihrem Kind Anzeichen von Infektionen wie Fieber, Wunden, Gefühl der Müdigkeit oder Zahnprobleme auftreten. </w:t>
      </w:r>
    </w:p>
    <w:p w14:paraId="5BDE9839" w14:textId="77777777" w:rsidR="00C46587" w:rsidRPr="004F5FB4" w:rsidRDefault="00C46587" w:rsidP="00AA4681">
      <w:pPr>
        <w:ind w:left="562" w:hanging="562"/>
        <w:rPr>
          <w:color w:val="000000"/>
        </w:rPr>
      </w:pPr>
    </w:p>
    <w:p w14:paraId="0582A53E" w14:textId="77777777" w:rsidR="0075699B" w:rsidRPr="004F5FB4" w:rsidRDefault="0075699B" w:rsidP="00982118">
      <w:pPr>
        <w:pStyle w:val="BodyText"/>
        <w:widowControl/>
        <w:kinsoku w:val="0"/>
        <w:overflowPunct w:val="0"/>
        <w:ind w:left="0" w:right="250"/>
        <w:rPr>
          <w:color w:val="000000"/>
        </w:rPr>
      </w:pPr>
      <w:r w:rsidRPr="004F5FB4">
        <w:rPr>
          <w:color w:val="000000"/>
          <w:u w:val="single"/>
        </w:rPr>
        <w:t>Hepatitis B</w:t>
      </w:r>
    </w:p>
    <w:p w14:paraId="0009E989" w14:textId="77777777" w:rsidR="0075699B" w:rsidRPr="004F5FB4" w:rsidRDefault="0075699B" w:rsidP="00AA4681">
      <w:pPr>
        <w:ind w:left="562" w:hanging="562"/>
        <w:rPr>
          <w:color w:val="000000"/>
          <w:lang w:val="en-GB"/>
        </w:rPr>
      </w:pPr>
    </w:p>
    <w:p w14:paraId="1750CE1E" w14:textId="77777777" w:rsidR="00C46587" w:rsidRPr="004F5FB4" w:rsidRDefault="008B6BAC" w:rsidP="00AA4681">
      <w:pPr>
        <w:numPr>
          <w:ilvl w:val="0"/>
          <w:numId w:val="6"/>
        </w:numPr>
        <w:ind w:left="562" w:hanging="562"/>
        <w:rPr>
          <w:color w:val="000000"/>
        </w:rPr>
      </w:pPr>
      <w:r w:rsidRPr="004F5FB4">
        <w:rPr>
          <w:color w:val="000000"/>
        </w:rPr>
        <w:t xml:space="preserve">Informieren Sie </w:t>
      </w:r>
      <w:r w:rsidR="007D4B66" w:rsidRPr="004F5FB4">
        <w:rPr>
          <w:color w:val="000000"/>
        </w:rPr>
        <w:t>d</w:t>
      </w:r>
      <w:r w:rsidRPr="004F5FB4">
        <w:rPr>
          <w:color w:val="000000"/>
        </w:rPr>
        <w:t>en Arzt</w:t>
      </w:r>
      <w:r w:rsidR="007D4B66" w:rsidRPr="004F5FB4">
        <w:rPr>
          <w:color w:val="000000"/>
        </w:rPr>
        <w:t xml:space="preserve"> Ihres Kindes</w:t>
      </w:r>
      <w:r w:rsidRPr="004F5FB4">
        <w:rPr>
          <w:color w:val="000000"/>
        </w:rPr>
        <w:t xml:space="preserve">, wenn Ihr Kind Träger des Hepatitis-B-Virus (HBV) ist, wenn es eine aktive HBV-Infektion hat oder wenn Sie glauben, dass es ein erhöhtes Risiko für eine HBV-Infektion hat. Der Arzt Ihres Kindes sollte Ihr Kind auf HBV untersuchen. </w:t>
      </w:r>
      <w:r w:rsidRPr="004F5FB4">
        <w:rPr>
          <w:color w:val="000000"/>
        </w:rPr>
        <w:lastRenderedPageBreak/>
        <w:t>Adalimumab kann zu einem erneuten Ausbruch einer HBV-Infektion bei Personen führen, die das Virus tragen. In einigen seltenen Fällen, besonders bei der zusätzlichen Anwendung von weiteren Arzneimitteln, die das körpereigene Abwehrsystem unterdrücken, kann der erneute Ausbruch einer HBV</w:t>
      </w:r>
      <w:r w:rsidRPr="004F5FB4">
        <w:rPr>
          <w:color w:val="000000"/>
        </w:rPr>
        <w:noBreakHyphen/>
        <w:t xml:space="preserve">Infektion lebensbedrohend sein. </w:t>
      </w:r>
    </w:p>
    <w:p w14:paraId="120001DC" w14:textId="77777777" w:rsidR="00C46587" w:rsidRPr="004F5FB4" w:rsidRDefault="00C46587" w:rsidP="00AA4681">
      <w:pPr>
        <w:ind w:left="562" w:hanging="562"/>
        <w:rPr>
          <w:color w:val="000000"/>
        </w:rPr>
      </w:pPr>
    </w:p>
    <w:p w14:paraId="25541575" w14:textId="77777777" w:rsidR="00F10899" w:rsidRPr="004F5FB4" w:rsidRDefault="00F10899" w:rsidP="00AA4681">
      <w:pPr>
        <w:pStyle w:val="BodyText"/>
        <w:widowControl/>
        <w:ind w:left="562" w:hanging="562"/>
        <w:rPr>
          <w:color w:val="000000"/>
        </w:rPr>
      </w:pPr>
      <w:r w:rsidRPr="004F5FB4">
        <w:rPr>
          <w:color w:val="000000"/>
          <w:u w:val="single"/>
        </w:rPr>
        <w:t>Operationen oder Zahnbehandlungen</w:t>
      </w:r>
    </w:p>
    <w:p w14:paraId="25C7E432" w14:textId="77777777" w:rsidR="00F10899" w:rsidRPr="004F5FB4" w:rsidRDefault="00F10899" w:rsidP="00AA4681">
      <w:pPr>
        <w:ind w:left="562" w:hanging="562"/>
        <w:rPr>
          <w:color w:val="000000"/>
          <w:lang w:val="en-GB"/>
        </w:rPr>
      </w:pPr>
    </w:p>
    <w:p w14:paraId="008A0665" w14:textId="77777777" w:rsidR="00C46587" w:rsidRPr="004F5FB4" w:rsidRDefault="00C46587" w:rsidP="00AA4681">
      <w:pPr>
        <w:numPr>
          <w:ilvl w:val="0"/>
          <w:numId w:val="6"/>
        </w:numPr>
        <w:ind w:left="562" w:hanging="562"/>
        <w:rPr>
          <w:color w:val="000000"/>
        </w:rPr>
      </w:pPr>
      <w:r w:rsidRPr="004F5FB4">
        <w:rPr>
          <w:color w:val="000000"/>
        </w:rPr>
        <w:t xml:space="preserve">Informieren Sie bitte den Arzt Ihres Kindes vor einer Operation oder einer Zahnbehandlung über die Behandlung Ihres Kindes mit Amsparity. </w:t>
      </w:r>
      <w:r w:rsidR="007D4B66" w:rsidRPr="004F5FB4">
        <w:rPr>
          <w:color w:val="000000"/>
        </w:rPr>
        <w:t>De</w:t>
      </w:r>
      <w:r w:rsidRPr="004F5FB4">
        <w:rPr>
          <w:color w:val="000000"/>
        </w:rPr>
        <w:t>r Arzt</w:t>
      </w:r>
      <w:r w:rsidR="007D4B66" w:rsidRPr="004F5FB4">
        <w:rPr>
          <w:color w:val="000000"/>
        </w:rPr>
        <w:t xml:space="preserve"> Ihres Kindes</w:t>
      </w:r>
      <w:r w:rsidRPr="004F5FB4">
        <w:rPr>
          <w:color w:val="000000"/>
        </w:rPr>
        <w:t xml:space="preserve"> wird Ihnen dann möglicherweise sagen, dass die Anwendung von Amsparity für eine bestimmte Zeit unterbrochen werden soll. </w:t>
      </w:r>
    </w:p>
    <w:p w14:paraId="4A23F4F5" w14:textId="77777777" w:rsidR="00C46587" w:rsidRPr="004F5FB4" w:rsidRDefault="00C46587" w:rsidP="00AA4681">
      <w:pPr>
        <w:ind w:left="562" w:hanging="562"/>
        <w:rPr>
          <w:color w:val="000000"/>
        </w:rPr>
      </w:pPr>
    </w:p>
    <w:p w14:paraId="6079318C" w14:textId="77777777" w:rsidR="00F10899" w:rsidRPr="004F5FB4" w:rsidRDefault="00F10899" w:rsidP="00AA4681">
      <w:pPr>
        <w:pStyle w:val="BodyText"/>
        <w:widowControl/>
        <w:ind w:left="562" w:hanging="562"/>
        <w:rPr>
          <w:color w:val="000000"/>
        </w:rPr>
      </w:pPr>
      <w:r w:rsidRPr="004F5FB4">
        <w:rPr>
          <w:color w:val="000000"/>
          <w:u w:val="single"/>
        </w:rPr>
        <w:t>Demyelinisierende Erkrankungen</w:t>
      </w:r>
    </w:p>
    <w:p w14:paraId="246EA54C" w14:textId="77777777" w:rsidR="00F10899" w:rsidRPr="004F5FB4" w:rsidRDefault="00F10899" w:rsidP="00AA4681">
      <w:pPr>
        <w:ind w:left="562" w:hanging="562"/>
        <w:rPr>
          <w:color w:val="000000"/>
          <w:lang w:val="en-GB"/>
        </w:rPr>
      </w:pPr>
    </w:p>
    <w:p w14:paraId="43C81B7E" w14:textId="77777777" w:rsidR="00C46587" w:rsidRPr="004F5FB4" w:rsidRDefault="00C46587" w:rsidP="00AA4681">
      <w:pPr>
        <w:numPr>
          <w:ilvl w:val="0"/>
          <w:numId w:val="6"/>
        </w:numPr>
        <w:ind w:left="562" w:hanging="562"/>
        <w:rPr>
          <w:color w:val="000000"/>
        </w:rPr>
      </w:pPr>
      <w:r w:rsidRPr="004F5FB4">
        <w:rPr>
          <w:color w:val="000000"/>
        </w:rPr>
        <w:t>Wenn Ihr Kind eine Erkrankung</w:t>
      </w:r>
      <w:r w:rsidR="003D72F8" w:rsidRPr="004F5FB4">
        <w:rPr>
          <w:color w:val="000000"/>
        </w:rPr>
        <w:t xml:space="preserve"> gerade</w:t>
      </w:r>
      <w:r w:rsidRPr="004F5FB4">
        <w:rPr>
          <w:color w:val="000000"/>
        </w:rPr>
        <w:t xml:space="preserve"> entwickelt oder bereits hat, die die isolierende Schicht um die Nervenzellen beeinflusst (wie z.</w:t>
      </w:r>
      <w:r w:rsidR="003D72F8" w:rsidRPr="004F5FB4">
        <w:rPr>
          <w:color w:val="000000"/>
        </w:rPr>
        <w:t> </w:t>
      </w:r>
      <w:r w:rsidRPr="004F5FB4">
        <w:rPr>
          <w:color w:val="000000"/>
        </w:rPr>
        <w:t xml:space="preserve">B. </w:t>
      </w:r>
      <w:r w:rsidR="00A63F9C" w:rsidRPr="004F5FB4">
        <w:rPr>
          <w:i/>
          <w:color w:val="000000"/>
        </w:rPr>
        <w:t>M</w:t>
      </w:r>
      <w:r w:rsidRPr="004F5FB4">
        <w:rPr>
          <w:i/>
          <w:color w:val="000000"/>
        </w:rPr>
        <w:t>ultiple Sklerose</w:t>
      </w:r>
      <w:r w:rsidRPr="004F5FB4">
        <w:rPr>
          <w:color w:val="000000"/>
        </w:rPr>
        <w:t xml:space="preserve">), wird </w:t>
      </w:r>
      <w:r w:rsidR="007D4B66" w:rsidRPr="004F5FB4">
        <w:rPr>
          <w:color w:val="000000"/>
        </w:rPr>
        <w:t>de</w:t>
      </w:r>
      <w:r w:rsidRPr="004F5FB4">
        <w:rPr>
          <w:color w:val="000000"/>
        </w:rPr>
        <w:t>r Arzt</w:t>
      </w:r>
      <w:r w:rsidR="007D4B66" w:rsidRPr="004F5FB4">
        <w:rPr>
          <w:color w:val="000000"/>
        </w:rPr>
        <w:t xml:space="preserve"> Ihres Kindes</w:t>
      </w:r>
      <w:r w:rsidRPr="004F5FB4">
        <w:rPr>
          <w:color w:val="000000"/>
        </w:rPr>
        <w:t xml:space="preserve"> entscheiden, ob Ihr Kind Amsparity anwenden bzw. weiter anwenden sollte. Informieren Sie bitte umgehend den Arzt Ihres Kindes, wenn es bei Ihrem Kind zu Anzeichen wie verändertem Sehvermögen oder Kraftlosigkeit in den Armen oder Beinen kommt oder wenn sich Körperteile taub oder kribbelig anfühlen. </w:t>
      </w:r>
    </w:p>
    <w:p w14:paraId="6ED3842B" w14:textId="77777777" w:rsidR="00C46587" w:rsidRPr="004F5FB4" w:rsidRDefault="00C46587" w:rsidP="00AA4681">
      <w:pPr>
        <w:ind w:left="562" w:hanging="562"/>
        <w:rPr>
          <w:color w:val="000000"/>
        </w:rPr>
      </w:pPr>
    </w:p>
    <w:p w14:paraId="438245D4" w14:textId="77777777" w:rsidR="00F10899" w:rsidRPr="004F5FB4" w:rsidRDefault="00F10899" w:rsidP="007C4B2C">
      <w:pPr>
        <w:pStyle w:val="BodyText"/>
        <w:keepNext/>
        <w:widowControl/>
        <w:ind w:left="562" w:hanging="562"/>
        <w:rPr>
          <w:color w:val="000000"/>
          <w:u w:val="single"/>
        </w:rPr>
      </w:pPr>
      <w:r w:rsidRPr="004F5FB4">
        <w:rPr>
          <w:color w:val="000000"/>
          <w:u w:val="single"/>
        </w:rPr>
        <w:t>Impfungen</w:t>
      </w:r>
    </w:p>
    <w:p w14:paraId="77BDB88B" w14:textId="77777777" w:rsidR="00F10899" w:rsidRPr="004F5FB4" w:rsidRDefault="00F10899" w:rsidP="007C4B2C">
      <w:pPr>
        <w:pStyle w:val="BodyText"/>
        <w:keepNext/>
        <w:widowControl/>
        <w:ind w:left="562" w:hanging="562"/>
        <w:rPr>
          <w:color w:val="000000"/>
          <w:u w:val="single"/>
          <w:lang w:val="en-GB"/>
        </w:rPr>
      </w:pPr>
    </w:p>
    <w:p w14:paraId="445DA73B" w14:textId="77777777" w:rsidR="00C46587" w:rsidRPr="004F5FB4" w:rsidRDefault="00C46587" w:rsidP="007C4B2C">
      <w:pPr>
        <w:keepNext/>
        <w:numPr>
          <w:ilvl w:val="0"/>
          <w:numId w:val="6"/>
        </w:numPr>
        <w:ind w:left="562" w:hanging="562"/>
        <w:rPr>
          <w:color w:val="000000"/>
        </w:rPr>
      </w:pPr>
      <w:r w:rsidRPr="004F5FB4">
        <w:rPr>
          <w:color w:val="000000"/>
        </w:rPr>
        <w:t xml:space="preserve">Gewisse Impfstoffe enthalten lebende, aber abgeschwächte Formen von Bakterien oder Viren, die Krankheiten verursachen können; diese Impfstoffe sollten während der Behandlung mit Amsparity nicht verwendet werden. Besprechen Sie jede Impfung Ihres Kindes vorher mit dem Arzt Ihres Kindes. Bei Kindern und Jugendlichen wird empfohlen, nach Möglichkeit vor Behandlungsbeginn mit Amsparity alle für ihr Alter festgelegten Impfungen auf den aktuellen Stand zu bringen. Wenn Ihr Kind Amsparity erhielt, während es schwanger war, kann für seinen Säugling bis zu 5 Monate nach der letzten Amsparity-Dosis, die während der Schwangerschaft verabreicht wurde, ein erhöhtes Infektionsrisiko bestehen. Es ist wichtig, dass Sie den Ärzten des Neugeborenen und anderem Fachpersonal im Gesundheitswesen mitteilen, dass Ihr Kind während seiner Schwangerschaft Amsparity bekommen hat, sodass diese darüber entscheiden können, ob der Säugling eine Impfung erhalten sollte. </w:t>
      </w:r>
    </w:p>
    <w:p w14:paraId="57E54A4A" w14:textId="77777777" w:rsidR="00EA74EB" w:rsidRPr="004F5FB4" w:rsidRDefault="00EA74EB" w:rsidP="00AA4681">
      <w:pPr>
        <w:ind w:left="562" w:hanging="562"/>
        <w:rPr>
          <w:color w:val="000000"/>
        </w:rPr>
      </w:pPr>
    </w:p>
    <w:p w14:paraId="125FDA25" w14:textId="77777777" w:rsidR="00E8411C" w:rsidRPr="004F5FB4" w:rsidRDefault="00E8411C" w:rsidP="00A71117">
      <w:pPr>
        <w:pStyle w:val="BodyText"/>
        <w:keepNext/>
        <w:keepLines/>
        <w:widowControl/>
        <w:ind w:left="561" w:hanging="561"/>
        <w:rPr>
          <w:color w:val="000000"/>
        </w:rPr>
      </w:pPr>
      <w:r w:rsidRPr="004F5FB4">
        <w:rPr>
          <w:color w:val="000000"/>
          <w:u w:val="single"/>
        </w:rPr>
        <w:t>Herzschwäche</w:t>
      </w:r>
    </w:p>
    <w:p w14:paraId="02406814" w14:textId="77777777" w:rsidR="00E8411C" w:rsidRPr="004F5FB4" w:rsidRDefault="00E8411C" w:rsidP="00A71117">
      <w:pPr>
        <w:keepNext/>
        <w:keepLines/>
        <w:ind w:left="561" w:hanging="561"/>
        <w:rPr>
          <w:color w:val="000000"/>
          <w:lang w:val="en-GB"/>
        </w:rPr>
      </w:pPr>
    </w:p>
    <w:p w14:paraId="7BE5884D" w14:textId="77777777" w:rsidR="00C46587" w:rsidRPr="004F5FB4" w:rsidRDefault="00E8411C" w:rsidP="00A71117">
      <w:pPr>
        <w:keepNext/>
        <w:keepLines/>
        <w:numPr>
          <w:ilvl w:val="0"/>
          <w:numId w:val="6"/>
        </w:numPr>
        <w:ind w:left="561" w:hanging="561"/>
        <w:rPr>
          <w:color w:val="000000"/>
        </w:rPr>
      </w:pPr>
      <w:r w:rsidRPr="004F5FB4">
        <w:rPr>
          <w:color w:val="000000"/>
        </w:rPr>
        <w:t xml:space="preserve">Es ist wichtig, dass Sie </w:t>
      </w:r>
      <w:r w:rsidR="007D4B66" w:rsidRPr="004F5FB4">
        <w:rPr>
          <w:color w:val="000000"/>
        </w:rPr>
        <w:t>d</w:t>
      </w:r>
      <w:r w:rsidRPr="004F5FB4">
        <w:rPr>
          <w:color w:val="000000"/>
        </w:rPr>
        <w:t>en Arzt</w:t>
      </w:r>
      <w:r w:rsidR="007D4B66" w:rsidRPr="004F5FB4">
        <w:rPr>
          <w:color w:val="000000"/>
        </w:rPr>
        <w:t xml:space="preserve"> Ihres Kindes</w:t>
      </w:r>
      <w:r w:rsidRPr="004F5FB4">
        <w:rPr>
          <w:color w:val="000000"/>
        </w:rPr>
        <w:t xml:space="preserve"> darüber informieren, wenn Ihr Kind schwerwiegende Herzprobleme hat oder gehabt hat. Wenn Ihr Kind eine leichte Herzschwäche </w:t>
      </w:r>
      <w:r w:rsidRPr="004F5FB4">
        <w:rPr>
          <w:i/>
          <w:color w:val="000000"/>
        </w:rPr>
        <w:t>(Herzinsuffizienz)</w:t>
      </w:r>
      <w:r w:rsidRPr="004F5FB4">
        <w:rPr>
          <w:color w:val="000000"/>
        </w:rPr>
        <w:t xml:space="preserve"> hat und mit Amsparity behandelt wird, muss die Herzschwäche sorgfältig durch den Arzt Ihres Kindes überwacht werden. Entwickelt es neue oder sich verschlechternde Symptome einer Herzschwäche (z.</w:t>
      </w:r>
      <w:r w:rsidR="00F25D2C" w:rsidRPr="004F5FB4">
        <w:rPr>
          <w:color w:val="000000"/>
        </w:rPr>
        <w:t> </w:t>
      </w:r>
      <w:r w:rsidRPr="004F5FB4">
        <w:rPr>
          <w:color w:val="000000"/>
        </w:rPr>
        <w:t xml:space="preserve">B. Kurzatmigkeit oder Anschwellen der Füße), müssen Sie sofort mit dem Arzt Ihres Kindes sprechen. </w:t>
      </w:r>
    </w:p>
    <w:p w14:paraId="2FAAE54A" w14:textId="77777777" w:rsidR="00C46587" w:rsidRPr="004F5FB4" w:rsidRDefault="00C46587" w:rsidP="00AA4681">
      <w:pPr>
        <w:ind w:left="562" w:hanging="562"/>
        <w:rPr>
          <w:color w:val="000000"/>
        </w:rPr>
      </w:pPr>
    </w:p>
    <w:p w14:paraId="4A2B2744" w14:textId="77777777" w:rsidR="00E8411C" w:rsidRPr="004F5FB4" w:rsidRDefault="00E8411C" w:rsidP="00AA4681">
      <w:pPr>
        <w:pStyle w:val="BodyText"/>
        <w:widowControl/>
        <w:ind w:left="562" w:hanging="562"/>
        <w:rPr>
          <w:color w:val="000000"/>
        </w:rPr>
      </w:pPr>
      <w:r w:rsidRPr="004F5FB4">
        <w:rPr>
          <w:color w:val="000000"/>
          <w:u w:val="single"/>
        </w:rPr>
        <w:t>Fieber, blaue Flecke, Blutungen, blasses Aussehen</w:t>
      </w:r>
    </w:p>
    <w:p w14:paraId="748E3E4E" w14:textId="77777777" w:rsidR="00E8411C" w:rsidRPr="004F5FB4" w:rsidRDefault="00E8411C" w:rsidP="00AA4681">
      <w:pPr>
        <w:ind w:left="562" w:hanging="562"/>
        <w:rPr>
          <w:color w:val="000000"/>
        </w:rPr>
      </w:pPr>
    </w:p>
    <w:p w14:paraId="0FF9380A" w14:textId="77777777" w:rsidR="00C46587" w:rsidRPr="004F5FB4" w:rsidRDefault="00C46587" w:rsidP="00AA4681">
      <w:pPr>
        <w:numPr>
          <w:ilvl w:val="0"/>
          <w:numId w:val="6"/>
        </w:numPr>
        <w:ind w:left="562" w:hanging="562"/>
        <w:rPr>
          <w:color w:val="000000"/>
        </w:rPr>
      </w:pPr>
      <w:r w:rsidRPr="004F5FB4">
        <w:rPr>
          <w:color w:val="000000"/>
        </w:rPr>
        <w:t xml:space="preserve">Bei einigen Patienten kann die körpereigene Produktion von bestimmten Blutzellen vermindert sein. Diese Blutzellen helfen dem Körper Ihres Kindes bei der Bekämpfung von Infektionen oder beim Stoppen von Blutungen. Wenn Ihr Kind anhaltendes Fieber bekommt, sehr leicht blaue Flecken entwickelt oder blutet oder sehr blass aussieht, benachrichtigen Sie umgehend </w:t>
      </w:r>
      <w:r w:rsidR="00810A79" w:rsidRPr="004F5FB4">
        <w:rPr>
          <w:color w:val="000000"/>
        </w:rPr>
        <w:t>d</w:t>
      </w:r>
      <w:r w:rsidRPr="004F5FB4">
        <w:rPr>
          <w:color w:val="000000"/>
        </w:rPr>
        <w:t>en Arzt</w:t>
      </w:r>
      <w:r w:rsidR="00810A79" w:rsidRPr="004F5FB4">
        <w:rPr>
          <w:color w:val="000000"/>
        </w:rPr>
        <w:t xml:space="preserve"> Ihres Kindes</w:t>
      </w:r>
      <w:r w:rsidRPr="004F5FB4">
        <w:rPr>
          <w:color w:val="000000"/>
        </w:rPr>
        <w:t xml:space="preserve">. Der Arzt Ihres Kindes wird möglicherweise entscheiden, die Behandlung zu beenden. </w:t>
      </w:r>
    </w:p>
    <w:p w14:paraId="66E79B4A" w14:textId="77777777" w:rsidR="00C46587" w:rsidRPr="004F5FB4" w:rsidRDefault="00C46587" w:rsidP="00AA4681">
      <w:pPr>
        <w:ind w:left="562" w:hanging="562"/>
        <w:rPr>
          <w:color w:val="000000"/>
        </w:rPr>
      </w:pPr>
    </w:p>
    <w:p w14:paraId="5E3D66E8" w14:textId="77777777" w:rsidR="00EF27DD" w:rsidRPr="004F5FB4" w:rsidRDefault="00EF27DD" w:rsidP="00AA4681">
      <w:pPr>
        <w:pStyle w:val="BodyText"/>
        <w:widowControl/>
        <w:ind w:left="562" w:hanging="562"/>
        <w:rPr>
          <w:color w:val="000000"/>
        </w:rPr>
      </w:pPr>
      <w:r w:rsidRPr="004F5FB4">
        <w:rPr>
          <w:color w:val="000000"/>
          <w:u w:val="single"/>
        </w:rPr>
        <w:t>Krebs</w:t>
      </w:r>
    </w:p>
    <w:p w14:paraId="74A1CA3D" w14:textId="77777777" w:rsidR="00EF27DD" w:rsidRPr="004F5FB4" w:rsidRDefault="00EF27DD" w:rsidP="00AA4681">
      <w:pPr>
        <w:ind w:left="562" w:hanging="562"/>
        <w:rPr>
          <w:color w:val="000000"/>
          <w:lang w:val="en-GB"/>
        </w:rPr>
      </w:pPr>
    </w:p>
    <w:p w14:paraId="7DD87EF1" w14:textId="77777777" w:rsidR="00EF27DD" w:rsidRPr="004F5FB4" w:rsidRDefault="00C46587" w:rsidP="00AA4681">
      <w:pPr>
        <w:numPr>
          <w:ilvl w:val="0"/>
          <w:numId w:val="6"/>
        </w:numPr>
        <w:ind w:left="562" w:hanging="562"/>
        <w:rPr>
          <w:color w:val="000000"/>
        </w:rPr>
      </w:pPr>
      <w:r w:rsidRPr="004F5FB4">
        <w:rPr>
          <w:color w:val="000000"/>
        </w:rPr>
        <w:t xml:space="preserve">Es gab sehr selten Fälle bestimmter Krebsarten bei Kindern und Erwachsenen, die Adalimumab oder andere TNFα-Hemmer erhielten. Patienten mit schwereren Verlaufsformen der </w:t>
      </w:r>
      <w:r w:rsidRPr="004F5FB4">
        <w:rPr>
          <w:color w:val="000000"/>
        </w:rPr>
        <w:lastRenderedPageBreak/>
        <w:t xml:space="preserve">rheumatoiden Arthritis und langjährig bestehender Erkrankung können ein im Vergleich zum Durchschnitt erhöhtes Risiko aufweisen für die Entwicklung eines Lymphoms (Krebs, der das Lymphsystem betrifft) und von Leukämie (Krebs, der das Blut und das Knochenmark betrifft). Wenn Ihr Kind Amsparity anwendet, kann sich sein Risiko, Lymphome, Leukämie oder andere Krebsformen zu entwickeln, möglicherweise erhöhen. In Ausnahmefällen wurde bei Patienten, die mit Adalimumab behandelt wurden, eine seltene und schwere Form des Lymphoms beobachtet. Einige dieser Patienten wurden gleichzeitig mit dem Wirkstoff Azathioprin oder Mercaptopurin behandelt. Teilen Sie </w:t>
      </w:r>
      <w:r w:rsidR="00810A79" w:rsidRPr="004F5FB4">
        <w:rPr>
          <w:color w:val="000000"/>
        </w:rPr>
        <w:t>d</w:t>
      </w:r>
      <w:r w:rsidRPr="004F5FB4">
        <w:rPr>
          <w:color w:val="000000"/>
        </w:rPr>
        <w:t>em Arzt</w:t>
      </w:r>
      <w:r w:rsidR="00810A79" w:rsidRPr="004F5FB4">
        <w:rPr>
          <w:color w:val="000000"/>
        </w:rPr>
        <w:t xml:space="preserve"> Ihres Kindes</w:t>
      </w:r>
      <w:r w:rsidRPr="004F5FB4">
        <w:rPr>
          <w:color w:val="000000"/>
        </w:rPr>
        <w:t xml:space="preserve"> mit, wenn Ihr Kind Azathioprin oder Mercaptopurin zusammen mit Amsparity einnimmt. </w:t>
      </w:r>
    </w:p>
    <w:p w14:paraId="758ADC42" w14:textId="77777777" w:rsidR="00EF27DD" w:rsidRPr="004F5FB4" w:rsidRDefault="00EF27DD" w:rsidP="00AA4681">
      <w:pPr>
        <w:ind w:left="562" w:hanging="562"/>
        <w:rPr>
          <w:color w:val="000000"/>
        </w:rPr>
      </w:pPr>
    </w:p>
    <w:p w14:paraId="6B30C1CA" w14:textId="77777777" w:rsidR="00C46587" w:rsidRPr="004F5FB4" w:rsidRDefault="00C46587" w:rsidP="00AA4681">
      <w:pPr>
        <w:numPr>
          <w:ilvl w:val="0"/>
          <w:numId w:val="6"/>
        </w:numPr>
        <w:ind w:left="562" w:hanging="562"/>
        <w:rPr>
          <w:color w:val="000000"/>
        </w:rPr>
      </w:pPr>
      <w:r w:rsidRPr="004F5FB4">
        <w:rPr>
          <w:color w:val="000000"/>
        </w:rPr>
        <w:t xml:space="preserve">Darüber hinaus wurden bei Patienten unter Adalimumab-Therapie Fälle mit Hauttumoren, die keine Melanome waren, beobachtet. Falls während oder nach der Behandlung neue Hautschädigungen auftreten oder sich das Aussehen bereits bestehender Hautschädigungen verändert, informieren Sie bitte den Arzt Ihres Kindes. </w:t>
      </w:r>
    </w:p>
    <w:p w14:paraId="48875F4A" w14:textId="77777777" w:rsidR="00C46587" w:rsidRPr="004F5FB4" w:rsidRDefault="00C46587" w:rsidP="00AA4681">
      <w:pPr>
        <w:ind w:left="562" w:hanging="562"/>
        <w:rPr>
          <w:color w:val="000000"/>
        </w:rPr>
      </w:pPr>
    </w:p>
    <w:p w14:paraId="0C5F6BEF" w14:textId="77777777" w:rsidR="00C46587" w:rsidRPr="004F5FB4" w:rsidRDefault="00C46587" w:rsidP="00AA4681">
      <w:pPr>
        <w:numPr>
          <w:ilvl w:val="0"/>
          <w:numId w:val="6"/>
        </w:numPr>
        <w:ind w:left="562" w:hanging="562"/>
        <w:rPr>
          <w:color w:val="000000"/>
        </w:rPr>
      </w:pPr>
      <w:r w:rsidRPr="004F5FB4">
        <w:rPr>
          <w:color w:val="000000"/>
        </w:rPr>
        <w:t xml:space="preserve">Bei Patienten mit einer besonderen Art von Lungenerkrankung, der chronischen obstruktiven Lungenerkrankung (COPD), sind unter Behandlung mit einem anderen TNFα-Hemmer Fälle von Krebs aufgetreten. Unter diesen Fällen waren keine Lymphome. Wenn Ihr Kind COPD hat oder wenn es stark raucht, sollten Sie mit dem Arzt Ihres Kindes besprechen, ob die Behandlung mit einem TNFα-Hemmer für Ihr Kind geeignet ist. </w:t>
      </w:r>
    </w:p>
    <w:p w14:paraId="43BC5F54" w14:textId="77777777" w:rsidR="0072207D" w:rsidRPr="004F5FB4" w:rsidRDefault="0072207D" w:rsidP="00AA4681">
      <w:pPr>
        <w:pStyle w:val="ListParagraph"/>
        <w:ind w:left="562" w:hanging="562"/>
        <w:rPr>
          <w:color w:val="000000"/>
        </w:rPr>
      </w:pPr>
    </w:p>
    <w:p w14:paraId="2CA1F980" w14:textId="77777777" w:rsidR="00EF27DD" w:rsidRPr="004F5FB4" w:rsidRDefault="00EF27DD" w:rsidP="00AA4681">
      <w:pPr>
        <w:pStyle w:val="BodyText"/>
        <w:widowControl/>
        <w:ind w:left="562" w:hanging="562"/>
        <w:rPr>
          <w:color w:val="000000"/>
        </w:rPr>
      </w:pPr>
      <w:r w:rsidRPr="004F5FB4">
        <w:rPr>
          <w:color w:val="000000"/>
          <w:u w:val="single"/>
        </w:rPr>
        <w:t>Autoimmunerkrankung</w:t>
      </w:r>
    </w:p>
    <w:p w14:paraId="5CED7120" w14:textId="77777777" w:rsidR="00EF27DD" w:rsidRPr="004F5FB4" w:rsidRDefault="00EF27DD" w:rsidP="00AA4681">
      <w:pPr>
        <w:pStyle w:val="ListParagraph"/>
        <w:ind w:left="562" w:hanging="562"/>
        <w:rPr>
          <w:color w:val="000000"/>
          <w:lang w:val="en-GB"/>
        </w:rPr>
      </w:pPr>
    </w:p>
    <w:p w14:paraId="1C19B95C" w14:textId="77777777" w:rsidR="0072207D" w:rsidRPr="004F5FB4" w:rsidRDefault="0072207D" w:rsidP="00AA4681">
      <w:pPr>
        <w:numPr>
          <w:ilvl w:val="0"/>
          <w:numId w:val="6"/>
        </w:numPr>
        <w:ind w:left="562" w:hanging="562"/>
        <w:rPr>
          <w:color w:val="000000"/>
        </w:rPr>
      </w:pPr>
      <w:r w:rsidRPr="004F5FB4">
        <w:rPr>
          <w:color w:val="000000"/>
        </w:rPr>
        <w:t>In seltenen Fällen kann die Behandlung mit Amsparity ein lupusähnliches Syndrom auslösen. Kontaktieren Sie den Arzt Ihres Kindes, falls Symptome wie ein anhaltender, nicht erklärbarer Hautausschlag, Fieber, Gelenkschmerzen oder Müdigkeit auftreten.</w:t>
      </w:r>
    </w:p>
    <w:p w14:paraId="21E8C502" w14:textId="77777777" w:rsidR="00216602" w:rsidRPr="004F5FB4" w:rsidRDefault="00216602" w:rsidP="00AA4681">
      <w:pPr>
        <w:ind w:left="562" w:hanging="562"/>
        <w:rPr>
          <w:color w:val="000000"/>
        </w:rPr>
      </w:pPr>
    </w:p>
    <w:p w14:paraId="79DA953F" w14:textId="77777777" w:rsidR="00C46587" w:rsidRPr="004F5FB4" w:rsidRDefault="00C46587" w:rsidP="00982118">
      <w:pPr>
        <w:keepNext/>
        <w:rPr>
          <w:b/>
          <w:color w:val="000000"/>
        </w:rPr>
      </w:pPr>
      <w:r w:rsidRPr="004F5FB4">
        <w:rPr>
          <w:b/>
          <w:color w:val="000000"/>
        </w:rPr>
        <w:t xml:space="preserve">Anwendung von Amsparity zusammen mit anderen Arzneimitteln </w:t>
      </w:r>
    </w:p>
    <w:p w14:paraId="519C8294" w14:textId="77777777" w:rsidR="00C46587" w:rsidRPr="004F5FB4" w:rsidRDefault="00C46587" w:rsidP="00982118">
      <w:pPr>
        <w:keepNext/>
        <w:rPr>
          <w:color w:val="000000"/>
        </w:rPr>
      </w:pPr>
    </w:p>
    <w:p w14:paraId="7C4A48CB" w14:textId="77777777" w:rsidR="00C46587" w:rsidRPr="004F5FB4" w:rsidRDefault="00C46587" w:rsidP="00982118">
      <w:pPr>
        <w:keepNext/>
        <w:rPr>
          <w:color w:val="000000"/>
        </w:rPr>
      </w:pPr>
      <w:r w:rsidRPr="004F5FB4">
        <w:rPr>
          <w:color w:val="000000"/>
        </w:rPr>
        <w:t xml:space="preserve">Informieren Sie den Arzt Ihres Kindes oder den Apotheker, wenn Ihr Kind andere Arzneimittel einnimmt, kürzlich andere Arzneimittel eingenommen hat oder beabsichtigt, andere Arzneimittel einzunehmen. </w:t>
      </w:r>
    </w:p>
    <w:p w14:paraId="48D79C91" w14:textId="77777777" w:rsidR="00C46587" w:rsidRPr="004F5FB4" w:rsidRDefault="00C46587" w:rsidP="00982118">
      <w:pPr>
        <w:rPr>
          <w:color w:val="000000"/>
        </w:rPr>
      </w:pPr>
    </w:p>
    <w:p w14:paraId="129E343B" w14:textId="77777777" w:rsidR="00C46587" w:rsidRPr="004F5FB4" w:rsidRDefault="006A1144" w:rsidP="00982118">
      <w:pPr>
        <w:rPr>
          <w:color w:val="000000"/>
        </w:rPr>
      </w:pPr>
      <w:r w:rsidRPr="004F5FB4">
        <w:rPr>
          <w:color w:val="000000"/>
        </w:rPr>
        <w:t xml:space="preserve">Amsparity kann zusammen mit Methotrexat oder bestimmten krankheitsmodifizierenden Antirheumatika (zum Beispiel Sulfasalazin, Hydroxychloroquin, Leflunomid und injizierbaren Goldzubereitungen), mit Kortikosteroiden oder Schmerzmitteln, einschließlich nicht steroidhaltiger entzündungshemmender Antirheumatika (NSAR), verwendet werden. </w:t>
      </w:r>
    </w:p>
    <w:p w14:paraId="5A466ED5" w14:textId="77777777" w:rsidR="00C46587" w:rsidRPr="004F5FB4" w:rsidRDefault="00C46587" w:rsidP="00982118">
      <w:pPr>
        <w:rPr>
          <w:color w:val="000000"/>
        </w:rPr>
      </w:pPr>
    </w:p>
    <w:p w14:paraId="5B16D272" w14:textId="77777777" w:rsidR="00C46587" w:rsidRPr="004F5FB4" w:rsidRDefault="00C46587" w:rsidP="00982118">
      <w:pPr>
        <w:rPr>
          <w:color w:val="000000"/>
        </w:rPr>
      </w:pPr>
      <w:r w:rsidRPr="004F5FB4">
        <w:rPr>
          <w:color w:val="000000"/>
        </w:rPr>
        <w:t>Ihr Kind darf Amsparity nicht zusammen mit Arzneimitteln verwenden, die als Wirkstoffe Anakinra oder Abatacept enthalten, da ein erhöhtes Risiko einer schwerwiegenden Infektion besteht. Die Kombination von Adalimumab und anderen TNF</w:t>
      </w:r>
      <w:r w:rsidRPr="004F5FB4">
        <w:rPr>
          <w:color w:val="000000"/>
        </w:rPr>
        <w:noBreakHyphen/>
        <w:t xml:space="preserve">Antagonisten mit Anakinra oder Abatacept wird aufgrund des möglicherweise erhöhten Risikos für Infektionen, einschließlich schwerwiegender Infektionen, und anderer möglicher Arzneimittelwechselwirkungen, nicht empfohlen. Wenn Sie Fragen haben, wenden Sie sich bitte an den Arzt Ihres Kindes. </w:t>
      </w:r>
    </w:p>
    <w:p w14:paraId="15943CED" w14:textId="77777777" w:rsidR="00C46587" w:rsidRPr="004F5FB4" w:rsidRDefault="00C46587" w:rsidP="00982118">
      <w:pPr>
        <w:rPr>
          <w:color w:val="000000"/>
        </w:rPr>
      </w:pPr>
    </w:p>
    <w:p w14:paraId="72F21DF2" w14:textId="77777777" w:rsidR="00C46587" w:rsidRPr="004F5FB4" w:rsidRDefault="00C46587" w:rsidP="007C4B2C">
      <w:pPr>
        <w:keepNext/>
        <w:rPr>
          <w:b/>
          <w:color w:val="000000"/>
        </w:rPr>
      </w:pPr>
      <w:r w:rsidRPr="004F5FB4">
        <w:rPr>
          <w:b/>
          <w:color w:val="000000"/>
        </w:rPr>
        <w:t xml:space="preserve">Schwangerschaft und Stillzeit </w:t>
      </w:r>
    </w:p>
    <w:p w14:paraId="4D73C28D" w14:textId="77777777" w:rsidR="00C46587" w:rsidRPr="004F5FB4" w:rsidRDefault="00C46587" w:rsidP="007C4B2C">
      <w:pPr>
        <w:keepNext/>
        <w:rPr>
          <w:color w:val="000000"/>
        </w:rPr>
      </w:pPr>
    </w:p>
    <w:p w14:paraId="6CFB7BF4" w14:textId="77777777" w:rsidR="00C27C54" w:rsidRPr="004F5FB4" w:rsidRDefault="00C27C54" w:rsidP="007C4B2C">
      <w:pPr>
        <w:keepNext/>
        <w:autoSpaceDE w:val="0"/>
        <w:autoSpaceDN w:val="0"/>
        <w:adjustRightInd w:val="0"/>
        <w:rPr>
          <w:color w:val="000000"/>
        </w:rPr>
      </w:pPr>
      <w:r w:rsidRPr="004F5FB4">
        <w:rPr>
          <w:color w:val="000000"/>
        </w:rPr>
        <w:t>Ihr Kind sollte eine geeignete Verhütungsmethode in Erwägung ziehen, um nicht schwanger zu werden, und bis mindestens 5</w:t>
      </w:r>
      <w:r w:rsidR="00F25D2C" w:rsidRPr="004F5FB4">
        <w:rPr>
          <w:color w:val="000000"/>
        </w:rPr>
        <w:t> </w:t>
      </w:r>
      <w:r w:rsidRPr="004F5FB4">
        <w:rPr>
          <w:color w:val="000000"/>
        </w:rPr>
        <w:t>Monate nach der letzten Dosis von Amsparity verhüten.</w:t>
      </w:r>
    </w:p>
    <w:p w14:paraId="06CF2C97" w14:textId="77777777" w:rsidR="00494D2A" w:rsidRPr="004F5FB4" w:rsidRDefault="00494D2A" w:rsidP="00755F77">
      <w:pPr>
        <w:autoSpaceDE w:val="0"/>
        <w:autoSpaceDN w:val="0"/>
        <w:adjustRightInd w:val="0"/>
        <w:rPr>
          <w:color w:val="000000"/>
        </w:rPr>
      </w:pPr>
    </w:p>
    <w:p w14:paraId="54EE5487" w14:textId="77777777" w:rsidR="00C27C54" w:rsidRPr="004F5FB4" w:rsidRDefault="00C27C54" w:rsidP="00755F77">
      <w:pPr>
        <w:autoSpaceDE w:val="0"/>
        <w:autoSpaceDN w:val="0"/>
        <w:adjustRightInd w:val="0"/>
        <w:rPr>
          <w:color w:val="000000"/>
        </w:rPr>
      </w:pPr>
      <w:r w:rsidRPr="004F5FB4">
        <w:rPr>
          <w:color w:val="000000"/>
        </w:rPr>
        <w:t>Wenn Ihr Kind schwanger ist, vermutet, schwanger zu sein, oder beabsichtigt, schwanger zu werden, fragen Sie den Arzt zur Anwendung dieses Arzneimittels um Rat.</w:t>
      </w:r>
    </w:p>
    <w:p w14:paraId="562D974F" w14:textId="77777777" w:rsidR="00494D2A" w:rsidRPr="004F5FB4" w:rsidRDefault="00494D2A" w:rsidP="00755F77">
      <w:pPr>
        <w:autoSpaceDE w:val="0"/>
        <w:autoSpaceDN w:val="0"/>
        <w:adjustRightInd w:val="0"/>
        <w:rPr>
          <w:color w:val="000000"/>
        </w:rPr>
      </w:pPr>
    </w:p>
    <w:p w14:paraId="2E128A7E" w14:textId="77777777" w:rsidR="00C27C54" w:rsidRPr="004F5FB4" w:rsidRDefault="006A1144" w:rsidP="00755F77">
      <w:pPr>
        <w:autoSpaceDE w:val="0"/>
        <w:autoSpaceDN w:val="0"/>
        <w:adjustRightInd w:val="0"/>
        <w:rPr>
          <w:color w:val="000000"/>
        </w:rPr>
      </w:pPr>
      <w:r w:rsidRPr="004F5FB4">
        <w:rPr>
          <w:color w:val="000000"/>
        </w:rPr>
        <w:t>Amsparity sollte während einer Schwangerschaft nur angewendet werden, wenn dies erforderlich ist.</w:t>
      </w:r>
    </w:p>
    <w:p w14:paraId="1857C09E" w14:textId="77777777" w:rsidR="00494D2A" w:rsidRPr="004F5FB4" w:rsidRDefault="00494D2A" w:rsidP="00755F77">
      <w:pPr>
        <w:autoSpaceDE w:val="0"/>
        <w:autoSpaceDN w:val="0"/>
        <w:adjustRightInd w:val="0"/>
        <w:rPr>
          <w:color w:val="000000"/>
        </w:rPr>
      </w:pPr>
    </w:p>
    <w:p w14:paraId="798533C1" w14:textId="77777777" w:rsidR="00C27C54" w:rsidRPr="004F5FB4" w:rsidRDefault="00C27C54" w:rsidP="00755F77">
      <w:pPr>
        <w:autoSpaceDE w:val="0"/>
        <w:autoSpaceDN w:val="0"/>
        <w:adjustRightInd w:val="0"/>
        <w:rPr>
          <w:color w:val="000000"/>
        </w:rPr>
      </w:pPr>
      <w:r w:rsidRPr="004F5FB4">
        <w:rPr>
          <w:color w:val="000000"/>
        </w:rPr>
        <w:lastRenderedPageBreak/>
        <w:t>Laut einer Studie mit Schwangeren bestand bei Kindern von Müttern, die während der Schwangerschaft mit Adalimumab behandelt wurden, kein höheres Risiko für Geburtsfehler als bei Kindern von Müttern mit der gleichen Erkrankung, die nicht mit Adalimumab behandelt wurden.</w:t>
      </w:r>
    </w:p>
    <w:p w14:paraId="061F6276" w14:textId="77777777" w:rsidR="00494D2A" w:rsidRPr="004F5FB4" w:rsidRDefault="00494D2A" w:rsidP="00755F77">
      <w:pPr>
        <w:autoSpaceDE w:val="0"/>
        <w:autoSpaceDN w:val="0"/>
        <w:adjustRightInd w:val="0"/>
        <w:rPr>
          <w:color w:val="000000"/>
        </w:rPr>
      </w:pPr>
    </w:p>
    <w:p w14:paraId="7D10F958" w14:textId="77777777" w:rsidR="00C27C54" w:rsidRPr="004F5FB4" w:rsidRDefault="006A1144" w:rsidP="00755F77">
      <w:pPr>
        <w:autoSpaceDE w:val="0"/>
        <w:autoSpaceDN w:val="0"/>
        <w:adjustRightInd w:val="0"/>
        <w:rPr>
          <w:color w:val="000000"/>
        </w:rPr>
      </w:pPr>
      <w:r w:rsidRPr="004F5FB4">
        <w:rPr>
          <w:color w:val="000000"/>
        </w:rPr>
        <w:t>Amsparity kann während der Stillzeit angewendet werden.</w:t>
      </w:r>
    </w:p>
    <w:p w14:paraId="0F3A92D1" w14:textId="77777777" w:rsidR="00494D2A" w:rsidRPr="004F5FB4" w:rsidRDefault="00494D2A" w:rsidP="00755F77">
      <w:pPr>
        <w:autoSpaceDE w:val="0"/>
        <w:autoSpaceDN w:val="0"/>
        <w:adjustRightInd w:val="0"/>
        <w:rPr>
          <w:color w:val="000000"/>
        </w:rPr>
      </w:pPr>
    </w:p>
    <w:p w14:paraId="551F1A7D" w14:textId="77777777" w:rsidR="00C27C54" w:rsidRPr="004F5FB4" w:rsidRDefault="00C27C54" w:rsidP="00755F77">
      <w:pPr>
        <w:autoSpaceDE w:val="0"/>
        <w:autoSpaceDN w:val="0"/>
        <w:adjustRightInd w:val="0"/>
        <w:rPr>
          <w:color w:val="000000"/>
        </w:rPr>
      </w:pPr>
      <w:r w:rsidRPr="004F5FB4">
        <w:rPr>
          <w:color w:val="000000"/>
        </w:rPr>
        <w:t xml:space="preserve">Wenn Ihr Kind während </w:t>
      </w:r>
      <w:r w:rsidR="000E58B6" w:rsidRPr="004F5FB4">
        <w:rPr>
          <w:color w:val="000000"/>
        </w:rPr>
        <w:t xml:space="preserve">der </w:t>
      </w:r>
      <w:r w:rsidRPr="004F5FB4">
        <w:rPr>
          <w:color w:val="000000"/>
        </w:rPr>
        <w:t xml:space="preserve">Schwangerschaft Amsparity erhält, kann bei </w:t>
      </w:r>
      <w:r w:rsidR="000E58B6" w:rsidRPr="004F5FB4">
        <w:rPr>
          <w:color w:val="000000"/>
        </w:rPr>
        <w:t xml:space="preserve">dem </w:t>
      </w:r>
      <w:r w:rsidRPr="004F5FB4">
        <w:rPr>
          <w:color w:val="000000"/>
        </w:rPr>
        <w:t>Säugling ein erhöhtes Risiko bestehen, eine Infektion zu bekommen. Es ist wichtig, dass Sie vor einer Impfung des Säuglings dessen Ärzte und anderes Fachpersonal im Gesundheitswesen darüber informieren, dass Amsparity während der Schwangerschaft angewendet wurde. Weitere Information siehe im Abschnitt zu Impfungen unter „Warnhinweise und Vorsichtsmaßnahmen“.</w:t>
      </w:r>
    </w:p>
    <w:p w14:paraId="254820F4" w14:textId="77777777" w:rsidR="00C46587" w:rsidRPr="004F5FB4" w:rsidRDefault="00C46587" w:rsidP="00982118">
      <w:pPr>
        <w:rPr>
          <w:color w:val="000000"/>
        </w:rPr>
      </w:pPr>
    </w:p>
    <w:p w14:paraId="5B24E790" w14:textId="77777777" w:rsidR="00C46587" w:rsidRPr="004F5FB4" w:rsidRDefault="00C46587" w:rsidP="00982118">
      <w:pPr>
        <w:rPr>
          <w:b/>
          <w:color w:val="000000"/>
        </w:rPr>
      </w:pPr>
      <w:r w:rsidRPr="004F5FB4">
        <w:rPr>
          <w:b/>
          <w:color w:val="000000"/>
        </w:rPr>
        <w:t xml:space="preserve">Verkehrstüchtigkeit und Fähigkeit zum Bedienen von Maschinen </w:t>
      </w:r>
    </w:p>
    <w:p w14:paraId="31D45E9F" w14:textId="77777777" w:rsidR="00C46587" w:rsidRPr="004F5FB4" w:rsidRDefault="00C46587" w:rsidP="00982118">
      <w:pPr>
        <w:rPr>
          <w:color w:val="000000"/>
        </w:rPr>
      </w:pPr>
    </w:p>
    <w:p w14:paraId="3B3ED566" w14:textId="77777777" w:rsidR="00C46587" w:rsidRPr="004F5FB4" w:rsidRDefault="006A1144" w:rsidP="00982118">
      <w:pPr>
        <w:rPr>
          <w:color w:val="000000"/>
        </w:rPr>
      </w:pPr>
      <w:r w:rsidRPr="004F5FB4">
        <w:rPr>
          <w:color w:val="000000"/>
        </w:rPr>
        <w:t xml:space="preserve">Amsparity kann einen geringen Einfluss auf die Verkehrstüchtigkeit Ihres Kindes und das Bedienen von Maschinen haben. Bei der Anwendung von Amsparity kann das Sehvermögen beeinträchtigt sein und es kann das Gefühl auftreten, dass sich der Raum dreht (Drehschwindel). </w:t>
      </w:r>
    </w:p>
    <w:p w14:paraId="748D8983" w14:textId="77777777" w:rsidR="00C46587" w:rsidRPr="004F5FB4" w:rsidRDefault="00C46587" w:rsidP="00982118">
      <w:pPr>
        <w:rPr>
          <w:color w:val="000000"/>
        </w:rPr>
      </w:pPr>
    </w:p>
    <w:p w14:paraId="078B901F" w14:textId="77777777" w:rsidR="00530C9E" w:rsidRPr="007F47A9" w:rsidRDefault="00530C9E" w:rsidP="00530C9E">
      <w:pPr>
        <w:keepNext/>
        <w:rPr>
          <w:b/>
        </w:rPr>
      </w:pPr>
      <w:r>
        <w:rPr>
          <w:b/>
        </w:rPr>
        <w:t>Amsparity enthält Polysorbat 80</w:t>
      </w:r>
    </w:p>
    <w:p w14:paraId="1024B8ED" w14:textId="77777777" w:rsidR="00530C9E" w:rsidRPr="00272A84" w:rsidRDefault="00530C9E" w:rsidP="00530C9E">
      <w:pPr>
        <w:keepNext/>
        <w:rPr>
          <w:b/>
        </w:rPr>
      </w:pPr>
    </w:p>
    <w:p w14:paraId="6BD71065" w14:textId="77777777" w:rsidR="00530C9E" w:rsidRDefault="00530C9E" w:rsidP="00530C9E">
      <w:pPr>
        <w:keepNext/>
      </w:pPr>
      <w:r>
        <w:t>Dieses Arzneimittel enthält 0,16 mg Polysorbat 80 pro Einzeldosis-Durchstechflasche mit 0,8 ml, entsprechend 0,2 mg/ml Polysorbat 80. Polysorbate können allergische Reaktionen hervorrufen. Informieren Sie Ihren Arzt, wenn Ihr Kind bekannte Allergien hat.</w:t>
      </w:r>
    </w:p>
    <w:p w14:paraId="5E3A4B9F" w14:textId="77777777" w:rsidR="00530C9E" w:rsidRPr="007F47A9" w:rsidRDefault="00530C9E" w:rsidP="00530C9E">
      <w:pPr>
        <w:keepNext/>
        <w:rPr>
          <w:b/>
        </w:rPr>
      </w:pPr>
    </w:p>
    <w:p w14:paraId="74E15029" w14:textId="77777777" w:rsidR="0072207D" w:rsidRPr="004F5FB4" w:rsidRDefault="006A1144" w:rsidP="00982118">
      <w:pPr>
        <w:rPr>
          <w:b/>
          <w:color w:val="000000"/>
        </w:rPr>
      </w:pPr>
      <w:r w:rsidRPr="004F5FB4">
        <w:rPr>
          <w:b/>
          <w:color w:val="000000"/>
        </w:rPr>
        <w:t>Amsparity enthält Natrium</w:t>
      </w:r>
    </w:p>
    <w:p w14:paraId="02CD328E" w14:textId="77777777" w:rsidR="0072207D" w:rsidRPr="004F5FB4" w:rsidRDefault="0072207D" w:rsidP="00982118">
      <w:pPr>
        <w:rPr>
          <w:color w:val="000000"/>
        </w:rPr>
      </w:pPr>
    </w:p>
    <w:p w14:paraId="1519163B" w14:textId="77777777" w:rsidR="0072207D" w:rsidRPr="004F5FB4" w:rsidRDefault="0072207D" w:rsidP="00982118">
      <w:pPr>
        <w:rPr>
          <w:color w:val="000000"/>
        </w:rPr>
      </w:pPr>
      <w:r w:rsidRPr="004F5FB4">
        <w:rPr>
          <w:color w:val="000000"/>
        </w:rPr>
        <w:t>Dieses Arzneimittel enthält weniger als 1 mmol Natrium (23 mg) pro 0,8</w:t>
      </w:r>
      <w:r w:rsidRPr="004F5FB4">
        <w:rPr>
          <w:color w:val="000000"/>
        </w:rPr>
        <w:noBreakHyphen/>
        <w:t>ml-Dosis, d</w:t>
      </w:r>
      <w:r w:rsidR="004F2EA2" w:rsidRPr="004F5FB4">
        <w:rPr>
          <w:color w:val="000000"/>
        </w:rPr>
        <w:t>. </w:t>
      </w:r>
      <w:r w:rsidRPr="004F5FB4">
        <w:rPr>
          <w:color w:val="000000"/>
        </w:rPr>
        <w:t>h</w:t>
      </w:r>
      <w:r w:rsidR="004F2EA2" w:rsidRPr="004F5FB4">
        <w:rPr>
          <w:color w:val="000000"/>
        </w:rPr>
        <w:t>.,</w:t>
      </w:r>
      <w:r w:rsidRPr="004F5FB4">
        <w:rPr>
          <w:color w:val="000000"/>
        </w:rPr>
        <w:t xml:space="preserve"> es ist nahezu „natriumfrei“.</w:t>
      </w:r>
    </w:p>
    <w:p w14:paraId="7E768217" w14:textId="77777777" w:rsidR="0072207D" w:rsidRPr="004F5FB4" w:rsidRDefault="0072207D" w:rsidP="00982118">
      <w:pPr>
        <w:rPr>
          <w:color w:val="000000"/>
        </w:rPr>
      </w:pPr>
    </w:p>
    <w:p w14:paraId="2369A717" w14:textId="77777777" w:rsidR="00C46587" w:rsidRPr="004F5FB4" w:rsidRDefault="00C46587" w:rsidP="00982118">
      <w:pPr>
        <w:rPr>
          <w:color w:val="000000"/>
        </w:rPr>
      </w:pPr>
    </w:p>
    <w:p w14:paraId="273BE537" w14:textId="77777777" w:rsidR="00C46587" w:rsidRPr="004F5FB4" w:rsidRDefault="00C46587" w:rsidP="00982118">
      <w:pPr>
        <w:tabs>
          <w:tab w:val="left" w:pos="562"/>
        </w:tabs>
        <w:rPr>
          <w:b/>
          <w:color w:val="000000"/>
        </w:rPr>
      </w:pPr>
      <w:r w:rsidRPr="004F5FB4">
        <w:rPr>
          <w:b/>
          <w:color w:val="000000"/>
        </w:rPr>
        <w:t>3</w:t>
      </w:r>
      <w:r w:rsidR="004F2EA2" w:rsidRPr="004F5FB4">
        <w:rPr>
          <w:b/>
          <w:color w:val="000000"/>
        </w:rPr>
        <w:t>.</w:t>
      </w:r>
      <w:r w:rsidRPr="004F5FB4">
        <w:rPr>
          <w:b/>
          <w:color w:val="000000"/>
        </w:rPr>
        <w:tab/>
        <w:t xml:space="preserve">Wie ist Amsparity anzuwenden? </w:t>
      </w:r>
    </w:p>
    <w:p w14:paraId="3FD529E0" w14:textId="77777777" w:rsidR="00C46587" w:rsidRPr="004F5FB4" w:rsidRDefault="00C46587" w:rsidP="00982118">
      <w:pPr>
        <w:rPr>
          <w:color w:val="000000"/>
        </w:rPr>
      </w:pPr>
    </w:p>
    <w:p w14:paraId="6FB4475F" w14:textId="77777777" w:rsidR="00C46587" w:rsidRPr="004F5FB4" w:rsidRDefault="00C46587" w:rsidP="00982118">
      <w:pPr>
        <w:rPr>
          <w:color w:val="000000"/>
        </w:rPr>
      </w:pPr>
      <w:r w:rsidRPr="004F5FB4">
        <w:rPr>
          <w:color w:val="000000"/>
        </w:rPr>
        <w:t>Wenden Sie dieses Arzneimittel immer genau nach Absprache mit dem Arzt</w:t>
      </w:r>
      <w:r w:rsidR="00443293" w:rsidRPr="004F5FB4">
        <w:rPr>
          <w:color w:val="000000"/>
        </w:rPr>
        <w:t xml:space="preserve">, </w:t>
      </w:r>
      <w:r w:rsidR="00CC3563" w:rsidRPr="004F5FB4">
        <w:rPr>
          <w:color w:val="000000"/>
        </w:rPr>
        <w:t>medizinischen Fachpersonal</w:t>
      </w:r>
      <w:r w:rsidRPr="004F5FB4">
        <w:rPr>
          <w:color w:val="000000"/>
        </w:rPr>
        <w:t xml:space="preserve"> oder Apotheker Ihres Kindes an. Fragen Sie beim Arzt</w:t>
      </w:r>
      <w:r w:rsidR="00443293" w:rsidRPr="004F5FB4">
        <w:rPr>
          <w:color w:val="000000"/>
        </w:rPr>
        <w:t xml:space="preserve">, </w:t>
      </w:r>
      <w:r w:rsidR="00F459B8" w:rsidRPr="004F5FB4">
        <w:rPr>
          <w:color w:val="000000"/>
        </w:rPr>
        <w:t>medizinischen Fachpersonal</w:t>
      </w:r>
      <w:r w:rsidR="00CC3563" w:rsidRPr="004F5FB4">
        <w:rPr>
          <w:color w:val="000000"/>
        </w:rPr>
        <w:t xml:space="preserve"> oder Apotheker</w:t>
      </w:r>
      <w:r w:rsidRPr="004F5FB4">
        <w:rPr>
          <w:color w:val="000000"/>
        </w:rPr>
        <w:t xml:space="preserve"> nach, wenn Sie sich nicht sicher sind. Der Arzt Ihres Kindes kann Amsparity in einer anderen Stärke verschreiben, wenn Ihr Kind eine andere Dosierung benötigt.</w:t>
      </w:r>
    </w:p>
    <w:p w14:paraId="7222EEE9" w14:textId="77777777" w:rsidR="00894E1B" w:rsidRPr="004F5FB4" w:rsidRDefault="00894E1B" w:rsidP="00982118">
      <w:pPr>
        <w:rPr>
          <w:color w:val="000000"/>
        </w:rPr>
      </w:pPr>
    </w:p>
    <w:p w14:paraId="413453F6" w14:textId="77777777" w:rsidR="00894E1B" w:rsidRPr="004F5FB4" w:rsidRDefault="00894E1B" w:rsidP="00E936BC">
      <w:pPr>
        <w:pStyle w:val="BodyText"/>
        <w:widowControl/>
        <w:kinsoku w:val="0"/>
        <w:overflowPunct w:val="0"/>
        <w:ind w:left="0" w:right="168"/>
        <w:rPr>
          <w:color w:val="000000"/>
        </w:rPr>
      </w:pPr>
      <w:r w:rsidRPr="004F5FB4">
        <w:rPr>
          <w:color w:val="000000"/>
        </w:rPr>
        <w:t>Amsparity wird unter die Haut gespritzt (subkutane Anwendung).</w:t>
      </w:r>
    </w:p>
    <w:p w14:paraId="0F85CCD3" w14:textId="77777777" w:rsidR="00C46587" w:rsidRPr="004F5FB4" w:rsidRDefault="00C46587" w:rsidP="00982118">
      <w:pPr>
        <w:rPr>
          <w:color w:val="000000"/>
        </w:rPr>
      </w:pPr>
    </w:p>
    <w:p w14:paraId="1B0F86EF" w14:textId="77777777" w:rsidR="00C46587" w:rsidRPr="004F5FB4" w:rsidRDefault="00C46587" w:rsidP="00982118">
      <w:pPr>
        <w:keepNext/>
        <w:rPr>
          <w:color w:val="000000"/>
          <w:u w:val="single"/>
        </w:rPr>
      </w:pPr>
      <w:r w:rsidRPr="004F5FB4">
        <w:rPr>
          <w:color w:val="000000"/>
          <w:u w:val="single"/>
        </w:rPr>
        <w:t>Kinder und Jugendliche mit polyartikulärer juveniler idiopathischer Arthritis</w:t>
      </w:r>
    </w:p>
    <w:p w14:paraId="3DB82EDB" w14:textId="77777777" w:rsidR="0072207D" w:rsidRPr="004F5FB4" w:rsidRDefault="0072207D" w:rsidP="00982118">
      <w:pPr>
        <w:rPr>
          <w:color w:val="000000"/>
        </w:rPr>
      </w:pPr>
    </w:p>
    <w:p w14:paraId="5DEA4B98" w14:textId="77777777" w:rsidR="00C46587" w:rsidRPr="004F5FB4" w:rsidRDefault="0072207D" w:rsidP="00982118">
      <w:pPr>
        <w:rPr>
          <w:i/>
          <w:color w:val="000000"/>
        </w:rPr>
      </w:pPr>
      <w:r w:rsidRPr="004F5FB4">
        <w:rPr>
          <w:i/>
          <w:color w:val="000000"/>
        </w:rPr>
        <w:t>Kinder ab 2</w:t>
      </w:r>
      <w:r w:rsidR="002B5643" w:rsidRPr="004F5FB4">
        <w:rPr>
          <w:i/>
          <w:color w:val="000000"/>
        </w:rPr>
        <w:t> </w:t>
      </w:r>
      <w:r w:rsidRPr="004F5FB4">
        <w:rPr>
          <w:i/>
          <w:color w:val="000000"/>
        </w:rPr>
        <w:t>Jahren und Jugendliche mit einem Körpergewicht zwischen 10 kg und unter 30 kg</w:t>
      </w:r>
    </w:p>
    <w:p w14:paraId="0062DD5D" w14:textId="77777777" w:rsidR="0072207D" w:rsidRPr="004F5FB4" w:rsidRDefault="0072207D" w:rsidP="00982118">
      <w:pPr>
        <w:rPr>
          <w:color w:val="000000"/>
        </w:rPr>
      </w:pPr>
    </w:p>
    <w:p w14:paraId="6BD2F5C6" w14:textId="77777777" w:rsidR="00C46587" w:rsidRPr="004F5FB4" w:rsidRDefault="00C46587" w:rsidP="00982118">
      <w:pPr>
        <w:rPr>
          <w:color w:val="000000"/>
        </w:rPr>
      </w:pPr>
      <w:r w:rsidRPr="004F5FB4">
        <w:rPr>
          <w:color w:val="000000"/>
        </w:rPr>
        <w:t>Die empfohlene Dosierung von Amsparity beträgt 20 mg jede zweite Woche.</w:t>
      </w:r>
    </w:p>
    <w:p w14:paraId="172BA797" w14:textId="77777777" w:rsidR="00C46587" w:rsidRPr="004F5FB4" w:rsidRDefault="00C46587" w:rsidP="00982118">
      <w:pPr>
        <w:rPr>
          <w:color w:val="000000"/>
        </w:rPr>
      </w:pPr>
    </w:p>
    <w:p w14:paraId="00C91B0F" w14:textId="77777777" w:rsidR="001D1928" w:rsidRPr="004F5FB4" w:rsidRDefault="001D1928" w:rsidP="00A71117">
      <w:pPr>
        <w:keepNext/>
        <w:rPr>
          <w:i/>
          <w:color w:val="000000"/>
        </w:rPr>
      </w:pPr>
      <w:r w:rsidRPr="004F5FB4">
        <w:rPr>
          <w:i/>
          <w:color w:val="000000"/>
        </w:rPr>
        <w:t>Kinder ab 2</w:t>
      </w:r>
      <w:r w:rsidR="002B5643" w:rsidRPr="004F5FB4">
        <w:rPr>
          <w:i/>
          <w:color w:val="000000"/>
        </w:rPr>
        <w:t> </w:t>
      </w:r>
      <w:r w:rsidRPr="004F5FB4">
        <w:rPr>
          <w:i/>
          <w:color w:val="000000"/>
        </w:rPr>
        <w:t>Jahren und Jugendliche mit einem Gewicht von 30 kg oder mehr</w:t>
      </w:r>
    </w:p>
    <w:p w14:paraId="3E1FC1B3" w14:textId="77777777" w:rsidR="001D1928" w:rsidRPr="004F5FB4" w:rsidRDefault="001D1928" w:rsidP="00A71117">
      <w:pPr>
        <w:keepNext/>
        <w:rPr>
          <w:color w:val="000000"/>
        </w:rPr>
      </w:pPr>
    </w:p>
    <w:p w14:paraId="6356D328" w14:textId="77777777" w:rsidR="00C46587" w:rsidRPr="004F5FB4" w:rsidRDefault="00C46587" w:rsidP="00A71117">
      <w:pPr>
        <w:keepNext/>
        <w:rPr>
          <w:color w:val="000000"/>
        </w:rPr>
      </w:pPr>
      <w:r w:rsidRPr="004F5FB4">
        <w:rPr>
          <w:color w:val="000000"/>
        </w:rPr>
        <w:t>Die empfohlene Dosierung von Amsparity beträgt 40 mg jede zweite Woche.</w:t>
      </w:r>
    </w:p>
    <w:p w14:paraId="14EF96C0" w14:textId="77777777" w:rsidR="00C46587" w:rsidRPr="004F5FB4" w:rsidRDefault="00C46587" w:rsidP="00982118">
      <w:pPr>
        <w:rPr>
          <w:color w:val="000000"/>
        </w:rPr>
      </w:pPr>
    </w:p>
    <w:p w14:paraId="467708D5" w14:textId="77777777" w:rsidR="00C46587" w:rsidRPr="004F5FB4" w:rsidRDefault="00C46587" w:rsidP="00982118">
      <w:pPr>
        <w:keepNext/>
        <w:rPr>
          <w:color w:val="000000"/>
          <w:u w:val="single"/>
        </w:rPr>
      </w:pPr>
      <w:r w:rsidRPr="004F5FB4">
        <w:rPr>
          <w:color w:val="000000"/>
          <w:u w:val="single"/>
        </w:rPr>
        <w:t>Kinder</w:t>
      </w:r>
      <w:r w:rsidR="00443293" w:rsidRPr="004F5FB4">
        <w:rPr>
          <w:color w:val="000000"/>
          <w:u w:val="single"/>
        </w:rPr>
        <w:t xml:space="preserve"> und</w:t>
      </w:r>
      <w:r w:rsidRPr="004F5FB4">
        <w:rPr>
          <w:color w:val="000000"/>
          <w:u w:val="single"/>
        </w:rPr>
        <w:t xml:space="preserve"> Jugendliche mit Enthesitis</w:t>
      </w:r>
      <w:r w:rsidRPr="004F5FB4">
        <w:rPr>
          <w:color w:val="000000"/>
          <w:u w:val="single"/>
        </w:rPr>
        <w:noBreakHyphen/>
        <w:t>assoziierter Arthritis</w:t>
      </w:r>
    </w:p>
    <w:p w14:paraId="5F9ABF59" w14:textId="77777777" w:rsidR="00C46587" w:rsidRPr="004F5FB4" w:rsidRDefault="00C46587" w:rsidP="00982118">
      <w:pPr>
        <w:keepNext/>
        <w:rPr>
          <w:color w:val="000000"/>
        </w:rPr>
      </w:pPr>
    </w:p>
    <w:p w14:paraId="4EABAFB8" w14:textId="77777777" w:rsidR="001D1928" w:rsidRPr="004F5FB4" w:rsidRDefault="001D1928" w:rsidP="00982118">
      <w:pPr>
        <w:keepNext/>
        <w:rPr>
          <w:i/>
          <w:color w:val="000000"/>
        </w:rPr>
      </w:pPr>
      <w:r w:rsidRPr="004F5FB4">
        <w:rPr>
          <w:i/>
          <w:color w:val="000000"/>
        </w:rPr>
        <w:t>Kinder ab 6</w:t>
      </w:r>
      <w:r w:rsidR="002B5643" w:rsidRPr="004F5FB4">
        <w:rPr>
          <w:i/>
          <w:color w:val="000000"/>
        </w:rPr>
        <w:t> </w:t>
      </w:r>
      <w:r w:rsidRPr="004F5FB4">
        <w:rPr>
          <w:i/>
          <w:color w:val="000000"/>
        </w:rPr>
        <w:t>Jahren und Jugendliche mit einem Körpergewicht zwischen 15 kg und unter 30 kg</w:t>
      </w:r>
    </w:p>
    <w:p w14:paraId="2B80FF62" w14:textId="77777777" w:rsidR="001D1928" w:rsidRPr="004F5FB4" w:rsidRDefault="001D1928" w:rsidP="00982118">
      <w:pPr>
        <w:keepNext/>
        <w:rPr>
          <w:color w:val="000000"/>
        </w:rPr>
      </w:pPr>
    </w:p>
    <w:p w14:paraId="0ED22EC4" w14:textId="77777777" w:rsidR="001D1928" w:rsidRPr="004F5FB4" w:rsidRDefault="001D1928" w:rsidP="00982118">
      <w:pPr>
        <w:rPr>
          <w:color w:val="000000"/>
        </w:rPr>
      </w:pPr>
      <w:r w:rsidRPr="004F5FB4">
        <w:rPr>
          <w:color w:val="000000"/>
        </w:rPr>
        <w:t>Die empfohlene Dosierung von Amsparity beträgt 20 mg jede zweite Woche.</w:t>
      </w:r>
    </w:p>
    <w:p w14:paraId="3058D8B7" w14:textId="77777777" w:rsidR="001D1928" w:rsidRPr="004F5FB4" w:rsidRDefault="001D1928" w:rsidP="00982118">
      <w:pPr>
        <w:rPr>
          <w:color w:val="000000"/>
        </w:rPr>
      </w:pPr>
    </w:p>
    <w:p w14:paraId="5B7EB135" w14:textId="77777777" w:rsidR="001D1928" w:rsidRPr="004F5FB4" w:rsidRDefault="001D1928" w:rsidP="007C4B2C">
      <w:pPr>
        <w:keepNext/>
        <w:rPr>
          <w:i/>
          <w:color w:val="000000"/>
        </w:rPr>
      </w:pPr>
      <w:r w:rsidRPr="004F5FB4">
        <w:rPr>
          <w:i/>
          <w:color w:val="000000"/>
        </w:rPr>
        <w:lastRenderedPageBreak/>
        <w:t>Kinder ab 6</w:t>
      </w:r>
      <w:r w:rsidR="002B5643" w:rsidRPr="004F5FB4">
        <w:rPr>
          <w:i/>
          <w:color w:val="000000"/>
        </w:rPr>
        <w:t> </w:t>
      </w:r>
      <w:r w:rsidRPr="004F5FB4">
        <w:rPr>
          <w:i/>
          <w:color w:val="000000"/>
        </w:rPr>
        <w:t>Jahren</w:t>
      </w:r>
      <w:r w:rsidR="00443293" w:rsidRPr="004F5FB4">
        <w:rPr>
          <w:i/>
          <w:color w:val="000000"/>
        </w:rPr>
        <w:t xml:space="preserve"> und</w:t>
      </w:r>
      <w:r w:rsidRPr="004F5FB4">
        <w:rPr>
          <w:i/>
          <w:color w:val="000000"/>
        </w:rPr>
        <w:t xml:space="preserve"> Jugendliche mit einem Körpergewicht von 30 kg oder mehr</w:t>
      </w:r>
    </w:p>
    <w:p w14:paraId="26611818" w14:textId="77777777" w:rsidR="001D1928" w:rsidRPr="004F5FB4" w:rsidRDefault="001D1928" w:rsidP="007C4B2C">
      <w:pPr>
        <w:keepNext/>
        <w:rPr>
          <w:color w:val="000000"/>
        </w:rPr>
      </w:pPr>
    </w:p>
    <w:p w14:paraId="75E62263" w14:textId="77777777" w:rsidR="00C46587" w:rsidRPr="004F5FB4" w:rsidRDefault="00C46587" w:rsidP="007C4B2C">
      <w:pPr>
        <w:keepNext/>
        <w:rPr>
          <w:color w:val="000000"/>
        </w:rPr>
      </w:pPr>
      <w:r w:rsidRPr="004F5FB4">
        <w:rPr>
          <w:color w:val="000000"/>
        </w:rPr>
        <w:t>Die empfohlene Dosierung von Amsparity beträgt 40 mg jede zweite Woche.</w:t>
      </w:r>
    </w:p>
    <w:p w14:paraId="18C22FB8" w14:textId="77777777" w:rsidR="00C46587" w:rsidRPr="004F5FB4" w:rsidRDefault="00C46587" w:rsidP="00982118">
      <w:pPr>
        <w:keepNext/>
        <w:rPr>
          <w:color w:val="000000"/>
        </w:rPr>
      </w:pPr>
    </w:p>
    <w:p w14:paraId="6CAD7424" w14:textId="77777777" w:rsidR="001D1928" w:rsidRPr="004F5FB4" w:rsidRDefault="001D1928" w:rsidP="00E936BC">
      <w:pPr>
        <w:keepNext/>
        <w:tabs>
          <w:tab w:val="left" w:pos="3918"/>
        </w:tabs>
        <w:rPr>
          <w:color w:val="000000"/>
          <w:u w:val="single"/>
        </w:rPr>
      </w:pPr>
      <w:r w:rsidRPr="004F5FB4">
        <w:rPr>
          <w:color w:val="000000"/>
          <w:u w:val="single"/>
        </w:rPr>
        <w:t>Kinder und Jugendliche mit Psoriasis</w:t>
      </w:r>
    </w:p>
    <w:p w14:paraId="554D8229" w14:textId="77777777" w:rsidR="001D1928" w:rsidRPr="004F5FB4" w:rsidRDefault="001D1928" w:rsidP="00982118">
      <w:pPr>
        <w:keepNext/>
        <w:rPr>
          <w:color w:val="000000"/>
        </w:rPr>
      </w:pPr>
    </w:p>
    <w:p w14:paraId="19874D1E" w14:textId="77777777" w:rsidR="001D1928" w:rsidRPr="004F5FB4" w:rsidRDefault="001D1928" w:rsidP="00982118">
      <w:pPr>
        <w:keepNext/>
        <w:rPr>
          <w:i/>
          <w:color w:val="000000"/>
        </w:rPr>
      </w:pPr>
      <w:r w:rsidRPr="004F5FB4">
        <w:rPr>
          <w:i/>
          <w:color w:val="000000"/>
        </w:rPr>
        <w:t>Kinder und Jugendliche zwischen 4 und 17</w:t>
      </w:r>
      <w:r w:rsidR="002B5643" w:rsidRPr="004F5FB4">
        <w:rPr>
          <w:i/>
          <w:color w:val="000000"/>
        </w:rPr>
        <w:t> </w:t>
      </w:r>
      <w:r w:rsidRPr="004F5FB4">
        <w:rPr>
          <w:i/>
          <w:color w:val="000000"/>
        </w:rPr>
        <w:t>Jahren mit einem Körpergewicht zwischen 15 kg und unter 30 kg</w:t>
      </w:r>
    </w:p>
    <w:p w14:paraId="76A632CA" w14:textId="77777777" w:rsidR="001D1928" w:rsidRPr="004F5FB4" w:rsidRDefault="001D1928" w:rsidP="00982118">
      <w:pPr>
        <w:keepNext/>
        <w:rPr>
          <w:color w:val="000000"/>
        </w:rPr>
      </w:pPr>
    </w:p>
    <w:p w14:paraId="60F766BE" w14:textId="77777777" w:rsidR="001D1928" w:rsidRPr="004F5FB4" w:rsidRDefault="001D1928" w:rsidP="00982118">
      <w:pPr>
        <w:rPr>
          <w:color w:val="000000"/>
        </w:rPr>
      </w:pPr>
      <w:r w:rsidRPr="004F5FB4">
        <w:rPr>
          <w:color w:val="000000"/>
        </w:rPr>
        <w:t>Die empfohlene Anfangsdosis von Amsparity beträgt 20 mg, gefolgt von 20 mg eine Woche später. Danach beträgt die übliche Dosis 20 mg jede zweite Woche.</w:t>
      </w:r>
    </w:p>
    <w:p w14:paraId="0E2D6E81" w14:textId="77777777" w:rsidR="001D1928" w:rsidRPr="004F5FB4" w:rsidRDefault="001D1928" w:rsidP="00982118">
      <w:pPr>
        <w:rPr>
          <w:color w:val="000000"/>
        </w:rPr>
      </w:pPr>
    </w:p>
    <w:p w14:paraId="7FF4F86B" w14:textId="77777777" w:rsidR="001D1928" w:rsidRPr="004F5FB4" w:rsidRDefault="001D1928" w:rsidP="00982118">
      <w:pPr>
        <w:rPr>
          <w:i/>
          <w:color w:val="000000"/>
        </w:rPr>
      </w:pPr>
      <w:r w:rsidRPr="004F5FB4">
        <w:rPr>
          <w:i/>
          <w:color w:val="000000"/>
        </w:rPr>
        <w:t>Kinder und Jugendliche zwischen 4 und 17</w:t>
      </w:r>
      <w:r w:rsidR="002B5643" w:rsidRPr="004F5FB4">
        <w:rPr>
          <w:i/>
          <w:color w:val="000000"/>
        </w:rPr>
        <w:t> </w:t>
      </w:r>
      <w:r w:rsidRPr="004F5FB4">
        <w:rPr>
          <w:i/>
          <w:color w:val="000000"/>
        </w:rPr>
        <w:t>Jahren mit einem Körpergewicht von 30 kg oder mehr</w:t>
      </w:r>
    </w:p>
    <w:p w14:paraId="73EB0B7E" w14:textId="77777777" w:rsidR="001D1928" w:rsidRPr="004F5FB4" w:rsidRDefault="001D1928" w:rsidP="00982118">
      <w:pPr>
        <w:rPr>
          <w:color w:val="000000"/>
        </w:rPr>
      </w:pPr>
    </w:p>
    <w:p w14:paraId="1B24CCE6" w14:textId="77777777" w:rsidR="001D1928" w:rsidRPr="004F5FB4" w:rsidRDefault="001D1928" w:rsidP="00982118">
      <w:pPr>
        <w:rPr>
          <w:color w:val="000000"/>
        </w:rPr>
      </w:pPr>
      <w:r w:rsidRPr="004F5FB4">
        <w:rPr>
          <w:color w:val="000000"/>
        </w:rPr>
        <w:t>Die empfohlene Anfangsdosis von Amsparity beträgt 40 mg, gefolgt von 40 mg eine Woche später. Danach beträgt die übliche Dosis 40 mg jede zweite Woche.</w:t>
      </w:r>
    </w:p>
    <w:p w14:paraId="6DD54B39" w14:textId="77777777" w:rsidR="001D1928" w:rsidRPr="004F5FB4" w:rsidRDefault="001D1928" w:rsidP="00982118">
      <w:pPr>
        <w:rPr>
          <w:color w:val="000000"/>
        </w:rPr>
      </w:pPr>
    </w:p>
    <w:p w14:paraId="2AB3C856" w14:textId="77777777" w:rsidR="001D1928" w:rsidRPr="004F5FB4" w:rsidRDefault="001D1928" w:rsidP="00982118">
      <w:pPr>
        <w:keepNext/>
        <w:rPr>
          <w:color w:val="000000"/>
          <w:u w:val="single"/>
        </w:rPr>
      </w:pPr>
      <w:r w:rsidRPr="004F5FB4">
        <w:rPr>
          <w:color w:val="000000"/>
          <w:u w:val="single"/>
        </w:rPr>
        <w:t>Jugendliche mit Hidradenitis suppurativa (Acne inversa) zwischen 12 und 17</w:t>
      </w:r>
      <w:r w:rsidR="002B5643" w:rsidRPr="004F5FB4">
        <w:rPr>
          <w:color w:val="000000"/>
          <w:u w:val="single"/>
        </w:rPr>
        <w:t> </w:t>
      </w:r>
      <w:r w:rsidRPr="004F5FB4">
        <w:rPr>
          <w:color w:val="000000"/>
          <w:u w:val="single"/>
        </w:rPr>
        <w:t>Jahren mit einem Körpergewicht von 30 kg oder mehr</w:t>
      </w:r>
    </w:p>
    <w:p w14:paraId="4E19642E" w14:textId="77777777" w:rsidR="001D1928" w:rsidRPr="004F5FB4" w:rsidRDefault="001D1928" w:rsidP="00982118">
      <w:pPr>
        <w:keepNext/>
        <w:rPr>
          <w:color w:val="000000"/>
        </w:rPr>
      </w:pPr>
    </w:p>
    <w:p w14:paraId="3F2529DA" w14:textId="77777777" w:rsidR="001D1928" w:rsidRPr="004F5FB4" w:rsidRDefault="001D1928" w:rsidP="00982118">
      <w:pPr>
        <w:rPr>
          <w:color w:val="000000"/>
        </w:rPr>
      </w:pPr>
      <w:r w:rsidRPr="004F5FB4">
        <w:rPr>
          <w:color w:val="000000"/>
        </w:rPr>
        <w:t>Die empfohlene Anfangsdosis von Amsparity beträgt 80 mg (als zwei Injektionen von 40</w:t>
      </w:r>
      <w:r w:rsidR="002B5643" w:rsidRPr="004F5FB4">
        <w:rPr>
          <w:color w:val="000000"/>
        </w:rPr>
        <w:t> </w:t>
      </w:r>
      <w:r w:rsidRPr="004F5FB4">
        <w:rPr>
          <w:color w:val="000000"/>
        </w:rPr>
        <w:t>mg an einem Tag). Nach einer Woche werden 40</w:t>
      </w:r>
      <w:r w:rsidR="002B5643" w:rsidRPr="004F5FB4">
        <w:rPr>
          <w:color w:val="000000"/>
        </w:rPr>
        <w:t> </w:t>
      </w:r>
      <w:r w:rsidRPr="004F5FB4">
        <w:rPr>
          <w:color w:val="000000"/>
        </w:rPr>
        <w:t>mg jede zweite Woche verabreicht. Wenn die Dosis nicht ausreichend wirkt, kann Ihr Arzt die Dosierung auf 40 mg jede Woche oder 80 mg jede zweite Woche erhöhen.</w:t>
      </w:r>
    </w:p>
    <w:p w14:paraId="0FC374AD" w14:textId="77777777" w:rsidR="001D1928" w:rsidRPr="004F5FB4" w:rsidRDefault="001D1928" w:rsidP="00982118">
      <w:pPr>
        <w:rPr>
          <w:color w:val="000000"/>
        </w:rPr>
      </w:pPr>
    </w:p>
    <w:p w14:paraId="585FDA93" w14:textId="77777777" w:rsidR="001D1928" w:rsidRPr="004F5FB4" w:rsidRDefault="001D1928" w:rsidP="00982118">
      <w:pPr>
        <w:rPr>
          <w:color w:val="000000"/>
        </w:rPr>
      </w:pPr>
      <w:r w:rsidRPr="004F5FB4">
        <w:rPr>
          <w:color w:val="000000"/>
        </w:rPr>
        <w:t>Es wird empfohlen, dass Sie an den betroffenen Stellen täglich eine antiseptische Waschlösung anwenden.</w:t>
      </w:r>
    </w:p>
    <w:p w14:paraId="70512F69" w14:textId="77777777" w:rsidR="001D1928" w:rsidRPr="004F5FB4" w:rsidRDefault="001D1928" w:rsidP="00982118">
      <w:pPr>
        <w:rPr>
          <w:color w:val="000000"/>
        </w:rPr>
      </w:pPr>
    </w:p>
    <w:p w14:paraId="7594D291" w14:textId="77777777" w:rsidR="00C46587" w:rsidRPr="004F5FB4" w:rsidRDefault="00C46587" w:rsidP="00982118">
      <w:pPr>
        <w:rPr>
          <w:color w:val="000000"/>
        </w:rPr>
      </w:pPr>
      <w:r w:rsidRPr="004F5FB4">
        <w:rPr>
          <w:color w:val="000000"/>
          <w:u w:val="single"/>
        </w:rPr>
        <w:t>Kinder und Jugendliche mit Morbus Crohn</w:t>
      </w:r>
    </w:p>
    <w:p w14:paraId="695EF597" w14:textId="77777777" w:rsidR="00C46587" w:rsidRPr="004F5FB4" w:rsidRDefault="00C46587" w:rsidP="00982118">
      <w:pPr>
        <w:rPr>
          <w:color w:val="000000"/>
        </w:rPr>
      </w:pPr>
    </w:p>
    <w:p w14:paraId="7B0097DD" w14:textId="77777777" w:rsidR="00C46587" w:rsidRPr="004F5FB4" w:rsidRDefault="00C46587" w:rsidP="00982118">
      <w:pPr>
        <w:rPr>
          <w:i/>
          <w:color w:val="000000"/>
        </w:rPr>
      </w:pPr>
      <w:r w:rsidRPr="004F5FB4">
        <w:rPr>
          <w:i/>
          <w:color w:val="000000"/>
        </w:rPr>
        <w:t>Kinder und Jugendliche zwischen 6 und 17</w:t>
      </w:r>
      <w:r w:rsidR="002B5643" w:rsidRPr="004F5FB4">
        <w:rPr>
          <w:i/>
          <w:color w:val="000000"/>
        </w:rPr>
        <w:t> </w:t>
      </w:r>
      <w:r w:rsidRPr="004F5FB4">
        <w:rPr>
          <w:i/>
          <w:color w:val="000000"/>
        </w:rPr>
        <w:t>Jahren mit einem Gewicht unter 40 kg</w:t>
      </w:r>
    </w:p>
    <w:p w14:paraId="60CEFCB5" w14:textId="77777777" w:rsidR="00C46587" w:rsidRPr="004F5FB4" w:rsidRDefault="00C46587" w:rsidP="00982118">
      <w:pPr>
        <w:rPr>
          <w:color w:val="000000"/>
        </w:rPr>
      </w:pPr>
    </w:p>
    <w:p w14:paraId="7FC19CAB" w14:textId="77777777" w:rsidR="00C46587" w:rsidRPr="004F5FB4" w:rsidRDefault="00C46587" w:rsidP="00982118">
      <w:pPr>
        <w:rPr>
          <w:color w:val="000000"/>
        </w:rPr>
      </w:pPr>
      <w:r w:rsidRPr="004F5FB4">
        <w:rPr>
          <w:color w:val="000000"/>
        </w:rPr>
        <w:t>Die übliche Dosierung beträgt zu Beginn 40 mg, gefolgt von 20 mg zwei Wochen später. Wenn ein schnelleres Eintreten der Wirkung erforderlich ist, kann der Arzt Ihres Kindes eine Anfangsdosis von 80 mg (als zwei Injektionen von 40</w:t>
      </w:r>
      <w:r w:rsidR="002B5643" w:rsidRPr="004F5FB4">
        <w:rPr>
          <w:color w:val="000000"/>
        </w:rPr>
        <w:t> </w:t>
      </w:r>
      <w:r w:rsidRPr="004F5FB4">
        <w:rPr>
          <w:color w:val="000000"/>
        </w:rPr>
        <w:t>mg an einem Tag) verschreiben, gefolgt von 40</w:t>
      </w:r>
      <w:r w:rsidR="002B5643" w:rsidRPr="004F5FB4">
        <w:rPr>
          <w:color w:val="000000"/>
        </w:rPr>
        <w:t> </w:t>
      </w:r>
      <w:r w:rsidRPr="004F5FB4">
        <w:rPr>
          <w:color w:val="000000"/>
        </w:rPr>
        <w:t>mg zwei Wochen später.</w:t>
      </w:r>
    </w:p>
    <w:p w14:paraId="41A4420F" w14:textId="77777777" w:rsidR="00C46587" w:rsidRPr="004F5FB4" w:rsidRDefault="00C46587" w:rsidP="00982118">
      <w:pPr>
        <w:rPr>
          <w:color w:val="000000"/>
        </w:rPr>
      </w:pPr>
    </w:p>
    <w:p w14:paraId="55870FB1" w14:textId="77777777" w:rsidR="00C46587" w:rsidRPr="004F5FB4" w:rsidRDefault="00C46587" w:rsidP="00982118">
      <w:pPr>
        <w:rPr>
          <w:color w:val="000000"/>
        </w:rPr>
      </w:pPr>
      <w:r w:rsidRPr="004F5FB4">
        <w:rPr>
          <w:color w:val="000000"/>
        </w:rPr>
        <w:t>Danach beträgt die übliche Dosis 20 mg jede zweite Woche. Wenn die Dosis nicht ausreichend wirkt, kann der Arzt Ihres Kindes die Dosishäufigkeit auf 20 mg jede Woche erhöhen.</w:t>
      </w:r>
    </w:p>
    <w:p w14:paraId="3971D5C3" w14:textId="77777777" w:rsidR="00C46587" w:rsidRPr="004F5FB4" w:rsidRDefault="00C46587" w:rsidP="00982118">
      <w:pPr>
        <w:rPr>
          <w:color w:val="000000"/>
        </w:rPr>
      </w:pPr>
    </w:p>
    <w:p w14:paraId="5F227939" w14:textId="77777777" w:rsidR="00C46587" w:rsidRPr="004F5FB4" w:rsidRDefault="00C46587" w:rsidP="00982118">
      <w:pPr>
        <w:rPr>
          <w:i/>
          <w:color w:val="000000"/>
        </w:rPr>
      </w:pPr>
      <w:r w:rsidRPr="004F5FB4">
        <w:rPr>
          <w:i/>
          <w:color w:val="000000"/>
        </w:rPr>
        <w:t>Kinder und Jugendliche zwischen 6 und 17</w:t>
      </w:r>
      <w:r w:rsidR="002B5643" w:rsidRPr="004F5FB4">
        <w:rPr>
          <w:i/>
          <w:color w:val="000000"/>
        </w:rPr>
        <w:t> </w:t>
      </w:r>
      <w:r w:rsidRPr="004F5FB4">
        <w:rPr>
          <w:i/>
          <w:color w:val="000000"/>
        </w:rPr>
        <w:t>Jahren mit einem Körpergewicht von 40 kg oder mehr</w:t>
      </w:r>
    </w:p>
    <w:p w14:paraId="48916250" w14:textId="77777777" w:rsidR="00C46587" w:rsidRPr="004F5FB4" w:rsidRDefault="00C46587" w:rsidP="00982118">
      <w:pPr>
        <w:rPr>
          <w:color w:val="000000"/>
        </w:rPr>
      </w:pPr>
    </w:p>
    <w:p w14:paraId="0C757267" w14:textId="77777777" w:rsidR="00C46587" w:rsidRPr="004F5FB4" w:rsidRDefault="00C46587" w:rsidP="00982118">
      <w:pPr>
        <w:rPr>
          <w:color w:val="000000"/>
        </w:rPr>
      </w:pPr>
      <w:r w:rsidRPr="004F5FB4">
        <w:rPr>
          <w:color w:val="000000"/>
        </w:rPr>
        <w:t>Die übliche Dosierung beträgt zu Beginn 80 mg (als zwei Injektionen von 40</w:t>
      </w:r>
      <w:r w:rsidR="002B5643" w:rsidRPr="004F5FB4">
        <w:rPr>
          <w:color w:val="000000"/>
        </w:rPr>
        <w:t> </w:t>
      </w:r>
      <w:r w:rsidRPr="004F5FB4">
        <w:rPr>
          <w:color w:val="000000"/>
        </w:rPr>
        <w:t>mg an einem Tag), gefolgt von 40</w:t>
      </w:r>
      <w:r w:rsidR="002B5643" w:rsidRPr="004F5FB4">
        <w:rPr>
          <w:color w:val="000000"/>
        </w:rPr>
        <w:t> </w:t>
      </w:r>
      <w:r w:rsidRPr="004F5FB4">
        <w:rPr>
          <w:color w:val="000000"/>
        </w:rPr>
        <w:t>mg zwei Wochen später. Wenn ein schnelleres Eintreten der Wirkung erforderlich ist, kann der Arzt des Kindes eine Anfangsdosis von 160 mg (als vier Injektionen von 40 mg an einem Tag oder als zwei Injektionen von 40 mg pro Tag an zwei aufeinanderfolgenden Tagen) verschreiben, gefolgt von 80 mg (als zwei Injektionen von 40 mg an einem Tag) zwei Wochen später.</w:t>
      </w:r>
    </w:p>
    <w:p w14:paraId="10B29D02" w14:textId="77777777" w:rsidR="00C46587" w:rsidRPr="004F5FB4" w:rsidRDefault="00C46587" w:rsidP="00982118">
      <w:pPr>
        <w:rPr>
          <w:color w:val="000000"/>
        </w:rPr>
      </w:pPr>
    </w:p>
    <w:p w14:paraId="2F3E030F" w14:textId="77777777" w:rsidR="00C46587" w:rsidRPr="004F5FB4" w:rsidRDefault="00C46587" w:rsidP="00982118">
      <w:pPr>
        <w:rPr>
          <w:color w:val="000000"/>
        </w:rPr>
      </w:pPr>
      <w:r w:rsidRPr="004F5FB4">
        <w:rPr>
          <w:color w:val="000000"/>
        </w:rPr>
        <w:t>Danach beträgt die übliche Dosis 40 mg jede zweite Woche. Wenn die Dosis nicht ausreichend wirkt, kann der Arzt Ihres Kindes die Dosierung auf 40 mg jede Woche oder 80 mg jede zweite Woche erhöhen.</w:t>
      </w:r>
    </w:p>
    <w:p w14:paraId="79082C2A" w14:textId="77777777" w:rsidR="00C46587" w:rsidRDefault="00C46587" w:rsidP="00982118">
      <w:pPr>
        <w:rPr>
          <w:color w:val="000000"/>
        </w:rPr>
      </w:pPr>
    </w:p>
    <w:p w14:paraId="49933FAB" w14:textId="77777777" w:rsidR="00A46DB5" w:rsidRPr="008419B6" w:rsidRDefault="00A46DB5" w:rsidP="008419B6">
      <w:pPr>
        <w:keepNext/>
        <w:rPr>
          <w:color w:val="000000"/>
          <w:u w:val="single"/>
        </w:rPr>
      </w:pPr>
      <w:r w:rsidRPr="008419B6">
        <w:rPr>
          <w:color w:val="000000"/>
          <w:u w:val="single"/>
        </w:rPr>
        <w:lastRenderedPageBreak/>
        <w:t>Kinder und Jugendliche mit Colitis ulcerosa</w:t>
      </w:r>
    </w:p>
    <w:p w14:paraId="30FE5911" w14:textId="77777777" w:rsidR="00A46DB5" w:rsidRDefault="00A46DB5" w:rsidP="008419B6">
      <w:pPr>
        <w:keepNext/>
        <w:rPr>
          <w:i/>
          <w:iCs/>
          <w:color w:val="000000"/>
        </w:rPr>
      </w:pPr>
    </w:p>
    <w:p w14:paraId="28ABA1C4" w14:textId="77777777" w:rsidR="00A46DB5" w:rsidRPr="00A46DB5" w:rsidRDefault="00A46DB5" w:rsidP="008419B6">
      <w:pPr>
        <w:keepNext/>
        <w:rPr>
          <w:i/>
          <w:iCs/>
          <w:color w:val="000000"/>
        </w:rPr>
      </w:pPr>
      <w:r w:rsidRPr="00A46DB5">
        <w:rPr>
          <w:i/>
          <w:iCs/>
          <w:color w:val="000000"/>
        </w:rPr>
        <w:t>Kinder und Jugendliche ab 6</w:t>
      </w:r>
      <w:r>
        <w:rPr>
          <w:i/>
          <w:iCs/>
          <w:color w:val="000000"/>
        </w:rPr>
        <w:t> </w:t>
      </w:r>
      <w:r w:rsidRPr="00A46DB5">
        <w:rPr>
          <w:i/>
          <w:iCs/>
          <w:color w:val="000000"/>
        </w:rPr>
        <w:t>Jahren mit einem Körpergewicht unter 40</w:t>
      </w:r>
      <w:r>
        <w:rPr>
          <w:i/>
          <w:iCs/>
          <w:color w:val="000000"/>
        </w:rPr>
        <w:t> </w:t>
      </w:r>
      <w:r w:rsidRPr="00A46DB5">
        <w:rPr>
          <w:i/>
          <w:iCs/>
          <w:color w:val="000000"/>
        </w:rPr>
        <w:t>kg</w:t>
      </w:r>
    </w:p>
    <w:p w14:paraId="5B69A5B5" w14:textId="77777777" w:rsidR="00A46DB5" w:rsidRDefault="00A46DB5" w:rsidP="008419B6">
      <w:pPr>
        <w:keepNext/>
        <w:rPr>
          <w:color w:val="000000"/>
        </w:rPr>
      </w:pPr>
    </w:p>
    <w:p w14:paraId="7F06F1DC" w14:textId="77777777" w:rsidR="00A46DB5" w:rsidRDefault="00A46DB5" w:rsidP="008419B6">
      <w:pPr>
        <w:keepNext/>
        <w:rPr>
          <w:color w:val="000000"/>
        </w:rPr>
      </w:pPr>
      <w:r w:rsidRPr="00A46DB5">
        <w:rPr>
          <w:color w:val="000000"/>
        </w:rPr>
        <w:t xml:space="preserve">Die </w:t>
      </w:r>
      <w:r w:rsidRPr="00A46DB5">
        <w:rPr>
          <w:rFonts w:hint="eastAsia"/>
          <w:color w:val="000000"/>
        </w:rPr>
        <w:t>ü</w:t>
      </w:r>
      <w:r w:rsidRPr="00A46DB5">
        <w:rPr>
          <w:color w:val="000000"/>
        </w:rPr>
        <w:t xml:space="preserve">bliche Dosierung von </w:t>
      </w:r>
      <w:r>
        <w:rPr>
          <w:color w:val="000000"/>
        </w:rPr>
        <w:t>Amsparity</w:t>
      </w:r>
      <w:r w:rsidRPr="00A46DB5">
        <w:rPr>
          <w:color w:val="000000"/>
        </w:rPr>
        <w:t xml:space="preserve"> betr</w:t>
      </w:r>
      <w:r w:rsidRPr="00A46DB5">
        <w:rPr>
          <w:rFonts w:hint="eastAsia"/>
          <w:color w:val="000000"/>
        </w:rPr>
        <w:t>ä</w:t>
      </w:r>
      <w:r w:rsidRPr="00A46DB5">
        <w:rPr>
          <w:color w:val="000000"/>
        </w:rPr>
        <w:t>gt zu Beginn 80</w:t>
      </w:r>
      <w:r>
        <w:rPr>
          <w:color w:val="000000"/>
        </w:rPr>
        <w:t> </w:t>
      </w:r>
      <w:r w:rsidRPr="00A46DB5">
        <w:rPr>
          <w:color w:val="000000"/>
        </w:rPr>
        <w:t>mg (als zwei Injektionen von 40</w:t>
      </w:r>
      <w:r>
        <w:rPr>
          <w:color w:val="000000"/>
        </w:rPr>
        <w:t> </w:t>
      </w:r>
      <w:r w:rsidRPr="00A46DB5">
        <w:rPr>
          <w:color w:val="000000"/>
        </w:rPr>
        <w:t>mg an</w:t>
      </w:r>
      <w:r>
        <w:rPr>
          <w:color w:val="000000"/>
        </w:rPr>
        <w:t xml:space="preserve"> </w:t>
      </w:r>
      <w:r w:rsidRPr="00A46DB5">
        <w:rPr>
          <w:color w:val="000000"/>
        </w:rPr>
        <w:t>einem Tag), gefolgt von 40</w:t>
      </w:r>
      <w:r>
        <w:rPr>
          <w:color w:val="000000"/>
        </w:rPr>
        <w:t> </w:t>
      </w:r>
      <w:r w:rsidRPr="00A46DB5">
        <w:rPr>
          <w:color w:val="000000"/>
        </w:rPr>
        <w:t>mg (als eine Injektion von 40</w:t>
      </w:r>
      <w:r>
        <w:rPr>
          <w:color w:val="000000"/>
        </w:rPr>
        <w:t> </w:t>
      </w:r>
      <w:r w:rsidRPr="00A46DB5">
        <w:rPr>
          <w:color w:val="000000"/>
        </w:rPr>
        <w:t>mg) zwei Wochen sp</w:t>
      </w:r>
      <w:r w:rsidRPr="00A46DB5">
        <w:rPr>
          <w:rFonts w:hint="eastAsia"/>
          <w:color w:val="000000"/>
        </w:rPr>
        <w:t>ä</w:t>
      </w:r>
      <w:r w:rsidRPr="00A46DB5">
        <w:rPr>
          <w:color w:val="000000"/>
        </w:rPr>
        <w:t>ter. Danach betr</w:t>
      </w:r>
      <w:r w:rsidRPr="00A46DB5">
        <w:rPr>
          <w:rFonts w:hint="eastAsia"/>
          <w:color w:val="000000"/>
        </w:rPr>
        <w:t>ä</w:t>
      </w:r>
      <w:r w:rsidRPr="00A46DB5">
        <w:rPr>
          <w:color w:val="000000"/>
        </w:rPr>
        <w:t>gt</w:t>
      </w:r>
      <w:r>
        <w:rPr>
          <w:color w:val="000000"/>
        </w:rPr>
        <w:t xml:space="preserve"> </w:t>
      </w:r>
      <w:r w:rsidRPr="00A46DB5">
        <w:rPr>
          <w:color w:val="000000"/>
        </w:rPr>
        <w:t xml:space="preserve">die </w:t>
      </w:r>
      <w:r w:rsidRPr="00A46DB5">
        <w:rPr>
          <w:rFonts w:hint="eastAsia"/>
          <w:color w:val="000000"/>
        </w:rPr>
        <w:t>ü</w:t>
      </w:r>
      <w:r w:rsidRPr="00A46DB5">
        <w:rPr>
          <w:color w:val="000000"/>
        </w:rPr>
        <w:t>bliche Dosierung 40</w:t>
      </w:r>
      <w:r>
        <w:rPr>
          <w:color w:val="000000"/>
        </w:rPr>
        <w:t> </w:t>
      </w:r>
      <w:r w:rsidRPr="00A46DB5">
        <w:rPr>
          <w:color w:val="000000"/>
        </w:rPr>
        <w:t>mg jede zweite Woche.</w:t>
      </w:r>
    </w:p>
    <w:p w14:paraId="48796E59" w14:textId="77777777" w:rsidR="00A46DB5" w:rsidRPr="00A46DB5" w:rsidRDefault="00A46DB5" w:rsidP="008419B6">
      <w:pPr>
        <w:keepNext/>
        <w:rPr>
          <w:color w:val="000000"/>
        </w:rPr>
      </w:pPr>
    </w:p>
    <w:p w14:paraId="758B15AF" w14:textId="77777777" w:rsidR="00A46DB5" w:rsidRDefault="00A46DB5" w:rsidP="008419B6">
      <w:pPr>
        <w:keepNext/>
        <w:rPr>
          <w:color w:val="000000"/>
        </w:rPr>
      </w:pPr>
      <w:r w:rsidRPr="00A46DB5">
        <w:rPr>
          <w:color w:val="000000"/>
        </w:rPr>
        <w:t>Patienten, die 18</w:t>
      </w:r>
      <w:r>
        <w:rPr>
          <w:color w:val="000000"/>
        </w:rPr>
        <w:t> </w:t>
      </w:r>
      <w:r w:rsidRPr="00A46DB5">
        <w:rPr>
          <w:color w:val="000000"/>
        </w:rPr>
        <w:t>Jahre alt werden, w</w:t>
      </w:r>
      <w:r w:rsidRPr="00A46DB5">
        <w:rPr>
          <w:rFonts w:hint="eastAsia"/>
          <w:color w:val="000000"/>
        </w:rPr>
        <w:t>ä</w:t>
      </w:r>
      <w:r w:rsidRPr="00A46DB5">
        <w:rPr>
          <w:color w:val="000000"/>
        </w:rPr>
        <w:t>hrend sie jede zweite Woche 40</w:t>
      </w:r>
      <w:r>
        <w:rPr>
          <w:color w:val="000000"/>
        </w:rPr>
        <w:t> </w:t>
      </w:r>
      <w:r w:rsidRPr="00A46DB5">
        <w:rPr>
          <w:color w:val="000000"/>
        </w:rPr>
        <w:t>mg erhalten, sollten die</w:t>
      </w:r>
      <w:r>
        <w:rPr>
          <w:color w:val="000000"/>
        </w:rPr>
        <w:t xml:space="preserve"> </w:t>
      </w:r>
      <w:r w:rsidRPr="00A46DB5">
        <w:rPr>
          <w:color w:val="000000"/>
        </w:rPr>
        <w:t>verschriebene Dosis weiterhin spritzen.</w:t>
      </w:r>
    </w:p>
    <w:p w14:paraId="73CBD41B" w14:textId="77777777" w:rsidR="00A46DB5" w:rsidRPr="00A46DB5" w:rsidRDefault="00A46DB5" w:rsidP="008419B6">
      <w:pPr>
        <w:keepNext/>
        <w:rPr>
          <w:color w:val="000000"/>
        </w:rPr>
      </w:pPr>
    </w:p>
    <w:p w14:paraId="6D95019F" w14:textId="77777777" w:rsidR="00A46DB5" w:rsidRPr="00A46DB5" w:rsidRDefault="00A46DB5" w:rsidP="00A46DB5">
      <w:pPr>
        <w:rPr>
          <w:i/>
          <w:iCs/>
          <w:color w:val="000000"/>
        </w:rPr>
      </w:pPr>
      <w:r w:rsidRPr="00A46DB5">
        <w:rPr>
          <w:i/>
          <w:iCs/>
          <w:color w:val="000000"/>
        </w:rPr>
        <w:t>Kinder und Jugendliche ab 6</w:t>
      </w:r>
      <w:r>
        <w:rPr>
          <w:i/>
          <w:iCs/>
          <w:color w:val="000000"/>
        </w:rPr>
        <w:t> </w:t>
      </w:r>
      <w:r w:rsidRPr="00A46DB5">
        <w:rPr>
          <w:i/>
          <w:iCs/>
          <w:color w:val="000000"/>
        </w:rPr>
        <w:t>Jahren mit einem Körpergewicht von 40</w:t>
      </w:r>
      <w:r>
        <w:rPr>
          <w:i/>
          <w:iCs/>
          <w:color w:val="000000"/>
        </w:rPr>
        <w:t> </w:t>
      </w:r>
      <w:r w:rsidRPr="00A46DB5">
        <w:rPr>
          <w:i/>
          <w:iCs/>
          <w:color w:val="000000"/>
        </w:rPr>
        <w:t>kg oder mehr</w:t>
      </w:r>
    </w:p>
    <w:p w14:paraId="086C2DAC" w14:textId="77777777" w:rsidR="00A46DB5" w:rsidRDefault="00A46DB5" w:rsidP="00A46DB5">
      <w:pPr>
        <w:rPr>
          <w:color w:val="000000"/>
        </w:rPr>
      </w:pPr>
    </w:p>
    <w:p w14:paraId="3920CB2B" w14:textId="77777777" w:rsidR="00A46DB5" w:rsidRPr="00A46DB5" w:rsidRDefault="00A46DB5" w:rsidP="00A46DB5">
      <w:pPr>
        <w:rPr>
          <w:color w:val="000000"/>
        </w:rPr>
      </w:pPr>
      <w:r w:rsidRPr="00A46DB5">
        <w:rPr>
          <w:color w:val="000000"/>
        </w:rPr>
        <w:t xml:space="preserve">Die </w:t>
      </w:r>
      <w:r w:rsidRPr="00A46DB5">
        <w:rPr>
          <w:rFonts w:hint="eastAsia"/>
          <w:color w:val="000000"/>
        </w:rPr>
        <w:t>ü</w:t>
      </w:r>
      <w:r w:rsidRPr="00A46DB5">
        <w:rPr>
          <w:color w:val="000000"/>
        </w:rPr>
        <w:t xml:space="preserve">bliche Dosierung von </w:t>
      </w:r>
      <w:r>
        <w:rPr>
          <w:color w:val="000000"/>
        </w:rPr>
        <w:t>Amsparity</w:t>
      </w:r>
      <w:r w:rsidRPr="00A46DB5">
        <w:rPr>
          <w:color w:val="000000"/>
        </w:rPr>
        <w:t xml:space="preserve"> betr</w:t>
      </w:r>
      <w:r w:rsidRPr="00A46DB5">
        <w:rPr>
          <w:rFonts w:hint="eastAsia"/>
          <w:color w:val="000000"/>
        </w:rPr>
        <w:t>ä</w:t>
      </w:r>
      <w:r w:rsidRPr="00A46DB5">
        <w:rPr>
          <w:color w:val="000000"/>
        </w:rPr>
        <w:t>gt zu Beginn 160</w:t>
      </w:r>
      <w:r>
        <w:rPr>
          <w:color w:val="000000"/>
        </w:rPr>
        <w:t> </w:t>
      </w:r>
      <w:r w:rsidRPr="00A46DB5">
        <w:rPr>
          <w:color w:val="000000"/>
        </w:rPr>
        <w:t>mg (als vier Injektionen von 40</w:t>
      </w:r>
      <w:r>
        <w:rPr>
          <w:color w:val="000000"/>
        </w:rPr>
        <w:t> </w:t>
      </w:r>
      <w:r w:rsidRPr="00A46DB5">
        <w:rPr>
          <w:color w:val="000000"/>
        </w:rPr>
        <w:t>mg an</w:t>
      </w:r>
      <w:r>
        <w:rPr>
          <w:color w:val="000000"/>
        </w:rPr>
        <w:t xml:space="preserve"> </w:t>
      </w:r>
      <w:r w:rsidRPr="00A46DB5">
        <w:rPr>
          <w:color w:val="000000"/>
        </w:rPr>
        <w:t>einem Tag oder als zwei Injektionen von 40</w:t>
      </w:r>
      <w:r>
        <w:rPr>
          <w:color w:val="000000"/>
        </w:rPr>
        <w:t> </w:t>
      </w:r>
      <w:r w:rsidRPr="00A46DB5">
        <w:rPr>
          <w:color w:val="000000"/>
        </w:rPr>
        <w:t>mg pro Tag an zwei aufeinanderfolgenden Tagen),</w:t>
      </w:r>
      <w:r>
        <w:rPr>
          <w:color w:val="000000"/>
        </w:rPr>
        <w:t xml:space="preserve"> </w:t>
      </w:r>
      <w:r w:rsidRPr="00A46DB5">
        <w:rPr>
          <w:color w:val="000000"/>
        </w:rPr>
        <w:t>gefolgt von 80</w:t>
      </w:r>
      <w:r>
        <w:rPr>
          <w:color w:val="000000"/>
        </w:rPr>
        <w:t> </w:t>
      </w:r>
      <w:r w:rsidRPr="00A46DB5">
        <w:rPr>
          <w:color w:val="000000"/>
        </w:rPr>
        <w:t>mg (als zwei Injektionen von 40</w:t>
      </w:r>
      <w:r>
        <w:rPr>
          <w:color w:val="000000"/>
        </w:rPr>
        <w:t> </w:t>
      </w:r>
      <w:r w:rsidRPr="00A46DB5">
        <w:rPr>
          <w:color w:val="000000"/>
        </w:rPr>
        <w:t>mg an einem Tag) zwei Wochen sp</w:t>
      </w:r>
      <w:r w:rsidRPr="00A46DB5">
        <w:rPr>
          <w:rFonts w:hint="eastAsia"/>
          <w:color w:val="000000"/>
        </w:rPr>
        <w:t>ä</w:t>
      </w:r>
      <w:r w:rsidRPr="00A46DB5">
        <w:rPr>
          <w:color w:val="000000"/>
        </w:rPr>
        <w:t>ter. Danach</w:t>
      </w:r>
      <w:r>
        <w:rPr>
          <w:color w:val="000000"/>
        </w:rPr>
        <w:t xml:space="preserve"> </w:t>
      </w:r>
      <w:r w:rsidRPr="00A46DB5">
        <w:rPr>
          <w:color w:val="000000"/>
        </w:rPr>
        <w:t>betr</w:t>
      </w:r>
      <w:r w:rsidRPr="00A46DB5">
        <w:rPr>
          <w:rFonts w:hint="eastAsia"/>
          <w:color w:val="000000"/>
        </w:rPr>
        <w:t>ä</w:t>
      </w:r>
      <w:r w:rsidRPr="00A46DB5">
        <w:rPr>
          <w:color w:val="000000"/>
        </w:rPr>
        <w:t xml:space="preserve">gt die </w:t>
      </w:r>
      <w:r w:rsidRPr="00A46DB5">
        <w:rPr>
          <w:rFonts w:hint="eastAsia"/>
          <w:color w:val="000000"/>
        </w:rPr>
        <w:t>ü</w:t>
      </w:r>
      <w:r w:rsidRPr="00A46DB5">
        <w:rPr>
          <w:color w:val="000000"/>
        </w:rPr>
        <w:t>bliche Dosierung 80</w:t>
      </w:r>
      <w:r>
        <w:rPr>
          <w:color w:val="000000"/>
        </w:rPr>
        <w:t> </w:t>
      </w:r>
      <w:r w:rsidRPr="00A46DB5">
        <w:rPr>
          <w:color w:val="000000"/>
        </w:rPr>
        <w:t>mg jede zweite Woche.</w:t>
      </w:r>
    </w:p>
    <w:p w14:paraId="3A1F067D" w14:textId="77777777" w:rsidR="00A46DB5" w:rsidRPr="00A46DB5" w:rsidRDefault="00A46DB5" w:rsidP="00A46DB5">
      <w:pPr>
        <w:rPr>
          <w:color w:val="000000"/>
        </w:rPr>
      </w:pPr>
    </w:p>
    <w:p w14:paraId="5348C964" w14:textId="77777777" w:rsidR="00A46DB5" w:rsidRDefault="00A46DB5" w:rsidP="00A46DB5">
      <w:pPr>
        <w:rPr>
          <w:color w:val="000000"/>
        </w:rPr>
      </w:pPr>
      <w:r w:rsidRPr="00A46DB5">
        <w:rPr>
          <w:color w:val="000000"/>
        </w:rPr>
        <w:t>Patienten, die 18</w:t>
      </w:r>
      <w:r>
        <w:rPr>
          <w:color w:val="000000"/>
        </w:rPr>
        <w:t> </w:t>
      </w:r>
      <w:r w:rsidRPr="00A46DB5">
        <w:rPr>
          <w:color w:val="000000"/>
        </w:rPr>
        <w:t>Jahre alt werden, w</w:t>
      </w:r>
      <w:r w:rsidRPr="00A46DB5">
        <w:rPr>
          <w:rFonts w:hint="eastAsia"/>
          <w:color w:val="000000"/>
        </w:rPr>
        <w:t>ä</w:t>
      </w:r>
      <w:r w:rsidRPr="00A46DB5">
        <w:rPr>
          <w:color w:val="000000"/>
        </w:rPr>
        <w:t>hrend sie jede zweite Woche 80</w:t>
      </w:r>
      <w:r>
        <w:rPr>
          <w:color w:val="000000"/>
        </w:rPr>
        <w:t> </w:t>
      </w:r>
      <w:r w:rsidRPr="00A46DB5">
        <w:rPr>
          <w:color w:val="000000"/>
        </w:rPr>
        <w:t>mg erhalten, sollten die</w:t>
      </w:r>
      <w:r>
        <w:rPr>
          <w:color w:val="000000"/>
        </w:rPr>
        <w:t xml:space="preserve"> </w:t>
      </w:r>
      <w:r w:rsidRPr="00A46DB5">
        <w:rPr>
          <w:color w:val="000000"/>
        </w:rPr>
        <w:t>verschriebene Dosis weiterhin spritzen.</w:t>
      </w:r>
    </w:p>
    <w:p w14:paraId="2A62F552" w14:textId="77777777" w:rsidR="00A46DB5" w:rsidRPr="004F5FB4" w:rsidRDefault="00A46DB5" w:rsidP="00982118">
      <w:pPr>
        <w:rPr>
          <w:color w:val="000000"/>
        </w:rPr>
      </w:pPr>
    </w:p>
    <w:p w14:paraId="316A0529" w14:textId="77777777" w:rsidR="002D5545" w:rsidRPr="004F5FB4" w:rsidRDefault="002D5545" w:rsidP="00982118">
      <w:pPr>
        <w:keepNext/>
        <w:rPr>
          <w:color w:val="000000"/>
          <w:u w:val="single"/>
        </w:rPr>
      </w:pPr>
      <w:r w:rsidRPr="004F5FB4">
        <w:rPr>
          <w:color w:val="000000"/>
          <w:u w:val="single"/>
        </w:rPr>
        <w:t>Kinder ab 2</w:t>
      </w:r>
      <w:r w:rsidR="002B5643" w:rsidRPr="004F5FB4">
        <w:rPr>
          <w:color w:val="000000"/>
          <w:u w:val="single"/>
        </w:rPr>
        <w:t> </w:t>
      </w:r>
      <w:r w:rsidRPr="004F5FB4">
        <w:rPr>
          <w:color w:val="000000"/>
          <w:u w:val="single"/>
        </w:rPr>
        <w:t>Jahren und Jugendliche mit chronischer nicht infektiöser Uveitis</w:t>
      </w:r>
    </w:p>
    <w:p w14:paraId="4B54BC7A" w14:textId="77777777" w:rsidR="002D5545" w:rsidRPr="004F5FB4" w:rsidRDefault="002D5545" w:rsidP="00982118">
      <w:pPr>
        <w:keepNext/>
        <w:rPr>
          <w:color w:val="000000"/>
          <w:u w:val="single"/>
        </w:rPr>
      </w:pPr>
    </w:p>
    <w:p w14:paraId="0CCF7235" w14:textId="77777777" w:rsidR="002D5545" w:rsidRPr="004F5FB4" w:rsidRDefault="002D5545" w:rsidP="00982118">
      <w:pPr>
        <w:keepNext/>
        <w:rPr>
          <w:i/>
          <w:color w:val="000000"/>
        </w:rPr>
      </w:pPr>
      <w:r w:rsidRPr="004F5FB4">
        <w:rPr>
          <w:i/>
          <w:color w:val="000000"/>
        </w:rPr>
        <w:t>Kinder ab 2</w:t>
      </w:r>
      <w:r w:rsidR="002B5643" w:rsidRPr="004F5FB4">
        <w:rPr>
          <w:i/>
          <w:color w:val="000000"/>
        </w:rPr>
        <w:t> </w:t>
      </w:r>
      <w:r w:rsidRPr="004F5FB4">
        <w:rPr>
          <w:i/>
          <w:color w:val="000000"/>
        </w:rPr>
        <w:t>Jahren und Jugendliche mit einem Körpergewicht unter 30</w:t>
      </w:r>
      <w:r w:rsidR="002B5643" w:rsidRPr="004F5FB4">
        <w:rPr>
          <w:i/>
          <w:color w:val="000000"/>
        </w:rPr>
        <w:t> </w:t>
      </w:r>
      <w:r w:rsidRPr="004F5FB4">
        <w:rPr>
          <w:i/>
          <w:color w:val="000000"/>
        </w:rPr>
        <w:t>kg</w:t>
      </w:r>
    </w:p>
    <w:p w14:paraId="0D5D2596" w14:textId="77777777" w:rsidR="002D5545" w:rsidRPr="004F5FB4" w:rsidRDefault="002D5545" w:rsidP="00982118">
      <w:pPr>
        <w:keepNext/>
        <w:rPr>
          <w:color w:val="000000"/>
        </w:rPr>
      </w:pPr>
    </w:p>
    <w:p w14:paraId="4977A629" w14:textId="77777777" w:rsidR="002D5545" w:rsidRPr="004F5FB4" w:rsidRDefault="002D5545" w:rsidP="00982118">
      <w:pPr>
        <w:rPr>
          <w:color w:val="000000"/>
        </w:rPr>
      </w:pPr>
      <w:r w:rsidRPr="004F5FB4">
        <w:rPr>
          <w:color w:val="000000"/>
        </w:rPr>
        <w:t>Die übliche Dosierung von Amsparity beträgt 20 mg alle 2</w:t>
      </w:r>
      <w:r w:rsidR="002B5643" w:rsidRPr="004F5FB4">
        <w:rPr>
          <w:color w:val="000000"/>
        </w:rPr>
        <w:t> </w:t>
      </w:r>
      <w:r w:rsidRPr="004F5FB4">
        <w:rPr>
          <w:color w:val="000000"/>
        </w:rPr>
        <w:t>Wochen gemeinsam mit Methotrexat.</w:t>
      </w:r>
    </w:p>
    <w:p w14:paraId="0E2E555B" w14:textId="77777777" w:rsidR="002D5545" w:rsidRPr="004F5FB4" w:rsidRDefault="002D5545" w:rsidP="00982118">
      <w:pPr>
        <w:rPr>
          <w:color w:val="000000"/>
        </w:rPr>
      </w:pPr>
    </w:p>
    <w:p w14:paraId="228D2B19" w14:textId="77777777" w:rsidR="002D5545" w:rsidRPr="004F5FB4" w:rsidRDefault="002D5545" w:rsidP="00982118">
      <w:pPr>
        <w:rPr>
          <w:color w:val="000000"/>
        </w:rPr>
      </w:pPr>
      <w:r w:rsidRPr="004F5FB4">
        <w:rPr>
          <w:color w:val="000000"/>
        </w:rPr>
        <w:t>Der Arzt Ihres Kindes kann auch eine Anfangsdosis von 40 mg verschreiben, die eine Woche vor Beginn der üblichen Dosis verabreicht werden kann.</w:t>
      </w:r>
    </w:p>
    <w:p w14:paraId="1CBB29E9" w14:textId="77777777" w:rsidR="002D5545" w:rsidRPr="004F5FB4" w:rsidRDefault="002D5545" w:rsidP="00982118">
      <w:pPr>
        <w:rPr>
          <w:color w:val="000000"/>
          <w:u w:val="single"/>
        </w:rPr>
      </w:pPr>
    </w:p>
    <w:p w14:paraId="5343A297" w14:textId="77777777" w:rsidR="002D5545" w:rsidRPr="004F5FB4" w:rsidRDefault="002D5545" w:rsidP="00982118">
      <w:pPr>
        <w:rPr>
          <w:i/>
          <w:color w:val="000000"/>
        </w:rPr>
      </w:pPr>
      <w:r w:rsidRPr="004F5FB4">
        <w:rPr>
          <w:i/>
          <w:color w:val="000000"/>
        </w:rPr>
        <w:t>Kinder ab 2</w:t>
      </w:r>
      <w:r w:rsidR="002B5643" w:rsidRPr="004F5FB4">
        <w:rPr>
          <w:i/>
          <w:color w:val="000000"/>
        </w:rPr>
        <w:t> </w:t>
      </w:r>
      <w:r w:rsidRPr="004F5FB4">
        <w:rPr>
          <w:i/>
          <w:color w:val="000000"/>
        </w:rPr>
        <w:t>Jahren und Jugendliche mit einem Gewicht von 30</w:t>
      </w:r>
      <w:r w:rsidR="002B5643" w:rsidRPr="004F5FB4">
        <w:rPr>
          <w:i/>
          <w:color w:val="000000"/>
        </w:rPr>
        <w:t> </w:t>
      </w:r>
      <w:r w:rsidRPr="004F5FB4">
        <w:rPr>
          <w:i/>
          <w:color w:val="000000"/>
        </w:rPr>
        <w:t>kg oder mehr</w:t>
      </w:r>
    </w:p>
    <w:p w14:paraId="64C1579D" w14:textId="77777777" w:rsidR="002D5545" w:rsidRPr="004F5FB4" w:rsidRDefault="002D5545" w:rsidP="00982118">
      <w:pPr>
        <w:rPr>
          <w:color w:val="000000"/>
        </w:rPr>
      </w:pPr>
    </w:p>
    <w:p w14:paraId="684B1D4A" w14:textId="77777777" w:rsidR="002D5545" w:rsidRPr="004F5FB4" w:rsidRDefault="002D5545" w:rsidP="00982118">
      <w:pPr>
        <w:rPr>
          <w:color w:val="000000"/>
        </w:rPr>
      </w:pPr>
      <w:r w:rsidRPr="004F5FB4">
        <w:rPr>
          <w:color w:val="000000"/>
        </w:rPr>
        <w:t>Die übliche Dosierung von Amsparity beträgt 40</w:t>
      </w:r>
      <w:r w:rsidR="002B5643" w:rsidRPr="004F5FB4">
        <w:rPr>
          <w:color w:val="000000"/>
        </w:rPr>
        <w:t> </w:t>
      </w:r>
      <w:r w:rsidRPr="004F5FB4">
        <w:rPr>
          <w:color w:val="000000"/>
        </w:rPr>
        <w:t>mg alle 2</w:t>
      </w:r>
      <w:r w:rsidR="002B5643" w:rsidRPr="004F5FB4">
        <w:rPr>
          <w:color w:val="000000"/>
        </w:rPr>
        <w:t> </w:t>
      </w:r>
      <w:r w:rsidRPr="004F5FB4">
        <w:rPr>
          <w:color w:val="000000"/>
        </w:rPr>
        <w:t>Wochen gemeinsam mit Methotrexat.</w:t>
      </w:r>
    </w:p>
    <w:p w14:paraId="24AF985F" w14:textId="77777777" w:rsidR="002D5545" w:rsidRPr="004F5FB4" w:rsidRDefault="002D5545" w:rsidP="00982118">
      <w:pPr>
        <w:rPr>
          <w:color w:val="000000"/>
        </w:rPr>
      </w:pPr>
    </w:p>
    <w:p w14:paraId="7F752AFB" w14:textId="77777777" w:rsidR="002D5545" w:rsidRPr="004F5FB4" w:rsidRDefault="002D5545" w:rsidP="00982118">
      <w:pPr>
        <w:rPr>
          <w:color w:val="000000"/>
        </w:rPr>
      </w:pPr>
      <w:r w:rsidRPr="004F5FB4">
        <w:rPr>
          <w:color w:val="000000"/>
        </w:rPr>
        <w:t>Der Arzt Ihres Kindes kann auch eine Anfangsdosis von 80</w:t>
      </w:r>
      <w:r w:rsidR="00BE21D6" w:rsidRPr="004F5FB4">
        <w:rPr>
          <w:color w:val="000000"/>
        </w:rPr>
        <w:t> </w:t>
      </w:r>
      <w:r w:rsidRPr="004F5FB4">
        <w:rPr>
          <w:color w:val="000000"/>
        </w:rPr>
        <w:t>mg verschreiben, die eine Woche vor Beginn der üblichen Dosis verabreicht werden kann.</w:t>
      </w:r>
    </w:p>
    <w:p w14:paraId="4CFEE169" w14:textId="77777777" w:rsidR="00C46587" w:rsidRPr="004F5FB4" w:rsidRDefault="00C46587" w:rsidP="00982118">
      <w:pPr>
        <w:rPr>
          <w:color w:val="000000"/>
        </w:rPr>
      </w:pPr>
    </w:p>
    <w:p w14:paraId="691A474B" w14:textId="77777777" w:rsidR="00C46587" w:rsidRPr="004F5FB4" w:rsidRDefault="00C46587" w:rsidP="00982118">
      <w:pPr>
        <w:keepNext/>
        <w:rPr>
          <w:b/>
          <w:color w:val="000000"/>
        </w:rPr>
      </w:pPr>
      <w:r w:rsidRPr="004F5FB4">
        <w:rPr>
          <w:b/>
          <w:color w:val="000000"/>
        </w:rPr>
        <w:t>Art der Anwendung</w:t>
      </w:r>
    </w:p>
    <w:p w14:paraId="302DF365" w14:textId="77777777" w:rsidR="00C46587" w:rsidRPr="004F5FB4" w:rsidRDefault="00C46587" w:rsidP="00982118">
      <w:pPr>
        <w:keepNext/>
        <w:rPr>
          <w:color w:val="000000"/>
        </w:rPr>
      </w:pPr>
    </w:p>
    <w:p w14:paraId="6DDF39CA" w14:textId="77777777" w:rsidR="00C46587" w:rsidRPr="004F5FB4" w:rsidRDefault="006A1144" w:rsidP="00982118">
      <w:pPr>
        <w:rPr>
          <w:color w:val="000000"/>
        </w:rPr>
      </w:pPr>
      <w:r w:rsidRPr="004F5FB4">
        <w:rPr>
          <w:color w:val="000000"/>
        </w:rPr>
        <w:t xml:space="preserve">Amsparity wird unter die Haut gespritzt </w:t>
      </w:r>
      <w:r w:rsidRPr="004F5FB4">
        <w:rPr>
          <w:i/>
          <w:color w:val="000000"/>
        </w:rPr>
        <w:t>(subkutane Injektion)</w:t>
      </w:r>
      <w:r w:rsidRPr="004F5FB4">
        <w:rPr>
          <w:color w:val="000000"/>
        </w:rPr>
        <w:t>.</w:t>
      </w:r>
    </w:p>
    <w:p w14:paraId="27B8DAE4" w14:textId="77777777" w:rsidR="00C46587" w:rsidRPr="004F5FB4" w:rsidRDefault="00C46587" w:rsidP="00982118">
      <w:pPr>
        <w:rPr>
          <w:color w:val="000000"/>
        </w:rPr>
      </w:pPr>
    </w:p>
    <w:p w14:paraId="79B234DE" w14:textId="77777777" w:rsidR="00B51C8C" w:rsidRPr="004F5FB4" w:rsidRDefault="00B51C8C" w:rsidP="00982118">
      <w:pPr>
        <w:rPr>
          <w:b/>
          <w:bCs/>
          <w:color w:val="000000"/>
        </w:rPr>
      </w:pPr>
      <w:r w:rsidRPr="004F5FB4">
        <w:rPr>
          <w:b/>
          <w:color w:val="000000"/>
        </w:rPr>
        <w:t xml:space="preserve">Eine genaue Anleitung, wie Amsparity gespritzt wird, finden Sie </w:t>
      </w:r>
      <w:r w:rsidR="00443293" w:rsidRPr="004F5FB4">
        <w:rPr>
          <w:b/>
          <w:color w:val="000000"/>
        </w:rPr>
        <w:t>unter</w:t>
      </w:r>
      <w:r w:rsidRPr="004F5FB4">
        <w:rPr>
          <w:b/>
          <w:color w:val="000000"/>
        </w:rPr>
        <w:t xml:space="preserve"> „Hinweise zur Anwendung“.</w:t>
      </w:r>
    </w:p>
    <w:p w14:paraId="44A312E6" w14:textId="77777777" w:rsidR="00C46587" w:rsidRPr="004F5FB4" w:rsidRDefault="00C46587" w:rsidP="00982118">
      <w:pPr>
        <w:rPr>
          <w:color w:val="000000"/>
        </w:rPr>
      </w:pPr>
    </w:p>
    <w:p w14:paraId="3F18CAE9" w14:textId="77777777" w:rsidR="00C46587" w:rsidRPr="004F5FB4" w:rsidRDefault="00C46587" w:rsidP="00982118">
      <w:pPr>
        <w:rPr>
          <w:b/>
          <w:color w:val="000000"/>
        </w:rPr>
      </w:pPr>
      <w:r w:rsidRPr="004F5FB4">
        <w:rPr>
          <w:b/>
          <w:color w:val="000000"/>
        </w:rPr>
        <w:t>Wenn Sie eine größere Menge von Amsparity angewendet haben, als Sie sollten</w:t>
      </w:r>
    </w:p>
    <w:p w14:paraId="352D1FD1" w14:textId="77777777" w:rsidR="00C46587" w:rsidRPr="004F5FB4" w:rsidRDefault="00C46587" w:rsidP="00982118">
      <w:pPr>
        <w:rPr>
          <w:color w:val="000000"/>
        </w:rPr>
      </w:pPr>
    </w:p>
    <w:p w14:paraId="1F2A603B" w14:textId="77777777" w:rsidR="00C46587" w:rsidRPr="004F5FB4" w:rsidRDefault="001C7C54" w:rsidP="00982118">
      <w:pPr>
        <w:rPr>
          <w:color w:val="000000"/>
        </w:rPr>
      </w:pPr>
      <w:r w:rsidRPr="004F5FB4">
        <w:rPr>
          <w:color w:val="000000"/>
        </w:rPr>
        <w:t>Falls</w:t>
      </w:r>
      <w:r w:rsidR="00C34AC9" w:rsidRPr="004F5FB4">
        <w:rPr>
          <w:color w:val="000000"/>
        </w:rPr>
        <w:t xml:space="preserve"> Amsparity versehentlich häufiger gespritzt wurde</w:t>
      </w:r>
      <w:r w:rsidR="000E58B6" w:rsidRPr="004F5FB4">
        <w:rPr>
          <w:color w:val="000000"/>
        </w:rPr>
        <w:t>,</w:t>
      </w:r>
      <w:r w:rsidR="00C34AC9" w:rsidRPr="004F5FB4">
        <w:rPr>
          <w:color w:val="000000"/>
        </w:rPr>
        <w:t xml:space="preserve"> als der Arzt verordnet hat</w:t>
      </w:r>
      <w:r w:rsidR="00C46587" w:rsidRPr="004F5FB4">
        <w:rPr>
          <w:color w:val="000000"/>
        </w:rPr>
        <w:t>, informieren Sie den Arzt oder Apotheker Ihres Kindes und erklären Sie, dass Ihr Kind mehr Amsparity erhalten hat als erforderlich. Nehmen Sie immer den Umkarton oder die Durchstechflasche des Arzneimittels mit, auch wenn er/</w:t>
      </w:r>
      <w:r w:rsidR="00BE21D6" w:rsidRPr="004F5FB4">
        <w:rPr>
          <w:color w:val="000000"/>
        </w:rPr>
        <w:t xml:space="preserve"> </w:t>
      </w:r>
      <w:r w:rsidR="00C46587" w:rsidRPr="004F5FB4">
        <w:rPr>
          <w:color w:val="000000"/>
        </w:rPr>
        <w:t>sie leer ist.</w:t>
      </w:r>
    </w:p>
    <w:p w14:paraId="37BA7FF7" w14:textId="77777777" w:rsidR="00C46587" w:rsidRPr="004F5FB4" w:rsidRDefault="00C46587" w:rsidP="00982118">
      <w:pPr>
        <w:rPr>
          <w:color w:val="000000"/>
        </w:rPr>
      </w:pPr>
    </w:p>
    <w:p w14:paraId="08CBF9FB" w14:textId="77777777" w:rsidR="00C46587" w:rsidRPr="004F5FB4" w:rsidRDefault="00C46587" w:rsidP="00982118">
      <w:pPr>
        <w:rPr>
          <w:b/>
          <w:color w:val="000000"/>
        </w:rPr>
      </w:pPr>
      <w:r w:rsidRPr="004F5FB4">
        <w:rPr>
          <w:b/>
          <w:color w:val="000000"/>
        </w:rPr>
        <w:t>Wenn Sie weniger Amsparity injiziert haben, als Sie sollten</w:t>
      </w:r>
    </w:p>
    <w:p w14:paraId="1441BE18" w14:textId="77777777" w:rsidR="00C46587" w:rsidRPr="004F5FB4" w:rsidRDefault="00C46587" w:rsidP="00982118">
      <w:pPr>
        <w:rPr>
          <w:color w:val="000000"/>
        </w:rPr>
      </w:pPr>
    </w:p>
    <w:p w14:paraId="39266321" w14:textId="77777777" w:rsidR="00C46587" w:rsidRPr="004F5FB4" w:rsidRDefault="00C46587" w:rsidP="00982118">
      <w:pPr>
        <w:rPr>
          <w:color w:val="000000"/>
        </w:rPr>
      </w:pPr>
      <w:r w:rsidRPr="004F5FB4">
        <w:rPr>
          <w:color w:val="000000"/>
        </w:rPr>
        <w:t xml:space="preserve">Wenn Sie </w:t>
      </w:r>
      <w:r w:rsidR="000B71DE" w:rsidRPr="004F5FB4">
        <w:rPr>
          <w:color w:val="000000"/>
        </w:rPr>
        <w:t xml:space="preserve">Ihrem Kind </w:t>
      </w:r>
      <w:r w:rsidRPr="004F5FB4">
        <w:rPr>
          <w:color w:val="000000"/>
        </w:rPr>
        <w:t xml:space="preserve">versehentlich eine kleinere Menge Amsparity-Lösung gespritzt haben oder </w:t>
      </w:r>
      <w:r w:rsidR="000B71DE" w:rsidRPr="004F5FB4">
        <w:rPr>
          <w:color w:val="000000"/>
        </w:rPr>
        <w:t xml:space="preserve">Ihrem Kind </w:t>
      </w:r>
      <w:r w:rsidRPr="004F5FB4">
        <w:rPr>
          <w:color w:val="000000"/>
        </w:rPr>
        <w:t xml:space="preserve">Amsparity weniger häufig gespritzt haben, als Sie sollten, informieren Sie den Arzt </w:t>
      </w:r>
      <w:r w:rsidR="00A75BD6" w:rsidRPr="004F5FB4">
        <w:rPr>
          <w:color w:val="000000"/>
        </w:rPr>
        <w:t xml:space="preserve">oder Apotheker </w:t>
      </w:r>
      <w:r w:rsidRPr="004F5FB4">
        <w:rPr>
          <w:color w:val="000000"/>
        </w:rPr>
        <w:t xml:space="preserve">Ihres Kindes und erklären Sie, dass Ihr Kind weniger Amsparity erhalten hat als </w:t>
      </w:r>
      <w:r w:rsidRPr="004F5FB4">
        <w:rPr>
          <w:color w:val="000000"/>
        </w:rPr>
        <w:lastRenderedPageBreak/>
        <w:t>erforderlich. Nehmen Sie immer den Umkarton oder die Durchstechflasche des Arzneimittels mit, auch wenn er/</w:t>
      </w:r>
      <w:r w:rsidR="00BE21D6" w:rsidRPr="004F5FB4">
        <w:rPr>
          <w:color w:val="000000"/>
        </w:rPr>
        <w:t xml:space="preserve"> </w:t>
      </w:r>
      <w:r w:rsidRPr="004F5FB4">
        <w:rPr>
          <w:color w:val="000000"/>
        </w:rPr>
        <w:t>sie leer ist.</w:t>
      </w:r>
    </w:p>
    <w:p w14:paraId="10B5BC9D" w14:textId="77777777" w:rsidR="00C46587" w:rsidRPr="004F5FB4" w:rsidRDefault="00C46587" w:rsidP="00982118">
      <w:pPr>
        <w:rPr>
          <w:color w:val="000000"/>
        </w:rPr>
      </w:pPr>
    </w:p>
    <w:p w14:paraId="27117B6C" w14:textId="77777777" w:rsidR="00C46587" w:rsidRPr="004F5FB4" w:rsidRDefault="00C46587" w:rsidP="00982118">
      <w:pPr>
        <w:keepNext/>
        <w:rPr>
          <w:b/>
          <w:color w:val="000000"/>
        </w:rPr>
      </w:pPr>
      <w:r w:rsidRPr="004F5FB4">
        <w:rPr>
          <w:b/>
          <w:color w:val="000000"/>
        </w:rPr>
        <w:t>Wenn Sie die Anwendung von Amsparity vergessen haben</w:t>
      </w:r>
    </w:p>
    <w:p w14:paraId="64B8B466" w14:textId="77777777" w:rsidR="00C46587" w:rsidRPr="004F5FB4" w:rsidRDefault="00C46587" w:rsidP="00982118">
      <w:pPr>
        <w:keepNext/>
        <w:rPr>
          <w:color w:val="000000"/>
        </w:rPr>
      </w:pPr>
    </w:p>
    <w:p w14:paraId="1CEDA8EA" w14:textId="77777777" w:rsidR="00C46587" w:rsidRPr="004F5FB4" w:rsidRDefault="00C46587" w:rsidP="00982118">
      <w:pPr>
        <w:rPr>
          <w:color w:val="000000"/>
        </w:rPr>
      </w:pPr>
      <w:r w:rsidRPr="004F5FB4">
        <w:rPr>
          <w:color w:val="000000"/>
        </w:rPr>
        <w:t>Wenn Sie einmal bei Ihrem Kind eine Injektion mit Amsparity vergessen haben, sollten Sie die nächste Amsparity-Dosis spritzen, sobald es Ihnen auffällt. Spritzen Sie Ihrem Kind die darauffolgende Dosis an dem ursprünglich vorgesehenen Tag, wie Sie es getan hätten, wenn Sie die Injektion nicht vergessen hätten.</w:t>
      </w:r>
    </w:p>
    <w:p w14:paraId="6475D626" w14:textId="77777777" w:rsidR="00C46587" w:rsidRPr="004F5FB4" w:rsidRDefault="00C46587" w:rsidP="00982118">
      <w:pPr>
        <w:rPr>
          <w:color w:val="000000"/>
        </w:rPr>
      </w:pPr>
    </w:p>
    <w:p w14:paraId="17A5520A" w14:textId="77777777" w:rsidR="00C46587" w:rsidRPr="004F5FB4" w:rsidRDefault="00C46587" w:rsidP="00982118">
      <w:pPr>
        <w:rPr>
          <w:b/>
          <w:color w:val="000000"/>
        </w:rPr>
      </w:pPr>
      <w:r w:rsidRPr="004F5FB4">
        <w:rPr>
          <w:b/>
          <w:color w:val="000000"/>
        </w:rPr>
        <w:t xml:space="preserve">Wenn Ihr Kind die Anwendung von Amsparity abbricht </w:t>
      </w:r>
    </w:p>
    <w:p w14:paraId="3C490221" w14:textId="77777777" w:rsidR="00C46587" w:rsidRPr="004F5FB4" w:rsidRDefault="00C46587" w:rsidP="00982118">
      <w:pPr>
        <w:rPr>
          <w:color w:val="000000"/>
        </w:rPr>
      </w:pPr>
    </w:p>
    <w:p w14:paraId="57E3842E" w14:textId="77777777" w:rsidR="00C46587" w:rsidRPr="004F5FB4" w:rsidRDefault="00C46587" w:rsidP="00982118">
      <w:pPr>
        <w:rPr>
          <w:color w:val="000000"/>
        </w:rPr>
      </w:pPr>
      <w:r w:rsidRPr="004F5FB4">
        <w:rPr>
          <w:color w:val="000000"/>
        </w:rPr>
        <w:t>Die Entscheidung, die Anwendung von Amsparity abzubrechen, muss mit dem Arzt Ihres Kindes besprochen werden. Die Symptome der Erkrankung Ihres Kindes können nach Abbruch der Behandlung zurückkehren.</w:t>
      </w:r>
    </w:p>
    <w:p w14:paraId="4E52AA88" w14:textId="77777777" w:rsidR="00C46587" w:rsidRPr="004F5FB4" w:rsidRDefault="00C46587" w:rsidP="00982118">
      <w:pPr>
        <w:rPr>
          <w:color w:val="000000"/>
        </w:rPr>
      </w:pPr>
    </w:p>
    <w:p w14:paraId="54650ABB" w14:textId="77777777" w:rsidR="00C46587" w:rsidRPr="004F5FB4" w:rsidRDefault="00A75BD6" w:rsidP="00982118">
      <w:pPr>
        <w:rPr>
          <w:color w:val="000000"/>
        </w:rPr>
      </w:pPr>
      <w:r w:rsidRPr="004F5FB4">
        <w:rPr>
          <w:color w:val="000000"/>
        </w:rPr>
        <w:t>Wenn</w:t>
      </w:r>
      <w:r w:rsidR="00C46587" w:rsidRPr="004F5FB4">
        <w:rPr>
          <w:color w:val="000000"/>
        </w:rPr>
        <w:t xml:space="preserve"> Sie weitere Fragen zur Anwendung dieses Arzneimittels haben, </w:t>
      </w:r>
      <w:r w:rsidRPr="004F5FB4">
        <w:rPr>
          <w:color w:val="000000"/>
        </w:rPr>
        <w:t>wenden Sie sich an den Arzt oder Apotheker Ihres Kindes.</w:t>
      </w:r>
    </w:p>
    <w:p w14:paraId="43599448" w14:textId="77777777" w:rsidR="00C46587" w:rsidRPr="004F5FB4" w:rsidRDefault="00C46587" w:rsidP="00982118">
      <w:pPr>
        <w:rPr>
          <w:color w:val="000000"/>
        </w:rPr>
      </w:pPr>
    </w:p>
    <w:p w14:paraId="5E9A5AA8" w14:textId="77777777" w:rsidR="00C46587" w:rsidRPr="004F5FB4" w:rsidRDefault="00C46587" w:rsidP="00982118">
      <w:pPr>
        <w:rPr>
          <w:color w:val="000000"/>
        </w:rPr>
      </w:pPr>
    </w:p>
    <w:p w14:paraId="6294CA54" w14:textId="77777777" w:rsidR="00C46587" w:rsidRPr="004F5FB4" w:rsidRDefault="00C46587" w:rsidP="00982118">
      <w:pPr>
        <w:tabs>
          <w:tab w:val="left" w:pos="562"/>
        </w:tabs>
        <w:rPr>
          <w:b/>
          <w:color w:val="000000"/>
        </w:rPr>
      </w:pPr>
      <w:r w:rsidRPr="004F5FB4">
        <w:rPr>
          <w:b/>
          <w:color w:val="000000"/>
        </w:rPr>
        <w:t>4</w:t>
      </w:r>
      <w:r w:rsidR="004F2EA2" w:rsidRPr="004F5FB4">
        <w:rPr>
          <w:b/>
          <w:color w:val="000000"/>
        </w:rPr>
        <w:t>.</w:t>
      </w:r>
      <w:r w:rsidRPr="004F5FB4">
        <w:rPr>
          <w:b/>
          <w:color w:val="000000"/>
        </w:rPr>
        <w:tab/>
        <w:t>Welche Nebenwirkungen sind möglich?</w:t>
      </w:r>
    </w:p>
    <w:p w14:paraId="0122D68E" w14:textId="77777777" w:rsidR="00C46587" w:rsidRPr="004F5FB4" w:rsidRDefault="00C46587" w:rsidP="00982118">
      <w:pPr>
        <w:rPr>
          <w:color w:val="000000"/>
        </w:rPr>
      </w:pPr>
    </w:p>
    <w:p w14:paraId="308DB77D" w14:textId="77777777" w:rsidR="00C46587" w:rsidRPr="004F5FB4" w:rsidRDefault="00C46587" w:rsidP="00982118">
      <w:pPr>
        <w:rPr>
          <w:color w:val="000000"/>
        </w:rPr>
      </w:pPr>
      <w:r w:rsidRPr="004F5FB4">
        <w:rPr>
          <w:color w:val="000000"/>
        </w:rPr>
        <w:t>Wie alle Arzneimittel kann auch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Amsparity auftreten.</w:t>
      </w:r>
    </w:p>
    <w:p w14:paraId="47C50F34" w14:textId="77777777" w:rsidR="00C46587" w:rsidRPr="004F5FB4" w:rsidRDefault="00C46587" w:rsidP="00982118">
      <w:pPr>
        <w:rPr>
          <w:color w:val="000000"/>
        </w:rPr>
      </w:pPr>
    </w:p>
    <w:p w14:paraId="6DE5063B" w14:textId="77777777" w:rsidR="00C46587" w:rsidRPr="004F5FB4" w:rsidRDefault="000E0015" w:rsidP="00A71117">
      <w:pPr>
        <w:keepNext/>
        <w:rPr>
          <w:color w:val="000000"/>
        </w:rPr>
      </w:pPr>
      <w:r w:rsidRPr="004F5FB4">
        <w:rPr>
          <w:b/>
          <w:color w:val="000000"/>
        </w:rPr>
        <w:t>Nehmen Sie unverzüglich ärztliche Hilfe in Anspruch</w:t>
      </w:r>
      <w:r w:rsidRPr="004F5FB4">
        <w:rPr>
          <w:color w:val="000000"/>
        </w:rPr>
        <w:t>, wenn Sie eines der folgenden Anzeichen bemerken:</w:t>
      </w:r>
    </w:p>
    <w:p w14:paraId="062D00C5" w14:textId="77777777" w:rsidR="00194625" w:rsidRPr="004F5FB4" w:rsidRDefault="00194625" w:rsidP="00A71117">
      <w:pPr>
        <w:keepNext/>
        <w:rPr>
          <w:color w:val="000000"/>
        </w:rPr>
      </w:pPr>
    </w:p>
    <w:p w14:paraId="07833872" w14:textId="77777777" w:rsidR="00C46587" w:rsidRPr="004F5FB4" w:rsidRDefault="00BE21D6" w:rsidP="00A71117">
      <w:pPr>
        <w:keepNext/>
        <w:numPr>
          <w:ilvl w:val="0"/>
          <w:numId w:val="9"/>
        </w:numPr>
        <w:rPr>
          <w:color w:val="000000"/>
        </w:rPr>
      </w:pPr>
      <w:r w:rsidRPr="004F5FB4">
        <w:rPr>
          <w:color w:val="000000"/>
        </w:rPr>
        <w:t>s</w:t>
      </w:r>
      <w:r w:rsidR="00C2239D" w:rsidRPr="004F5FB4">
        <w:rPr>
          <w:color w:val="000000"/>
        </w:rPr>
        <w:t>tarker Hautausschlag, Nesselsucht oder andere Anzeichen einer allergischen Reaktion</w:t>
      </w:r>
      <w:r w:rsidRPr="004F5FB4">
        <w:rPr>
          <w:color w:val="000000"/>
        </w:rPr>
        <w:t>,</w:t>
      </w:r>
      <w:r w:rsidR="00C2239D" w:rsidRPr="004F5FB4">
        <w:rPr>
          <w:color w:val="000000"/>
        </w:rPr>
        <w:t xml:space="preserve"> </w:t>
      </w:r>
    </w:p>
    <w:p w14:paraId="50192DB4" w14:textId="77777777" w:rsidR="00C46587" w:rsidRPr="004F5FB4" w:rsidRDefault="00C2239D" w:rsidP="00A71117">
      <w:pPr>
        <w:keepNext/>
        <w:numPr>
          <w:ilvl w:val="0"/>
          <w:numId w:val="9"/>
        </w:numPr>
        <w:rPr>
          <w:color w:val="000000"/>
        </w:rPr>
      </w:pPr>
      <w:r w:rsidRPr="004F5FB4">
        <w:rPr>
          <w:color w:val="000000"/>
        </w:rPr>
        <w:t>Schwellung im Gesicht, an Händen oder Füßen</w:t>
      </w:r>
      <w:r w:rsidR="00BE21D6" w:rsidRPr="004F5FB4">
        <w:rPr>
          <w:color w:val="000000"/>
        </w:rPr>
        <w:t>,</w:t>
      </w:r>
    </w:p>
    <w:p w14:paraId="70FB2662" w14:textId="77777777" w:rsidR="00C46587" w:rsidRPr="004F5FB4" w:rsidRDefault="00C2239D" w:rsidP="00982118">
      <w:pPr>
        <w:numPr>
          <w:ilvl w:val="0"/>
          <w:numId w:val="9"/>
        </w:numPr>
        <w:rPr>
          <w:color w:val="000000"/>
        </w:rPr>
      </w:pPr>
      <w:r w:rsidRPr="004F5FB4">
        <w:rPr>
          <w:color w:val="000000"/>
        </w:rPr>
        <w:t>Schwierigkeiten beim Atmen oder Schlucken</w:t>
      </w:r>
      <w:r w:rsidR="00BE21D6" w:rsidRPr="004F5FB4">
        <w:rPr>
          <w:color w:val="000000"/>
        </w:rPr>
        <w:t>,</w:t>
      </w:r>
    </w:p>
    <w:p w14:paraId="6DFC6F31" w14:textId="77777777" w:rsidR="00C46587" w:rsidRPr="004F5FB4" w:rsidRDefault="00C2239D" w:rsidP="00982118">
      <w:pPr>
        <w:numPr>
          <w:ilvl w:val="0"/>
          <w:numId w:val="9"/>
        </w:numPr>
        <w:rPr>
          <w:color w:val="000000"/>
        </w:rPr>
      </w:pPr>
      <w:r w:rsidRPr="004F5FB4">
        <w:rPr>
          <w:color w:val="000000"/>
        </w:rPr>
        <w:t>Kurzatmigkeit bei körperlicher Aktivität oder im Liegen oder Schwellung der Füße.</w:t>
      </w:r>
    </w:p>
    <w:p w14:paraId="084292BB" w14:textId="77777777" w:rsidR="00685A30" w:rsidRPr="004F5FB4" w:rsidRDefault="00685A30" w:rsidP="00982118">
      <w:pPr>
        <w:rPr>
          <w:color w:val="000000"/>
        </w:rPr>
      </w:pPr>
    </w:p>
    <w:p w14:paraId="7D03C102" w14:textId="77777777" w:rsidR="00C46587" w:rsidRPr="004F5FB4" w:rsidRDefault="00C46587" w:rsidP="00982118">
      <w:pPr>
        <w:rPr>
          <w:color w:val="000000"/>
        </w:rPr>
      </w:pPr>
      <w:r w:rsidRPr="004F5FB4">
        <w:rPr>
          <w:b/>
          <w:bCs/>
          <w:color w:val="000000"/>
        </w:rPr>
        <w:t xml:space="preserve">Benachrichtigen Sie so bald wie möglich </w:t>
      </w:r>
      <w:r w:rsidR="004A0163" w:rsidRPr="004F5FB4">
        <w:rPr>
          <w:b/>
          <w:bCs/>
          <w:color w:val="000000"/>
        </w:rPr>
        <w:t>den Arzt Ihres Kindes</w:t>
      </w:r>
      <w:r w:rsidRPr="004F5FB4">
        <w:rPr>
          <w:color w:val="000000"/>
        </w:rPr>
        <w:t>, wenn Sie eines der folgenden Anzeichen bemerken:</w:t>
      </w:r>
    </w:p>
    <w:p w14:paraId="141068F5" w14:textId="77777777" w:rsidR="00C46587" w:rsidRPr="004F5FB4" w:rsidRDefault="00C46587" w:rsidP="00982118">
      <w:pPr>
        <w:rPr>
          <w:color w:val="000000"/>
        </w:rPr>
      </w:pPr>
    </w:p>
    <w:p w14:paraId="549742F7" w14:textId="77777777" w:rsidR="00C46587" w:rsidRPr="004F5FB4" w:rsidRDefault="00C2239D" w:rsidP="00DB03B2">
      <w:pPr>
        <w:numPr>
          <w:ilvl w:val="0"/>
          <w:numId w:val="9"/>
        </w:numPr>
        <w:rPr>
          <w:color w:val="000000"/>
        </w:rPr>
      </w:pPr>
      <w:r w:rsidRPr="004F5FB4">
        <w:rPr>
          <w:color w:val="000000"/>
        </w:rPr>
        <w:t>Anzeichen und Symptome einer Infektion wie Fieber, Krankheitsgefühl, Wunden, Zahnprobleme, Brennen beim Wasserlassen, Gefühl der Schwäche oder Müdigkeit oder Husten</w:t>
      </w:r>
      <w:r w:rsidR="00BE21D6" w:rsidRPr="004F5FB4">
        <w:rPr>
          <w:color w:val="000000"/>
        </w:rPr>
        <w:t>,</w:t>
      </w:r>
    </w:p>
    <w:p w14:paraId="49F0CDE7" w14:textId="77777777" w:rsidR="00C46587" w:rsidRPr="004F5FB4" w:rsidRDefault="00DD6771" w:rsidP="00982118">
      <w:pPr>
        <w:numPr>
          <w:ilvl w:val="0"/>
          <w:numId w:val="9"/>
        </w:numPr>
        <w:rPr>
          <w:color w:val="000000"/>
        </w:rPr>
      </w:pPr>
      <w:r w:rsidRPr="004F5FB4">
        <w:rPr>
          <w:color w:val="000000"/>
        </w:rPr>
        <w:t>Symptome von Nervenproblemen wie Kribbeln, Taubheit, Doppeltsehen oder Schwäche in Armen oder Beinen</w:t>
      </w:r>
      <w:r w:rsidR="00BE21D6" w:rsidRPr="004F5FB4">
        <w:rPr>
          <w:color w:val="000000"/>
        </w:rPr>
        <w:t>,</w:t>
      </w:r>
    </w:p>
    <w:p w14:paraId="3617FE65" w14:textId="77777777" w:rsidR="00C46587" w:rsidRPr="004F5FB4" w:rsidRDefault="00DD6771" w:rsidP="00982118">
      <w:pPr>
        <w:numPr>
          <w:ilvl w:val="0"/>
          <w:numId w:val="9"/>
        </w:numPr>
        <w:rPr>
          <w:color w:val="000000"/>
        </w:rPr>
      </w:pPr>
      <w:r w:rsidRPr="004F5FB4">
        <w:rPr>
          <w:color w:val="000000"/>
        </w:rPr>
        <w:t>Zeichen von Hautkrebs wie eine Beule oder offene Wunden, die nicht abheilen</w:t>
      </w:r>
      <w:r w:rsidR="00BE21D6" w:rsidRPr="004F5FB4">
        <w:rPr>
          <w:color w:val="000000"/>
        </w:rPr>
        <w:t>,</w:t>
      </w:r>
    </w:p>
    <w:p w14:paraId="51873C9C" w14:textId="77777777" w:rsidR="00C46587" w:rsidRPr="004F5FB4" w:rsidRDefault="00C2239D" w:rsidP="00982118">
      <w:pPr>
        <w:numPr>
          <w:ilvl w:val="0"/>
          <w:numId w:val="9"/>
        </w:numPr>
        <w:rPr>
          <w:color w:val="000000"/>
        </w:rPr>
      </w:pPr>
      <w:r w:rsidRPr="004F5FB4">
        <w:rPr>
          <w:color w:val="000000"/>
        </w:rPr>
        <w:t>Anzeichen und Krankheitserscheinungen, die auf eine mögliche Erkrankung des blutbildenden Systems hinweisen, wie anhaltendes Fieber, Blutergüsse, Blutungen, Blässe.</w:t>
      </w:r>
    </w:p>
    <w:p w14:paraId="4C2D174B" w14:textId="77777777" w:rsidR="00C46587" w:rsidRPr="004F5FB4" w:rsidRDefault="00C46587" w:rsidP="00982118">
      <w:pPr>
        <w:rPr>
          <w:color w:val="000000"/>
        </w:rPr>
      </w:pPr>
    </w:p>
    <w:p w14:paraId="78E3844A" w14:textId="77777777" w:rsidR="00C46587" w:rsidRPr="004F5FB4" w:rsidRDefault="00993AAF" w:rsidP="00982118">
      <w:pPr>
        <w:rPr>
          <w:color w:val="000000"/>
        </w:rPr>
      </w:pPr>
      <w:r w:rsidRPr="004F5FB4">
        <w:rPr>
          <w:color w:val="000000"/>
        </w:rPr>
        <w:t xml:space="preserve">Die oben beschriebenen Anzeichen </w:t>
      </w:r>
      <w:r w:rsidR="008D5B23" w:rsidRPr="004F5FB4">
        <w:rPr>
          <w:color w:val="000000"/>
        </w:rPr>
        <w:t xml:space="preserve">und Symptome </w:t>
      </w:r>
      <w:r w:rsidRPr="004F5FB4">
        <w:rPr>
          <w:color w:val="000000"/>
        </w:rPr>
        <w:t>können ein Hinweis sein auf die nachfolgend aufgelisteten Nebenwirkungen, die mit Adalimumab beobachtet wurden.</w:t>
      </w:r>
    </w:p>
    <w:p w14:paraId="4B57083D" w14:textId="77777777" w:rsidR="00993AAF" w:rsidRPr="004F5FB4" w:rsidRDefault="00993AAF" w:rsidP="00982118">
      <w:pPr>
        <w:rPr>
          <w:color w:val="000000"/>
        </w:rPr>
      </w:pPr>
    </w:p>
    <w:p w14:paraId="64E3E1A7" w14:textId="77777777" w:rsidR="00C46587" w:rsidRPr="004F5FB4" w:rsidRDefault="00C46587" w:rsidP="00982118">
      <w:pPr>
        <w:rPr>
          <w:color w:val="000000"/>
        </w:rPr>
      </w:pPr>
      <w:r w:rsidRPr="004F5FB4">
        <w:rPr>
          <w:b/>
          <w:bCs/>
          <w:color w:val="000000"/>
        </w:rPr>
        <w:t>Sehr häufig</w:t>
      </w:r>
      <w:r w:rsidRPr="004F5FB4">
        <w:rPr>
          <w:color w:val="000000"/>
        </w:rPr>
        <w:t xml:space="preserve"> (kann mehr als 1 von 10</w:t>
      </w:r>
      <w:r w:rsidR="008F7647" w:rsidRPr="004F5FB4">
        <w:rPr>
          <w:color w:val="000000"/>
        </w:rPr>
        <w:t> </w:t>
      </w:r>
      <w:r w:rsidR="00116420" w:rsidRPr="004F5FB4">
        <w:rPr>
          <w:color w:val="000000"/>
        </w:rPr>
        <w:t>Behandelten</w:t>
      </w:r>
      <w:r w:rsidRPr="004F5FB4">
        <w:rPr>
          <w:color w:val="000000"/>
        </w:rPr>
        <w:t xml:space="preserve"> betreffen)</w:t>
      </w:r>
    </w:p>
    <w:p w14:paraId="1554A72D" w14:textId="77777777" w:rsidR="00C46587" w:rsidRPr="004F5FB4" w:rsidRDefault="00C46587" w:rsidP="00982118">
      <w:pPr>
        <w:rPr>
          <w:color w:val="000000"/>
        </w:rPr>
      </w:pPr>
    </w:p>
    <w:p w14:paraId="6B9E2537" w14:textId="77777777" w:rsidR="00C46587" w:rsidRPr="004F5FB4" w:rsidRDefault="00C46587" w:rsidP="00194625">
      <w:pPr>
        <w:numPr>
          <w:ilvl w:val="0"/>
          <w:numId w:val="9"/>
        </w:numPr>
        <w:ind w:left="562" w:hanging="562"/>
        <w:rPr>
          <w:color w:val="000000"/>
        </w:rPr>
      </w:pPr>
      <w:r w:rsidRPr="004F5FB4">
        <w:rPr>
          <w:color w:val="000000"/>
        </w:rPr>
        <w:t>Reaktionen an der Injektionsstelle (einschließlich Schmerz, Schwellung, Rötung oder Juckreiz)</w:t>
      </w:r>
      <w:r w:rsidR="00BE21D6" w:rsidRPr="004F5FB4">
        <w:rPr>
          <w:color w:val="000000"/>
        </w:rPr>
        <w:t>,</w:t>
      </w:r>
    </w:p>
    <w:p w14:paraId="2D068DD7" w14:textId="77777777" w:rsidR="00C46587" w:rsidRPr="004F5FB4" w:rsidRDefault="00C46587" w:rsidP="00194625">
      <w:pPr>
        <w:numPr>
          <w:ilvl w:val="0"/>
          <w:numId w:val="9"/>
        </w:numPr>
        <w:ind w:left="562" w:hanging="562"/>
        <w:rPr>
          <w:color w:val="000000"/>
        </w:rPr>
      </w:pPr>
      <w:r w:rsidRPr="004F5FB4">
        <w:rPr>
          <w:color w:val="000000"/>
        </w:rPr>
        <w:t>Infektionen der Atemwege (einschließlich Erkältung, Fließschnupfen, Infektion der Nasennebenhöhlen, Lungenentzündung)</w:t>
      </w:r>
      <w:r w:rsidR="00BE21D6" w:rsidRPr="004F5FB4">
        <w:rPr>
          <w:color w:val="000000"/>
        </w:rPr>
        <w:t>,</w:t>
      </w:r>
    </w:p>
    <w:p w14:paraId="6F7C4971" w14:textId="77777777" w:rsidR="00C46587" w:rsidRPr="004F5FB4" w:rsidRDefault="00C46587" w:rsidP="00194625">
      <w:pPr>
        <w:numPr>
          <w:ilvl w:val="0"/>
          <w:numId w:val="9"/>
        </w:numPr>
        <w:ind w:left="562" w:hanging="562"/>
        <w:rPr>
          <w:color w:val="000000"/>
        </w:rPr>
      </w:pPr>
      <w:r w:rsidRPr="004F5FB4">
        <w:rPr>
          <w:color w:val="000000"/>
        </w:rPr>
        <w:t>Kopfschmerzen</w:t>
      </w:r>
      <w:r w:rsidR="00BE21D6" w:rsidRPr="004F5FB4">
        <w:rPr>
          <w:color w:val="000000"/>
        </w:rPr>
        <w:t>,</w:t>
      </w:r>
    </w:p>
    <w:p w14:paraId="0E1A7A2D" w14:textId="77777777" w:rsidR="00C46587" w:rsidRPr="004F5FB4" w:rsidRDefault="00C46587" w:rsidP="00194625">
      <w:pPr>
        <w:numPr>
          <w:ilvl w:val="0"/>
          <w:numId w:val="9"/>
        </w:numPr>
        <w:ind w:left="562" w:hanging="562"/>
        <w:rPr>
          <w:color w:val="000000"/>
        </w:rPr>
      </w:pPr>
      <w:r w:rsidRPr="004F5FB4">
        <w:rPr>
          <w:color w:val="000000"/>
        </w:rPr>
        <w:t>Bauchschmerzen</w:t>
      </w:r>
      <w:r w:rsidR="00BE21D6" w:rsidRPr="004F5FB4">
        <w:rPr>
          <w:color w:val="000000"/>
        </w:rPr>
        <w:t>,</w:t>
      </w:r>
    </w:p>
    <w:p w14:paraId="28CDC938" w14:textId="77777777" w:rsidR="00C46587" w:rsidRPr="004F5FB4" w:rsidRDefault="00C46587" w:rsidP="00194625">
      <w:pPr>
        <w:numPr>
          <w:ilvl w:val="0"/>
          <w:numId w:val="9"/>
        </w:numPr>
        <w:ind w:left="562" w:hanging="562"/>
        <w:rPr>
          <w:color w:val="000000"/>
        </w:rPr>
      </w:pPr>
      <w:r w:rsidRPr="004F5FB4">
        <w:rPr>
          <w:color w:val="000000"/>
        </w:rPr>
        <w:lastRenderedPageBreak/>
        <w:t>Übelkeit und Erbrechen</w:t>
      </w:r>
      <w:r w:rsidR="00BE21D6" w:rsidRPr="004F5FB4">
        <w:rPr>
          <w:color w:val="000000"/>
        </w:rPr>
        <w:t>,</w:t>
      </w:r>
    </w:p>
    <w:p w14:paraId="79AD3E02" w14:textId="77777777" w:rsidR="00C46587" w:rsidRPr="004F5FB4" w:rsidRDefault="00C46587" w:rsidP="00194625">
      <w:pPr>
        <w:numPr>
          <w:ilvl w:val="0"/>
          <w:numId w:val="9"/>
        </w:numPr>
        <w:ind w:left="562" w:hanging="562"/>
        <w:rPr>
          <w:color w:val="000000"/>
        </w:rPr>
      </w:pPr>
      <w:r w:rsidRPr="004F5FB4">
        <w:rPr>
          <w:color w:val="000000"/>
        </w:rPr>
        <w:t>Hautausschlag</w:t>
      </w:r>
      <w:r w:rsidR="00BE21D6" w:rsidRPr="004F5FB4">
        <w:rPr>
          <w:color w:val="000000"/>
        </w:rPr>
        <w:t>,</w:t>
      </w:r>
    </w:p>
    <w:p w14:paraId="0630DCAC" w14:textId="77777777" w:rsidR="00C46587" w:rsidRPr="004F5FB4" w:rsidRDefault="00C46587" w:rsidP="00194625">
      <w:pPr>
        <w:numPr>
          <w:ilvl w:val="0"/>
          <w:numId w:val="9"/>
        </w:numPr>
        <w:ind w:left="562" w:hanging="562"/>
        <w:rPr>
          <w:color w:val="000000"/>
        </w:rPr>
      </w:pPr>
      <w:r w:rsidRPr="004F5FB4">
        <w:rPr>
          <w:color w:val="000000"/>
        </w:rPr>
        <w:t>Schmerzen in Muskeln und Knochen</w:t>
      </w:r>
      <w:r w:rsidR="00B00A90" w:rsidRPr="004F5FB4">
        <w:rPr>
          <w:color w:val="000000"/>
        </w:rPr>
        <w:t>.</w:t>
      </w:r>
    </w:p>
    <w:p w14:paraId="1B8E7566" w14:textId="77777777" w:rsidR="00C46587" w:rsidRPr="004F5FB4" w:rsidRDefault="00C46587" w:rsidP="00982118">
      <w:pPr>
        <w:rPr>
          <w:color w:val="000000"/>
        </w:rPr>
      </w:pPr>
    </w:p>
    <w:p w14:paraId="433A8566" w14:textId="77777777" w:rsidR="00C46587" w:rsidRPr="004F5FB4" w:rsidRDefault="00C46587" w:rsidP="00982118">
      <w:pPr>
        <w:keepNext/>
        <w:rPr>
          <w:color w:val="000000"/>
        </w:rPr>
      </w:pPr>
      <w:r w:rsidRPr="004F5FB4">
        <w:rPr>
          <w:b/>
          <w:bCs/>
          <w:color w:val="000000"/>
        </w:rPr>
        <w:t>Häufig</w:t>
      </w:r>
      <w:r w:rsidRPr="004F5FB4">
        <w:rPr>
          <w:color w:val="000000"/>
        </w:rPr>
        <w:t xml:space="preserve"> (kann bis zu 1 von 10</w:t>
      </w:r>
      <w:r w:rsidR="008F7647" w:rsidRPr="004F5FB4">
        <w:rPr>
          <w:color w:val="000000"/>
        </w:rPr>
        <w:t> </w:t>
      </w:r>
      <w:r w:rsidR="00116420" w:rsidRPr="004F5FB4">
        <w:rPr>
          <w:color w:val="000000"/>
        </w:rPr>
        <w:t>Behandelten</w:t>
      </w:r>
      <w:r w:rsidRPr="004F5FB4">
        <w:rPr>
          <w:color w:val="000000"/>
        </w:rPr>
        <w:t xml:space="preserve"> betreffen)</w:t>
      </w:r>
    </w:p>
    <w:p w14:paraId="371C6E80" w14:textId="77777777" w:rsidR="00C46587" w:rsidRPr="004F5FB4" w:rsidRDefault="00C46587" w:rsidP="00982118">
      <w:pPr>
        <w:keepNext/>
        <w:rPr>
          <w:color w:val="000000"/>
        </w:rPr>
      </w:pPr>
    </w:p>
    <w:p w14:paraId="58C7F32C" w14:textId="77777777" w:rsidR="00C46587" w:rsidRPr="004F5FB4" w:rsidRDefault="00BE21D6" w:rsidP="007C0A4F">
      <w:pPr>
        <w:keepNext/>
        <w:numPr>
          <w:ilvl w:val="0"/>
          <w:numId w:val="9"/>
        </w:numPr>
        <w:ind w:left="562" w:hanging="562"/>
        <w:rPr>
          <w:color w:val="000000"/>
        </w:rPr>
      </w:pPr>
      <w:r w:rsidRPr="004F5FB4">
        <w:rPr>
          <w:color w:val="000000"/>
        </w:rPr>
        <w:t>s</w:t>
      </w:r>
      <w:r w:rsidR="00546F81" w:rsidRPr="004F5FB4">
        <w:rPr>
          <w:color w:val="000000"/>
        </w:rPr>
        <w:t>chwere Infektionen (einschließlich Blutvergiftung und Virusgrippe)</w:t>
      </w:r>
      <w:r w:rsidRPr="004F5FB4">
        <w:rPr>
          <w:color w:val="000000"/>
        </w:rPr>
        <w:t>,</w:t>
      </w:r>
    </w:p>
    <w:p w14:paraId="09C8D48D" w14:textId="77777777" w:rsidR="00C2239D" w:rsidRPr="004F5FB4" w:rsidRDefault="00C2239D" w:rsidP="007C0A4F">
      <w:pPr>
        <w:numPr>
          <w:ilvl w:val="0"/>
          <w:numId w:val="9"/>
        </w:numPr>
        <w:ind w:left="562" w:hanging="562"/>
        <w:rPr>
          <w:color w:val="000000"/>
        </w:rPr>
      </w:pPr>
      <w:r w:rsidRPr="004F5FB4">
        <w:rPr>
          <w:color w:val="000000"/>
        </w:rPr>
        <w:t>Darminfektionen (einschließlich Magen-Darm-Grippe)</w:t>
      </w:r>
      <w:r w:rsidR="00BE21D6" w:rsidRPr="004F5FB4">
        <w:rPr>
          <w:color w:val="000000"/>
        </w:rPr>
        <w:t>,</w:t>
      </w:r>
    </w:p>
    <w:p w14:paraId="788ED878" w14:textId="77777777" w:rsidR="00C46587" w:rsidRPr="004F5FB4" w:rsidRDefault="00C46587" w:rsidP="007C0A4F">
      <w:pPr>
        <w:numPr>
          <w:ilvl w:val="0"/>
          <w:numId w:val="9"/>
        </w:numPr>
        <w:ind w:left="562" w:hanging="562"/>
        <w:rPr>
          <w:color w:val="000000"/>
        </w:rPr>
      </w:pPr>
      <w:r w:rsidRPr="004F5FB4">
        <w:rPr>
          <w:color w:val="000000"/>
        </w:rPr>
        <w:t>Infektionen der Haut (einschließlich Entzündung des Unterhautzellgewebes und Gürtelrose)</w:t>
      </w:r>
      <w:r w:rsidR="00BE21D6" w:rsidRPr="004F5FB4">
        <w:rPr>
          <w:color w:val="000000"/>
        </w:rPr>
        <w:t>,</w:t>
      </w:r>
    </w:p>
    <w:p w14:paraId="1B137D17" w14:textId="77777777" w:rsidR="00594865" w:rsidRPr="004F5FB4" w:rsidRDefault="00C46587" w:rsidP="007C0A4F">
      <w:pPr>
        <w:numPr>
          <w:ilvl w:val="0"/>
          <w:numId w:val="9"/>
        </w:numPr>
        <w:ind w:left="562" w:hanging="562"/>
        <w:rPr>
          <w:color w:val="000000"/>
        </w:rPr>
      </w:pPr>
      <w:r w:rsidRPr="004F5FB4">
        <w:rPr>
          <w:color w:val="000000"/>
        </w:rPr>
        <w:t>Infektionen des Ohres</w:t>
      </w:r>
      <w:r w:rsidR="00BE21D6" w:rsidRPr="004F5FB4">
        <w:rPr>
          <w:color w:val="000000"/>
        </w:rPr>
        <w:t>,</w:t>
      </w:r>
    </w:p>
    <w:p w14:paraId="55B29AD2" w14:textId="77777777" w:rsidR="00C46587" w:rsidRPr="004F5FB4" w:rsidRDefault="00DD6771" w:rsidP="007C0A4F">
      <w:pPr>
        <w:numPr>
          <w:ilvl w:val="0"/>
          <w:numId w:val="9"/>
        </w:numPr>
        <w:ind w:left="562" w:hanging="562"/>
        <w:rPr>
          <w:color w:val="000000"/>
        </w:rPr>
      </w:pPr>
      <w:r w:rsidRPr="004F5FB4">
        <w:rPr>
          <w:color w:val="000000"/>
        </w:rPr>
        <w:t>Infektionen des Mundes (einschließlich Zahninfektionen und Fieberbläschen)</w:t>
      </w:r>
      <w:r w:rsidR="00BE21D6" w:rsidRPr="004F5FB4">
        <w:rPr>
          <w:color w:val="000000"/>
        </w:rPr>
        <w:t>,</w:t>
      </w:r>
    </w:p>
    <w:p w14:paraId="3FEA3E5C" w14:textId="77777777" w:rsidR="00C46587" w:rsidRPr="004F5FB4" w:rsidRDefault="00C46587" w:rsidP="007C0A4F">
      <w:pPr>
        <w:numPr>
          <w:ilvl w:val="0"/>
          <w:numId w:val="9"/>
        </w:numPr>
        <w:ind w:left="562" w:hanging="562"/>
        <w:rPr>
          <w:color w:val="000000"/>
        </w:rPr>
      </w:pPr>
      <w:r w:rsidRPr="004F5FB4">
        <w:rPr>
          <w:color w:val="000000"/>
        </w:rPr>
        <w:t>Infektionen der Fortpflanzungsorgane</w:t>
      </w:r>
      <w:r w:rsidR="00BE21D6" w:rsidRPr="004F5FB4">
        <w:rPr>
          <w:color w:val="000000"/>
        </w:rPr>
        <w:t>,</w:t>
      </w:r>
    </w:p>
    <w:p w14:paraId="1867219F" w14:textId="77777777" w:rsidR="00C46587" w:rsidRPr="004F5FB4" w:rsidRDefault="00C46587" w:rsidP="007C0A4F">
      <w:pPr>
        <w:numPr>
          <w:ilvl w:val="0"/>
          <w:numId w:val="9"/>
        </w:numPr>
        <w:ind w:left="562" w:hanging="562"/>
        <w:rPr>
          <w:color w:val="000000"/>
        </w:rPr>
      </w:pPr>
      <w:r w:rsidRPr="004F5FB4">
        <w:rPr>
          <w:color w:val="000000"/>
        </w:rPr>
        <w:t>Harnwegsinfektion</w:t>
      </w:r>
      <w:r w:rsidR="00BE21D6" w:rsidRPr="004F5FB4">
        <w:rPr>
          <w:color w:val="000000"/>
        </w:rPr>
        <w:t>,</w:t>
      </w:r>
    </w:p>
    <w:p w14:paraId="47818E34" w14:textId="77777777" w:rsidR="00C46587" w:rsidRPr="004F5FB4" w:rsidRDefault="00C46587" w:rsidP="007C0A4F">
      <w:pPr>
        <w:numPr>
          <w:ilvl w:val="0"/>
          <w:numId w:val="9"/>
        </w:numPr>
        <w:ind w:left="562" w:hanging="562"/>
        <w:rPr>
          <w:color w:val="000000"/>
        </w:rPr>
      </w:pPr>
      <w:r w:rsidRPr="004F5FB4">
        <w:rPr>
          <w:color w:val="000000"/>
        </w:rPr>
        <w:t>Pilzinfektionen</w:t>
      </w:r>
      <w:r w:rsidR="00BE21D6" w:rsidRPr="004F5FB4">
        <w:rPr>
          <w:color w:val="000000"/>
        </w:rPr>
        <w:t>,</w:t>
      </w:r>
    </w:p>
    <w:p w14:paraId="503938A2" w14:textId="77777777" w:rsidR="00C46587" w:rsidRPr="004F5FB4" w:rsidRDefault="00C46587" w:rsidP="007C0A4F">
      <w:pPr>
        <w:numPr>
          <w:ilvl w:val="0"/>
          <w:numId w:val="9"/>
        </w:numPr>
        <w:ind w:left="562" w:hanging="562"/>
        <w:rPr>
          <w:color w:val="000000"/>
        </w:rPr>
      </w:pPr>
      <w:r w:rsidRPr="004F5FB4">
        <w:rPr>
          <w:color w:val="000000"/>
        </w:rPr>
        <w:t>Gelenkinfektionen</w:t>
      </w:r>
      <w:r w:rsidR="00BE21D6" w:rsidRPr="004F5FB4">
        <w:rPr>
          <w:color w:val="000000"/>
        </w:rPr>
        <w:t>,</w:t>
      </w:r>
    </w:p>
    <w:p w14:paraId="3E3E6D3A" w14:textId="77777777" w:rsidR="00C46587" w:rsidRPr="004F5FB4" w:rsidRDefault="000235E9" w:rsidP="007C0A4F">
      <w:pPr>
        <w:numPr>
          <w:ilvl w:val="0"/>
          <w:numId w:val="9"/>
        </w:numPr>
        <w:ind w:left="562" w:hanging="562"/>
        <w:rPr>
          <w:color w:val="000000"/>
        </w:rPr>
      </w:pPr>
      <w:r w:rsidRPr="004F5FB4">
        <w:rPr>
          <w:color w:val="000000"/>
        </w:rPr>
        <w:t>g</w:t>
      </w:r>
      <w:r w:rsidR="00C46587" w:rsidRPr="004F5FB4">
        <w:rPr>
          <w:color w:val="000000"/>
        </w:rPr>
        <w:t>utartige Tumoren</w:t>
      </w:r>
      <w:r w:rsidR="00BE21D6" w:rsidRPr="004F5FB4">
        <w:rPr>
          <w:color w:val="000000"/>
        </w:rPr>
        <w:t>,</w:t>
      </w:r>
    </w:p>
    <w:p w14:paraId="7BF123C2" w14:textId="77777777" w:rsidR="00C46587" w:rsidRPr="004F5FB4" w:rsidRDefault="00C46587" w:rsidP="007C0A4F">
      <w:pPr>
        <w:numPr>
          <w:ilvl w:val="0"/>
          <w:numId w:val="9"/>
        </w:numPr>
        <w:ind w:left="562" w:hanging="562"/>
        <w:rPr>
          <w:color w:val="000000"/>
        </w:rPr>
      </w:pPr>
      <w:r w:rsidRPr="004F5FB4">
        <w:rPr>
          <w:color w:val="000000"/>
        </w:rPr>
        <w:t>Hautkrebs</w:t>
      </w:r>
      <w:r w:rsidR="00BE21D6" w:rsidRPr="004F5FB4">
        <w:rPr>
          <w:color w:val="000000"/>
        </w:rPr>
        <w:t>,</w:t>
      </w:r>
    </w:p>
    <w:p w14:paraId="6CF5B393" w14:textId="77777777" w:rsidR="00C46587" w:rsidRPr="004F5FB4" w:rsidRDefault="00BE21D6" w:rsidP="007C0A4F">
      <w:pPr>
        <w:numPr>
          <w:ilvl w:val="0"/>
          <w:numId w:val="9"/>
        </w:numPr>
        <w:ind w:left="562" w:hanging="562"/>
        <w:rPr>
          <w:color w:val="000000"/>
        </w:rPr>
      </w:pPr>
      <w:r w:rsidRPr="004F5FB4">
        <w:rPr>
          <w:color w:val="000000"/>
        </w:rPr>
        <w:t>a</w:t>
      </w:r>
      <w:r w:rsidR="00C46587" w:rsidRPr="004F5FB4">
        <w:rPr>
          <w:color w:val="000000"/>
        </w:rPr>
        <w:t>llergische Reaktionen (einschließlich durch Jahreszeiten bedingter Allergie)</w:t>
      </w:r>
      <w:r w:rsidRPr="004F5FB4">
        <w:rPr>
          <w:color w:val="000000"/>
        </w:rPr>
        <w:t>,</w:t>
      </w:r>
    </w:p>
    <w:p w14:paraId="28F6F009" w14:textId="77777777" w:rsidR="00C46587" w:rsidRPr="004F5FB4" w:rsidRDefault="00C46587" w:rsidP="007C0A4F">
      <w:pPr>
        <w:numPr>
          <w:ilvl w:val="0"/>
          <w:numId w:val="9"/>
        </w:numPr>
        <w:ind w:left="562" w:hanging="562"/>
        <w:rPr>
          <w:color w:val="000000"/>
        </w:rPr>
      </w:pPr>
      <w:r w:rsidRPr="004F5FB4">
        <w:rPr>
          <w:color w:val="000000"/>
        </w:rPr>
        <w:t xml:space="preserve">Flüssigkeitsverlust </w:t>
      </w:r>
      <w:r w:rsidRPr="004F5FB4">
        <w:rPr>
          <w:i/>
          <w:color w:val="000000"/>
        </w:rPr>
        <w:t>(Dehydratation)</w:t>
      </w:r>
      <w:r w:rsidR="00BE21D6" w:rsidRPr="004F5FB4">
        <w:rPr>
          <w:color w:val="000000"/>
        </w:rPr>
        <w:t>,</w:t>
      </w:r>
    </w:p>
    <w:p w14:paraId="246356D3" w14:textId="77777777" w:rsidR="00C46587" w:rsidRPr="004F5FB4" w:rsidRDefault="00C46587" w:rsidP="007C0A4F">
      <w:pPr>
        <w:numPr>
          <w:ilvl w:val="0"/>
          <w:numId w:val="9"/>
        </w:numPr>
        <w:ind w:left="562" w:hanging="562"/>
        <w:rPr>
          <w:color w:val="000000"/>
        </w:rPr>
      </w:pPr>
      <w:r w:rsidRPr="004F5FB4">
        <w:rPr>
          <w:color w:val="000000"/>
        </w:rPr>
        <w:t>Stimmungsschwankungen (einschließlich Depression)</w:t>
      </w:r>
      <w:r w:rsidR="00BE21D6" w:rsidRPr="004F5FB4">
        <w:rPr>
          <w:color w:val="000000"/>
        </w:rPr>
        <w:t>,</w:t>
      </w:r>
    </w:p>
    <w:p w14:paraId="1206900E" w14:textId="77777777" w:rsidR="00C46587" w:rsidRPr="004F5FB4" w:rsidRDefault="00C46587" w:rsidP="007C0A4F">
      <w:pPr>
        <w:numPr>
          <w:ilvl w:val="0"/>
          <w:numId w:val="9"/>
        </w:numPr>
        <w:ind w:left="562" w:hanging="562"/>
        <w:rPr>
          <w:color w:val="000000"/>
        </w:rPr>
      </w:pPr>
      <w:r w:rsidRPr="004F5FB4">
        <w:rPr>
          <w:color w:val="000000"/>
        </w:rPr>
        <w:t>Angstgefühl</w:t>
      </w:r>
      <w:r w:rsidR="00BE21D6" w:rsidRPr="004F5FB4">
        <w:rPr>
          <w:color w:val="000000"/>
        </w:rPr>
        <w:t>,</w:t>
      </w:r>
    </w:p>
    <w:p w14:paraId="20D133CB" w14:textId="77777777" w:rsidR="00C46587" w:rsidRPr="004F5FB4" w:rsidRDefault="00C46587" w:rsidP="007C0A4F">
      <w:pPr>
        <w:numPr>
          <w:ilvl w:val="0"/>
          <w:numId w:val="9"/>
        </w:numPr>
        <w:ind w:left="562" w:hanging="562"/>
        <w:rPr>
          <w:color w:val="000000"/>
        </w:rPr>
      </w:pPr>
      <w:r w:rsidRPr="004F5FB4">
        <w:rPr>
          <w:color w:val="000000"/>
        </w:rPr>
        <w:t>Schlafstörungen</w:t>
      </w:r>
      <w:r w:rsidR="00BE21D6" w:rsidRPr="004F5FB4">
        <w:rPr>
          <w:color w:val="000000"/>
        </w:rPr>
        <w:t>,</w:t>
      </w:r>
    </w:p>
    <w:p w14:paraId="14BCA9E5" w14:textId="77777777" w:rsidR="00C46587" w:rsidRPr="004F5FB4" w:rsidRDefault="00C46587" w:rsidP="007C0A4F">
      <w:pPr>
        <w:numPr>
          <w:ilvl w:val="0"/>
          <w:numId w:val="9"/>
        </w:numPr>
        <w:ind w:left="562" w:hanging="562"/>
        <w:rPr>
          <w:color w:val="000000"/>
        </w:rPr>
      </w:pPr>
      <w:r w:rsidRPr="004F5FB4">
        <w:rPr>
          <w:color w:val="000000"/>
        </w:rPr>
        <w:t>Empfindungsstörungen (einschließlich Kribbeln, Prickeln oder Taubheitsgefühl)</w:t>
      </w:r>
      <w:r w:rsidR="00BE21D6" w:rsidRPr="004F5FB4">
        <w:rPr>
          <w:color w:val="000000"/>
        </w:rPr>
        <w:t>,</w:t>
      </w:r>
    </w:p>
    <w:p w14:paraId="24CE840B" w14:textId="77777777" w:rsidR="00C46587" w:rsidRPr="004F5FB4" w:rsidRDefault="00C46587" w:rsidP="007C0A4F">
      <w:pPr>
        <w:numPr>
          <w:ilvl w:val="0"/>
          <w:numId w:val="9"/>
        </w:numPr>
        <w:ind w:left="562" w:hanging="562"/>
        <w:rPr>
          <w:color w:val="000000"/>
        </w:rPr>
      </w:pPr>
      <w:r w:rsidRPr="004F5FB4">
        <w:rPr>
          <w:color w:val="000000"/>
        </w:rPr>
        <w:t>Migräne</w:t>
      </w:r>
      <w:r w:rsidR="00BE21D6" w:rsidRPr="004F5FB4">
        <w:rPr>
          <w:color w:val="000000"/>
        </w:rPr>
        <w:t>,</w:t>
      </w:r>
    </w:p>
    <w:p w14:paraId="21AC6946" w14:textId="77777777" w:rsidR="00C46587" w:rsidRPr="004F5FB4" w:rsidRDefault="00DD6771" w:rsidP="007C0A4F">
      <w:pPr>
        <w:numPr>
          <w:ilvl w:val="0"/>
          <w:numId w:val="9"/>
        </w:numPr>
        <w:ind w:left="562" w:hanging="562"/>
        <w:rPr>
          <w:color w:val="000000"/>
        </w:rPr>
      </w:pPr>
      <w:r w:rsidRPr="004F5FB4">
        <w:rPr>
          <w:color w:val="000000"/>
        </w:rPr>
        <w:t>Symptome einer Nervenwurzelkompression (Hexenschuss, einschließlich Rückenschmerzen und Beinschmerzen)</w:t>
      </w:r>
      <w:r w:rsidR="00BE21D6" w:rsidRPr="004F5FB4">
        <w:rPr>
          <w:color w:val="000000"/>
        </w:rPr>
        <w:t>,</w:t>
      </w:r>
    </w:p>
    <w:p w14:paraId="6E4F5CA5" w14:textId="77777777" w:rsidR="00C46587" w:rsidRPr="004F5FB4" w:rsidRDefault="00C46587" w:rsidP="007C0A4F">
      <w:pPr>
        <w:numPr>
          <w:ilvl w:val="0"/>
          <w:numId w:val="9"/>
        </w:numPr>
        <w:ind w:left="562" w:hanging="562"/>
        <w:rPr>
          <w:color w:val="000000"/>
        </w:rPr>
      </w:pPr>
      <w:r w:rsidRPr="004F5FB4">
        <w:rPr>
          <w:color w:val="000000"/>
        </w:rPr>
        <w:t>Sehstörungen</w:t>
      </w:r>
      <w:r w:rsidR="00BE21D6" w:rsidRPr="004F5FB4">
        <w:rPr>
          <w:color w:val="000000"/>
        </w:rPr>
        <w:t>,</w:t>
      </w:r>
    </w:p>
    <w:p w14:paraId="75A22B50" w14:textId="77777777" w:rsidR="00C46587" w:rsidRPr="004F5FB4" w:rsidRDefault="00C46587" w:rsidP="007C0A4F">
      <w:pPr>
        <w:numPr>
          <w:ilvl w:val="0"/>
          <w:numId w:val="9"/>
        </w:numPr>
        <w:ind w:left="562" w:hanging="562"/>
        <w:rPr>
          <w:color w:val="000000"/>
        </w:rPr>
      </w:pPr>
      <w:r w:rsidRPr="004F5FB4">
        <w:rPr>
          <w:color w:val="000000"/>
        </w:rPr>
        <w:t>Augenentzündung</w:t>
      </w:r>
      <w:r w:rsidR="00BE21D6" w:rsidRPr="004F5FB4">
        <w:rPr>
          <w:color w:val="000000"/>
        </w:rPr>
        <w:t>,</w:t>
      </w:r>
    </w:p>
    <w:p w14:paraId="69648230" w14:textId="77777777" w:rsidR="00C46587" w:rsidRPr="004F5FB4" w:rsidRDefault="00C46587" w:rsidP="007C0A4F">
      <w:pPr>
        <w:numPr>
          <w:ilvl w:val="0"/>
          <w:numId w:val="9"/>
        </w:numPr>
        <w:ind w:left="562" w:hanging="562"/>
        <w:rPr>
          <w:color w:val="000000"/>
        </w:rPr>
      </w:pPr>
      <w:r w:rsidRPr="004F5FB4">
        <w:rPr>
          <w:color w:val="000000"/>
        </w:rPr>
        <w:t>Entzündung des Augenlides und Anschwellen des Auges</w:t>
      </w:r>
      <w:r w:rsidR="00BE21D6" w:rsidRPr="004F5FB4">
        <w:rPr>
          <w:color w:val="000000"/>
        </w:rPr>
        <w:t>,</w:t>
      </w:r>
    </w:p>
    <w:p w14:paraId="4FE35B74" w14:textId="77777777" w:rsidR="00C46587" w:rsidRPr="004F5FB4" w:rsidRDefault="00C46587" w:rsidP="007C0A4F">
      <w:pPr>
        <w:numPr>
          <w:ilvl w:val="0"/>
          <w:numId w:val="9"/>
        </w:numPr>
        <w:ind w:left="562" w:hanging="562"/>
        <w:rPr>
          <w:color w:val="000000"/>
        </w:rPr>
      </w:pPr>
      <w:r w:rsidRPr="004F5FB4">
        <w:rPr>
          <w:color w:val="000000"/>
        </w:rPr>
        <w:t>Schwindel (Gefühl, dass sich der Raum dreht)</w:t>
      </w:r>
      <w:r w:rsidR="00BE21D6" w:rsidRPr="004F5FB4">
        <w:rPr>
          <w:color w:val="000000"/>
        </w:rPr>
        <w:t>,</w:t>
      </w:r>
    </w:p>
    <w:p w14:paraId="6038602F" w14:textId="77777777" w:rsidR="00C46587" w:rsidRPr="004F5FB4" w:rsidRDefault="00C46587" w:rsidP="007C0A4F">
      <w:pPr>
        <w:numPr>
          <w:ilvl w:val="0"/>
          <w:numId w:val="9"/>
        </w:numPr>
        <w:ind w:left="562" w:hanging="562"/>
        <w:rPr>
          <w:color w:val="000000"/>
        </w:rPr>
      </w:pPr>
      <w:r w:rsidRPr="004F5FB4">
        <w:rPr>
          <w:color w:val="000000"/>
        </w:rPr>
        <w:t>Herzrasen</w:t>
      </w:r>
      <w:r w:rsidR="00BE21D6" w:rsidRPr="004F5FB4">
        <w:rPr>
          <w:color w:val="000000"/>
        </w:rPr>
        <w:t>,</w:t>
      </w:r>
    </w:p>
    <w:p w14:paraId="6DCECC41" w14:textId="77777777" w:rsidR="00C46587" w:rsidRPr="004F5FB4" w:rsidRDefault="00BE21D6" w:rsidP="007C0A4F">
      <w:pPr>
        <w:numPr>
          <w:ilvl w:val="0"/>
          <w:numId w:val="9"/>
        </w:numPr>
        <w:ind w:left="562" w:hanging="562"/>
        <w:rPr>
          <w:color w:val="000000"/>
        </w:rPr>
      </w:pPr>
      <w:r w:rsidRPr="004F5FB4">
        <w:rPr>
          <w:color w:val="000000"/>
        </w:rPr>
        <w:t>h</w:t>
      </w:r>
      <w:r w:rsidR="00C46587" w:rsidRPr="004F5FB4">
        <w:rPr>
          <w:color w:val="000000"/>
        </w:rPr>
        <w:t>oher Blutdruck</w:t>
      </w:r>
      <w:r w:rsidRPr="004F5FB4">
        <w:rPr>
          <w:color w:val="000000"/>
        </w:rPr>
        <w:t>,</w:t>
      </w:r>
    </w:p>
    <w:p w14:paraId="317ECA02" w14:textId="77777777" w:rsidR="00C46587" w:rsidRPr="004F5FB4" w:rsidRDefault="00C46587" w:rsidP="007C0A4F">
      <w:pPr>
        <w:numPr>
          <w:ilvl w:val="0"/>
          <w:numId w:val="9"/>
        </w:numPr>
        <w:ind w:left="562" w:hanging="562"/>
        <w:rPr>
          <w:color w:val="000000"/>
        </w:rPr>
      </w:pPr>
      <w:r w:rsidRPr="004F5FB4">
        <w:rPr>
          <w:color w:val="000000"/>
        </w:rPr>
        <w:t>Hitzegefühl</w:t>
      </w:r>
      <w:r w:rsidR="00BE21D6" w:rsidRPr="004F5FB4">
        <w:rPr>
          <w:color w:val="000000"/>
        </w:rPr>
        <w:t>,</w:t>
      </w:r>
    </w:p>
    <w:p w14:paraId="681873E2" w14:textId="77777777" w:rsidR="00C46587" w:rsidRPr="004F5FB4" w:rsidRDefault="00C46587" w:rsidP="007C0A4F">
      <w:pPr>
        <w:numPr>
          <w:ilvl w:val="0"/>
          <w:numId w:val="9"/>
        </w:numPr>
        <w:ind w:left="562" w:hanging="562"/>
        <w:rPr>
          <w:color w:val="000000"/>
        </w:rPr>
      </w:pPr>
      <w:r w:rsidRPr="004F5FB4">
        <w:rPr>
          <w:color w:val="000000"/>
        </w:rPr>
        <w:t>Bluterguss (feste Schwellung mit Blutgerinnsel)</w:t>
      </w:r>
      <w:r w:rsidR="00BE21D6" w:rsidRPr="004F5FB4">
        <w:rPr>
          <w:color w:val="000000"/>
        </w:rPr>
        <w:t>,</w:t>
      </w:r>
    </w:p>
    <w:p w14:paraId="0D22980C" w14:textId="77777777" w:rsidR="00C46587" w:rsidRPr="004F5FB4" w:rsidRDefault="00C46587" w:rsidP="007C0A4F">
      <w:pPr>
        <w:numPr>
          <w:ilvl w:val="0"/>
          <w:numId w:val="9"/>
        </w:numPr>
        <w:ind w:left="562" w:hanging="562"/>
        <w:rPr>
          <w:color w:val="000000"/>
        </w:rPr>
      </w:pPr>
      <w:r w:rsidRPr="004F5FB4">
        <w:rPr>
          <w:color w:val="000000"/>
        </w:rPr>
        <w:t>Husten</w:t>
      </w:r>
      <w:r w:rsidR="00BE21D6" w:rsidRPr="004F5FB4">
        <w:rPr>
          <w:color w:val="000000"/>
        </w:rPr>
        <w:t>,</w:t>
      </w:r>
    </w:p>
    <w:p w14:paraId="032FA9E7" w14:textId="77777777" w:rsidR="00C46587" w:rsidRPr="004F5FB4" w:rsidRDefault="00C46587" w:rsidP="007C0A4F">
      <w:pPr>
        <w:numPr>
          <w:ilvl w:val="0"/>
          <w:numId w:val="9"/>
        </w:numPr>
        <w:ind w:left="562" w:hanging="562"/>
        <w:rPr>
          <w:color w:val="000000"/>
        </w:rPr>
      </w:pPr>
      <w:r w:rsidRPr="004F5FB4">
        <w:rPr>
          <w:color w:val="000000"/>
        </w:rPr>
        <w:t>Asthma</w:t>
      </w:r>
      <w:r w:rsidR="00BE21D6" w:rsidRPr="004F5FB4">
        <w:rPr>
          <w:color w:val="000000"/>
        </w:rPr>
        <w:t>,</w:t>
      </w:r>
    </w:p>
    <w:p w14:paraId="5695B678" w14:textId="77777777" w:rsidR="00C46587" w:rsidRPr="004F5FB4" w:rsidRDefault="00C46587" w:rsidP="007C0A4F">
      <w:pPr>
        <w:numPr>
          <w:ilvl w:val="0"/>
          <w:numId w:val="9"/>
        </w:numPr>
        <w:ind w:left="562" w:hanging="562"/>
        <w:rPr>
          <w:color w:val="000000"/>
        </w:rPr>
      </w:pPr>
      <w:r w:rsidRPr="004F5FB4">
        <w:rPr>
          <w:color w:val="000000"/>
        </w:rPr>
        <w:t>Kurzatmigkeit</w:t>
      </w:r>
      <w:r w:rsidR="00BE21D6" w:rsidRPr="004F5FB4">
        <w:rPr>
          <w:color w:val="000000"/>
        </w:rPr>
        <w:t>,</w:t>
      </w:r>
    </w:p>
    <w:p w14:paraId="4885F23C" w14:textId="77777777" w:rsidR="00C46587" w:rsidRPr="004F5FB4" w:rsidRDefault="00C46587" w:rsidP="007C0A4F">
      <w:pPr>
        <w:numPr>
          <w:ilvl w:val="0"/>
          <w:numId w:val="9"/>
        </w:numPr>
        <w:ind w:left="562" w:hanging="562"/>
        <w:rPr>
          <w:color w:val="000000"/>
        </w:rPr>
      </w:pPr>
      <w:r w:rsidRPr="004F5FB4">
        <w:rPr>
          <w:color w:val="000000"/>
        </w:rPr>
        <w:t>Magen-Darm-Blutungen</w:t>
      </w:r>
      <w:r w:rsidR="00BE21D6" w:rsidRPr="004F5FB4">
        <w:rPr>
          <w:color w:val="000000"/>
        </w:rPr>
        <w:t>,</w:t>
      </w:r>
    </w:p>
    <w:p w14:paraId="55AAD411" w14:textId="77777777" w:rsidR="00C46587" w:rsidRPr="004F5FB4" w:rsidRDefault="00C46587" w:rsidP="007C0A4F">
      <w:pPr>
        <w:numPr>
          <w:ilvl w:val="0"/>
          <w:numId w:val="9"/>
        </w:numPr>
        <w:ind w:left="562" w:hanging="562"/>
        <w:rPr>
          <w:color w:val="000000"/>
        </w:rPr>
      </w:pPr>
      <w:r w:rsidRPr="004F5FB4">
        <w:rPr>
          <w:color w:val="000000"/>
        </w:rPr>
        <w:t>Verdauungsstörung (Magenverstimmung, Blähungen, Sodbrennen)</w:t>
      </w:r>
      <w:r w:rsidR="00BE21D6" w:rsidRPr="004F5FB4">
        <w:rPr>
          <w:color w:val="000000"/>
        </w:rPr>
        <w:t>,</w:t>
      </w:r>
    </w:p>
    <w:p w14:paraId="15967C13" w14:textId="77777777" w:rsidR="00C46587" w:rsidRPr="004F5FB4" w:rsidRDefault="00B33772" w:rsidP="007C0A4F">
      <w:pPr>
        <w:numPr>
          <w:ilvl w:val="0"/>
          <w:numId w:val="9"/>
        </w:numPr>
        <w:ind w:left="562" w:hanging="562"/>
        <w:rPr>
          <w:color w:val="000000"/>
        </w:rPr>
      </w:pPr>
      <w:r w:rsidRPr="004F5FB4">
        <w:rPr>
          <w:color w:val="000000"/>
        </w:rPr>
        <w:t>s</w:t>
      </w:r>
      <w:r w:rsidR="00C46587" w:rsidRPr="004F5FB4">
        <w:rPr>
          <w:color w:val="000000"/>
        </w:rPr>
        <w:t>aures Aufstoßen</w:t>
      </w:r>
    </w:p>
    <w:p w14:paraId="4922ADF5" w14:textId="77777777" w:rsidR="00C46587" w:rsidRPr="004F5FB4" w:rsidRDefault="00C46587" w:rsidP="007C0A4F">
      <w:pPr>
        <w:numPr>
          <w:ilvl w:val="0"/>
          <w:numId w:val="9"/>
        </w:numPr>
        <w:ind w:left="562" w:hanging="562"/>
        <w:rPr>
          <w:color w:val="000000"/>
        </w:rPr>
      </w:pPr>
      <w:r w:rsidRPr="004F5FB4">
        <w:rPr>
          <w:color w:val="000000"/>
        </w:rPr>
        <w:t>Sicca-Syndrom (einschließlich trockener Augen und trockenem Mund)</w:t>
      </w:r>
      <w:r w:rsidR="00C50053" w:rsidRPr="004F5FB4">
        <w:rPr>
          <w:color w:val="000000"/>
        </w:rPr>
        <w:t>,</w:t>
      </w:r>
    </w:p>
    <w:p w14:paraId="52786DAA" w14:textId="77777777" w:rsidR="00C46587" w:rsidRPr="004F5FB4" w:rsidRDefault="00C46587" w:rsidP="007C0A4F">
      <w:pPr>
        <w:numPr>
          <w:ilvl w:val="0"/>
          <w:numId w:val="9"/>
        </w:numPr>
        <w:ind w:left="562" w:hanging="562"/>
        <w:rPr>
          <w:color w:val="000000"/>
        </w:rPr>
      </w:pPr>
      <w:r w:rsidRPr="004F5FB4">
        <w:rPr>
          <w:color w:val="000000"/>
        </w:rPr>
        <w:t>Juckreiz</w:t>
      </w:r>
      <w:r w:rsidR="00C50053" w:rsidRPr="004F5FB4">
        <w:rPr>
          <w:color w:val="000000"/>
        </w:rPr>
        <w:t>,</w:t>
      </w:r>
    </w:p>
    <w:p w14:paraId="7113EE8B" w14:textId="77777777" w:rsidR="00C46587" w:rsidRPr="004F5FB4" w:rsidRDefault="00C50053" w:rsidP="007C0A4F">
      <w:pPr>
        <w:numPr>
          <w:ilvl w:val="0"/>
          <w:numId w:val="9"/>
        </w:numPr>
        <w:ind w:left="562" w:hanging="562"/>
        <w:rPr>
          <w:color w:val="000000"/>
        </w:rPr>
      </w:pPr>
      <w:r w:rsidRPr="004F5FB4">
        <w:rPr>
          <w:color w:val="000000"/>
        </w:rPr>
        <w:t>j</w:t>
      </w:r>
      <w:r w:rsidR="00C46587" w:rsidRPr="004F5FB4">
        <w:rPr>
          <w:color w:val="000000"/>
        </w:rPr>
        <w:t>uckender Hautausschlag</w:t>
      </w:r>
      <w:r w:rsidRPr="004F5FB4">
        <w:rPr>
          <w:color w:val="000000"/>
        </w:rPr>
        <w:t>,</w:t>
      </w:r>
    </w:p>
    <w:p w14:paraId="24B337E5" w14:textId="77777777" w:rsidR="00C46587" w:rsidRPr="004F5FB4" w:rsidRDefault="00C50053" w:rsidP="007C0A4F">
      <w:pPr>
        <w:numPr>
          <w:ilvl w:val="0"/>
          <w:numId w:val="9"/>
        </w:numPr>
        <w:ind w:left="562" w:hanging="562"/>
        <w:rPr>
          <w:color w:val="000000"/>
        </w:rPr>
      </w:pPr>
      <w:r w:rsidRPr="004F5FB4">
        <w:rPr>
          <w:color w:val="000000"/>
        </w:rPr>
        <w:t>b</w:t>
      </w:r>
      <w:r w:rsidR="00C46587" w:rsidRPr="004F5FB4">
        <w:rPr>
          <w:color w:val="000000"/>
        </w:rPr>
        <w:t>laue Flecken</w:t>
      </w:r>
      <w:r w:rsidRPr="004F5FB4">
        <w:rPr>
          <w:color w:val="000000"/>
        </w:rPr>
        <w:t>,</w:t>
      </w:r>
    </w:p>
    <w:p w14:paraId="0A74072A" w14:textId="77777777" w:rsidR="00C46587" w:rsidRPr="004F5FB4" w:rsidRDefault="00C46587" w:rsidP="007C0A4F">
      <w:pPr>
        <w:numPr>
          <w:ilvl w:val="0"/>
          <w:numId w:val="9"/>
        </w:numPr>
        <w:ind w:left="562" w:hanging="562"/>
        <w:rPr>
          <w:color w:val="000000"/>
        </w:rPr>
      </w:pPr>
      <w:r w:rsidRPr="004F5FB4">
        <w:rPr>
          <w:color w:val="000000"/>
        </w:rPr>
        <w:t>Entzündung der Haut (wie z.</w:t>
      </w:r>
      <w:r w:rsidR="00933236" w:rsidRPr="004F5FB4">
        <w:rPr>
          <w:color w:val="000000"/>
        </w:rPr>
        <w:t> </w:t>
      </w:r>
      <w:r w:rsidRPr="004F5FB4">
        <w:rPr>
          <w:color w:val="000000"/>
        </w:rPr>
        <w:t>B. Ekzeme)</w:t>
      </w:r>
      <w:r w:rsidR="00C50053" w:rsidRPr="004F5FB4">
        <w:rPr>
          <w:color w:val="000000"/>
        </w:rPr>
        <w:t>,</w:t>
      </w:r>
    </w:p>
    <w:p w14:paraId="204387DD" w14:textId="77777777" w:rsidR="00C46587" w:rsidRPr="004F5FB4" w:rsidRDefault="00C50053" w:rsidP="007C0A4F">
      <w:pPr>
        <w:numPr>
          <w:ilvl w:val="0"/>
          <w:numId w:val="9"/>
        </w:numPr>
        <w:ind w:left="562" w:hanging="562"/>
        <w:rPr>
          <w:color w:val="000000"/>
        </w:rPr>
      </w:pPr>
      <w:r w:rsidRPr="004F5FB4">
        <w:rPr>
          <w:color w:val="000000"/>
        </w:rPr>
        <w:t>b</w:t>
      </w:r>
      <w:r w:rsidR="00C46587" w:rsidRPr="004F5FB4">
        <w:rPr>
          <w:color w:val="000000"/>
        </w:rPr>
        <w:t>rüchige Finger- und Fußnägel</w:t>
      </w:r>
      <w:r w:rsidRPr="004F5FB4">
        <w:rPr>
          <w:color w:val="000000"/>
        </w:rPr>
        <w:t>,</w:t>
      </w:r>
    </w:p>
    <w:p w14:paraId="59BFE633" w14:textId="77777777" w:rsidR="00C46587" w:rsidRPr="004F5FB4" w:rsidRDefault="00C50053" w:rsidP="007C0A4F">
      <w:pPr>
        <w:numPr>
          <w:ilvl w:val="0"/>
          <w:numId w:val="9"/>
        </w:numPr>
        <w:ind w:left="562" w:hanging="562"/>
        <w:rPr>
          <w:color w:val="000000"/>
        </w:rPr>
      </w:pPr>
      <w:r w:rsidRPr="004F5FB4">
        <w:rPr>
          <w:color w:val="000000"/>
        </w:rPr>
        <w:t>v</w:t>
      </w:r>
      <w:r w:rsidR="00C46587" w:rsidRPr="004F5FB4">
        <w:rPr>
          <w:color w:val="000000"/>
        </w:rPr>
        <w:t>ermehrtes Schwitzen</w:t>
      </w:r>
      <w:r w:rsidRPr="004F5FB4">
        <w:rPr>
          <w:color w:val="000000"/>
        </w:rPr>
        <w:t>,</w:t>
      </w:r>
    </w:p>
    <w:p w14:paraId="31EF2638" w14:textId="77777777" w:rsidR="00C46587" w:rsidRPr="004F5FB4" w:rsidRDefault="00C46587" w:rsidP="007C0A4F">
      <w:pPr>
        <w:numPr>
          <w:ilvl w:val="0"/>
          <w:numId w:val="9"/>
        </w:numPr>
        <w:ind w:left="562" w:hanging="562"/>
        <w:rPr>
          <w:color w:val="000000"/>
        </w:rPr>
      </w:pPr>
      <w:r w:rsidRPr="004F5FB4">
        <w:rPr>
          <w:color w:val="000000"/>
        </w:rPr>
        <w:t>Haarausfall</w:t>
      </w:r>
      <w:r w:rsidR="00C50053" w:rsidRPr="004F5FB4">
        <w:rPr>
          <w:color w:val="000000"/>
        </w:rPr>
        <w:t>,</w:t>
      </w:r>
    </w:p>
    <w:p w14:paraId="3E99F734" w14:textId="77777777" w:rsidR="00C46587" w:rsidRPr="004F5FB4" w:rsidRDefault="00C50053" w:rsidP="007C0A4F">
      <w:pPr>
        <w:numPr>
          <w:ilvl w:val="0"/>
          <w:numId w:val="9"/>
        </w:numPr>
        <w:ind w:left="562" w:hanging="562"/>
        <w:rPr>
          <w:color w:val="000000"/>
        </w:rPr>
      </w:pPr>
      <w:r w:rsidRPr="004F5FB4">
        <w:rPr>
          <w:color w:val="000000"/>
        </w:rPr>
        <w:t>n</w:t>
      </w:r>
      <w:r w:rsidR="00C46587" w:rsidRPr="004F5FB4">
        <w:rPr>
          <w:color w:val="000000"/>
        </w:rPr>
        <w:t xml:space="preserve">euer Ausbruch oder Verschlechterung von Schuppenflechte </w:t>
      </w:r>
      <w:r w:rsidR="00C46587" w:rsidRPr="004F5FB4">
        <w:rPr>
          <w:i/>
          <w:color w:val="000000"/>
        </w:rPr>
        <w:t>(Psoriasis)</w:t>
      </w:r>
      <w:r w:rsidRPr="004F5FB4">
        <w:rPr>
          <w:color w:val="000000"/>
        </w:rPr>
        <w:t>,</w:t>
      </w:r>
    </w:p>
    <w:p w14:paraId="33AD5CF5" w14:textId="77777777" w:rsidR="00C46587" w:rsidRPr="004F5FB4" w:rsidRDefault="00C46587" w:rsidP="007C0A4F">
      <w:pPr>
        <w:numPr>
          <w:ilvl w:val="0"/>
          <w:numId w:val="9"/>
        </w:numPr>
        <w:ind w:left="562" w:hanging="562"/>
        <w:rPr>
          <w:color w:val="000000"/>
        </w:rPr>
      </w:pPr>
      <w:r w:rsidRPr="004F5FB4">
        <w:rPr>
          <w:color w:val="000000"/>
        </w:rPr>
        <w:t>Muskelkrämpfe</w:t>
      </w:r>
      <w:r w:rsidR="00C50053" w:rsidRPr="004F5FB4">
        <w:rPr>
          <w:color w:val="000000"/>
        </w:rPr>
        <w:t>,</w:t>
      </w:r>
    </w:p>
    <w:p w14:paraId="1CD3FF65" w14:textId="77777777" w:rsidR="00C46587" w:rsidRPr="004F5FB4" w:rsidRDefault="00C46587" w:rsidP="007C0A4F">
      <w:pPr>
        <w:numPr>
          <w:ilvl w:val="0"/>
          <w:numId w:val="9"/>
        </w:numPr>
        <w:ind w:left="562" w:hanging="562"/>
        <w:rPr>
          <w:color w:val="000000"/>
        </w:rPr>
      </w:pPr>
      <w:r w:rsidRPr="004F5FB4">
        <w:rPr>
          <w:color w:val="000000"/>
        </w:rPr>
        <w:t>Blut im Urin</w:t>
      </w:r>
      <w:r w:rsidR="00C50053" w:rsidRPr="004F5FB4">
        <w:rPr>
          <w:color w:val="000000"/>
        </w:rPr>
        <w:t>,</w:t>
      </w:r>
    </w:p>
    <w:p w14:paraId="0BF977BF" w14:textId="77777777" w:rsidR="00C46587" w:rsidRPr="004F5FB4" w:rsidRDefault="00C46587" w:rsidP="007C0A4F">
      <w:pPr>
        <w:numPr>
          <w:ilvl w:val="0"/>
          <w:numId w:val="9"/>
        </w:numPr>
        <w:ind w:left="562" w:hanging="562"/>
        <w:rPr>
          <w:color w:val="000000"/>
        </w:rPr>
      </w:pPr>
      <w:r w:rsidRPr="004F5FB4">
        <w:rPr>
          <w:color w:val="000000"/>
        </w:rPr>
        <w:t>Nierenprobleme</w:t>
      </w:r>
      <w:r w:rsidR="00C50053" w:rsidRPr="004F5FB4">
        <w:rPr>
          <w:color w:val="000000"/>
        </w:rPr>
        <w:t>,</w:t>
      </w:r>
    </w:p>
    <w:p w14:paraId="7C739ABF" w14:textId="77777777" w:rsidR="00594865" w:rsidRPr="004F5FB4" w:rsidRDefault="00C46587" w:rsidP="007C0A4F">
      <w:pPr>
        <w:numPr>
          <w:ilvl w:val="0"/>
          <w:numId w:val="9"/>
        </w:numPr>
        <w:ind w:left="562" w:hanging="562"/>
        <w:rPr>
          <w:color w:val="000000"/>
        </w:rPr>
      </w:pPr>
      <w:r w:rsidRPr="004F5FB4">
        <w:rPr>
          <w:color w:val="000000"/>
        </w:rPr>
        <w:t>Schmerzen im Brustraum</w:t>
      </w:r>
      <w:r w:rsidR="00C50053" w:rsidRPr="004F5FB4">
        <w:rPr>
          <w:color w:val="000000"/>
        </w:rPr>
        <w:t>,</w:t>
      </w:r>
    </w:p>
    <w:p w14:paraId="7A0492B6" w14:textId="77777777" w:rsidR="00C46587" w:rsidRPr="004F5FB4" w:rsidRDefault="00C46587" w:rsidP="007C0A4F">
      <w:pPr>
        <w:numPr>
          <w:ilvl w:val="0"/>
          <w:numId w:val="9"/>
        </w:numPr>
        <w:ind w:left="562" w:hanging="562"/>
        <w:rPr>
          <w:color w:val="000000"/>
        </w:rPr>
      </w:pPr>
      <w:r w:rsidRPr="004F5FB4">
        <w:rPr>
          <w:color w:val="000000"/>
        </w:rPr>
        <w:t xml:space="preserve">Wasseransammlung im Körper mit Schwellung des betroffenen Gewebes </w:t>
      </w:r>
      <w:r w:rsidRPr="004F5FB4">
        <w:rPr>
          <w:i/>
          <w:color w:val="000000"/>
        </w:rPr>
        <w:t>(Ödem)</w:t>
      </w:r>
      <w:r w:rsidR="00C50053" w:rsidRPr="004F5FB4">
        <w:rPr>
          <w:color w:val="000000"/>
        </w:rPr>
        <w:t>,</w:t>
      </w:r>
    </w:p>
    <w:p w14:paraId="1C7D3DBD" w14:textId="77777777" w:rsidR="00C46587" w:rsidRPr="004F5FB4" w:rsidRDefault="00C46587" w:rsidP="007C0A4F">
      <w:pPr>
        <w:numPr>
          <w:ilvl w:val="0"/>
          <w:numId w:val="9"/>
        </w:numPr>
        <w:ind w:left="562" w:hanging="562"/>
        <w:rPr>
          <w:color w:val="000000"/>
        </w:rPr>
      </w:pPr>
      <w:r w:rsidRPr="004F5FB4">
        <w:rPr>
          <w:color w:val="000000"/>
        </w:rPr>
        <w:lastRenderedPageBreak/>
        <w:t>Fieber</w:t>
      </w:r>
      <w:r w:rsidR="00C50053" w:rsidRPr="004F5FB4">
        <w:rPr>
          <w:color w:val="000000"/>
        </w:rPr>
        <w:t>,</w:t>
      </w:r>
    </w:p>
    <w:p w14:paraId="0BB64B9D" w14:textId="77777777" w:rsidR="00C46587" w:rsidRPr="004F5FB4" w:rsidRDefault="00C46587" w:rsidP="007C0A4F">
      <w:pPr>
        <w:numPr>
          <w:ilvl w:val="0"/>
          <w:numId w:val="9"/>
        </w:numPr>
        <w:ind w:left="562" w:hanging="562"/>
        <w:rPr>
          <w:color w:val="000000"/>
        </w:rPr>
      </w:pPr>
      <w:r w:rsidRPr="004F5FB4">
        <w:rPr>
          <w:color w:val="000000"/>
        </w:rPr>
        <w:t>Verringerung der Blutplättchen, dadurch erhöhtes Risiko für Blutungen oder blaue Flecken</w:t>
      </w:r>
      <w:r w:rsidR="00C50053" w:rsidRPr="004F5FB4">
        <w:rPr>
          <w:color w:val="000000"/>
        </w:rPr>
        <w:t>,</w:t>
      </w:r>
    </w:p>
    <w:p w14:paraId="6B7F723E" w14:textId="77777777" w:rsidR="00C46587" w:rsidRPr="004F5FB4" w:rsidRDefault="00C50053" w:rsidP="007C0A4F">
      <w:pPr>
        <w:numPr>
          <w:ilvl w:val="0"/>
          <w:numId w:val="9"/>
        </w:numPr>
        <w:ind w:left="562" w:hanging="562"/>
        <w:rPr>
          <w:color w:val="000000"/>
        </w:rPr>
      </w:pPr>
      <w:r w:rsidRPr="004F5FB4">
        <w:rPr>
          <w:color w:val="000000"/>
        </w:rPr>
        <w:t>v</w:t>
      </w:r>
      <w:r w:rsidR="00C46587" w:rsidRPr="004F5FB4">
        <w:rPr>
          <w:color w:val="000000"/>
        </w:rPr>
        <w:t>erzögerte Wundheilung.</w:t>
      </w:r>
    </w:p>
    <w:p w14:paraId="134E94CF" w14:textId="77777777" w:rsidR="00C46587" w:rsidRPr="004F5FB4" w:rsidRDefault="00C46587" w:rsidP="00982118">
      <w:pPr>
        <w:rPr>
          <w:color w:val="000000"/>
          <w:lang w:val="en-GB"/>
        </w:rPr>
      </w:pPr>
    </w:p>
    <w:p w14:paraId="48AF8C69" w14:textId="77777777" w:rsidR="00C46587" w:rsidRPr="004F5FB4" w:rsidRDefault="00C46587" w:rsidP="007C4B2C">
      <w:pPr>
        <w:rPr>
          <w:color w:val="000000"/>
        </w:rPr>
      </w:pPr>
      <w:r w:rsidRPr="004F5FB4">
        <w:rPr>
          <w:b/>
          <w:bCs/>
          <w:color w:val="000000"/>
        </w:rPr>
        <w:t>Gelegentlich</w:t>
      </w:r>
      <w:r w:rsidRPr="004F5FB4">
        <w:rPr>
          <w:color w:val="000000"/>
        </w:rPr>
        <w:t xml:space="preserve"> (kann bis zu 1 von 100</w:t>
      </w:r>
      <w:r w:rsidR="000235E9" w:rsidRPr="004F5FB4">
        <w:rPr>
          <w:color w:val="000000"/>
        </w:rPr>
        <w:t> </w:t>
      </w:r>
      <w:r w:rsidR="00116420" w:rsidRPr="004F5FB4">
        <w:rPr>
          <w:color w:val="000000"/>
        </w:rPr>
        <w:t xml:space="preserve">Behandelten </w:t>
      </w:r>
      <w:r w:rsidRPr="004F5FB4">
        <w:rPr>
          <w:color w:val="000000"/>
        </w:rPr>
        <w:t>betreffen)</w:t>
      </w:r>
    </w:p>
    <w:p w14:paraId="11AA6F5D" w14:textId="77777777" w:rsidR="00C46587" w:rsidRPr="004F5FB4" w:rsidRDefault="00C46587" w:rsidP="007C4B2C">
      <w:pPr>
        <w:rPr>
          <w:color w:val="000000"/>
        </w:rPr>
      </w:pPr>
    </w:p>
    <w:p w14:paraId="527F06BF" w14:textId="77777777" w:rsidR="00C46587" w:rsidRPr="004F5FB4" w:rsidRDefault="00C46587" w:rsidP="007C4B2C">
      <w:pPr>
        <w:numPr>
          <w:ilvl w:val="0"/>
          <w:numId w:val="9"/>
        </w:numPr>
        <w:ind w:left="562" w:hanging="562"/>
        <w:rPr>
          <w:color w:val="000000"/>
        </w:rPr>
      </w:pPr>
      <w:r w:rsidRPr="004F5FB4">
        <w:rPr>
          <w:color w:val="000000"/>
        </w:rPr>
        <w:t>Tuberkulose und andere Infektionen, die auftreten, wenn die Widerstandskraft gegenüber Krankheiten vermindert ist (opportunistische [ungewöhnliche] Infektionen)</w:t>
      </w:r>
      <w:r w:rsidR="00C50053" w:rsidRPr="004F5FB4">
        <w:rPr>
          <w:color w:val="000000"/>
        </w:rPr>
        <w:t>,</w:t>
      </w:r>
    </w:p>
    <w:p w14:paraId="6E329D8F" w14:textId="77777777" w:rsidR="00C46587" w:rsidRPr="004F5FB4" w:rsidRDefault="00C50053" w:rsidP="007C4B2C">
      <w:pPr>
        <w:numPr>
          <w:ilvl w:val="0"/>
          <w:numId w:val="9"/>
        </w:numPr>
        <w:ind w:left="562" w:hanging="562"/>
        <w:rPr>
          <w:color w:val="000000"/>
        </w:rPr>
      </w:pPr>
      <w:r w:rsidRPr="004F5FB4">
        <w:rPr>
          <w:color w:val="000000"/>
        </w:rPr>
        <w:t>n</w:t>
      </w:r>
      <w:r w:rsidR="00C46587" w:rsidRPr="004F5FB4">
        <w:rPr>
          <w:color w:val="000000"/>
        </w:rPr>
        <w:t>eurologische Infekte (einschließlich viraler Hirnhautentzündung)</w:t>
      </w:r>
      <w:r w:rsidRPr="004F5FB4">
        <w:rPr>
          <w:color w:val="000000"/>
        </w:rPr>
        <w:t>,</w:t>
      </w:r>
    </w:p>
    <w:p w14:paraId="26D35E6D" w14:textId="77777777" w:rsidR="00C46587" w:rsidRPr="004F5FB4" w:rsidRDefault="00C46587" w:rsidP="007C4B2C">
      <w:pPr>
        <w:numPr>
          <w:ilvl w:val="0"/>
          <w:numId w:val="9"/>
        </w:numPr>
        <w:ind w:left="562" w:hanging="562"/>
        <w:rPr>
          <w:color w:val="000000"/>
        </w:rPr>
      </w:pPr>
      <w:r w:rsidRPr="004F5FB4">
        <w:rPr>
          <w:color w:val="000000"/>
        </w:rPr>
        <w:t>Augeninfektionen</w:t>
      </w:r>
      <w:r w:rsidR="00C50053" w:rsidRPr="004F5FB4">
        <w:rPr>
          <w:color w:val="000000"/>
        </w:rPr>
        <w:t>,</w:t>
      </w:r>
    </w:p>
    <w:p w14:paraId="15DA4F98" w14:textId="77777777" w:rsidR="00C46587" w:rsidRPr="004F5FB4" w:rsidRDefault="00C50053" w:rsidP="007C4B2C">
      <w:pPr>
        <w:numPr>
          <w:ilvl w:val="0"/>
          <w:numId w:val="9"/>
        </w:numPr>
        <w:ind w:left="562" w:hanging="562"/>
        <w:rPr>
          <w:color w:val="000000"/>
        </w:rPr>
      </w:pPr>
      <w:r w:rsidRPr="004F5FB4">
        <w:rPr>
          <w:color w:val="000000"/>
        </w:rPr>
        <w:t>b</w:t>
      </w:r>
      <w:r w:rsidR="00C46587" w:rsidRPr="004F5FB4">
        <w:rPr>
          <w:color w:val="000000"/>
        </w:rPr>
        <w:t>akterielle Infektionen</w:t>
      </w:r>
      <w:r w:rsidRPr="004F5FB4">
        <w:rPr>
          <w:color w:val="000000"/>
        </w:rPr>
        <w:t>,</w:t>
      </w:r>
    </w:p>
    <w:p w14:paraId="732C4572" w14:textId="77777777" w:rsidR="00C46587" w:rsidRPr="004F5FB4" w:rsidRDefault="00C46587" w:rsidP="007C4B2C">
      <w:pPr>
        <w:numPr>
          <w:ilvl w:val="0"/>
          <w:numId w:val="9"/>
        </w:numPr>
        <w:ind w:left="562" w:hanging="562"/>
        <w:rPr>
          <w:color w:val="000000"/>
        </w:rPr>
      </w:pPr>
      <w:r w:rsidRPr="004F5FB4">
        <w:rPr>
          <w:color w:val="000000"/>
        </w:rPr>
        <w:t xml:space="preserve">Entzündung und Infektion des Dickdarms </w:t>
      </w:r>
      <w:r w:rsidRPr="004F5FB4">
        <w:rPr>
          <w:i/>
          <w:color w:val="000000"/>
        </w:rPr>
        <w:t>(Divertikulitis)</w:t>
      </w:r>
      <w:r w:rsidR="00C50053" w:rsidRPr="004F5FB4">
        <w:rPr>
          <w:color w:val="000000"/>
        </w:rPr>
        <w:t>,</w:t>
      </w:r>
    </w:p>
    <w:p w14:paraId="04710E58" w14:textId="77777777" w:rsidR="00C46587" w:rsidRPr="004F5FB4" w:rsidRDefault="00C46587" w:rsidP="007C4B2C">
      <w:pPr>
        <w:numPr>
          <w:ilvl w:val="0"/>
          <w:numId w:val="9"/>
        </w:numPr>
        <w:ind w:left="562" w:hanging="562"/>
        <w:rPr>
          <w:color w:val="000000"/>
        </w:rPr>
      </w:pPr>
      <w:r w:rsidRPr="004F5FB4">
        <w:rPr>
          <w:color w:val="000000"/>
        </w:rPr>
        <w:t xml:space="preserve">Krebserkrankungen, einschließlich Krebs, der das Lymphsystem betrifft </w:t>
      </w:r>
      <w:r w:rsidRPr="004F5FB4">
        <w:rPr>
          <w:i/>
          <w:color w:val="000000"/>
        </w:rPr>
        <w:t>(Lymphom)</w:t>
      </w:r>
      <w:r w:rsidRPr="004F5FB4">
        <w:rPr>
          <w:color w:val="000000"/>
        </w:rPr>
        <w:t xml:space="preserve">, und Hautkrebs </w:t>
      </w:r>
      <w:r w:rsidRPr="004F5FB4">
        <w:rPr>
          <w:i/>
          <w:color w:val="000000"/>
        </w:rPr>
        <w:t>(Melanom)</w:t>
      </w:r>
      <w:r w:rsidR="00C50053" w:rsidRPr="004F5FB4">
        <w:rPr>
          <w:color w:val="000000"/>
        </w:rPr>
        <w:t>,</w:t>
      </w:r>
    </w:p>
    <w:p w14:paraId="003FF70D" w14:textId="77777777" w:rsidR="00C46587" w:rsidRPr="004F5FB4" w:rsidRDefault="00C46587" w:rsidP="00A71117">
      <w:pPr>
        <w:numPr>
          <w:ilvl w:val="0"/>
          <w:numId w:val="9"/>
        </w:numPr>
        <w:ind w:left="561" w:hanging="561"/>
        <w:rPr>
          <w:color w:val="000000"/>
        </w:rPr>
      </w:pPr>
      <w:r w:rsidRPr="004F5FB4">
        <w:rPr>
          <w:color w:val="000000"/>
        </w:rPr>
        <w:t>Immunstörungen, welche die Lunge, Haut und Lymphknoten betreffen können (kommen am häufigsten als eine Krankheit vor, die als Sarkoidose bezeichnet wird)</w:t>
      </w:r>
      <w:r w:rsidR="00C50053" w:rsidRPr="004F5FB4">
        <w:rPr>
          <w:color w:val="000000"/>
        </w:rPr>
        <w:t>,</w:t>
      </w:r>
    </w:p>
    <w:p w14:paraId="30F5603A" w14:textId="77777777" w:rsidR="00C46587" w:rsidRPr="004F5FB4" w:rsidRDefault="00C46587" w:rsidP="00A71117">
      <w:pPr>
        <w:numPr>
          <w:ilvl w:val="0"/>
          <w:numId w:val="9"/>
        </w:numPr>
        <w:ind w:left="561" w:hanging="561"/>
        <w:rPr>
          <w:color w:val="000000"/>
        </w:rPr>
      </w:pPr>
      <w:r w:rsidRPr="004F5FB4">
        <w:rPr>
          <w:i/>
          <w:color w:val="000000"/>
        </w:rPr>
        <w:t>Vaskulitis</w:t>
      </w:r>
      <w:r w:rsidRPr="004F5FB4">
        <w:rPr>
          <w:color w:val="000000"/>
        </w:rPr>
        <w:t xml:space="preserve"> (Entzündung der Blutgefäße)</w:t>
      </w:r>
      <w:r w:rsidR="00C50053" w:rsidRPr="004F5FB4">
        <w:rPr>
          <w:color w:val="000000"/>
        </w:rPr>
        <w:t>,</w:t>
      </w:r>
    </w:p>
    <w:p w14:paraId="507954E2" w14:textId="77777777" w:rsidR="00C46587" w:rsidRPr="004F5FB4" w:rsidRDefault="00C46587" w:rsidP="00A71117">
      <w:pPr>
        <w:numPr>
          <w:ilvl w:val="0"/>
          <w:numId w:val="9"/>
        </w:numPr>
        <w:ind w:left="561" w:hanging="561"/>
        <w:rPr>
          <w:color w:val="000000"/>
        </w:rPr>
      </w:pPr>
      <w:r w:rsidRPr="004F5FB4">
        <w:rPr>
          <w:color w:val="000000"/>
        </w:rPr>
        <w:t xml:space="preserve">Zittern </w:t>
      </w:r>
      <w:r w:rsidRPr="004F5FB4">
        <w:rPr>
          <w:i/>
          <w:color w:val="000000"/>
        </w:rPr>
        <w:t>(Tremor)</w:t>
      </w:r>
      <w:r w:rsidR="00C50053" w:rsidRPr="004F5FB4">
        <w:rPr>
          <w:color w:val="000000"/>
        </w:rPr>
        <w:t>,</w:t>
      </w:r>
    </w:p>
    <w:p w14:paraId="59BA32B9" w14:textId="77777777" w:rsidR="00F81BF5" w:rsidRPr="004F5FB4" w:rsidRDefault="00F81BF5" w:rsidP="00A71117">
      <w:pPr>
        <w:numPr>
          <w:ilvl w:val="0"/>
          <w:numId w:val="9"/>
        </w:numPr>
        <w:ind w:left="561" w:hanging="561"/>
        <w:rPr>
          <w:color w:val="000000"/>
        </w:rPr>
      </w:pPr>
      <w:r w:rsidRPr="004F5FB4">
        <w:rPr>
          <w:color w:val="000000"/>
        </w:rPr>
        <w:t xml:space="preserve">Nervenschädigung </w:t>
      </w:r>
      <w:r w:rsidRPr="004F5FB4">
        <w:rPr>
          <w:i/>
          <w:color w:val="000000"/>
        </w:rPr>
        <w:t>(Neuropathie)</w:t>
      </w:r>
      <w:r w:rsidR="00C50053" w:rsidRPr="004F5FB4">
        <w:rPr>
          <w:color w:val="000000"/>
        </w:rPr>
        <w:t>,</w:t>
      </w:r>
    </w:p>
    <w:p w14:paraId="5738CE21" w14:textId="77777777" w:rsidR="00C46587" w:rsidRPr="004F5FB4" w:rsidRDefault="00C46587" w:rsidP="00A71117">
      <w:pPr>
        <w:numPr>
          <w:ilvl w:val="0"/>
          <w:numId w:val="9"/>
        </w:numPr>
        <w:ind w:left="561" w:hanging="561"/>
        <w:rPr>
          <w:color w:val="000000"/>
        </w:rPr>
      </w:pPr>
      <w:r w:rsidRPr="004F5FB4">
        <w:rPr>
          <w:color w:val="000000"/>
        </w:rPr>
        <w:t>Schlaganfall</w:t>
      </w:r>
      <w:r w:rsidR="00C50053" w:rsidRPr="004F5FB4">
        <w:rPr>
          <w:color w:val="000000"/>
        </w:rPr>
        <w:t>,</w:t>
      </w:r>
    </w:p>
    <w:p w14:paraId="3948A98C" w14:textId="77777777" w:rsidR="00F81BF5" w:rsidRPr="004F5FB4" w:rsidRDefault="00F81BF5" w:rsidP="00A71117">
      <w:pPr>
        <w:numPr>
          <w:ilvl w:val="0"/>
          <w:numId w:val="9"/>
        </w:numPr>
        <w:ind w:left="561" w:hanging="561"/>
        <w:rPr>
          <w:color w:val="000000"/>
        </w:rPr>
      </w:pPr>
      <w:r w:rsidRPr="004F5FB4">
        <w:rPr>
          <w:color w:val="000000"/>
        </w:rPr>
        <w:t>Doppeltsehen</w:t>
      </w:r>
      <w:r w:rsidR="00C50053" w:rsidRPr="004F5FB4">
        <w:rPr>
          <w:color w:val="000000"/>
        </w:rPr>
        <w:t>,</w:t>
      </w:r>
    </w:p>
    <w:p w14:paraId="339D265E" w14:textId="77777777" w:rsidR="00C46587" w:rsidRPr="004F5FB4" w:rsidRDefault="00C46587" w:rsidP="00A71117">
      <w:pPr>
        <w:numPr>
          <w:ilvl w:val="0"/>
          <w:numId w:val="9"/>
        </w:numPr>
        <w:ind w:left="561" w:hanging="561"/>
        <w:rPr>
          <w:color w:val="000000"/>
        </w:rPr>
      </w:pPr>
      <w:r w:rsidRPr="004F5FB4">
        <w:rPr>
          <w:color w:val="000000"/>
        </w:rPr>
        <w:t>Hörverlust, Ohrensausen</w:t>
      </w:r>
      <w:r w:rsidR="00C50053" w:rsidRPr="004F5FB4">
        <w:rPr>
          <w:color w:val="000000"/>
        </w:rPr>
        <w:t>,</w:t>
      </w:r>
    </w:p>
    <w:p w14:paraId="2ED5BB11" w14:textId="77777777" w:rsidR="00C46587" w:rsidRPr="004F5FB4" w:rsidRDefault="00C50053" w:rsidP="00A71117">
      <w:pPr>
        <w:numPr>
          <w:ilvl w:val="0"/>
          <w:numId w:val="9"/>
        </w:numPr>
        <w:ind w:left="561" w:hanging="561"/>
        <w:rPr>
          <w:color w:val="000000"/>
        </w:rPr>
      </w:pPr>
      <w:r w:rsidRPr="004F5FB4">
        <w:rPr>
          <w:color w:val="000000"/>
        </w:rPr>
        <w:t>u</w:t>
      </w:r>
      <w:r w:rsidR="00C46587" w:rsidRPr="004F5FB4">
        <w:rPr>
          <w:color w:val="000000"/>
        </w:rPr>
        <w:t>nregelmäßiger Herzschlag, wie z. B. übersprungene Schläge</w:t>
      </w:r>
      <w:r w:rsidRPr="004F5FB4">
        <w:rPr>
          <w:color w:val="000000"/>
        </w:rPr>
        <w:t>,</w:t>
      </w:r>
    </w:p>
    <w:p w14:paraId="587649A0" w14:textId="77777777" w:rsidR="00C46587" w:rsidRPr="004F5FB4" w:rsidRDefault="00C46587" w:rsidP="00A71117">
      <w:pPr>
        <w:numPr>
          <w:ilvl w:val="0"/>
          <w:numId w:val="9"/>
        </w:numPr>
        <w:ind w:left="561" w:hanging="561"/>
        <w:rPr>
          <w:color w:val="000000"/>
        </w:rPr>
      </w:pPr>
      <w:r w:rsidRPr="004F5FB4">
        <w:rPr>
          <w:color w:val="000000"/>
        </w:rPr>
        <w:t>Herzprobleme, die zu Kurzatmigkeit und Anschwellen der Fußknöchel führen können</w:t>
      </w:r>
      <w:r w:rsidR="00C50053" w:rsidRPr="004F5FB4">
        <w:rPr>
          <w:color w:val="000000"/>
        </w:rPr>
        <w:t>,</w:t>
      </w:r>
    </w:p>
    <w:p w14:paraId="4CF35FC8" w14:textId="77777777" w:rsidR="00C46587" w:rsidRPr="004F5FB4" w:rsidRDefault="00C46587" w:rsidP="00A71117">
      <w:pPr>
        <w:numPr>
          <w:ilvl w:val="0"/>
          <w:numId w:val="9"/>
        </w:numPr>
        <w:ind w:left="561" w:hanging="561"/>
        <w:rPr>
          <w:color w:val="000000"/>
        </w:rPr>
      </w:pPr>
      <w:r w:rsidRPr="004F5FB4">
        <w:rPr>
          <w:color w:val="000000"/>
        </w:rPr>
        <w:t>Herzinfarkt</w:t>
      </w:r>
      <w:r w:rsidR="00C50053" w:rsidRPr="004F5FB4">
        <w:rPr>
          <w:color w:val="000000"/>
        </w:rPr>
        <w:t>,</w:t>
      </w:r>
    </w:p>
    <w:p w14:paraId="2FAE61A3" w14:textId="77777777" w:rsidR="00C46587" w:rsidRPr="004F5FB4" w:rsidRDefault="00C50053" w:rsidP="00A71117">
      <w:pPr>
        <w:numPr>
          <w:ilvl w:val="0"/>
          <w:numId w:val="9"/>
        </w:numPr>
        <w:ind w:left="561" w:hanging="561"/>
        <w:rPr>
          <w:color w:val="000000"/>
        </w:rPr>
      </w:pPr>
      <w:r w:rsidRPr="004F5FB4">
        <w:rPr>
          <w:color w:val="000000"/>
        </w:rPr>
        <w:t>e</w:t>
      </w:r>
      <w:r w:rsidR="00C46587" w:rsidRPr="004F5FB4">
        <w:rPr>
          <w:color w:val="000000"/>
        </w:rPr>
        <w:t>ine Ausbuchtung in der Wand einer Hauptarterie, Entzündung und Blutgerinnsel in einer Vene, Verstopfung eines Blutgefäßes</w:t>
      </w:r>
      <w:r w:rsidRPr="004F5FB4">
        <w:rPr>
          <w:color w:val="000000"/>
        </w:rPr>
        <w:t>,</w:t>
      </w:r>
    </w:p>
    <w:p w14:paraId="4FE465DB" w14:textId="77777777" w:rsidR="00C46587" w:rsidRPr="004F5FB4" w:rsidRDefault="00C46587" w:rsidP="00A71117">
      <w:pPr>
        <w:numPr>
          <w:ilvl w:val="0"/>
          <w:numId w:val="9"/>
        </w:numPr>
        <w:ind w:left="561" w:hanging="561"/>
        <w:rPr>
          <w:color w:val="000000"/>
        </w:rPr>
      </w:pPr>
      <w:r w:rsidRPr="004F5FB4">
        <w:rPr>
          <w:color w:val="000000"/>
        </w:rPr>
        <w:t>Lungenerkrankungen, die sich in Kurzatmigkeit äußern (einschließlich Entzündung)</w:t>
      </w:r>
      <w:r w:rsidR="00C50053" w:rsidRPr="004F5FB4">
        <w:rPr>
          <w:color w:val="000000"/>
        </w:rPr>
        <w:t>,</w:t>
      </w:r>
    </w:p>
    <w:p w14:paraId="082472E1" w14:textId="77777777" w:rsidR="00C46587" w:rsidRPr="004F5FB4" w:rsidRDefault="00C46587" w:rsidP="00771BD7">
      <w:pPr>
        <w:numPr>
          <w:ilvl w:val="0"/>
          <w:numId w:val="9"/>
        </w:numPr>
        <w:ind w:left="561" w:hanging="561"/>
        <w:rPr>
          <w:color w:val="000000"/>
        </w:rPr>
      </w:pPr>
      <w:r w:rsidRPr="004F5FB4">
        <w:rPr>
          <w:i/>
          <w:color w:val="000000"/>
        </w:rPr>
        <w:t>Lungenembolie</w:t>
      </w:r>
      <w:r w:rsidRPr="004F5FB4">
        <w:rPr>
          <w:color w:val="000000"/>
        </w:rPr>
        <w:t xml:space="preserve"> (Verschluss in einer Lungenarterie)</w:t>
      </w:r>
      <w:r w:rsidR="00C50053" w:rsidRPr="004F5FB4">
        <w:rPr>
          <w:color w:val="000000"/>
        </w:rPr>
        <w:t>,</w:t>
      </w:r>
    </w:p>
    <w:p w14:paraId="7957DFED" w14:textId="77777777" w:rsidR="00C46587" w:rsidRPr="004F5FB4" w:rsidRDefault="00C50053" w:rsidP="00771BD7">
      <w:pPr>
        <w:numPr>
          <w:ilvl w:val="0"/>
          <w:numId w:val="9"/>
        </w:numPr>
        <w:ind w:left="561" w:hanging="561"/>
        <w:rPr>
          <w:color w:val="000000"/>
        </w:rPr>
      </w:pPr>
      <w:r w:rsidRPr="004F5FB4">
        <w:rPr>
          <w:color w:val="000000"/>
        </w:rPr>
        <w:t>n</w:t>
      </w:r>
      <w:r w:rsidR="00C46587" w:rsidRPr="004F5FB4">
        <w:rPr>
          <w:color w:val="000000"/>
        </w:rPr>
        <w:t xml:space="preserve">icht normale Ansammlung von Flüssigkeit in der Umgebung der Lunge </w:t>
      </w:r>
      <w:r w:rsidR="00C46587" w:rsidRPr="004F5FB4">
        <w:rPr>
          <w:i/>
          <w:color w:val="000000"/>
        </w:rPr>
        <w:t>(Pleuraerguss)</w:t>
      </w:r>
      <w:r w:rsidRPr="004F5FB4">
        <w:rPr>
          <w:color w:val="000000"/>
        </w:rPr>
        <w:t>,</w:t>
      </w:r>
    </w:p>
    <w:p w14:paraId="3B367E29" w14:textId="77777777" w:rsidR="00C46587" w:rsidRPr="004F5FB4" w:rsidRDefault="00C46587" w:rsidP="00771BD7">
      <w:pPr>
        <w:numPr>
          <w:ilvl w:val="0"/>
          <w:numId w:val="9"/>
        </w:numPr>
        <w:ind w:left="562" w:hanging="562"/>
        <w:rPr>
          <w:color w:val="000000"/>
        </w:rPr>
      </w:pPr>
      <w:r w:rsidRPr="004F5FB4">
        <w:rPr>
          <w:color w:val="000000"/>
        </w:rPr>
        <w:t>Entzündung der Bauchspeicheldrüse, die starke Schmerzen im Bauchraum und Rücken verursacht</w:t>
      </w:r>
      <w:r w:rsidR="00C50053" w:rsidRPr="004F5FB4">
        <w:rPr>
          <w:color w:val="000000"/>
        </w:rPr>
        <w:t>,</w:t>
      </w:r>
    </w:p>
    <w:p w14:paraId="3492B680" w14:textId="77777777" w:rsidR="00C46587" w:rsidRPr="004F5FB4" w:rsidRDefault="00C46587" w:rsidP="00771BD7">
      <w:pPr>
        <w:numPr>
          <w:ilvl w:val="0"/>
          <w:numId w:val="9"/>
        </w:numPr>
        <w:ind w:left="562" w:hanging="562"/>
        <w:rPr>
          <w:color w:val="000000"/>
        </w:rPr>
      </w:pPr>
      <w:r w:rsidRPr="004F5FB4">
        <w:rPr>
          <w:color w:val="000000"/>
        </w:rPr>
        <w:t>Schluckstörungen</w:t>
      </w:r>
      <w:r w:rsidR="00C50053" w:rsidRPr="004F5FB4">
        <w:rPr>
          <w:color w:val="000000"/>
        </w:rPr>
        <w:t>,</w:t>
      </w:r>
    </w:p>
    <w:p w14:paraId="7B700A8A" w14:textId="77777777" w:rsidR="00C46587" w:rsidRPr="004F5FB4" w:rsidRDefault="00C46587" w:rsidP="00771BD7">
      <w:pPr>
        <w:numPr>
          <w:ilvl w:val="0"/>
          <w:numId w:val="9"/>
        </w:numPr>
        <w:ind w:left="562" w:hanging="562"/>
        <w:rPr>
          <w:color w:val="000000"/>
        </w:rPr>
      </w:pPr>
      <w:r w:rsidRPr="004F5FB4">
        <w:rPr>
          <w:color w:val="000000"/>
        </w:rPr>
        <w:t xml:space="preserve">Gesichtsschwellung </w:t>
      </w:r>
      <w:r w:rsidRPr="004F5FB4">
        <w:rPr>
          <w:i/>
          <w:color w:val="000000"/>
        </w:rPr>
        <w:t>(Gesichtsödem)</w:t>
      </w:r>
      <w:r w:rsidR="00C50053" w:rsidRPr="004F5FB4">
        <w:rPr>
          <w:color w:val="000000"/>
        </w:rPr>
        <w:t>,</w:t>
      </w:r>
    </w:p>
    <w:p w14:paraId="14513943" w14:textId="77777777" w:rsidR="00C46587" w:rsidRPr="004F5FB4" w:rsidRDefault="00C46587" w:rsidP="00771BD7">
      <w:pPr>
        <w:numPr>
          <w:ilvl w:val="0"/>
          <w:numId w:val="9"/>
        </w:numPr>
        <w:ind w:left="562" w:hanging="562"/>
        <w:rPr>
          <w:color w:val="000000"/>
        </w:rPr>
      </w:pPr>
      <w:r w:rsidRPr="004F5FB4">
        <w:rPr>
          <w:color w:val="000000"/>
        </w:rPr>
        <w:t>Gallenblasenentzündung, Gallensteine</w:t>
      </w:r>
      <w:r w:rsidR="00C50053" w:rsidRPr="004F5FB4">
        <w:rPr>
          <w:color w:val="000000"/>
        </w:rPr>
        <w:t>,</w:t>
      </w:r>
    </w:p>
    <w:p w14:paraId="0B0E6CD3" w14:textId="77777777" w:rsidR="00C46587" w:rsidRPr="004F5FB4" w:rsidRDefault="00C46587" w:rsidP="00771BD7">
      <w:pPr>
        <w:numPr>
          <w:ilvl w:val="0"/>
          <w:numId w:val="9"/>
        </w:numPr>
        <w:ind w:left="562" w:hanging="562"/>
        <w:rPr>
          <w:color w:val="000000"/>
        </w:rPr>
      </w:pPr>
      <w:r w:rsidRPr="004F5FB4">
        <w:rPr>
          <w:color w:val="000000"/>
        </w:rPr>
        <w:t>Fettleber (Einlagerung von Fett in die Leberzellen)</w:t>
      </w:r>
      <w:r w:rsidR="00C50053" w:rsidRPr="004F5FB4">
        <w:rPr>
          <w:color w:val="000000"/>
        </w:rPr>
        <w:t>,</w:t>
      </w:r>
    </w:p>
    <w:p w14:paraId="437197F2" w14:textId="77777777" w:rsidR="00C46587" w:rsidRPr="004F5FB4" w:rsidRDefault="00C50053" w:rsidP="00771BD7">
      <w:pPr>
        <w:numPr>
          <w:ilvl w:val="0"/>
          <w:numId w:val="9"/>
        </w:numPr>
        <w:ind w:left="562" w:hanging="562"/>
        <w:rPr>
          <w:color w:val="000000"/>
        </w:rPr>
      </w:pPr>
      <w:r w:rsidRPr="004F5FB4">
        <w:rPr>
          <w:color w:val="000000"/>
        </w:rPr>
        <w:t>n</w:t>
      </w:r>
      <w:r w:rsidR="00C46587" w:rsidRPr="004F5FB4">
        <w:rPr>
          <w:color w:val="000000"/>
        </w:rPr>
        <w:t>ächtliches Schwitzen</w:t>
      </w:r>
      <w:r w:rsidRPr="004F5FB4">
        <w:rPr>
          <w:color w:val="000000"/>
        </w:rPr>
        <w:t>,</w:t>
      </w:r>
    </w:p>
    <w:p w14:paraId="77DEE8B7" w14:textId="77777777" w:rsidR="00C46587" w:rsidRPr="004F5FB4" w:rsidRDefault="00C46587" w:rsidP="00771BD7">
      <w:pPr>
        <w:numPr>
          <w:ilvl w:val="0"/>
          <w:numId w:val="9"/>
        </w:numPr>
        <w:ind w:left="562" w:hanging="562"/>
        <w:rPr>
          <w:color w:val="000000"/>
        </w:rPr>
      </w:pPr>
      <w:r w:rsidRPr="004F5FB4">
        <w:rPr>
          <w:color w:val="000000"/>
        </w:rPr>
        <w:t>Narbenbildung</w:t>
      </w:r>
      <w:r w:rsidR="00C50053" w:rsidRPr="004F5FB4">
        <w:rPr>
          <w:color w:val="000000"/>
        </w:rPr>
        <w:t>,</w:t>
      </w:r>
    </w:p>
    <w:p w14:paraId="3D92B176" w14:textId="77777777" w:rsidR="00C46587" w:rsidRPr="004F5FB4" w:rsidRDefault="00C50053" w:rsidP="00771BD7">
      <w:pPr>
        <w:numPr>
          <w:ilvl w:val="0"/>
          <w:numId w:val="9"/>
        </w:numPr>
        <w:ind w:left="562" w:hanging="562"/>
        <w:rPr>
          <w:color w:val="000000"/>
        </w:rPr>
      </w:pPr>
      <w:r w:rsidRPr="004F5FB4">
        <w:rPr>
          <w:color w:val="000000"/>
        </w:rPr>
        <w:t>a</w:t>
      </w:r>
      <w:r w:rsidR="00C46587" w:rsidRPr="004F5FB4">
        <w:rPr>
          <w:color w:val="000000"/>
        </w:rPr>
        <w:t>bnormaler Muskelabbau</w:t>
      </w:r>
      <w:r w:rsidRPr="004F5FB4">
        <w:rPr>
          <w:color w:val="000000"/>
        </w:rPr>
        <w:t>,</w:t>
      </w:r>
    </w:p>
    <w:p w14:paraId="3FAED4CF" w14:textId="77777777" w:rsidR="00C46587" w:rsidRPr="004F5FB4" w:rsidRDefault="00C50053" w:rsidP="00771BD7">
      <w:pPr>
        <w:numPr>
          <w:ilvl w:val="0"/>
          <w:numId w:val="9"/>
        </w:numPr>
        <w:ind w:left="562" w:hanging="562"/>
        <w:rPr>
          <w:color w:val="000000"/>
        </w:rPr>
      </w:pPr>
      <w:r w:rsidRPr="004F5FB4">
        <w:rPr>
          <w:color w:val="000000"/>
        </w:rPr>
        <w:t>s</w:t>
      </w:r>
      <w:r w:rsidR="00C46587" w:rsidRPr="004F5FB4">
        <w:rPr>
          <w:color w:val="000000"/>
        </w:rPr>
        <w:t xml:space="preserve">ystemischer </w:t>
      </w:r>
      <w:r w:rsidR="00C46587" w:rsidRPr="004F5FB4">
        <w:rPr>
          <w:i/>
          <w:color w:val="000000"/>
        </w:rPr>
        <w:t>Lupus erythematodes</w:t>
      </w:r>
      <w:r w:rsidR="00C46587" w:rsidRPr="004F5FB4">
        <w:rPr>
          <w:color w:val="000000"/>
        </w:rPr>
        <w:t xml:space="preserve"> (eine Immunstörung mit Entzündung von Haut, Herz, Lunge, Gelenken und anderen Organsystemen)</w:t>
      </w:r>
      <w:r w:rsidRPr="004F5FB4">
        <w:rPr>
          <w:color w:val="000000"/>
        </w:rPr>
        <w:t>,</w:t>
      </w:r>
    </w:p>
    <w:p w14:paraId="3126D3FB" w14:textId="77777777" w:rsidR="00C46587" w:rsidRPr="004F5FB4" w:rsidRDefault="00C46587" w:rsidP="00771BD7">
      <w:pPr>
        <w:numPr>
          <w:ilvl w:val="0"/>
          <w:numId w:val="9"/>
        </w:numPr>
        <w:ind w:left="562" w:hanging="562"/>
        <w:rPr>
          <w:color w:val="000000"/>
        </w:rPr>
      </w:pPr>
      <w:r w:rsidRPr="004F5FB4">
        <w:rPr>
          <w:color w:val="000000"/>
        </w:rPr>
        <w:t>Schlafstörungen</w:t>
      </w:r>
      <w:r w:rsidR="00C50053" w:rsidRPr="004F5FB4">
        <w:rPr>
          <w:color w:val="000000"/>
        </w:rPr>
        <w:t>,</w:t>
      </w:r>
    </w:p>
    <w:p w14:paraId="399F024D" w14:textId="77777777" w:rsidR="00C46587" w:rsidRPr="004F5FB4" w:rsidRDefault="00C46587" w:rsidP="00771BD7">
      <w:pPr>
        <w:numPr>
          <w:ilvl w:val="0"/>
          <w:numId w:val="9"/>
        </w:numPr>
        <w:ind w:left="562" w:hanging="562"/>
        <w:rPr>
          <w:color w:val="000000"/>
        </w:rPr>
      </w:pPr>
      <w:r w:rsidRPr="004F5FB4">
        <w:rPr>
          <w:color w:val="000000"/>
        </w:rPr>
        <w:t>Impotenz</w:t>
      </w:r>
      <w:r w:rsidR="00C50053" w:rsidRPr="004F5FB4">
        <w:rPr>
          <w:color w:val="000000"/>
        </w:rPr>
        <w:t>,</w:t>
      </w:r>
    </w:p>
    <w:p w14:paraId="24280DB4" w14:textId="77777777" w:rsidR="00C46587" w:rsidRPr="004F5FB4" w:rsidRDefault="00C46587" w:rsidP="00771BD7">
      <w:pPr>
        <w:numPr>
          <w:ilvl w:val="0"/>
          <w:numId w:val="9"/>
        </w:numPr>
        <w:ind w:left="562" w:hanging="562"/>
        <w:rPr>
          <w:color w:val="000000"/>
        </w:rPr>
      </w:pPr>
      <w:r w:rsidRPr="004F5FB4">
        <w:rPr>
          <w:color w:val="000000"/>
        </w:rPr>
        <w:t xml:space="preserve">Entzündungen. </w:t>
      </w:r>
    </w:p>
    <w:p w14:paraId="2FA2820A" w14:textId="77777777" w:rsidR="00C46587" w:rsidRPr="004F5FB4" w:rsidRDefault="00C46587" w:rsidP="00771BD7">
      <w:pPr>
        <w:rPr>
          <w:color w:val="000000"/>
          <w:lang w:val="en-GB"/>
        </w:rPr>
      </w:pPr>
    </w:p>
    <w:p w14:paraId="086396B3" w14:textId="77777777" w:rsidR="00C46587" w:rsidRPr="004F5FB4" w:rsidRDefault="00C46587" w:rsidP="00771BD7">
      <w:pPr>
        <w:rPr>
          <w:color w:val="000000"/>
        </w:rPr>
      </w:pPr>
      <w:r w:rsidRPr="004F5FB4">
        <w:rPr>
          <w:b/>
          <w:bCs/>
          <w:color w:val="000000"/>
        </w:rPr>
        <w:t>Selten</w:t>
      </w:r>
      <w:r w:rsidRPr="004F5FB4">
        <w:rPr>
          <w:color w:val="000000"/>
        </w:rPr>
        <w:t xml:space="preserve"> (kann bis zu 1 von 1.000</w:t>
      </w:r>
      <w:r w:rsidR="000235E9" w:rsidRPr="004F5FB4">
        <w:rPr>
          <w:color w:val="000000"/>
        </w:rPr>
        <w:t> </w:t>
      </w:r>
      <w:r w:rsidR="00116420" w:rsidRPr="004F5FB4">
        <w:rPr>
          <w:color w:val="000000"/>
        </w:rPr>
        <w:t xml:space="preserve">Behandelten </w:t>
      </w:r>
      <w:r w:rsidRPr="004F5FB4">
        <w:rPr>
          <w:color w:val="000000"/>
        </w:rPr>
        <w:t xml:space="preserve">betreffen) </w:t>
      </w:r>
    </w:p>
    <w:p w14:paraId="6F98F511" w14:textId="77777777" w:rsidR="00C46587" w:rsidRPr="004F5FB4" w:rsidRDefault="00C46587" w:rsidP="00771BD7">
      <w:pPr>
        <w:rPr>
          <w:color w:val="000000"/>
        </w:rPr>
      </w:pPr>
    </w:p>
    <w:p w14:paraId="59FE752D" w14:textId="77777777" w:rsidR="00C46587" w:rsidRPr="004F5FB4" w:rsidRDefault="00C46587" w:rsidP="00771BD7">
      <w:pPr>
        <w:numPr>
          <w:ilvl w:val="0"/>
          <w:numId w:val="9"/>
        </w:numPr>
        <w:ind w:left="562" w:hanging="562"/>
        <w:rPr>
          <w:color w:val="000000"/>
        </w:rPr>
      </w:pPr>
      <w:r w:rsidRPr="004F5FB4">
        <w:rPr>
          <w:color w:val="000000"/>
        </w:rPr>
        <w:t>Leukämie (Krebs, der das Blut und das Knochenmark betrifft)</w:t>
      </w:r>
      <w:r w:rsidR="00C50053" w:rsidRPr="004F5FB4">
        <w:rPr>
          <w:color w:val="000000"/>
        </w:rPr>
        <w:t>,</w:t>
      </w:r>
    </w:p>
    <w:p w14:paraId="11E21DAF" w14:textId="77777777" w:rsidR="00C46587" w:rsidRPr="004F5FB4" w:rsidRDefault="00C50053" w:rsidP="00771BD7">
      <w:pPr>
        <w:numPr>
          <w:ilvl w:val="0"/>
          <w:numId w:val="9"/>
        </w:numPr>
        <w:ind w:left="562" w:hanging="562"/>
        <w:rPr>
          <w:color w:val="000000"/>
        </w:rPr>
      </w:pPr>
      <w:r w:rsidRPr="004F5FB4">
        <w:rPr>
          <w:color w:val="000000"/>
        </w:rPr>
        <w:t>s</w:t>
      </w:r>
      <w:r w:rsidR="00C46587" w:rsidRPr="004F5FB4">
        <w:rPr>
          <w:color w:val="000000"/>
        </w:rPr>
        <w:t>chwere allergische Reaktionen mit Schock</w:t>
      </w:r>
      <w:r w:rsidRPr="004F5FB4">
        <w:rPr>
          <w:color w:val="000000"/>
        </w:rPr>
        <w:t>,</w:t>
      </w:r>
    </w:p>
    <w:p w14:paraId="2A99905A" w14:textId="77777777" w:rsidR="00C46587" w:rsidRPr="004F5FB4" w:rsidRDefault="00A63F9C" w:rsidP="00771BD7">
      <w:pPr>
        <w:numPr>
          <w:ilvl w:val="0"/>
          <w:numId w:val="9"/>
        </w:numPr>
        <w:ind w:left="562" w:hanging="562"/>
        <w:rPr>
          <w:color w:val="000000"/>
        </w:rPr>
      </w:pPr>
      <w:r w:rsidRPr="004F5FB4">
        <w:rPr>
          <w:i/>
          <w:color w:val="000000"/>
        </w:rPr>
        <w:t>M</w:t>
      </w:r>
      <w:r w:rsidR="00C46587" w:rsidRPr="004F5FB4">
        <w:rPr>
          <w:i/>
          <w:color w:val="000000"/>
        </w:rPr>
        <w:t>ultiple Sklerose</w:t>
      </w:r>
      <w:r w:rsidR="00C50053" w:rsidRPr="004F5FB4">
        <w:rPr>
          <w:color w:val="000000"/>
        </w:rPr>
        <w:t>,</w:t>
      </w:r>
    </w:p>
    <w:p w14:paraId="60439500" w14:textId="77777777" w:rsidR="00C46587" w:rsidRPr="004F5FB4" w:rsidRDefault="00C46587" w:rsidP="00771BD7">
      <w:pPr>
        <w:numPr>
          <w:ilvl w:val="0"/>
          <w:numId w:val="9"/>
        </w:numPr>
        <w:ind w:left="562" w:hanging="562"/>
        <w:rPr>
          <w:color w:val="000000"/>
        </w:rPr>
      </w:pPr>
      <w:r w:rsidRPr="004F5FB4">
        <w:rPr>
          <w:color w:val="000000"/>
        </w:rPr>
        <w:t>Nervenerkrankungen (z. B. Entzündung des Augennervs und Guillain-Barré-Syndrom, eine Krankheit, die zu Muskelschwäche, gestörten Sinnesempfindungen, Kribbeln in Armen und Oberkörper führen kann)</w:t>
      </w:r>
      <w:r w:rsidR="00C50053" w:rsidRPr="004F5FB4">
        <w:rPr>
          <w:color w:val="000000"/>
        </w:rPr>
        <w:t>,</w:t>
      </w:r>
    </w:p>
    <w:p w14:paraId="1BB805B5" w14:textId="77777777" w:rsidR="00C46587" w:rsidRPr="004F5FB4" w:rsidRDefault="00C46587" w:rsidP="00771BD7">
      <w:pPr>
        <w:numPr>
          <w:ilvl w:val="0"/>
          <w:numId w:val="9"/>
        </w:numPr>
        <w:ind w:left="562" w:hanging="562"/>
        <w:rPr>
          <w:color w:val="000000"/>
        </w:rPr>
      </w:pPr>
      <w:r w:rsidRPr="004F5FB4">
        <w:rPr>
          <w:color w:val="000000"/>
        </w:rPr>
        <w:t>Herzstillstand</w:t>
      </w:r>
      <w:r w:rsidR="00C50053" w:rsidRPr="004F5FB4">
        <w:rPr>
          <w:color w:val="000000"/>
        </w:rPr>
        <w:t>,</w:t>
      </w:r>
    </w:p>
    <w:p w14:paraId="7DBFA906" w14:textId="77777777" w:rsidR="00C46587" w:rsidRPr="004F5FB4" w:rsidRDefault="00C46587" w:rsidP="00771BD7">
      <w:pPr>
        <w:numPr>
          <w:ilvl w:val="0"/>
          <w:numId w:val="9"/>
        </w:numPr>
        <w:ind w:left="562" w:hanging="562"/>
        <w:rPr>
          <w:color w:val="000000"/>
        </w:rPr>
      </w:pPr>
      <w:r w:rsidRPr="004F5FB4">
        <w:rPr>
          <w:i/>
          <w:color w:val="000000"/>
        </w:rPr>
        <w:t>Lungenfibrose</w:t>
      </w:r>
      <w:r w:rsidRPr="004F5FB4">
        <w:rPr>
          <w:color w:val="000000"/>
        </w:rPr>
        <w:t xml:space="preserve"> (Narbenbildung in der Lunge)</w:t>
      </w:r>
      <w:r w:rsidR="00C50053" w:rsidRPr="004F5FB4">
        <w:rPr>
          <w:color w:val="000000"/>
        </w:rPr>
        <w:t>,</w:t>
      </w:r>
    </w:p>
    <w:p w14:paraId="3CC434D4" w14:textId="77777777" w:rsidR="00C46587" w:rsidRPr="004F5FB4" w:rsidRDefault="00C46587" w:rsidP="00771BD7">
      <w:pPr>
        <w:numPr>
          <w:ilvl w:val="0"/>
          <w:numId w:val="9"/>
        </w:numPr>
        <w:ind w:left="562" w:hanging="562"/>
        <w:rPr>
          <w:color w:val="000000"/>
        </w:rPr>
      </w:pPr>
      <w:r w:rsidRPr="004F5FB4">
        <w:rPr>
          <w:color w:val="000000"/>
        </w:rPr>
        <w:lastRenderedPageBreak/>
        <w:t>Darmwanddurchbruch (Loch in der Darmwand)</w:t>
      </w:r>
      <w:r w:rsidR="00C50053" w:rsidRPr="004F5FB4">
        <w:rPr>
          <w:color w:val="000000"/>
        </w:rPr>
        <w:t>,</w:t>
      </w:r>
    </w:p>
    <w:p w14:paraId="4E2B875A" w14:textId="77777777" w:rsidR="00C46587" w:rsidRPr="004F5FB4" w:rsidRDefault="00C46587" w:rsidP="00771BD7">
      <w:pPr>
        <w:numPr>
          <w:ilvl w:val="0"/>
          <w:numId w:val="9"/>
        </w:numPr>
        <w:ind w:left="562" w:hanging="562"/>
        <w:rPr>
          <w:color w:val="000000"/>
        </w:rPr>
      </w:pPr>
      <w:r w:rsidRPr="004F5FB4">
        <w:rPr>
          <w:i/>
          <w:color w:val="000000"/>
        </w:rPr>
        <w:t>Hepatitis</w:t>
      </w:r>
      <w:r w:rsidRPr="004F5FB4">
        <w:rPr>
          <w:color w:val="000000"/>
        </w:rPr>
        <w:t xml:space="preserve"> (Leberentzündung)</w:t>
      </w:r>
      <w:r w:rsidR="00C50053" w:rsidRPr="004F5FB4">
        <w:rPr>
          <w:color w:val="000000"/>
        </w:rPr>
        <w:t>,</w:t>
      </w:r>
    </w:p>
    <w:p w14:paraId="76F45578" w14:textId="77777777" w:rsidR="00C46587" w:rsidRPr="004F5FB4" w:rsidRDefault="00C50053" w:rsidP="00771BD7">
      <w:pPr>
        <w:numPr>
          <w:ilvl w:val="0"/>
          <w:numId w:val="9"/>
        </w:numPr>
        <w:ind w:left="562" w:hanging="562"/>
        <w:rPr>
          <w:color w:val="000000"/>
        </w:rPr>
      </w:pPr>
      <w:r w:rsidRPr="004F5FB4">
        <w:rPr>
          <w:color w:val="000000"/>
        </w:rPr>
        <w:t>e</w:t>
      </w:r>
      <w:r w:rsidR="00C46587" w:rsidRPr="004F5FB4">
        <w:rPr>
          <w:color w:val="000000"/>
        </w:rPr>
        <w:t>rneuter Ausbruch einer Hepatitis-B-Infektion</w:t>
      </w:r>
      <w:r w:rsidRPr="004F5FB4">
        <w:rPr>
          <w:color w:val="000000"/>
        </w:rPr>
        <w:t>,</w:t>
      </w:r>
    </w:p>
    <w:p w14:paraId="167FCB44" w14:textId="77777777" w:rsidR="00C46587" w:rsidRPr="004F5FB4" w:rsidRDefault="00C46587" w:rsidP="00771BD7">
      <w:pPr>
        <w:numPr>
          <w:ilvl w:val="0"/>
          <w:numId w:val="9"/>
        </w:numPr>
        <w:ind w:left="562" w:hanging="562"/>
        <w:rPr>
          <w:color w:val="000000"/>
        </w:rPr>
      </w:pPr>
      <w:r w:rsidRPr="004F5FB4">
        <w:rPr>
          <w:color w:val="000000"/>
        </w:rPr>
        <w:t xml:space="preserve">Entzündung der Leber, die durch das körpereigene Abwehrsystem ausgelöst wird </w:t>
      </w:r>
      <w:r w:rsidRPr="004F5FB4">
        <w:rPr>
          <w:i/>
          <w:color w:val="000000"/>
        </w:rPr>
        <w:t>(Autoimmunhepatitis)</w:t>
      </w:r>
      <w:r w:rsidR="00C50053" w:rsidRPr="004F5FB4">
        <w:rPr>
          <w:color w:val="000000"/>
        </w:rPr>
        <w:t>,</w:t>
      </w:r>
    </w:p>
    <w:p w14:paraId="3FA5AE1E" w14:textId="77777777" w:rsidR="00C46587" w:rsidRPr="004F5FB4" w:rsidRDefault="00C46587" w:rsidP="00771BD7">
      <w:pPr>
        <w:numPr>
          <w:ilvl w:val="0"/>
          <w:numId w:val="9"/>
        </w:numPr>
        <w:ind w:left="562" w:hanging="562"/>
        <w:rPr>
          <w:color w:val="000000"/>
        </w:rPr>
      </w:pPr>
      <w:r w:rsidRPr="004F5FB4">
        <w:rPr>
          <w:color w:val="000000"/>
        </w:rPr>
        <w:t xml:space="preserve">Entzündung der Blutgefäße der Haut </w:t>
      </w:r>
      <w:r w:rsidRPr="004F5FB4">
        <w:rPr>
          <w:i/>
          <w:color w:val="000000"/>
        </w:rPr>
        <w:t>(kutane Vaskulitis)</w:t>
      </w:r>
      <w:r w:rsidR="00C50053" w:rsidRPr="004F5FB4">
        <w:rPr>
          <w:color w:val="000000"/>
        </w:rPr>
        <w:t>,</w:t>
      </w:r>
    </w:p>
    <w:p w14:paraId="52159A80" w14:textId="77777777" w:rsidR="00C46587" w:rsidRPr="004F5FB4" w:rsidRDefault="00C46587" w:rsidP="00771BD7">
      <w:pPr>
        <w:numPr>
          <w:ilvl w:val="0"/>
          <w:numId w:val="9"/>
        </w:numPr>
        <w:ind w:left="562" w:hanging="562"/>
        <w:rPr>
          <w:color w:val="000000"/>
        </w:rPr>
      </w:pPr>
      <w:r w:rsidRPr="004F5FB4">
        <w:rPr>
          <w:color w:val="000000"/>
        </w:rPr>
        <w:t>Stevens-Johnson-Syndrom (lebensbedrohliche Reaktion mit grippeähnlichen Symptomen und Hautausschlag mit Blasenbildung)</w:t>
      </w:r>
      <w:r w:rsidR="00C50053" w:rsidRPr="004F5FB4">
        <w:rPr>
          <w:color w:val="000000"/>
        </w:rPr>
        <w:t>,</w:t>
      </w:r>
    </w:p>
    <w:p w14:paraId="21D50608" w14:textId="77777777" w:rsidR="00C46587" w:rsidRPr="004F5FB4" w:rsidRDefault="00C46587" w:rsidP="00771BD7">
      <w:pPr>
        <w:numPr>
          <w:ilvl w:val="0"/>
          <w:numId w:val="9"/>
        </w:numPr>
        <w:ind w:left="562" w:hanging="562"/>
        <w:rPr>
          <w:color w:val="000000"/>
        </w:rPr>
      </w:pPr>
      <w:r w:rsidRPr="004F5FB4">
        <w:rPr>
          <w:color w:val="000000"/>
        </w:rPr>
        <w:t xml:space="preserve">Gesichtsschwellung </w:t>
      </w:r>
      <w:r w:rsidRPr="004F5FB4">
        <w:rPr>
          <w:i/>
          <w:color w:val="000000"/>
        </w:rPr>
        <w:t>(Gesichtsödem)</w:t>
      </w:r>
      <w:r w:rsidRPr="004F5FB4">
        <w:rPr>
          <w:color w:val="000000"/>
        </w:rPr>
        <w:t xml:space="preserve"> in Verbindung mit allergischen Reaktionen</w:t>
      </w:r>
      <w:r w:rsidR="00C50053" w:rsidRPr="004F5FB4">
        <w:rPr>
          <w:color w:val="000000"/>
        </w:rPr>
        <w:t>,</w:t>
      </w:r>
    </w:p>
    <w:p w14:paraId="0455191B" w14:textId="77777777" w:rsidR="00C46587" w:rsidRPr="004F5FB4" w:rsidRDefault="000F4DA7" w:rsidP="00771BD7">
      <w:pPr>
        <w:numPr>
          <w:ilvl w:val="0"/>
          <w:numId w:val="9"/>
        </w:numPr>
        <w:ind w:left="562" w:hanging="562"/>
        <w:rPr>
          <w:color w:val="000000"/>
        </w:rPr>
      </w:pPr>
      <w:r w:rsidRPr="004F5FB4">
        <w:rPr>
          <w:color w:val="000000"/>
        </w:rPr>
        <w:t>e</w:t>
      </w:r>
      <w:r w:rsidR="00C46587" w:rsidRPr="004F5FB4">
        <w:rPr>
          <w:color w:val="000000"/>
        </w:rPr>
        <w:t xml:space="preserve">ntzündlicher Hautausschlag </w:t>
      </w:r>
      <w:r w:rsidR="00C46587" w:rsidRPr="004F5FB4">
        <w:rPr>
          <w:i/>
          <w:color w:val="000000"/>
        </w:rPr>
        <w:t>(Erythema multiforme)</w:t>
      </w:r>
      <w:r w:rsidRPr="004F5FB4">
        <w:rPr>
          <w:color w:val="000000"/>
        </w:rPr>
        <w:t>,</w:t>
      </w:r>
    </w:p>
    <w:p w14:paraId="4FB0DD20" w14:textId="77777777" w:rsidR="00C2239D" w:rsidRPr="004F5FB4" w:rsidRDefault="000F4DA7" w:rsidP="00771BD7">
      <w:pPr>
        <w:numPr>
          <w:ilvl w:val="0"/>
          <w:numId w:val="9"/>
        </w:numPr>
        <w:ind w:left="562" w:hanging="562"/>
        <w:rPr>
          <w:color w:val="000000"/>
        </w:rPr>
      </w:pPr>
      <w:r w:rsidRPr="004F5FB4">
        <w:rPr>
          <w:color w:val="000000"/>
        </w:rPr>
        <w:t>l</w:t>
      </w:r>
      <w:r w:rsidR="00C46587" w:rsidRPr="004F5FB4">
        <w:rPr>
          <w:color w:val="000000"/>
        </w:rPr>
        <w:t>upusähnliches Syndrom</w:t>
      </w:r>
      <w:r w:rsidRPr="004F5FB4">
        <w:rPr>
          <w:color w:val="000000"/>
        </w:rPr>
        <w:t>,</w:t>
      </w:r>
    </w:p>
    <w:p w14:paraId="4F1FF6EE" w14:textId="77777777" w:rsidR="00C46587" w:rsidRPr="004F5FB4" w:rsidRDefault="00B23FB1" w:rsidP="00771BD7">
      <w:pPr>
        <w:numPr>
          <w:ilvl w:val="0"/>
          <w:numId w:val="9"/>
        </w:numPr>
        <w:ind w:left="562" w:hanging="562"/>
        <w:rPr>
          <w:color w:val="000000"/>
        </w:rPr>
      </w:pPr>
      <w:r w:rsidRPr="004F5FB4">
        <w:rPr>
          <w:color w:val="000000"/>
        </w:rPr>
        <w:t>Angioödem (lokalisierte Schwellung der Haut)</w:t>
      </w:r>
      <w:r w:rsidR="000F4DA7" w:rsidRPr="004F5FB4">
        <w:rPr>
          <w:color w:val="000000"/>
        </w:rPr>
        <w:t>,</w:t>
      </w:r>
    </w:p>
    <w:p w14:paraId="1850EE4B" w14:textId="77777777" w:rsidR="00546F81" w:rsidRPr="004F5FB4" w:rsidRDefault="000F4DA7" w:rsidP="00771BD7">
      <w:pPr>
        <w:numPr>
          <w:ilvl w:val="0"/>
          <w:numId w:val="9"/>
        </w:numPr>
        <w:ind w:left="562" w:hanging="562"/>
        <w:rPr>
          <w:color w:val="000000"/>
        </w:rPr>
      </w:pPr>
      <w:r w:rsidRPr="004F5FB4">
        <w:rPr>
          <w:color w:val="000000"/>
        </w:rPr>
        <w:t>l</w:t>
      </w:r>
      <w:r w:rsidR="00546F81" w:rsidRPr="004F5FB4">
        <w:rPr>
          <w:color w:val="000000"/>
        </w:rPr>
        <w:t>ichenoide Hautreaktion (juckender, rötlicher bis violetter Hautausschlag).</w:t>
      </w:r>
    </w:p>
    <w:p w14:paraId="73D260F3" w14:textId="77777777" w:rsidR="00C46587" w:rsidRPr="004F5FB4" w:rsidRDefault="00C46587" w:rsidP="00771BD7">
      <w:pPr>
        <w:rPr>
          <w:color w:val="000000"/>
        </w:rPr>
      </w:pPr>
    </w:p>
    <w:p w14:paraId="68DE42D6" w14:textId="77777777" w:rsidR="00C46587" w:rsidRPr="004F5FB4" w:rsidRDefault="00C46587" w:rsidP="00771BD7">
      <w:pPr>
        <w:rPr>
          <w:color w:val="000000"/>
        </w:rPr>
      </w:pPr>
      <w:r w:rsidRPr="004F5FB4">
        <w:rPr>
          <w:b/>
          <w:bCs/>
          <w:color w:val="000000"/>
        </w:rPr>
        <w:t>Nicht bekannt</w:t>
      </w:r>
      <w:r w:rsidRPr="004F5FB4">
        <w:rPr>
          <w:color w:val="000000"/>
        </w:rPr>
        <w:t xml:space="preserve"> (Häufigkeit auf Grundlage der verfügbaren Daten nicht abschätzbar)</w:t>
      </w:r>
    </w:p>
    <w:p w14:paraId="31B6EF9F" w14:textId="77777777" w:rsidR="00C46587" w:rsidRPr="004F5FB4" w:rsidRDefault="00C46587" w:rsidP="00771BD7">
      <w:pPr>
        <w:rPr>
          <w:color w:val="000000"/>
        </w:rPr>
      </w:pPr>
    </w:p>
    <w:p w14:paraId="52138578" w14:textId="77777777" w:rsidR="00C46587" w:rsidRPr="004F5FB4" w:rsidRDefault="00925AB2" w:rsidP="00771BD7">
      <w:pPr>
        <w:numPr>
          <w:ilvl w:val="0"/>
          <w:numId w:val="9"/>
        </w:numPr>
        <w:ind w:left="562" w:hanging="562"/>
        <w:rPr>
          <w:color w:val="000000"/>
        </w:rPr>
      </w:pPr>
      <w:r w:rsidRPr="004F5FB4">
        <w:rPr>
          <w:color w:val="000000"/>
        </w:rPr>
        <w:t>h</w:t>
      </w:r>
      <w:r w:rsidR="00C46587" w:rsidRPr="004F5FB4">
        <w:rPr>
          <w:color w:val="000000"/>
        </w:rPr>
        <w:t>epatosplenales T</w:t>
      </w:r>
      <w:r w:rsidR="00C46587" w:rsidRPr="004F5FB4">
        <w:rPr>
          <w:color w:val="000000"/>
        </w:rPr>
        <w:noBreakHyphen/>
        <w:t>Zell-Lymphom (ein selten auftretender Blutkrebs, der oft tödlich ist)</w:t>
      </w:r>
      <w:r w:rsidRPr="004F5FB4">
        <w:rPr>
          <w:color w:val="000000"/>
        </w:rPr>
        <w:t>,</w:t>
      </w:r>
    </w:p>
    <w:p w14:paraId="51F43D36" w14:textId="77777777" w:rsidR="00C46587" w:rsidRDefault="00C46587" w:rsidP="00771BD7">
      <w:pPr>
        <w:numPr>
          <w:ilvl w:val="0"/>
          <w:numId w:val="9"/>
        </w:numPr>
        <w:ind w:left="562" w:hanging="562"/>
        <w:rPr>
          <w:color w:val="000000"/>
        </w:rPr>
      </w:pPr>
      <w:r w:rsidRPr="004F5FB4">
        <w:rPr>
          <w:color w:val="000000"/>
        </w:rPr>
        <w:t>Merkelzellkarzinom (eine Art von Hautkrebs)</w:t>
      </w:r>
      <w:r w:rsidR="00925AB2" w:rsidRPr="004F5FB4">
        <w:rPr>
          <w:color w:val="000000"/>
        </w:rPr>
        <w:t>,</w:t>
      </w:r>
    </w:p>
    <w:p w14:paraId="21DD1AAF" w14:textId="77777777" w:rsidR="00E56892" w:rsidRPr="004F5FB4" w:rsidRDefault="00E56892" w:rsidP="00771BD7">
      <w:pPr>
        <w:numPr>
          <w:ilvl w:val="0"/>
          <w:numId w:val="9"/>
        </w:numPr>
        <w:ind w:left="562" w:hanging="562"/>
        <w:rPr>
          <w:color w:val="000000"/>
        </w:rPr>
      </w:pPr>
      <w:r w:rsidRPr="00E56892">
        <w:rPr>
          <w:color w:val="000000"/>
        </w:rPr>
        <w:t>Kaposi-Sarkom, eine seltene Krebserkrankung, die mit einer Infektion mit dem humanen Herpesvirus</w:t>
      </w:r>
      <w:r>
        <w:rPr>
          <w:color w:val="000000"/>
        </w:rPr>
        <w:t> </w:t>
      </w:r>
      <w:r w:rsidRPr="00E56892">
        <w:rPr>
          <w:color w:val="000000"/>
        </w:rPr>
        <w:t>8 assoziiert ist. Das Kaposi-Sarkom tritt am häufigsten in Form von violetten Hautläsionen auf.</w:t>
      </w:r>
    </w:p>
    <w:p w14:paraId="3A556BCA" w14:textId="77777777" w:rsidR="00C46587" w:rsidRPr="004F5FB4" w:rsidRDefault="00C46587" w:rsidP="00771BD7">
      <w:pPr>
        <w:numPr>
          <w:ilvl w:val="0"/>
          <w:numId w:val="9"/>
        </w:numPr>
        <w:ind w:left="562" w:hanging="562"/>
        <w:rPr>
          <w:color w:val="000000"/>
        </w:rPr>
      </w:pPr>
      <w:r w:rsidRPr="004F5FB4">
        <w:rPr>
          <w:color w:val="000000"/>
        </w:rPr>
        <w:t>Leberversagen</w:t>
      </w:r>
      <w:r w:rsidR="00925AB2" w:rsidRPr="004F5FB4">
        <w:rPr>
          <w:color w:val="000000"/>
        </w:rPr>
        <w:t>,</w:t>
      </w:r>
    </w:p>
    <w:p w14:paraId="7A14F168" w14:textId="6D52EF58" w:rsidR="00C46587" w:rsidRDefault="00C46587" w:rsidP="00771BD7">
      <w:pPr>
        <w:numPr>
          <w:ilvl w:val="0"/>
          <w:numId w:val="9"/>
        </w:numPr>
        <w:ind w:left="562" w:hanging="562"/>
        <w:rPr>
          <w:color w:val="000000"/>
        </w:rPr>
      </w:pPr>
      <w:r w:rsidRPr="004F5FB4">
        <w:rPr>
          <w:color w:val="000000"/>
        </w:rPr>
        <w:t>Verschlechterung einer sogenannten Dermatomyositis (tritt als Hautausschlag in Verbindung mit Muskelschwäche in Erscheinung)</w:t>
      </w:r>
      <w:r w:rsidR="008F3710">
        <w:rPr>
          <w:color w:val="000000"/>
        </w:rPr>
        <w:t>,</w:t>
      </w:r>
    </w:p>
    <w:p w14:paraId="107E187F" w14:textId="77777777" w:rsidR="008F3710" w:rsidRPr="004F5FB4" w:rsidRDefault="008F3710" w:rsidP="00771BD7">
      <w:pPr>
        <w:numPr>
          <w:ilvl w:val="0"/>
          <w:numId w:val="9"/>
        </w:numPr>
        <w:ind w:left="562" w:hanging="562"/>
        <w:rPr>
          <w:color w:val="000000"/>
        </w:rPr>
      </w:pPr>
      <w:r w:rsidRPr="008F3710">
        <w:rPr>
          <w:color w:val="000000"/>
        </w:rPr>
        <w:t>Gewichtszunahme (bei den meisten Patienten war die Gewichtszunahme gering)</w:t>
      </w:r>
      <w:r>
        <w:rPr>
          <w:color w:val="000000"/>
        </w:rPr>
        <w:t>.</w:t>
      </w:r>
    </w:p>
    <w:p w14:paraId="507E8166" w14:textId="77777777" w:rsidR="00C46587" w:rsidRPr="004F5FB4" w:rsidRDefault="00C46587" w:rsidP="00771BD7">
      <w:pPr>
        <w:rPr>
          <w:color w:val="000000"/>
        </w:rPr>
      </w:pPr>
    </w:p>
    <w:p w14:paraId="203707EA" w14:textId="77777777" w:rsidR="00C46587" w:rsidRPr="004F5FB4" w:rsidRDefault="00C46587" w:rsidP="00771BD7">
      <w:pPr>
        <w:rPr>
          <w:color w:val="000000"/>
        </w:rPr>
      </w:pPr>
      <w:r w:rsidRPr="004F5FB4">
        <w:rPr>
          <w:color w:val="000000"/>
        </w:rPr>
        <w:t xml:space="preserve">Mit Adalimumab wurden einige Nebenwirkungen beobachtet, die keine Anzeichen haben und nur durch Bluttests erkannt werden können. Dazu gehören: </w:t>
      </w:r>
    </w:p>
    <w:p w14:paraId="7A375806" w14:textId="77777777" w:rsidR="00C46587" w:rsidRPr="004F5FB4" w:rsidRDefault="00C46587" w:rsidP="00771BD7">
      <w:pPr>
        <w:rPr>
          <w:color w:val="000000"/>
        </w:rPr>
      </w:pPr>
    </w:p>
    <w:p w14:paraId="3838CAFA" w14:textId="77777777" w:rsidR="00C46587" w:rsidRPr="004F5FB4" w:rsidRDefault="00C46587" w:rsidP="00771BD7">
      <w:pPr>
        <w:rPr>
          <w:color w:val="000000"/>
        </w:rPr>
      </w:pPr>
      <w:r w:rsidRPr="004F5FB4">
        <w:rPr>
          <w:b/>
          <w:bCs/>
          <w:color w:val="000000"/>
        </w:rPr>
        <w:t>Sehr häufig</w:t>
      </w:r>
      <w:r w:rsidRPr="004F5FB4">
        <w:rPr>
          <w:color w:val="000000"/>
        </w:rPr>
        <w:t xml:space="preserve"> (kann mehr als 1 von 10</w:t>
      </w:r>
      <w:r w:rsidR="000235E9" w:rsidRPr="004F5FB4">
        <w:rPr>
          <w:color w:val="000000"/>
        </w:rPr>
        <w:t> </w:t>
      </w:r>
      <w:r w:rsidR="00116420" w:rsidRPr="004F5FB4">
        <w:rPr>
          <w:color w:val="000000"/>
        </w:rPr>
        <w:t xml:space="preserve">Behandelten </w:t>
      </w:r>
      <w:r w:rsidRPr="004F5FB4">
        <w:rPr>
          <w:color w:val="000000"/>
        </w:rPr>
        <w:t>betreffen)</w:t>
      </w:r>
    </w:p>
    <w:p w14:paraId="75CFA8C4" w14:textId="77777777" w:rsidR="00C46587" w:rsidRPr="004F5FB4" w:rsidRDefault="00C46587" w:rsidP="00771BD7">
      <w:pPr>
        <w:rPr>
          <w:color w:val="000000"/>
        </w:rPr>
      </w:pPr>
    </w:p>
    <w:p w14:paraId="3A8A6023" w14:textId="77777777" w:rsidR="00C46587" w:rsidRPr="004F5FB4" w:rsidRDefault="00925AB2" w:rsidP="00771BD7">
      <w:pPr>
        <w:numPr>
          <w:ilvl w:val="0"/>
          <w:numId w:val="9"/>
        </w:numPr>
        <w:ind w:left="562" w:hanging="562"/>
        <w:rPr>
          <w:color w:val="000000"/>
        </w:rPr>
      </w:pPr>
      <w:r w:rsidRPr="004F5FB4">
        <w:rPr>
          <w:color w:val="000000"/>
        </w:rPr>
        <w:t>v</w:t>
      </w:r>
      <w:r w:rsidR="00C46587" w:rsidRPr="004F5FB4">
        <w:rPr>
          <w:color w:val="000000"/>
        </w:rPr>
        <w:t>erringerte Anzahl weißer Blutkörperchen</w:t>
      </w:r>
      <w:r w:rsidRPr="004F5FB4">
        <w:rPr>
          <w:color w:val="000000"/>
        </w:rPr>
        <w:t>,</w:t>
      </w:r>
    </w:p>
    <w:p w14:paraId="6996FF25" w14:textId="77777777" w:rsidR="00C46587" w:rsidRPr="004F5FB4" w:rsidRDefault="00925AB2" w:rsidP="00771BD7">
      <w:pPr>
        <w:numPr>
          <w:ilvl w:val="0"/>
          <w:numId w:val="9"/>
        </w:numPr>
        <w:ind w:left="562" w:hanging="562"/>
        <w:rPr>
          <w:color w:val="000000"/>
        </w:rPr>
      </w:pPr>
      <w:r w:rsidRPr="004F5FB4">
        <w:rPr>
          <w:color w:val="000000"/>
        </w:rPr>
        <w:t>v</w:t>
      </w:r>
      <w:r w:rsidR="00C46587" w:rsidRPr="004F5FB4">
        <w:rPr>
          <w:color w:val="000000"/>
        </w:rPr>
        <w:t>erringerte Anzahl roter Blutkörperchen</w:t>
      </w:r>
      <w:r w:rsidRPr="004F5FB4">
        <w:rPr>
          <w:color w:val="000000"/>
        </w:rPr>
        <w:t>,</w:t>
      </w:r>
    </w:p>
    <w:p w14:paraId="60C725E0" w14:textId="77777777" w:rsidR="00C46587" w:rsidRPr="004F5FB4" w:rsidRDefault="00925AB2" w:rsidP="00771BD7">
      <w:pPr>
        <w:numPr>
          <w:ilvl w:val="0"/>
          <w:numId w:val="9"/>
        </w:numPr>
        <w:ind w:left="562" w:hanging="562"/>
        <w:rPr>
          <w:color w:val="000000"/>
        </w:rPr>
      </w:pPr>
      <w:r w:rsidRPr="004F5FB4">
        <w:rPr>
          <w:color w:val="000000"/>
        </w:rPr>
        <w:t>e</w:t>
      </w:r>
      <w:r w:rsidR="00C46587" w:rsidRPr="004F5FB4">
        <w:rPr>
          <w:color w:val="000000"/>
        </w:rPr>
        <w:t>rhöhte Blutfettwerte</w:t>
      </w:r>
      <w:r w:rsidRPr="004F5FB4">
        <w:rPr>
          <w:color w:val="000000"/>
        </w:rPr>
        <w:t>,</w:t>
      </w:r>
    </w:p>
    <w:p w14:paraId="5304F0BE" w14:textId="77777777" w:rsidR="00C46587" w:rsidRPr="004F5FB4" w:rsidRDefault="00925AB2" w:rsidP="00771BD7">
      <w:pPr>
        <w:numPr>
          <w:ilvl w:val="0"/>
          <w:numId w:val="9"/>
        </w:numPr>
        <w:ind w:left="562" w:hanging="562"/>
        <w:rPr>
          <w:color w:val="000000"/>
        </w:rPr>
      </w:pPr>
      <w:r w:rsidRPr="004F5FB4">
        <w:rPr>
          <w:color w:val="000000"/>
        </w:rPr>
        <w:t>e</w:t>
      </w:r>
      <w:r w:rsidR="007A6D86" w:rsidRPr="004F5FB4">
        <w:rPr>
          <w:color w:val="000000"/>
        </w:rPr>
        <w:t xml:space="preserve">rhöhte Werte für Leberenzyme. </w:t>
      </w:r>
    </w:p>
    <w:p w14:paraId="7F949837" w14:textId="77777777" w:rsidR="00C46587" w:rsidRPr="004F5FB4" w:rsidRDefault="00C46587" w:rsidP="00771BD7">
      <w:pPr>
        <w:rPr>
          <w:color w:val="000000"/>
          <w:lang w:val="en-GB"/>
        </w:rPr>
      </w:pPr>
    </w:p>
    <w:p w14:paraId="02A0651A" w14:textId="77777777" w:rsidR="00C46587" w:rsidRPr="004F5FB4" w:rsidRDefault="00C46587" w:rsidP="00771BD7">
      <w:pPr>
        <w:rPr>
          <w:color w:val="000000"/>
        </w:rPr>
      </w:pPr>
      <w:r w:rsidRPr="004F5FB4">
        <w:rPr>
          <w:b/>
          <w:bCs/>
          <w:color w:val="000000"/>
        </w:rPr>
        <w:t>Häufig</w:t>
      </w:r>
      <w:r w:rsidRPr="004F5FB4">
        <w:rPr>
          <w:color w:val="000000"/>
        </w:rPr>
        <w:t xml:space="preserve"> (kann bis zu 1 von 10</w:t>
      </w:r>
      <w:r w:rsidR="000235E9" w:rsidRPr="004F5FB4">
        <w:rPr>
          <w:color w:val="000000"/>
        </w:rPr>
        <w:t> </w:t>
      </w:r>
      <w:r w:rsidR="00116420" w:rsidRPr="004F5FB4">
        <w:rPr>
          <w:color w:val="000000"/>
        </w:rPr>
        <w:t xml:space="preserve">Behandelten </w:t>
      </w:r>
      <w:r w:rsidRPr="004F5FB4">
        <w:rPr>
          <w:color w:val="000000"/>
        </w:rPr>
        <w:t>betreffen)</w:t>
      </w:r>
    </w:p>
    <w:p w14:paraId="5E53584E" w14:textId="77777777" w:rsidR="00C46587" w:rsidRPr="004F5FB4" w:rsidRDefault="00C46587" w:rsidP="00771BD7">
      <w:pPr>
        <w:rPr>
          <w:color w:val="000000"/>
        </w:rPr>
      </w:pPr>
    </w:p>
    <w:p w14:paraId="3E6F9B94" w14:textId="77777777" w:rsidR="00C46587" w:rsidRPr="004F5FB4" w:rsidRDefault="00925AB2" w:rsidP="00771BD7">
      <w:pPr>
        <w:numPr>
          <w:ilvl w:val="0"/>
          <w:numId w:val="9"/>
        </w:numPr>
        <w:ind w:left="562" w:hanging="562"/>
        <w:rPr>
          <w:color w:val="000000"/>
        </w:rPr>
      </w:pPr>
      <w:r w:rsidRPr="004F5FB4">
        <w:rPr>
          <w:color w:val="000000"/>
        </w:rPr>
        <w:t>e</w:t>
      </w:r>
      <w:r w:rsidR="00C46587" w:rsidRPr="004F5FB4">
        <w:rPr>
          <w:color w:val="000000"/>
        </w:rPr>
        <w:t>rhöhte Anzahl weißer Blutkörperchen</w:t>
      </w:r>
      <w:r w:rsidRPr="004F5FB4">
        <w:rPr>
          <w:color w:val="000000"/>
        </w:rPr>
        <w:t>,</w:t>
      </w:r>
    </w:p>
    <w:p w14:paraId="5AB0552E" w14:textId="77777777" w:rsidR="00C46587" w:rsidRPr="004F5FB4" w:rsidRDefault="00925AB2" w:rsidP="00771BD7">
      <w:pPr>
        <w:numPr>
          <w:ilvl w:val="0"/>
          <w:numId w:val="9"/>
        </w:numPr>
        <w:ind w:left="562" w:hanging="562"/>
        <w:rPr>
          <w:color w:val="000000"/>
        </w:rPr>
      </w:pPr>
      <w:r w:rsidRPr="004F5FB4">
        <w:rPr>
          <w:color w:val="000000"/>
        </w:rPr>
        <w:t>v</w:t>
      </w:r>
      <w:r w:rsidR="00C46587" w:rsidRPr="004F5FB4">
        <w:rPr>
          <w:color w:val="000000"/>
        </w:rPr>
        <w:t>erringerte Anzahl von Blutplättchen</w:t>
      </w:r>
      <w:r w:rsidRPr="004F5FB4">
        <w:rPr>
          <w:color w:val="000000"/>
        </w:rPr>
        <w:t>,</w:t>
      </w:r>
    </w:p>
    <w:p w14:paraId="39C0AC70" w14:textId="77777777" w:rsidR="00C46587" w:rsidRPr="004F5FB4" w:rsidRDefault="00925AB2" w:rsidP="00771BD7">
      <w:pPr>
        <w:numPr>
          <w:ilvl w:val="0"/>
          <w:numId w:val="9"/>
        </w:numPr>
        <w:ind w:left="562" w:hanging="562"/>
        <w:rPr>
          <w:color w:val="000000"/>
        </w:rPr>
      </w:pPr>
      <w:r w:rsidRPr="004F5FB4">
        <w:rPr>
          <w:color w:val="000000"/>
        </w:rPr>
        <w:t>e</w:t>
      </w:r>
      <w:r w:rsidR="00C46587" w:rsidRPr="004F5FB4">
        <w:rPr>
          <w:color w:val="000000"/>
        </w:rPr>
        <w:t>rhöhte Harnsäurewerte im Blut</w:t>
      </w:r>
      <w:r w:rsidRPr="004F5FB4">
        <w:rPr>
          <w:color w:val="000000"/>
        </w:rPr>
        <w:t>,</w:t>
      </w:r>
    </w:p>
    <w:p w14:paraId="2FA41FA7" w14:textId="77777777" w:rsidR="00C46587" w:rsidRPr="004F5FB4" w:rsidRDefault="00925AB2" w:rsidP="00771BD7">
      <w:pPr>
        <w:numPr>
          <w:ilvl w:val="0"/>
          <w:numId w:val="9"/>
        </w:numPr>
        <w:ind w:left="562" w:hanging="562"/>
        <w:rPr>
          <w:color w:val="000000"/>
        </w:rPr>
      </w:pPr>
      <w:r w:rsidRPr="004F5FB4">
        <w:rPr>
          <w:color w:val="000000"/>
        </w:rPr>
        <w:t>a</w:t>
      </w:r>
      <w:r w:rsidR="00C46587" w:rsidRPr="004F5FB4">
        <w:rPr>
          <w:color w:val="000000"/>
        </w:rPr>
        <w:t>bnormale Blutwerte für Natrium</w:t>
      </w:r>
      <w:r w:rsidRPr="004F5FB4">
        <w:rPr>
          <w:color w:val="000000"/>
        </w:rPr>
        <w:t>,</w:t>
      </w:r>
    </w:p>
    <w:p w14:paraId="465F10C6" w14:textId="77777777" w:rsidR="00C46587" w:rsidRPr="004F5FB4" w:rsidRDefault="00925AB2" w:rsidP="00771BD7">
      <w:pPr>
        <w:numPr>
          <w:ilvl w:val="0"/>
          <w:numId w:val="9"/>
        </w:numPr>
        <w:ind w:left="562" w:hanging="562"/>
        <w:rPr>
          <w:color w:val="000000"/>
        </w:rPr>
      </w:pPr>
      <w:r w:rsidRPr="004F5FB4">
        <w:rPr>
          <w:color w:val="000000"/>
        </w:rPr>
        <w:t>n</w:t>
      </w:r>
      <w:r w:rsidR="00C46587" w:rsidRPr="004F5FB4">
        <w:rPr>
          <w:color w:val="000000"/>
        </w:rPr>
        <w:t>iedrige Blutwerte für Kalzium</w:t>
      </w:r>
      <w:r w:rsidRPr="004F5FB4">
        <w:rPr>
          <w:color w:val="000000"/>
        </w:rPr>
        <w:t>,</w:t>
      </w:r>
    </w:p>
    <w:p w14:paraId="4813643B" w14:textId="77777777" w:rsidR="00C46587" w:rsidRPr="004F5FB4" w:rsidRDefault="00925AB2" w:rsidP="00771BD7">
      <w:pPr>
        <w:numPr>
          <w:ilvl w:val="0"/>
          <w:numId w:val="9"/>
        </w:numPr>
        <w:ind w:left="562" w:hanging="562"/>
        <w:rPr>
          <w:color w:val="000000"/>
        </w:rPr>
      </w:pPr>
      <w:r w:rsidRPr="004F5FB4">
        <w:rPr>
          <w:color w:val="000000"/>
        </w:rPr>
        <w:t>n</w:t>
      </w:r>
      <w:r w:rsidR="00C46587" w:rsidRPr="004F5FB4">
        <w:rPr>
          <w:color w:val="000000"/>
        </w:rPr>
        <w:t>iedrige Blutwerte für Phosphat</w:t>
      </w:r>
      <w:r w:rsidRPr="004F5FB4">
        <w:rPr>
          <w:color w:val="000000"/>
        </w:rPr>
        <w:t>,</w:t>
      </w:r>
    </w:p>
    <w:p w14:paraId="2AF8FF48" w14:textId="77777777" w:rsidR="00C46587" w:rsidRPr="004F5FB4" w:rsidRDefault="00925AB2" w:rsidP="00771BD7">
      <w:pPr>
        <w:numPr>
          <w:ilvl w:val="0"/>
          <w:numId w:val="9"/>
        </w:numPr>
        <w:ind w:left="562" w:hanging="562"/>
        <w:rPr>
          <w:color w:val="000000"/>
        </w:rPr>
      </w:pPr>
      <w:r w:rsidRPr="004F5FB4">
        <w:rPr>
          <w:color w:val="000000"/>
        </w:rPr>
        <w:t>h</w:t>
      </w:r>
      <w:r w:rsidR="00C46587" w:rsidRPr="004F5FB4">
        <w:rPr>
          <w:color w:val="000000"/>
        </w:rPr>
        <w:t>ohe Blutzuckerwerte</w:t>
      </w:r>
      <w:r w:rsidRPr="004F5FB4">
        <w:rPr>
          <w:color w:val="000000"/>
        </w:rPr>
        <w:t>,</w:t>
      </w:r>
    </w:p>
    <w:p w14:paraId="2D662A73" w14:textId="77777777" w:rsidR="00C46587" w:rsidRPr="004F5FB4" w:rsidRDefault="00925AB2" w:rsidP="00771BD7">
      <w:pPr>
        <w:numPr>
          <w:ilvl w:val="0"/>
          <w:numId w:val="9"/>
        </w:numPr>
        <w:ind w:left="562" w:hanging="562"/>
        <w:rPr>
          <w:color w:val="000000"/>
        </w:rPr>
      </w:pPr>
      <w:r w:rsidRPr="004F5FB4">
        <w:rPr>
          <w:color w:val="000000"/>
        </w:rPr>
        <w:t>h</w:t>
      </w:r>
      <w:r w:rsidR="00C46587" w:rsidRPr="004F5FB4">
        <w:rPr>
          <w:color w:val="000000"/>
        </w:rPr>
        <w:t>ohe Blutwerte für Lactatdehydrogenase</w:t>
      </w:r>
      <w:r w:rsidRPr="004F5FB4">
        <w:rPr>
          <w:color w:val="000000"/>
        </w:rPr>
        <w:t>,</w:t>
      </w:r>
    </w:p>
    <w:p w14:paraId="43774795" w14:textId="77777777" w:rsidR="00C2239D" w:rsidRPr="004F5FB4" w:rsidRDefault="00C46587" w:rsidP="00771BD7">
      <w:pPr>
        <w:numPr>
          <w:ilvl w:val="0"/>
          <w:numId w:val="9"/>
        </w:numPr>
        <w:ind w:left="562" w:hanging="562"/>
        <w:rPr>
          <w:color w:val="000000"/>
        </w:rPr>
      </w:pPr>
      <w:r w:rsidRPr="004F5FB4">
        <w:rPr>
          <w:color w:val="000000"/>
        </w:rPr>
        <w:t>Nachweis von Autoantikörpern im Blut</w:t>
      </w:r>
      <w:r w:rsidR="00925AB2" w:rsidRPr="004F5FB4">
        <w:rPr>
          <w:color w:val="000000"/>
        </w:rPr>
        <w:t>,</w:t>
      </w:r>
    </w:p>
    <w:p w14:paraId="5201F5BF" w14:textId="77777777" w:rsidR="00C46587" w:rsidRPr="004F5FB4" w:rsidRDefault="00C2239D" w:rsidP="00771BD7">
      <w:pPr>
        <w:numPr>
          <w:ilvl w:val="0"/>
          <w:numId w:val="9"/>
        </w:numPr>
        <w:ind w:left="562" w:hanging="562"/>
        <w:rPr>
          <w:color w:val="000000"/>
        </w:rPr>
      </w:pPr>
      <w:r w:rsidRPr="004F5FB4">
        <w:rPr>
          <w:i/>
          <w:color w:val="000000"/>
        </w:rPr>
        <w:t>Hypokaliämie</w:t>
      </w:r>
      <w:r w:rsidRPr="004F5FB4">
        <w:rPr>
          <w:color w:val="000000"/>
        </w:rPr>
        <w:t xml:space="preserve"> (Kaliummangel im Blut)</w:t>
      </w:r>
      <w:r w:rsidR="00A40DA1" w:rsidRPr="004F5FB4">
        <w:rPr>
          <w:color w:val="000000"/>
        </w:rPr>
        <w:t>.</w:t>
      </w:r>
    </w:p>
    <w:p w14:paraId="303D7954" w14:textId="77777777" w:rsidR="00C46587" w:rsidRPr="004F5FB4" w:rsidRDefault="00C46587" w:rsidP="00771BD7">
      <w:pPr>
        <w:rPr>
          <w:color w:val="000000"/>
          <w:lang w:val="en-GB"/>
        </w:rPr>
      </w:pPr>
    </w:p>
    <w:p w14:paraId="4164564B" w14:textId="77777777" w:rsidR="00C2239D" w:rsidRPr="004F5FB4" w:rsidRDefault="00C2239D" w:rsidP="00771BD7">
      <w:pPr>
        <w:rPr>
          <w:color w:val="000000"/>
        </w:rPr>
      </w:pPr>
      <w:r w:rsidRPr="004F5FB4">
        <w:rPr>
          <w:b/>
          <w:bCs/>
          <w:color w:val="000000"/>
        </w:rPr>
        <w:t>Gelegentlich</w:t>
      </w:r>
      <w:r w:rsidRPr="004F5FB4">
        <w:rPr>
          <w:color w:val="000000"/>
        </w:rPr>
        <w:t xml:space="preserve"> (kann bis zu 1 von 100</w:t>
      </w:r>
      <w:r w:rsidR="000235E9" w:rsidRPr="004F5FB4">
        <w:rPr>
          <w:color w:val="000000"/>
        </w:rPr>
        <w:t> </w:t>
      </w:r>
      <w:r w:rsidR="00116420" w:rsidRPr="004F5FB4">
        <w:rPr>
          <w:color w:val="000000"/>
        </w:rPr>
        <w:t xml:space="preserve">Behandelten </w:t>
      </w:r>
      <w:r w:rsidRPr="004F5FB4">
        <w:rPr>
          <w:color w:val="000000"/>
        </w:rPr>
        <w:t>betreffen)</w:t>
      </w:r>
    </w:p>
    <w:p w14:paraId="414F5FBA" w14:textId="77777777" w:rsidR="00C2239D" w:rsidRPr="004F5FB4" w:rsidRDefault="00C2239D" w:rsidP="00771BD7">
      <w:pPr>
        <w:rPr>
          <w:color w:val="000000"/>
        </w:rPr>
      </w:pPr>
    </w:p>
    <w:p w14:paraId="1D182C4D" w14:textId="77777777" w:rsidR="00C2239D" w:rsidRPr="004F5FB4" w:rsidRDefault="00925AB2" w:rsidP="00771BD7">
      <w:pPr>
        <w:numPr>
          <w:ilvl w:val="0"/>
          <w:numId w:val="9"/>
        </w:numPr>
        <w:ind w:left="562" w:hanging="562"/>
        <w:rPr>
          <w:color w:val="000000"/>
        </w:rPr>
      </w:pPr>
      <w:r w:rsidRPr="004F5FB4">
        <w:rPr>
          <w:color w:val="000000"/>
        </w:rPr>
        <w:t>e</w:t>
      </w:r>
      <w:r w:rsidR="007A6D86" w:rsidRPr="004F5FB4">
        <w:rPr>
          <w:color w:val="000000"/>
        </w:rPr>
        <w:t>rhöhte Bilirubin-Konzentration im Blut (Leberwerte).</w:t>
      </w:r>
    </w:p>
    <w:p w14:paraId="4368559F" w14:textId="77777777" w:rsidR="00C2239D" w:rsidRPr="004F5FB4" w:rsidRDefault="00C2239D" w:rsidP="00982118">
      <w:pPr>
        <w:rPr>
          <w:color w:val="000000"/>
        </w:rPr>
      </w:pPr>
    </w:p>
    <w:p w14:paraId="14A991D3" w14:textId="77777777" w:rsidR="00C46587" w:rsidRPr="004F5FB4" w:rsidRDefault="00C46587" w:rsidP="007C0A4F">
      <w:pPr>
        <w:keepNext/>
        <w:rPr>
          <w:color w:val="000000"/>
        </w:rPr>
      </w:pPr>
      <w:r w:rsidRPr="004F5FB4">
        <w:rPr>
          <w:b/>
          <w:bCs/>
          <w:color w:val="000000"/>
        </w:rPr>
        <w:lastRenderedPageBreak/>
        <w:t>Selten</w:t>
      </w:r>
      <w:r w:rsidRPr="004F5FB4">
        <w:rPr>
          <w:color w:val="000000"/>
        </w:rPr>
        <w:t xml:space="preserve"> (kann bis zu 1 von 1.000</w:t>
      </w:r>
      <w:r w:rsidR="00E7395D" w:rsidRPr="004F5FB4">
        <w:rPr>
          <w:color w:val="000000"/>
        </w:rPr>
        <w:t> </w:t>
      </w:r>
      <w:r w:rsidR="00116420" w:rsidRPr="004F5FB4">
        <w:rPr>
          <w:color w:val="000000"/>
        </w:rPr>
        <w:t xml:space="preserve">Behandelten </w:t>
      </w:r>
      <w:r w:rsidRPr="004F5FB4">
        <w:rPr>
          <w:color w:val="000000"/>
        </w:rPr>
        <w:t>betreffen)</w:t>
      </w:r>
    </w:p>
    <w:p w14:paraId="484C160E" w14:textId="77777777" w:rsidR="00C46587" w:rsidRPr="004F5FB4" w:rsidRDefault="00C46587" w:rsidP="007C0A4F">
      <w:pPr>
        <w:keepNext/>
        <w:rPr>
          <w:color w:val="000000"/>
        </w:rPr>
      </w:pPr>
    </w:p>
    <w:p w14:paraId="29F6FF17" w14:textId="77777777" w:rsidR="00C46587" w:rsidRPr="004F5FB4" w:rsidRDefault="00925AB2" w:rsidP="007C0A4F">
      <w:pPr>
        <w:keepNext/>
        <w:numPr>
          <w:ilvl w:val="0"/>
          <w:numId w:val="9"/>
        </w:numPr>
        <w:ind w:left="562" w:hanging="562"/>
        <w:rPr>
          <w:color w:val="000000"/>
        </w:rPr>
      </w:pPr>
      <w:r w:rsidRPr="004F5FB4">
        <w:rPr>
          <w:color w:val="000000"/>
        </w:rPr>
        <w:t>v</w:t>
      </w:r>
      <w:r w:rsidR="00C46587" w:rsidRPr="004F5FB4">
        <w:rPr>
          <w:color w:val="000000"/>
        </w:rPr>
        <w:t>erringerte Anzahl weißer und roter Blutkörperchen und geringe Zahl an Blutplättchen.</w:t>
      </w:r>
    </w:p>
    <w:p w14:paraId="03A4CD55" w14:textId="77777777" w:rsidR="00C46587" w:rsidRPr="004F5FB4" w:rsidRDefault="00C46587" w:rsidP="00982118">
      <w:pPr>
        <w:rPr>
          <w:color w:val="000000"/>
        </w:rPr>
      </w:pPr>
    </w:p>
    <w:p w14:paraId="6465DD4A" w14:textId="77777777" w:rsidR="00C46587" w:rsidRPr="004F5FB4" w:rsidRDefault="00C46587" w:rsidP="00982118">
      <w:pPr>
        <w:rPr>
          <w:color w:val="000000"/>
        </w:rPr>
      </w:pPr>
      <w:r w:rsidRPr="004F5FB4">
        <w:rPr>
          <w:b/>
          <w:color w:val="000000"/>
        </w:rPr>
        <w:t>Meldung von Nebenwirkungen</w:t>
      </w:r>
    </w:p>
    <w:p w14:paraId="32E74E8E" w14:textId="4EC935F7" w:rsidR="00C46587" w:rsidRPr="004F5FB4" w:rsidRDefault="00C46587" w:rsidP="00982118">
      <w:pPr>
        <w:rPr>
          <w:color w:val="000000"/>
        </w:rPr>
      </w:pPr>
      <w:r w:rsidRPr="004F5FB4">
        <w:rPr>
          <w:color w:val="000000"/>
        </w:rPr>
        <w:t xml:space="preserve">Wenn Ihr Kind Nebenwirkungen bekommt, wenden Sie sich an den Arzt oder Apotheker Ihres Kindes. Dies gilt auch für Nebenwirkungen, die nicht in dieser Packungsbeilage angegeben sind. Sie können Nebenwirkungen auch direkt über </w:t>
      </w:r>
      <w:r w:rsidRPr="00A242C3">
        <w:rPr>
          <w:color w:val="000000"/>
          <w:highlight w:val="lightGray"/>
        </w:rPr>
        <w:t xml:space="preserve">das in </w:t>
      </w:r>
      <w:r w:rsidR="00E1106A">
        <w:fldChar w:fldCharType="begin"/>
      </w:r>
      <w:r w:rsidR="00E1106A">
        <w:instrText>HYPERLINK "https://www.ema.europa.eu/documents/template-form/qrd-appendix-v-adverse-drug-reaction-reporting-details_en.docx"</w:instrText>
      </w:r>
      <w:r w:rsidR="00E1106A">
        <w:fldChar w:fldCharType="separate"/>
      </w:r>
      <w:r w:rsidR="00E1106A" w:rsidRPr="008A56D9">
        <w:rPr>
          <w:rStyle w:val="Hyperlink"/>
          <w:highlight w:val="lightGray"/>
        </w:rPr>
        <w:t>Anhang V</w:t>
      </w:r>
      <w:r w:rsidR="00E1106A">
        <w:fldChar w:fldCharType="end"/>
      </w:r>
      <w:r w:rsidR="00E1106A" w:rsidRPr="008A56D9">
        <w:rPr>
          <w:color w:val="000000" w:themeColor="text1"/>
          <w:highlight w:val="lightGray"/>
        </w:rPr>
        <w:t xml:space="preserve"> </w:t>
      </w:r>
      <w:r w:rsidRPr="00A242C3">
        <w:rPr>
          <w:color w:val="000000" w:themeColor="text1"/>
          <w:highlight w:val="lightGray"/>
        </w:rPr>
        <w:t>a</w:t>
      </w:r>
      <w:r w:rsidRPr="00A242C3">
        <w:rPr>
          <w:color w:val="000000"/>
          <w:highlight w:val="lightGray"/>
        </w:rPr>
        <w:t>ufgeführte nationale Meldesystem</w:t>
      </w:r>
      <w:r w:rsidRPr="004F5FB4">
        <w:rPr>
          <w:color w:val="000000"/>
        </w:rPr>
        <w:t>* anzeigen. Indem Sie Nebenwirkungen melden, können Sie dazu beitragen, dass mehr Informationen über die Sicherheit dieses Arzneimittels zur Verfügung gestellt werden.</w:t>
      </w:r>
    </w:p>
    <w:p w14:paraId="6EBD5BEC" w14:textId="77777777" w:rsidR="00C46587" w:rsidRPr="004F5FB4" w:rsidRDefault="00C46587" w:rsidP="00982118">
      <w:pPr>
        <w:rPr>
          <w:color w:val="000000"/>
        </w:rPr>
      </w:pPr>
    </w:p>
    <w:p w14:paraId="717C71BB" w14:textId="77777777" w:rsidR="00C46587" w:rsidRPr="004F5FB4" w:rsidRDefault="00C46587" w:rsidP="00982118">
      <w:pPr>
        <w:rPr>
          <w:color w:val="000000"/>
        </w:rPr>
      </w:pPr>
    </w:p>
    <w:p w14:paraId="4E23FCA8" w14:textId="77777777" w:rsidR="00C46587" w:rsidRPr="004F5FB4" w:rsidRDefault="00C46587" w:rsidP="00982118">
      <w:pPr>
        <w:keepNext/>
        <w:tabs>
          <w:tab w:val="left" w:pos="562"/>
        </w:tabs>
        <w:rPr>
          <w:b/>
          <w:color w:val="000000"/>
        </w:rPr>
      </w:pPr>
      <w:r w:rsidRPr="004F5FB4">
        <w:rPr>
          <w:b/>
          <w:color w:val="000000"/>
        </w:rPr>
        <w:t>5</w:t>
      </w:r>
      <w:r w:rsidR="004F2EA2" w:rsidRPr="004F5FB4">
        <w:rPr>
          <w:b/>
          <w:color w:val="000000"/>
        </w:rPr>
        <w:t>.</w:t>
      </w:r>
      <w:r w:rsidRPr="004F5FB4">
        <w:rPr>
          <w:b/>
          <w:color w:val="000000"/>
        </w:rPr>
        <w:tab/>
        <w:t>Wie ist Amsparity aufzubewahren?</w:t>
      </w:r>
    </w:p>
    <w:p w14:paraId="55A09E42" w14:textId="77777777" w:rsidR="00C46587" w:rsidRPr="004F5FB4" w:rsidRDefault="00C46587" w:rsidP="00982118">
      <w:pPr>
        <w:keepNext/>
        <w:rPr>
          <w:color w:val="000000"/>
        </w:rPr>
      </w:pPr>
    </w:p>
    <w:p w14:paraId="0DE43308" w14:textId="77777777" w:rsidR="00C46587" w:rsidRPr="004F5FB4" w:rsidRDefault="00C46587" w:rsidP="00982118">
      <w:pPr>
        <w:rPr>
          <w:color w:val="000000"/>
        </w:rPr>
      </w:pPr>
      <w:r w:rsidRPr="004F5FB4">
        <w:rPr>
          <w:color w:val="000000"/>
        </w:rPr>
        <w:t>Bewahren Sie dieses Arzneimittel für Kinder unzugänglich auf.</w:t>
      </w:r>
    </w:p>
    <w:p w14:paraId="06866059" w14:textId="77777777" w:rsidR="00C46587" w:rsidRPr="004F5FB4" w:rsidRDefault="00C46587" w:rsidP="00982118">
      <w:pPr>
        <w:rPr>
          <w:color w:val="000000"/>
        </w:rPr>
      </w:pPr>
    </w:p>
    <w:p w14:paraId="6C2AF0C6" w14:textId="77777777" w:rsidR="00C46587" w:rsidRPr="004F5FB4" w:rsidRDefault="00C46587" w:rsidP="00982118">
      <w:pPr>
        <w:rPr>
          <w:color w:val="000000"/>
        </w:rPr>
      </w:pPr>
      <w:r w:rsidRPr="004F5FB4">
        <w:rPr>
          <w:color w:val="000000"/>
        </w:rPr>
        <w:t>Sie dürfen das Arzneimittel nach dem auf dem Etikett/</w:t>
      </w:r>
      <w:r w:rsidR="00925AB2" w:rsidRPr="004F5FB4">
        <w:rPr>
          <w:color w:val="000000"/>
        </w:rPr>
        <w:t xml:space="preserve"> </w:t>
      </w:r>
      <w:r w:rsidRPr="004F5FB4">
        <w:rPr>
          <w:color w:val="000000"/>
        </w:rPr>
        <w:t>der Faltschachtel nach „Verwendbar bis“ angegebenen Verfalldatum nicht mehr verwenden.</w:t>
      </w:r>
    </w:p>
    <w:p w14:paraId="4663CFD8" w14:textId="77777777" w:rsidR="00C46587" w:rsidRPr="004F5FB4" w:rsidRDefault="00C46587" w:rsidP="00982118">
      <w:pPr>
        <w:rPr>
          <w:color w:val="000000"/>
        </w:rPr>
      </w:pPr>
    </w:p>
    <w:p w14:paraId="7E296B4E" w14:textId="77777777" w:rsidR="00C46587" w:rsidRPr="004F5FB4" w:rsidRDefault="00C46587" w:rsidP="00982118">
      <w:pPr>
        <w:rPr>
          <w:color w:val="000000"/>
        </w:rPr>
      </w:pPr>
      <w:r w:rsidRPr="004F5FB4">
        <w:rPr>
          <w:color w:val="000000"/>
        </w:rPr>
        <w:t>Im Kühlschrank lagern (2 °C – 8 °C). Nicht einfrieren.</w:t>
      </w:r>
    </w:p>
    <w:p w14:paraId="16068760" w14:textId="77777777" w:rsidR="00C46587" w:rsidRPr="004F5FB4" w:rsidRDefault="00C46587" w:rsidP="00982118">
      <w:pPr>
        <w:rPr>
          <w:color w:val="000000"/>
        </w:rPr>
      </w:pPr>
    </w:p>
    <w:p w14:paraId="1384210E" w14:textId="77777777" w:rsidR="00C46587" w:rsidRPr="004F5FB4" w:rsidRDefault="00C46587" w:rsidP="00982118">
      <w:pPr>
        <w:rPr>
          <w:color w:val="000000"/>
        </w:rPr>
      </w:pPr>
      <w:r w:rsidRPr="004F5FB4">
        <w:rPr>
          <w:color w:val="000000"/>
        </w:rPr>
        <w:t>Die Durchstechflasche im Umkarton aufbewahren, um den Inhalt vor Licht zu schützen.</w:t>
      </w:r>
    </w:p>
    <w:p w14:paraId="4EF4CBE2" w14:textId="77777777" w:rsidR="00C46587" w:rsidRPr="004F5FB4" w:rsidRDefault="00C46587" w:rsidP="00982118">
      <w:pPr>
        <w:rPr>
          <w:color w:val="000000"/>
        </w:rPr>
      </w:pPr>
    </w:p>
    <w:p w14:paraId="203E86FA" w14:textId="77777777" w:rsidR="00A8620A" w:rsidRPr="004F5FB4" w:rsidRDefault="00A8620A" w:rsidP="00982118">
      <w:pPr>
        <w:pStyle w:val="BodyText"/>
        <w:widowControl/>
        <w:kinsoku w:val="0"/>
        <w:overflowPunct w:val="0"/>
        <w:spacing w:before="48"/>
        <w:ind w:left="0"/>
        <w:rPr>
          <w:color w:val="000000"/>
          <w:u w:val="single"/>
        </w:rPr>
      </w:pPr>
      <w:r w:rsidRPr="004F5FB4">
        <w:rPr>
          <w:color w:val="000000"/>
          <w:u w:val="single"/>
        </w:rPr>
        <w:t>Alternative Lagerung:</w:t>
      </w:r>
    </w:p>
    <w:p w14:paraId="19CCF18D" w14:textId="77777777" w:rsidR="00A8620A" w:rsidRPr="004F5FB4" w:rsidRDefault="00A8620A" w:rsidP="00982118">
      <w:pPr>
        <w:pStyle w:val="BodyText"/>
        <w:widowControl/>
        <w:kinsoku w:val="0"/>
        <w:overflowPunct w:val="0"/>
        <w:ind w:left="0"/>
        <w:rPr>
          <w:color w:val="000000"/>
        </w:rPr>
      </w:pPr>
    </w:p>
    <w:p w14:paraId="665B61B2" w14:textId="77777777" w:rsidR="00A8620A" w:rsidRPr="004F5FB4" w:rsidRDefault="00A8620A" w:rsidP="00982118">
      <w:pPr>
        <w:pStyle w:val="BodyText"/>
        <w:widowControl/>
        <w:kinsoku w:val="0"/>
        <w:overflowPunct w:val="0"/>
        <w:ind w:left="0" w:right="234"/>
        <w:rPr>
          <w:color w:val="000000"/>
        </w:rPr>
      </w:pPr>
      <w:r w:rsidRPr="004F5FB4">
        <w:rPr>
          <w:color w:val="000000"/>
        </w:rPr>
        <w:t xml:space="preserve">Wenn erforderlich (zum Beispiel, </w:t>
      </w:r>
      <w:r w:rsidR="000B71DE" w:rsidRPr="004F5FB4">
        <w:rPr>
          <w:color w:val="000000"/>
        </w:rPr>
        <w:t>auf Reisen</w:t>
      </w:r>
      <w:r w:rsidRPr="004F5FB4">
        <w:rPr>
          <w:color w:val="000000"/>
        </w:rPr>
        <w:t xml:space="preserve">), darf eine einzelne Durchstechflasche mit Amsparity auch bis zu 30 Tage lang bei Raumtemperatur aufbewahrt werden (nicht über 30 °C und vor Licht geschützt). Sobald Sie die Durchstechflasche aus dem Kühlschrank genommen haben, um sie bei Raumtemperatur zu lagern, </w:t>
      </w:r>
      <w:r w:rsidRPr="004F5FB4">
        <w:rPr>
          <w:b/>
          <w:bCs/>
          <w:color w:val="000000"/>
        </w:rPr>
        <w:t>müssen Sie sie innerhalb dieser 30</w:t>
      </w:r>
      <w:r w:rsidR="00DB07BB" w:rsidRPr="004F5FB4">
        <w:rPr>
          <w:b/>
          <w:bCs/>
          <w:color w:val="000000"/>
        </w:rPr>
        <w:t> </w:t>
      </w:r>
      <w:r w:rsidRPr="004F5FB4">
        <w:rPr>
          <w:b/>
          <w:bCs/>
          <w:color w:val="000000"/>
        </w:rPr>
        <w:t>Tage verbrauchen oder wegwerfen</w:t>
      </w:r>
      <w:r w:rsidRPr="004F5FB4">
        <w:rPr>
          <w:color w:val="000000"/>
        </w:rPr>
        <w:t>, auch wenn Sie die Durchstechflasche wieder in den Kühlschrank stellen.</w:t>
      </w:r>
    </w:p>
    <w:p w14:paraId="5ABFE1B3" w14:textId="77777777" w:rsidR="00A8620A" w:rsidRPr="004F5FB4" w:rsidRDefault="00A8620A" w:rsidP="00982118">
      <w:pPr>
        <w:pStyle w:val="BodyText"/>
        <w:widowControl/>
        <w:kinsoku w:val="0"/>
        <w:overflowPunct w:val="0"/>
        <w:ind w:left="0"/>
        <w:rPr>
          <w:color w:val="000000"/>
        </w:rPr>
      </w:pPr>
    </w:p>
    <w:p w14:paraId="0E42696C" w14:textId="77777777" w:rsidR="00A8620A" w:rsidRPr="004F5FB4" w:rsidRDefault="00A8620A" w:rsidP="00982118">
      <w:pPr>
        <w:pStyle w:val="BodyText"/>
        <w:widowControl/>
        <w:kinsoku w:val="0"/>
        <w:overflowPunct w:val="0"/>
        <w:ind w:left="0" w:right="234"/>
        <w:rPr>
          <w:color w:val="000000"/>
        </w:rPr>
      </w:pPr>
      <w:r w:rsidRPr="004F5FB4">
        <w:rPr>
          <w:color w:val="000000"/>
        </w:rPr>
        <w:t>Sie sollten sich das Datum notieren, an dem Sie die Durchstechflasche das erste Mal aus dem Kühlschrank nehmen. Auch sollten Sie sich das Datum notieren, zu dem Sie die Durchstechflasche wegwerfen müssen.</w:t>
      </w:r>
    </w:p>
    <w:p w14:paraId="24D2FC19" w14:textId="77777777" w:rsidR="00A8620A" w:rsidRPr="004F5FB4" w:rsidRDefault="00A8620A" w:rsidP="00982118">
      <w:pPr>
        <w:rPr>
          <w:color w:val="000000"/>
        </w:rPr>
      </w:pPr>
    </w:p>
    <w:p w14:paraId="4D1E16D6" w14:textId="77777777" w:rsidR="00C46587" w:rsidRPr="004F5FB4" w:rsidRDefault="00C46587" w:rsidP="00982118">
      <w:pPr>
        <w:rPr>
          <w:color w:val="000000"/>
        </w:rPr>
      </w:pPr>
      <w:r w:rsidRPr="004F5FB4">
        <w:rPr>
          <w:color w:val="000000"/>
        </w:rPr>
        <w:t xml:space="preserve">Entsorgen Sie Arzneimittel nicht im Abwasser oder Haushaltsabfall. Fragen Sie </w:t>
      </w:r>
      <w:r w:rsidR="000B71DE" w:rsidRPr="004F5FB4">
        <w:rPr>
          <w:color w:val="000000"/>
        </w:rPr>
        <w:t>d</w:t>
      </w:r>
      <w:r w:rsidRPr="004F5FB4">
        <w:rPr>
          <w:color w:val="000000"/>
        </w:rPr>
        <w:t xml:space="preserve">en Arzt </w:t>
      </w:r>
      <w:r w:rsidR="000B71DE" w:rsidRPr="004F5FB4">
        <w:rPr>
          <w:color w:val="000000"/>
        </w:rPr>
        <w:t xml:space="preserve">Ihres Kindes </w:t>
      </w:r>
      <w:r w:rsidRPr="004F5FB4">
        <w:rPr>
          <w:color w:val="000000"/>
        </w:rPr>
        <w:t>oder Apotheker, wie das Arzneimittel zu entsorgen ist, wenn Sie es nicht mehr verwenden. Sie tragen damit zum Schutz der Umwelt bei.</w:t>
      </w:r>
    </w:p>
    <w:p w14:paraId="165EDBB9" w14:textId="77777777" w:rsidR="00C46587" w:rsidRPr="004F5FB4" w:rsidRDefault="00C46587" w:rsidP="00982118">
      <w:pPr>
        <w:rPr>
          <w:color w:val="000000"/>
        </w:rPr>
      </w:pPr>
    </w:p>
    <w:p w14:paraId="502002BA" w14:textId="77777777" w:rsidR="00C46587" w:rsidRPr="004F5FB4" w:rsidRDefault="00C46587" w:rsidP="00982118">
      <w:pPr>
        <w:rPr>
          <w:color w:val="000000"/>
        </w:rPr>
      </w:pPr>
    </w:p>
    <w:p w14:paraId="77156E16" w14:textId="77777777" w:rsidR="00C46587" w:rsidRPr="004F5FB4" w:rsidRDefault="00C46587" w:rsidP="00771BD7">
      <w:pPr>
        <w:keepNext/>
        <w:tabs>
          <w:tab w:val="left" w:pos="562"/>
        </w:tabs>
        <w:rPr>
          <w:b/>
          <w:color w:val="000000"/>
        </w:rPr>
      </w:pPr>
      <w:r w:rsidRPr="004F5FB4">
        <w:rPr>
          <w:b/>
          <w:color w:val="000000"/>
        </w:rPr>
        <w:t>6</w:t>
      </w:r>
      <w:r w:rsidR="004F2EA2" w:rsidRPr="004F5FB4">
        <w:rPr>
          <w:b/>
          <w:color w:val="000000"/>
        </w:rPr>
        <w:t>.</w:t>
      </w:r>
      <w:r w:rsidRPr="004F5FB4">
        <w:rPr>
          <w:b/>
          <w:color w:val="000000"/>
        </w:rPr>
        <w:tab/>
        <w:t>Inhalt der Packung und weitere Informationen</w:t>
      </w:r>
    </w:p>
    <w:p w14:paraId="0C2D3E01" w14:textId="77777777" w:rsidR="00C46587" w:rsidRPr="004F5FB4" w:rsidRDefault="00C46587" w:rsidP="00771BD7">
      <w:pPr>
        <w:keepNext/>
        <w:rPr>
          <w:color w:val="000000"/>
        </w:rPr>
      </w:pPr>
    </w:p>
    <w:p w14:paraId="3EB05127" w14:textId="77777777" w:rsidR="00C46587" w:rsidRPr="004F5FB4" w:rsidRDefault="00C46587" w:rsidP="00771BD7">
      <w:pPr>
        <w:keepNext/>
        <w:rPr>
          <w:b/>
          <w:color w:val="000000"/>
        </w:rPr>
      </w:pPr>
      <w:r w:rsidRPr="004F5FB4">
        <w:rPr>
          <w:b/>
          <w:color w:val="000000"/>
        </w:rPr>
        <w:t>Was Amsparity enthält</w:t>
      </w:r>
    </w:p>
    <w:p w14:paraId="0D262621" w14:textId="77777777" w:rsidR="00C46587" w:rsidRPr="004F5FB4" w:rsidRDefault="00C46587" w:rsidP="00771BD7">
      <w:pPr>
        <w:keepNext/>
        <w:rPr>
          <w:color w:val="000000"/>
        </w:rPr>
      </w:pPr>
    </w:p>
    <w:p w14:paraId="0B91751E" w14:textId="77777777" w:rsidR="00C46587" w:rsidRPr="004F5FB4" w:rsidRDefault="00C46587" w:rsidP="00982118">
      <w:pPr>
        <w:rPr>
          <w:color w:val="000000"/>
        </w:rPr>
      </w:pPr>
      <w:r w:rsidRPr="004F5FB4">
        <w:rPr>
          <w:color w:val="000000"/>
        </w:rPr>
        <w:t>Der Wirkstoff ist: Adalimumab.</w:t>
      </w:r>
    </w:p>
    <w:p w14:paraId="6646AB0E" w14:textId="77777777" w:rsidR="0016465E" w:rsidRPr="004F5FB4" w:rsidRDefault="0016465E" w:rsidP="00982118">
      <w:pPr>
        <w:rPr>
          <w:color w:val="000000"/>
        </w:rPr>
      </w:pPr>
    </w:p>
    <w:p w14:paraId="401D29E7" w14:textId="35370939" w:rsidR="00C46587" w:rsidRPr="004F5FB4" w:rsidRDefault="00C46587" w:rsidP="00982118">
      <w:pPr>
        <w:rPr>
          <w:color w:val="000000"/>
        </w:rPr>
      </w:pPr>
      <w:r w:rsidRPr="004F5FB4">
        <w:rPr>
          <w:color w:val="000000"/>
        </w:rPr>
        <w:t>Die sonstigen Bestandteile sind: L-Histidin, L-Histidin-Hydrochlorid-Monohydrat, Sucrose, EDTA-Dinatrium-Dihydrat, L-Methionin, Polysorbat 80 und Wasser für Injektionszwecke</w:t>
      </w:r>
      <w:r w:rsidR="00530C9E">
        <w:rPr>
          <w:color w:val="000000"/>
        </w:rPr>
        <w:t xml:space="preserve"> (siehe Abschnitt 2 „Amsparity enthält Polysorbat 80“ und „Amsparity enthält Natrium“)</w:t>
      </w:r>
      <w:r w:rsidRPr="004F5FB4">
        <w:rPr>
          <w:color w:val="000000"/>
        </w:rPr>
        <w:t>.</w:t>
      </w:r>
    </w:p>
    <w:p w14:paraId="39DD5963" w14:textId="77777777" w:rsidR="00C46587" w:rsidRPr="004F5FB4" w:rsidRDefault="00C46587" w:rsidP="00982118">
      <w:pPr>
        <w:rPr>
          <w:color w:val="000000"/>
        </w:rPr>
      </w:pPr>
    </w:p>
    <w:p w14:paraId="7BBAF5F7" w14:textId="77777777" w:rsidR="00C46587" w:rsidRPr="004F5FB4" w:rsidRDefault="00C46587" w:rsidP="00982118">
      <w:pPr>
        <w:rPr>
          <w:b/>
          <w:color w:val="000000"/>
        </w:rPr>
      </w:pPr>
      <w:r w:rsidRPr="004F5FB4">
        <w:rPr>
          <w:b/>
          <w:color w:val="000000"/>
        </w:rPr>
        <w:t>Wie die Amsparity-Durchstechflasche aussieht und Inhalt der Packung</w:t>
      </w:r>
    </w:p>
    <w:p w14:paraId="4E7AFE1D" w14:textId="77777777" w:rsidR="00C46587" w:rsidRPr="004F5FB4" w:rsidRDefault="00C46587" w:rsidP="00982118">
      <w:pPr>
        <w:rPr>
          <w:color w:val="000000"/>
        </w:rPr>
      </w:pPr>
    </w:p>
    <w:p w14:paraId="5F738243" w14:textId="77777777" w:rsidR="00C46587" w:rsidRPr="004F5FB4" w:rsidRDefault="006A1144" w:rsidP="00982118">
      <w:pPr>
        <w:rPr>
          <w:color w:val="000000"/>
        </w:rPr>
      </w:pPr>
      <w:r w:rsidRPr="004F5FB4">
        <w:rPr>
          <w:color w:val="000000"/>
        </w:rPr>
        <w:t>Amsparity 40 mg Injektionslösung wird in Durchstechflaschen als sterile Lösung von 40 mg Adalimumab in 0,8 ml Lösung geliefert.</w:t>
      </w:r>
    </w:p>
    <w:p w14:paraId="6D593B79" w14:textId="77777777" w:rsidR="00C46587" w:rsidRPr="004F5FB4" w:rsidRDefault="00C46587" w:rsidP="00982118">
      <w:pPr>
        <w:rPr>
          <w:color w:val="000000"/>
        </w:rPr>
      </w:pPr>
    </w:p>
    <w:p w14:paraId="134B89D2" w14:textId="77777777" w:rsidR="00C46587" w:rsidRPr="004F5FB4" w:rsidRDefault="00C46587" w:rsidP="00982118">
      <w:pPr>
        <w:rPr>
          <w:color w:val="000000"/>
        </w:rPr>
      </w:pPr>
      <w:r w:rsidRPr="004F5FB4">
        <w:rPr>
          <w:color w:val="000000"/>
        </w:rPr>
        <w:lastRenderedPageBreak/>
        <w:t>Die Amsparity-Durchstechflasche ist aus Glas und enthält eine klare, farblose bis sehr hellbraune Adalimumab-Lösung. Eine Packung enthält 2</w:t>
      </w:r>
      <w:r w:rsidR="00DB07BB" w:rsidRPr="004F5FB4">
        <w:rPr>
          <w:color w:val="000000"/>
        </w:rPr>
        <w:t> </w:t>
      </w:r>
      <w:r w:rsidRPr="004F5FB4">
        <w:rPr>
          <w:color w:val="000000"/>
        </w:rPr>
        <w:t>Faltschachteln mit je 1</w:t>
      </w:r>
      <w:r w:rsidR="00DB07BB" w:rsidRPr="004F5FB4">
        <w:rPr>
          <w:color w:val="000000"/>
        </w:rPr>
        <w:t> </w:t>
      </w:r>
      <w:r w:rsidRPr="004F5FB4">
        <w:rPr>
          <w:color w:val="000000"/>
        </w:rPr>
        <w:t>Durchstechflasche, 1</w:t>
      </w:r>
      <w:r w:rsidR="00DB07BB" w:rsidRPr="004F5FB4">
        <w:rPr>
          <w:color w:val="000000"/>
        </w:rPr>
        <w:t> </w:t>
      </w:r>
      <w:r w:rsidRPr="004F5FB4">
        <w:rPr>
          <w:color w:val="000000"/>
        </w:rPr>
        <w:t>leeren, sterilen Injektionsspritze, 1</w:t>
      </w:r>
      <w:r w:rsidR="00DB07BB" w:rsidRPr="004F5FB4">
        <w:rPr>
          <w:color w:val="000000"/>
        </w:rPr>
        <w:t> </w:t>
      </w:r>
      <w:r w:rsidRPr="004F5FB4">
        <w:rPr>
          <w:color w:val="000000"/>
        </w:rPr>
        <w:t>Nadel, 1</w:t>
      </w:r>
      <w:r w:rsidR="00DB07BB" w:rsidRPr="004F5FB4">
        <w:rPr>
          <w:color w:val="000000"/>
        </w:rPr>
        <w:t> </w:t>
      </w:r>
      <w:r w:rsidRPr="004F5FB4">
        <w:rPr>
          <w:color w:val="000000"/>
        </w:rPr>
        <w:t>Adapter für die Durchstechflasche und 2</w:t>
      </w:r>
      <w:r w:rsidR="00DB07BB" w:rsidRPr="004F5FB4">
        <w:rPr>
          <w:color w:val="000000"/>
        </w:rPr>
        <w:t> </w:t>
      </w:r>
      <w:r w:rsidRPr="004F5FB4">
        <w:rPr>
          <w:color w:val="000000"/>
        </w:rPr>
        <w:t>Alkoholtupfer.</w:t>
      </w:r>
    </w:p>
    <w:p w14:paraId="53F2F050" w14:textId="77777777" w:rsidR="00C46587" w:rsidRPr="004F5FB4" w:rsidRDefault="00C46587" w:rsidP="00982118">
      <w:pPr>
        <w:rPr>
          <w:color w:val="000000"/>
        </w:rPr>
      </w:pPr>
    </w:p>
    <w:p w14:paraId="29FA21A7" w14:textId="77777777" w:rsidR="00C46587" w:rsidRPr="004F5FB4" w:rsidRDefault="006A1144" w:rsidP="00982118">
      <w:pPr>
        <w:rPr>
          <w:color w:val="000000"/>
        </w:rPr>
      </w:pPr>
      <w:r w:rsidRPr="004F5FB4">
        <w:rPr>
          <w:color w:val="000000"/>
        </w:rPr>
        <w:t>Amsparity kann als Durchstechflasche, Fertigspritze und/</w:t>
      </w:r>
      <w:r w:rsidR="0062683B" w:rsidRPr="004F5FB4">
        <w:rPr>
          <w:color w:val="000000"/>
        </w:rPr>
        <w:t xml:space="preserve"> </w:t>
      </w:r>
      <w:r w:rsidRPr="004F5FB4">
        <w:rPr>
          <w:color w:val="000000"/>
        </w:rPr>
        <w:t>oder als Fertigpen erhältlich sein.</w:t>
      </w:r>
    </w:p>
    <w:p w14:paraId="7BE9CF6B" w14:textId="77777777" w:rsidR="00C46587" w:rsidRPr="004F5FB4" w:rsidRDefault="00C46587" w:rsidP="00982118">
      <w:pPr>
        <w:rPr>
          <w:color w:val="000000"/>
        </w:rPr>
      </w:pPr>
    </w:p>
    <w:p w14:paraId="53C72E36" w14:textId="77777777" w:rsidR="00C46587" w:rsidRPr="004F5FB4" w:rsidRDefault="00C46587" w:rsidP="00982118">
      <w:pPr>
        <w:rPr>
          <w:b/>
          <w:color w:val="000000"/>
        </w:rPr>
      </w:pPr>
      <w:r w:rsidRPr="004F5FB4">
        <w:rPr>
          <w:b/>
          <w:color w:val="000000"/>
        </w:rPr>
        <w:t xml:space="preserve">Pharmazeutischer Unternehmer </w:t>
      </w:r>
    </w:p>
    <w:p w14:paraId="1B44AEA7" w14:textId="77777777" w:rsidR="00C46587" w:rsidRPr="00DC5AF1" w:rsidRDefault="00C46587" w:rsidP="00982118">
      <w:pPr>
        <w:rPr>
          <w:color w:val="000000"/>
        </w:rPr>
      </w:pPr>
    </w:p>
    <w:p w14:paraId="34ECF8C3" w14:textId="77777777" w:rsidR="0003704A" w:rsidRPr="004F5FB4" w:rsidRDefault="0003704A" w:rsidP="00982118">
      <w:pPr>
        <w:rPr>
          <w:color w:val="000000"/>
        </w:rPr>
      </w:pPr>
      <w:r w:rsidRPr="004F5FB4">
        <w:rPr>
          <w:color w:val="000000"/>
        </w:rPr>
        <w:t>Pfizer Europe MA EEIG</w:t>
      </w:r>
    </w:p>
    <w:p w14:paraId="02101E3F" w14:textId="77777777" w:rsidR="00AA2493" w:rsidRPr="00DC5AF1" w:rsidRDefault="00AA2493" w:rsidP="00982118">
      <w:pPr>
        <w:pStyle w:val="BodyText"/>
        <w:widowControl/>
        <w:kinsoku w:val="0"/>
        <w:overflowPunct w:val="0"/>
        <w:ind w:left="0"/>
        <w:rPr>
          <w:color w:val="000000"/>
          <w:lang w:val="fr-FR"/>
        </w:rPr>
      </w:pPr>
      <w:r w:rsidRPr="00DC5AF1">
        <w:rPr>
          <w:color w:val="000000"/>
          <w:lang w:val="fr-FR"/>
        </w:rPr>
        <w:t>Boulevard de la Plaine 17</w:t>
      </w:r>
    </w:p>
    <w:p w14:paraId="3F64FC5A" w14:textId="77777777" w:rsidR="00AA2493" w:rsidRPr="00DC5AF1" w:rsidRDefault="00AA2493" w:rsidP="00982118">
      <w:pPr>
        <w:pStyle w:val="BodyText"/>
        <w:widowControl/>
        <w:kinsoku w:val="0"/>
        <w:overflowPunct w:val="0"/>
        <w:ind w:left="0"/>
        <w:rPr>
          <w:color w:val="000000"/>
          <w:lang w:val="fr-FR"/>
        </w:rPr>
      </w:pPr>
      <w:r w:rsidRPr="00DC5AF1">
        <w:rPr>
          <w:color w:val="000000"/>
          <w:lang w:val="fr-FR"/>
        </w:rPr>
        <w:t xml:space="preserve">1050 </w:t>
      </w:r>
      <w:proofErr w:type="spellStart"/>
      <w:r w:rsidRPr="00DC5AF1">
        <w:rPr>
          <w:color w:val="000000"/>
          <w:lang w:val="fr-FR"/>
        </w:rPr>
        <w:t>Br</w:t>
      </w:r>
      <w:r w:rsidR="00E7395D" w:rsidRPr="00DC5AF1">
        <w:rPr>
          <w:color w:val="000000"/>
          <w:lang w:val="fr-FR"/>
        </w:rPr>
        <w:t>üssel</w:t>
      </w:r>
      <w:proofErr w:type="spellEnd"/>
    </w:p>
    <w:p w14:paraId="2031DBA5" w14:textId="77777777" w:rsidR="00AA2493" w:rsidRPr="00DC5AF1" w:rsidRDefault="00AA2493" w:rsidP="00982118">
      <w:pPr>
        <w:pStyle w:val="BodyText"/>
        <w:widowControl/>
        <w:kinsoku w:val="0"/>
        <w:overflowPunct w:val="0"/>
        <w:ind w:left="0"/>
        <w:rPr>
          <w:color w:val="000000"/>
          <w:lang w:val="fr-FR"/>
        </w:rPr>
      </w:pPr>
      <w:proofErr w:type="spellStart"/>
      <w:r w:rsidRPr="00DC5AF1">
        <w:rPr>
          <w:color w:val="000000"/>
          <w:lang w:val="fr-FR"/>
        </w:rPr>
        <w:t>Belgien</w:t>
      </w:r>
      <w:proofErr w:type="spellEnd"/>
    </w:p>
    <w:p w14:paraId="33C41658" w14:textId="77777777" w:rsidR="00C46587" w:rsidRPr="00DC5AF1" w:rsidRDefault="00C46587" w:rsidP="00982118">
      <w:pPr>
        <w:rPr>
          <w:color w:val="000000"/>
          <w:lang w:val="fr-FR"/>
        </w:rPr>
      </w:pPr>
    </w:p>
    <w:p w14:paraId="0499F9CD" w14:textId="77777777" w:rsidR="00C46587" w:rsidRPr="004F5FB4" w:rsidRDefault="00C46587" w:rsidP="00982118">
      <w:pPr>
        <w:rPr>
          <w:b/>
          <w:color w:val="000000"/>
        </w:rPr>
      </w:pPr>
      <w:r w:rsidRPr="004F5FB4">
        <w:rPr>
          <w:b/>
          <w:color w:val="000000"/>
        </w:rPr>
        <w:t xml:space="preserve">Hersteller </w:t>
      </w:r>
    </w:p>
    <w:p w14:paraId="2210DA0F" w14:textId="77777777" w:rsidR="00C46587" w:rsidRPr="004F5FB4" w:rsidRDefault="00C46587" w:rsidP="00982118">
      <w:pPr>
        <w:rPr>
          <w:color w:val="000000"/>
        </w:rPr>
      </w:pPr>
    </w:p>
    <w:p w14:paraId="7B8A27D8" w14:textId="2BC7245E" w:rsidR="00AB5164" w:rsidRPr="004F5FB4" w:rsidRDefault="00AB5164" w:rsidP="00982118">
      <w:pPr>
        <w:pStyle w:val="BodyText"/>
        <w:keepNext/>
        <w:widowControl/>
        <w:kinsoku w:val="0"/>
        <w:overflowPunct w:val="0"/>
        <w:ind w:left="0"/>
        <w:rPr>
          <w:color w:val="000000"/>
        </w:rPr>
      </w:pPr>
      <w:r w:rsidRPr="004F5FB4">
        <w:rPr>
          <w:color w:val="000000"/>
        </w:rPr>
        <w:t>Pfizer Service Company BV</w:t>
      </w:r>
    </w:p>
    <w:p w14:paraId="0EA9E1D2" w14:textId="77777777" w:rsidR="00EC03BF" w:rsidRPr="00956704" w:rsidRDefault="00EC03BF" w:rsidP="00EC03BF">
      <w:pPr>
        <w:rPr>
          <w:ins w:id="25" w:author="Author" w:date="2025-06-12T14:11:00Z" w16du:dateUtc="2025-06-12T13:11:00Z"/>
          <w:lang w:val="fr-FR"/>
        </w:rPr>
      </w:pPr>
      <w:proofErr w:type="spellStart"/>
      <w:ins w:id="26" w:author="Author" w:date="2025-06-12T14:11:00Z" w16du:dateUtc="2025-06-12T13:11:00Z">
        <w:r w:rsidRPr="00956704">
          <w:rPr>
            <w:lang w:val="fr-FR"/>
          </w:rPr>
          <w:t>Hermeslaan</w:t>
        </w:r>
        <w:proofErr w:type="spellEnd"/>
        <w:r w:rsidRPr="00956704">
          <w:rPr>
            <w:lang w:val="fr-FR"/>
          </w:rPr>
          <w:t xml:space="preserve"> 11</w:t>
        </w:r>
      </w:ins>
    </w:p>
    <w:p w14:paraId="7E2784B9" w14:textId="68CCE0BC" w:rsidR="00AB5164" w:rsidRPr="004F5FB4" w:rsidDel="00EC03BF" w:rsidRDefault="00EC03BF" w:rsidP="00982118">
      <w:pPr>
        <w:pStyle w:val="BodyText"/>
        <w:keepNext/>
        <w:widowControl/>
        <w:kinsoku w:val="0"/>
        <w:overflowPunct w:val="0"/>
        <w:ind w:left="0"/>
        <w:rPr>
          <w:del w:id="27" w:author="Author" w:date="2025-06-12T14:11:00Z" w16du:dateUtc="2025-06-12T13:11:00Z"/>
          <w:color w:val="000000"/>
        </w:rPr>
      </w:pPr>
      <w:ins w:id="28" w:author="Author" w:date="2025-06-12T14:11:00Z" w16du:dateUtc="2025-06-12T13:11:00Z">
        <w:r>
          <w:rPr>
            <w:color w:val="000000"/>
          </w:rPr>
          <w:t xml:space="preserve">1932 </w:t>
        </w:r>
      </w:ins>
      <w:del w:id="29" w:author="Author" w:date="2025-06-12T14:11:00Z" w16du:dateUtc="2025-06-12T13:11:00Z">
        <w:r w:rsidR="00AB5164" w:rsidRPr="004F5FB4" w:rsidDel="00EC03BF">
          <w:rPr>
            <w:color w:val="000000"/>
          </w:rPr>
          <w:delText>Hoge Wei 10</w:delText>
        </w:r>
      </w:del>
    </w:p>
    <w:p w14:paraId="1E26172C" w14:textId="17211122" w:rsidR="00EC03BF" w:rsidRPr="004F5FB4" w:rsidRDefault="00AB5164" w:rsidP="00982118">
      <w:pPr>
        <w:pStyle w:val="BodyText"/>
        <w:keepNext/>
        <w:widowControl/>
        <w:kinsoku w:val="0"/>
        <w:overflowPunct w:val="0"/>
        <w:ind w:left="0"/>
        <w:rPr>
          <w:color w:val="000000"/>
        </w:rPr>
      </w:pPr>
      <w:r w:rsidRPr="004F5FB4">
        <w:rPr>
          <w:color w:val="000000"/>
        </w:rPr>
        <w:t>Zaventem</w:t>
      </w:r>
      <w:del w:id="30" w:author="Author" w:date="2025-06-12T14:11:00Z" w16du:dateUtc="2025-06-12T13:11:00Z">
        <w:r w:rsidRPr="004F5FB4" w:rsidDel="00EC03BF">
          <w:rPr>
            <w:color w:val="000000"/>
          </w:rPr>
          <w:delText xml:space="preserve"> 1930</w:delText>
        </w:r>
      </w:del>
    </w:p>
    <w:p w14:paraId="38B33415" w14:textId="77777777" w:rsidR="00AB5164" w:rsidRPr="004F5FB4" w:rsidRDefault="00AB5164" w:rsidP="00982118">
      <w:pPr>
        <w:pStyle w:val="BodyText"/>
        <w:keepNext/>
        <w:widowControl/>
        <w:kinsoku w:val="0"/>
        <w:overflowPunct w:val="0"/>
        <w:ind w:left="0"/>
        <w:rPr>
          <w:color w:val="000000"/>
        </w:rPr>
      </w:pPr>
      <w:r w:rsidRPr="004F5FB4">
        <w:rPr>
          <w:color w:val="000000"/>
        </w:rPr>
        <w:t>Belgien</w:t>
      </w:r>
    </w:p>
    <w:p w14:paraId="4DE1E856" w14:textId="77777777" w:rsidR="00C46587" w:rsidRPr="004F5FB4" w:rsidRDefault="00C46587" w:rsidP="00982118">
      <w:pPr>
        <w:rPr>
          <w:color w:val="000000"/>
        </w:rPr>
      </w:pPr>
    </w:p>
    <w:p w14:paraId="6E9B1BDB" w14:textId="77777777" w:rsidR="00C46587" w:rsidRPr="004F5FB4" w:rsidRDefault="00C46587" w:rsidP="00982118">
      <w:pPr>
        <w:rPr>
          <w:color w:val="000000"/>
        </w:rPr>
      </w:pPr>
      <w:r w:rsidRPr="004F5FB4">
        <w:rPr>
          <w:color w:val="000000"/>
        </w:rPr>
        <w:t xml:space="preserve">Falls Sie weitere Informationen über </w:t>
      </w:r>
      <w:r w:rsidR="000E7C79" w:rsidRPr="004F5FB4">
        <w:rPr>
          <w:color w:val="000000"/>
        </w:rPr>
        <w:t>das</w:t>
      </w:r>
      <w:r w:rsidRPr="004F5FB4">
        <w:rPr>
          <w:color w:val="000000"/>
        </w:rPr>
        <w:t xml:space="preserve"> Arzneimittel wünschen, setzen Sie sich bitte mit dem örtlichen Vertreter des pharmazeutischen Unternehmers in Verbindung: </w:t>
      </w:r>
    </w:p>
    <w:p w14:paraId="4F88A0FC" w14:textId="77777777" w:rsidR="00C46587" w:rsidRPr="004F5FB4" w:rsidRDefault="00C46587" w:rsidP="00982118">
      <w:pPr>
        <w:rPr>
          <w:color w:val="000000"/>
        </w:rPr>
      </w:pPr>
    </w:p>
    <w:tbl>
      <w:tblPr>
        <w:tblW w:w="5000" w:type="pct"/>
        <w:tblCellMar>
          <w:left w:w="0" w:type="dxa"/>
          <w:right w:w="0" w:type="dxa"/>
        </w:tblCellMar>
        <w:tblLook w:val="04A0" w:firstRow="1" w:lastRow="0" w:firstColumn="1" w:lastColumn="0" w:noHBand="0" w:noVBand="1"/>
      </w:tblPr>
      <w:tblGrid>
        <w:gridCol w:w="4220"/>
        <w:gridCol w:w="4855"/>
      </w:tblGrid>
      <w:tr w:rsidR="00530C9E" w:rsidRPr="000E0085" w14:paraId="2CD00021" w14:textId="77777777" w:rsidTr="00443BC7">
        <w:trPr>
          <w:cantSplit/>
        </w:trPr>
        <w:tc>
          <w:tcPr>
            <w:tcW w:w="4224" w:type="dxa"/>
            <w:tcMar>
              <w:top w:w="0" w:type="dxa"/>
              <w:left w:w="108" w:type="dxa"/>
              <w:bottom w:w="0" w:type="dxa"/>
              <w:right w:w="108" w:type="dxa"/>
            </w:tcMar>
            <w:hideMark/>
          </w:tcPr>
          <w:p w14:paraId="124902D7" w14:textId="77777777" w:rsidR="00530C9E" w:rsidRPr="00C05F53" w:rsidRDefault="00530C9E" w:rsidP="00443BC7">
            <w:pPr>
              <w:rPr>
                <w:b/>
                <w:bCs/>
              </w:rPr>
            </w:pPr>
            <w:r w:rsidRPr="00C05F53">
              <w:rPr>
                <w:b/>
                <w:bCs/>
              </w:rPr>
              <w:t>België/Belgique/Belgien</w:t>
            </w:r>
          </w:p>
          <w:p w14:paraId="15FEACA1" w14:textId="77777777" w:rsidR="00530C9E" w:rsidRPr="00C05F53" w:rsidRDefault="00530C9E" w:rsidP="00443BC7">
            <w:pPr>
              <w:rPr>
                <w:b/>
                <w:bCs/>
              </w:rPr>
            </w:pPr>
            <w:r w:rsidRPr="00C05F53">
              <w:rPr>
                <w:b/>
                <w:bCs/>
              </w:rPr>
              <w:t>Luxembourg/Luxemburg</w:t>
            </w:r>
          </w:p>
          <w:p w14:paraId="66314AA4" w14:textId="77777777" w:rsidR="00530C9E" w:rsidRPr="00C05F53" w:rsidRDefault="00530C9E" w:rsidP="00443BC7">
            <w:r w:rsidRPr="00C05F53">
              <w:t>Pfizer NV/SA</w:t>
            </w:r>
          </w:p>
          <w:p w14:paraId="0C097197" w14:textId="77777777" w:rsidR="00530C9E" w:rsidRPr="000E0085" w:rsidRDefault="00530C9E" w:rsidP="00443BC7">
            <w:pPr>
              <w:autoSpaceDE w:val="0"/>
              <w:autoSpaceDN w:val="0"/>
              <w:rPr>
                <w:lang w:val="en-GB"/>
              </w:rPr>
            </w:pPr>
            <w:proofErr w:type="spellStart"/>
            <w:r w:rsidRPr="000E0085">
              <w:rPr>
                <w:lang w:val="en-GB"/>
              </w:rPr>
              <w:t>Tél</w:t>
            </w:r>
            <w:proofErr w:type="spellEnd"/>
            <w:r w:rsidRPr="000E0085">
              <w:rPr>
                <w:lang w:val="en-GB"/>
              </w:rPr>
              <w:t>/Tel: +32 (0)2 554 62 11</w:t>
            </w:r>
            <w:r>
              <w:rPr>
                <w:lang w:val="en-GB"/>
              </w:rPr>
              <w:br/>
            </w:r>
          </w:p>
          <w:p w14:paraId="61575292"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6E078507" w14:textId="77777777" w:rsidR="00530C9E" w:rsidRPr="00444B76" w:rsidRDefault="00530C9E" w:rsidP="00443BC7">
            <w:pPr>
              <w:rPr>
                <w:b/>
                <w:bCs/>
                <w:lang w:val="en-GB"/>
              </w:rPr>
            </w:pPr>
            <w:proofErr w:type="spellStart"/>
            <w:r w:rsidRPr="00444B76">
              <w:rPr>
                <w:b/>
                <w:bCs/>
                <w:lang w:val="en-GB"/>
              </w:rPr>
              <w:t>Kύ</w:t>
            </w:r>
            <w:proofErr w:type="spellEnd"/>
            <w:r w:rsidRPr="00444B76">
              <w:rPr>
                <w:b/>
                <w:bCs/>
                <w:lang w:val="en-GB"/>
              </w:rPr>
              <w:t>προς</w:t>
            </w:r>
          </w:p>
          <w:p w14:paraId="31873D27" w14:textId="77777777" w:rsidR="00530C9E" w:rsidRPr="00444B76" w:rsidRDefault="00530C9E" w:rsidP="00443BC7">
            <w:pPr>
              <w:rPr>
                <w:lang w:val="en-GB"/>
              </w:rPr>
            </w:pPr>
            <w:r w:rsidRPr="00444B76">
              <w:rPr>
                <w:lang w:val="en-GB"/>
              </w:rPr>
              <w:t>PFIZER EΛΛAΣ A.E. (CYPRUS BRANCH)</w:t>
            </w:r>
          </w:p>
          <w:p w14:paraId="2C41D251" w14:textId="77777777" w:rsidR="00530C9E" w:rsidRPr="00444B76" w:rsidRDefault="00530C9E" w:rsidP="00443BC7">
            <w:pPr>
              <w:rPr>
                <w:lang w:val="en-GB"/>
              </w:rPr>
            </w:pPr>
            <w:proofErr w:type="spellStart"/>
            <w:r w:rsidRPr="00444B76">
              <w:rPr>
                <w:lang w:val="en-GB"/>
              </w:rPr>
              <w:t>Τηλ</w:t>
            </w:r>
            <w:proofErr w:type="spellEnd"/>
            <w:r w:rsidRPr="00444B76">
              <w:rPr>
                <w:lang w:val="en-GB"/>
              </w:rPr>
              <w:t>: +357 22 817690</w:t>
            </w:r>
          </w:p>
          <w:p w14:paraId="742E3C66" w14:textId="77777777" w:rsidR="00530C9E" w:rsidRPr="00444B76" w:rsidRDefault="00530C9E" w:rsidP="00443BC7">
            <w:pPr>
              <w:autoSpaceDE w:val="0"/>
              <w:autoSpaceDN w:val="0"/>
              <w:rPr>
                <w:lang w:val="en-GB"/>
              </w:rPr>
            </w:pPr>
          </w:p>
        </w:tc>
      </w:tr>
      <w:tr w:rsidR="00530C9E" w:rsidRPr="000E0085" w14:paraId="41EE6D81" w14:textId="77777777" w:rsidTr="00443BC7">
        <w:trPr>
          <w:cantSplit/>
        </w:trPr>
        <w:tc>
          <w:tcPr>
            <w:tcW w:w="4224" w:type="dxa"/>
            <w:tcMar>
              <w:top w:w="0" w:type="dxa"/>
              <w:left w:w="108" w:type="dxa"/>
              <w:bottom w:w="0" w:type="dxa"/>
              <w:right w:w="108" w:type="dxa"/>
            </w:tcMar>
          </w:tcPr>
          <w:p w14:paraId="42A1BB32" w14:textId="77777777" w:rsidR="00530C9E" w:rsidRPr="00C05F53" w:rsidRDefault="00530C9E" w:rsidP="00443BC7">
            <w:pPr>
              <w:rPr>
                <w:b/>
                <w:bCs/>
              </w:rPr>
            </w:pPr>
            <w:r w:rsidRPr="00C05F53">
              <w:rPr>
                <w:b/>
                <w:bCs/>
              </w:rPr>
              <w:t>Česká Republika</w:t>
            </w:r>
          </w:p>
          <w:p w14:paraId="51973266" w14:textId="77777777" w:rsidR="00530C9E" w:rsidRPr="00C05F53" w:rsidRDefault="00530C9E" w:rsidP="00443BC7">
            <w:r w:rsidRPr="00C05F53">
              <w:t>Pfizer, spol.  s r.o.</w:t>
            </w:r>
          </w:p>
          <w:p w14:paraId="3075469A" w14:textId="77777777" w:rsidR="00530C9E" w:rsidRPr="000E0085" w:rsidRDefault="00530C9E" w:rsidP="00443BC7">
            <w:pPr>
              <w:rPr>
                <w:lang w:val="en-GB"/>
              </w:rPr>
            </w:pPr>
            <w:r w:rsidRPr="000E0085">
              <w:rPr>
                <w:lang w:val="en-GB"/>
              </w:rPr>
              <w:t>Tel: +420-283-004-111</w:t>
            </w:r>
          </w:p>
          <w:p w14:paraId="1E2249BB"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24733EDC" w14:textId="77777777" w:rsidR="00530C9E" w:rsidRPr="000E0085" w:rsidRDefault="00530C9E" w:rsidP="00443BC7">
            <w:pPr>
              <w:rPr>
                <w:b/>
                <w:bCs/>
                <w:lang w:val="en-GB"/>
              </w:rPr>
            </w:pPr>
            <w:proofErr w:type="spellStart"/>
            <w:r w:rsidRPr="000E0085">
              <w:rPr>
                <w:b/>
                <w:bCs/>
                <w:lang w:val="en-GB"/>
              </w:rPr>
              <w:t>Magyarország</w:t>
            </w:r>
            <w:proofErr w:type="spellEnd"/>
          </w:p>
          <w:p w14:paraId="743F530A" w14:textId="77777777" w:rsidR="00530C9E" w:rsidRPr="000E0085" w:rsidRDefault="00530C9E" w:rsidP="00443BC7">
            <w:pPr>
              <w:rPr>
                <w:lang w:val="en-GB"/>
              </w:rPr>
            </w:pPr>
            <w:r w:rsidRPr="000E0085">
              <w:rPr>
                <w:lang w:val="en-GB"/>
              </w:rPr>
              <w:t>Pfizer Kft.</w:t>
            </w:r>
          </w:p>
          <w:p w14:paraId="3C618DA9" w14:textId="77777777" w:rsidR="00530C9E" w:rsidRPr="000E0085" w:rsidRDefault="00530C9E" w:rsidP="00443BC7">
            <w:pPr>
              <w:rPr>
                <w:lang w:val="en-GB"/>
              </w:rPr>
            </w:pPr>
            <w:r w:rsidRPr="000E0085">
              <w:rPr>
                <w:lang w:val="en-GB"/>
              </w:rPr>
              <w:t>Tel: +36 1 488 3700</w:t>
            </w:r>
          </w:p>
          <w:p w14:paraId="05845CF2" w14:textId="77777777" w:rsidR="00530C9E" w:rsidRPr="000E0085" w:rsidRDefault="00530C9E" w:rsidP="00443BC7">
            <w:pPr>
              <w:autoSpaceDE w:val="0"/>
              <w:autoSpaceDN w:val="0"/>
              <w:rPr>
                <w:lang w:val="en-GB"/>
              </w:rPr>
            </w:pPr>
          </w:p>
        </w:tc>
      </w:tr>
      <w:tr w:rsidR="00530C9E" w:rsidRPr="00E26A2B" w14:paraId="67BD10AF" w14:textId="77777777" w:rsidTr="00443BC7">
        <w:trPr>
          <w:cantSplit/>
        </w:trPr>
        <w:tc>
          <w:tcPr>
            <w:tcW w:w="4224" w:type="dxa"/>
            <w:tcMar>
              <w:top w:w="0" w:type="dxa"/>
              <w:left w:w="108" w:type="dxa"/>
              <w:bottom w:w="0" w:type="dxa"/>
              <w:right w:w="108" w:type="dxa"/>
            </w:tcMar>
          </w:tcPr>
          <w:p w14:paraId="72EBD38A" w14:textId="77777777" w:rsidR="00530C9E" w:rsidRPr="000E0085" w:rsidRDefault="00530C9E" w:rsidP="00443BC7">
            <w:pPr>
              <w:rPr>
                <w:b/>
                <w:bCs/>
                <w:lang w:val="en-GB"/>
              </w:rPr>
            </w:pPr>
            <w:r w:rsidRPr="000E0085">
              <w:rPr>
                <w:b/>
                <w:bCs/>
                <w:lang w:val="en-GB"/>
              </w:rPr>
              <w:t>Danmark</w:t>
            </w:r>
          </w:p>
          <w:p w14:paraId="5C1F41A1" w14:textId="77777777" w:rsidR="00530C9E" w:rsidRPr="000E0085" w:rsidRDefault="00530C9E" w:rsidP="00443BC7">
            <w:pPr>
              <w:rPr>
                <w:lang w:val="en-GB"/>
              </w:rPr>
            </w:pPr>
            <w:r w:rsidRPr="000E0085">
              <w:rPr>
                <w:lang w:val="en-GB"/>
              </w:rPr>
              <w:t xml:space="preserve">Pfizer </w:t>
            </w:r>
            <w:proofErr w:type="spellStart"/>
            <w:r w:rsidRPr="000E0085">
              <w:rPr>
                <w:lang w:val="en-GB"/>
              </w:rPr>
              <w:t>ApS</w:t>
            </w:r>
            <w:proofErr w:type="spellEnd"/>
          </w:p>
          <w:p w14:paraId="362597ED" w14:textId="77777777" w:rsidR="00530C9E" w:rsidRPr="000E0085" w:rsidRDefault="00530C9E" w:rsidP="00443BC7">
            <w:pPr>
              <w:rPr>
                <w:lang w:val="en-GB"/>
              </w:rPr>
            </w:pPr>
            <w:proofErr w:type="spellStart"/>
            <w:r w:rsidRPr="000E0085">
              <w:rPr>
                <w:lang w:val="en-GB"/>
              </w:rPr>
              <w:t>Tlf</w:t>
            </w:r>
            <w:proofErr w:type="spellEnd"/>
            <w:r>
              <w:rPr>
                <w:lang w:val="en-GB"/>
              </w:rPr>
              <w:t>.</w:t>
            </w:r>
            <w:r w:rsidRPr="000E0085">
              <w:rPr>
                <w:lang w:val="en-GB"/>
              </w:rPr>
              <w:t>: +45 44 201 100</w:t>
            </w:r>
          </w:p>
          <w:p w14:paraId="5B424227"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17F0B0F4" w14:textId="77777777" w:rsidR="00530C9E" w:rsidRPr="00EC03BF" w:rsidRDefault="00530C9E" w:rsidP="00443BC7">
            <w:pPr>
              <w:rPr>
                <w:b/>
                <w:lang w:val="it-IT"/>
              </w:rPr>
            </w:pPr>
            <w:r w:rsidRPr="00EC03BF">
              <w:rPr>
                <w:b/>
                <w:lang w:val="it-IT"/>
              </w:rPr>
              <w:t>Malta</w:t>
            </w:r>
          </w:p>
          <w:p w14:paraId="07C151DE" w14:textId="77777777" w:rsidR="00530C9E" w:rsidRPr="00EC03BF" w:rsidRDefault="00530C9E" w:rsidP="00443BC7">
            <w:pPr>
              <w:rPr>
                <w:lang w:val="it-IT"/>
              </w:rPr>
            </w:pPr>
            <w:r w:rsidRPr="00EC03BF">
              <w:rPr>
                <w:lang w:val="it-IT"/>
              </w:rPr>
              <w:t xml:space="preserve">Vivian Corporation Ltd. </w:t>
            </w:r>
          </w:p>
          <w:p w14:paraId="1E6E613B" w14:textId="77777777" w:rsidR="00530C9E" w:rsidRPr="00EC03BF" w:rsidRDefault="00530C9E" w:rsidP="00443BC7">
            <w:pPr>
              <w:rPr>
                <w:lang w:val="it-IT"/>
              </w:rPr>
            </w:pPr>
            <w:r w:rsidRPr="00EC03BF">
              <w:rPr>
                <w:lang w:val="it-IT"/>
              </w:rPr>
              <w:t>Tel: +356 21344610</w:t>
            </w:r>
          </w:p>
          <w:p w14:paraId="0B94D506" w14:textId="77777777" w:rsidR="00530C9E" w:rsidRPr="00EC03BF" w:rsidRDefault="00530C9E" w:rsidP="00443BC7">
            <w:pPr>
              <w:autoSpaceDE w:val="0"/>
              <w:autoSpaceDN w:val="0"/>
              <w:rPr>
                <w:lang w:val="it-IT"/>
              </w:rPr>
            </w:pPr>
          </w:p>
        </w:tc>
      </w:tr>
      <w:tr w:rsidR="00530C9E" w:rsidRPr="000E0085" w14:paraId="63DD4C7A" w14:textId="77777777" w:rsidTr="00443BC7">
        <w:trPr>
          <w:cantSplit/>
        </w:trPr>
        <w:tc>
          <w:tcPr>
            <w:tcW w:w="4224" w:type="dxa"/>
            <w:tcMar>
              <w:top w:w="0" w:type="dxa"/>
              <w:left w:w="108" w:type="dxa"/>
              <w:bottom w:w="0" w:type="dxa"/>
              <w:right w:w="108" w:type="dxa"/>
            </w:tcMar>
          </w:tcPr>
          <w:p w14:paraId="5B35EAAE" w14:textId="77777777" w:rsidR="00530C9E" w:rsidRPr="00C05F53" w:rsidRDefault="00530C9E" w:rsidP="00443BC7">
            <w:pPr>
              <w:rPr>
                <w:b/>
              </w:rPr>
            </w:pPr>
            <w:r w:rsidRPr="00C05F53">
              <w:rPr>
                <w:b/>
              </w:rPr>
              <w:t>Deutchland</w:t>
            </w:r>
          </w:p>
          <w:p w14:paraId="3E78FEA3" w14:textId="77777777" w:rsidR="00530C9E" w:rsidRPr="00C05F53" w:rsidRDefault="00530C9E" w:rsidP="00443BC7">
            <w:pPr>
              <w:keepNext/>
            </w:pPr>
            <w:r w:rsidRPr="00C05F53">
              <w:t>PFIZER PHARMA GmbH</w:t>
            </w:r>
          </w:p>
          <w:p w14:paraId="42CD7C7F" w14:textId="77777777" w:rsidR="00530C9E" w:rsidRPr="00C05F53" w:rsidRDefault="00530C9E" w:rsidP="00443BC7">
            <w:pPr>
              <w:numPr>
                <w:ilvl w:val="12"/>
                <w:numId w:val="0"/>
              </w:numPr>
            </w:pPr>
            <w:r w:rsidRPr="00C05F53">
              <w:t>Tel: +49 (0)30 550055-51000</w:t>
            </w:r>
          </w:p>
          <w:p w14:paraId="602DE056" w14:textId="77777777" w:rsidR="00530C9E" w:rsidRPr="00C05F53" w:rsidRDefault="00530C9E" w:rsidP="00443BC7">
            <w:pPr>
              <w:autoSpaceDE w:val="0"/>
              <w:autoSpaceDN w:val="0"/>
            </w:pPr>
          </w:p>
        </w:tc>
        <w:tc>
          <w:tcPr>
            <w:tcW w:w="4863" w:type="dxa"/>
            <w:tcMar>
              <w:top w:w="0" w:type="dxa"/>
              <w:left w:w="108" w:type="dxa"/>
              <w:bottom w:w="0" w:type="dxa"/>
              <w:right w:w="108" w:type="dxa"/>
            </w:tcMar>
          </w:tcPr>
          <w:p w14:paraId="5B043907" w14:textId="77777777" w:rsidR="00530C9E" w:rsidRPr="000E0085" w:rsidRDefault="00530C9E" w:rsidP="00443BC7">
            <w:pPr>
              <w:rPr>
                <w:b/>
                <w:bCs/>
                <w:lang w:val="en-GB"/>
              </w:rPr>
            </w:pPr>
            <w:r w:rsidRPr="000E0085">
              <w:rPr>
                <w:b/>
                <w:bCs/>
                <w:lang w:val="en-GB"/>
              </w:rPr>
              <w:t>Nederland</w:t>
            </w:r>
          </w:p>
          <w:p w14:paraId="4C0CB010" w14:textId="77777777" w:rsidR="00530C9E" w:rsidRPr="000E0085" w:rsidRDefault="00530C9E" w:rsidP="00443BC7">
            <w:pPr>
              <w:rPr>
                <w:lang w:val="en-GB"/>
              </w:rPr>
            </w:pPr>
            <w:r w:rsidRPr="000E0085">
              <w:rPr>
                <w:lang w:val="en-GB"/>
              </w:rPr>
              <w:t xml:space="preserve">Pfizer </w:t>
            </w:r>
            <w:proofErr w:type="spellStart"/>
            <w:r w:rsidRPr="000E0085">
              <w:rPr>
                <w:lang w:val="en-GB"/>
              </w:rPr>
              <w:t>bv</w:t>
            </w:r>
            <w:proofErr w:type="spellEnd"/>
          </w:p>
          <w:p w14:paraId="1DCB2C95" w14:textId="77777777" w:rsidR="00530C9E" w:rsidRPr="000E0085" w:rsidRDefault="00530C9E" w:rsidP="00443BC7">
            <w:pPr>
              <w:rPr>
                <w:lang w:val="en-GB"/>
              </w:rPr>
            </w:pPr>
            <w:r w:rsidRPr="000E0085">
              <w:rPr>
                <w:lang w:val="en-GB"/>
              </w:rPr>
              <w:t>Tel: +31 (0)10 406 43 01</w:t>
            </w:r>
          </w:p>
          <w:p w14:paraId="167A10A5" w14:textId="77777777" w:rsidR="00530C9E" w:rsidRPr="000E0085" w:rsidRDefault="00530C9E" w:rsidP="00443BC7">
            <w:pPr>
              <w:autoSpaceDE w:val="0"/>
              <w:autoSpaceDN w:val="0"/>
              <w:rPr>
                <w:lang w:val="en-GB"/>
              </w:rPr>
            </w:pPr>
          </w:p>
        </w:tc>
      </w:tr>
      <w:tr w:rsidR="00530C9E" w:rsidRPr="000E0085" w14:paraId="7DCD58D8" w14:textId="77777777" w:rsidTr="00443BC7">
        <w:trPr>
          <w:cantSplit/>
        </w:trPr>
        <w:tc>
          <w:tcPr>
            <w:tcW w:w="4224" w:type="dxa"/>
            <w:tcMar>
              <w:top w:w="0" w:type="dxa"/>
              <w:left w:w="108" w:type="dxa"/>
              <w:bottom w:w="0" w:type="dxa"/>
              <w:right w:w="108" w:type="dxa"/>
            </w:tcMar>
          </w:tcPr>
          <w:p w14:paraId="3BCBC98D" w14:textId="77777777" w:rsidR="00530C9E" w:rsidRPr="00530C9E" w:rsidRDefault="00530C9E" w:rsidP="00443BC7">
            <w:pPr>
              <w:rPr>
                <w:b/>
                <w:bCs/>
              </w:rPr>
            </w:pPr>
            <w:proofErr w:type="spellStart"/>
            <w:r w:rsidRPr="000E0085">
              <w:rPr>
                <w:b/>
                <w:bCs/>
                <w:lang w:val="en-GB"/>
              </w:rPr>
              <w:t>България</w:t>
            </w:r>
            <w:proofErr w:type="spellEnd"/>
          </w:p>
          <w:p w14:paraId="13FFE8E9" w14:textId="77777777" w:rsidR="00530C9E" w:rsidRPr="00530C9E" w:rsidRDefault="00530C9E" w:rsidP="00443BC7">
            <w:proofErr w:type="spellStart"/>
            <w:r w:rsidRPr="000E0085">
              <w:rPr>
                <w:lang w:val="en-GB"/>
              </w:rPr>
              <w:t>Пфайзер</w:t>
            </w:r>
            <w:proofErr w:type="spellEnd"/>
            <w:r w:rsidRPr="00530C9E">
              <w:t xml:space="preserve"> </w:t>
            </w:r>
            <w:proofErr w:type="spellStart"/>
            <w:r w:rsidRPr="000E0085">
              <w:rPr>
                <w:lang w:val="en-GB"/>
              </w:rPr>
              <w:t>Люксембург</w:t>
            </w:r>
            <w:proofErr w:type="spellEnd"/>
            <w:r w:rsidRPr="00530C9E">
              <w:t xml:space="preserve"> </w:t>
            </w:r>
            <w:r w:rsidRPr="000E0085">
              <w:rPr>
                <w:lang w:val="en-GB"/>
              </w:rPr>
              <w:t>САРЛ</w:t>
            </w:r>
            <w:r w:rsidRPr="00530C9E">
              <w:t>,</w:t>
            </w:r>
          </w:p>
          <w:p w14:paraId="5B96FF72" w14:textId="77777777" w:rsidR="00530C9E" w:rsidRPr="00530C9E" w:rsidRDefault="00530C9E" w:rsidP="00443BC7">
            <w:proofErr w:type="spellStart"/>
            <w:r w:rsidRPr="000E0085">
              <w:rPr>
                <w:lang w:val="en-GB"/>
              </w:rPr>
              <w:t>Клон</w:t>
            </w:r>
            <w:proofErr w:type="spellEnd"/>
            <w:r w:rsidRPr="00530C9E">
              <w:t xml:space="preserve"> </w:t>
            </w:r>
            <w:proofErr w:type="spellStart"/>
            <w:r w:rsidRPr="000E0085">
              <w:rPr>
                <w:lang w:val="en-GB"/>
              </w:rPr>
              <w:t>България</w:t>
            </w:r>
            <w:proofErr w:type="spellEnd"/>
          </w:p>
          <w:p w14:paraId="4AD29939" w14:textId="77777777" w:rsidR="00530C9E" w:rsidRPr="000E0085" w:rsidRDefault="00530C9E" w:rsidP="00443BC7">
            <w:pPr>
              <w:rPr>
                <w:lang w:val="en-GB"/>
              </w:rPr>
            </w:pPr>
            <w:proofErr w:type="spellStart"/>
            <w:r w:rsidRPr="000E0085">
              <w:rPr>
                <w:lang w:val="en-GB"/>
              </w:rPr>
              <w:t>Teл</w:t>
            </w:r>
            <w:proofErr w:type="spellEnd"/>
            <w:r w:rsidRPr="000E0085">
              <w:rPr>
                <w:lang w:val="en-GB"/>
              </w:rPr>
              <w:t>: +359 2 970 4333</w:t>
            </w:r>
          </w:p>
          <w:p w14:paraId="0C4CED43"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7E36D6BD" w14:textId="77777777" w:rsidR="00530C9E" w:rsidRPr="000E0085" w:rsidRDefault="00530C9E" w:rsidP="00443BC7">
            <w:pPr>
              <w:rPr>
                <w:b/>
                <w:bCs/>
                <w:lang w:val="en-GB"/>
              </w:rPr>
            </w:pPr>
            <w:r w:rsidRPr="000E0085">
              <w:rPr>
                <w:b/>
                <w:bCs/>
                <w:lang w:val="en-GB"/>
              </w:rPr>
              <w:t>Norge</w:t>
            </w:r>
          </w:p>
          <w:p w14:paraId="18D901BB" w14:textId="77777777" w:rsidR="00530C9E" w:rsidRPr="000E0085" w:rsidRDefault="00530C9E" w:rsidP="00443BC7">
            <w:pPr>
              <w:rPr>
                <w:lang w:val="en-GB"/>
              </w:rPr>
            </w:pPr>
            <w:r w:rsidRPr="000E0085">
              <w:rPr>
                <w:lang w:val="en-GB"/>
              </w:rPr>
              <w:t>Pfizer AS</w:t>
            </w:r>
          </w:p>
          <w:p w14:paraId="58241A28" w14:textId="77777777" w:rsidR="00530C9E" w:rsidRPr="000E0085" w:rsidRDefault="00530C9E" w:rsidP="00443BC7">
            <w:pPr>
              <w:rPr>
                <w:lang w:val="en-GB"/>
              </w:rPr>
            </w:pPr>
            <w:proofErr w:type="spellStart"/>
            <w:r w:rsidRPr="000E0085">
              <w:rPr>
                <w:lang w:val="en-GB"/>
              </w:rPr>
              <w:t>Tlf</w:t>
            </w:r>
            <w:proofErr w:type="spellEnd"/>
            <w:r w:rsidRPr="000E0085">
              <w:rPr>
                <w:lang w:val="en-GB"/>
              </w:rPr>
              <w:t>: +47 67 52 61 00</w:t>
            </w:r>
          </w:p>
          <w:p w14:paraId="7C0C4559" w14:textId="77777777" w:rsidR="00530C9E" w:rsidRPr="000E0085" w:rsidRDefault="00530C9E" w:rsidP="00443BC7">
            <w:pPr>
              <w:autoSpaceDE w:val="0"/>
              <w:autoSpaceDN w:val="0"/>
              <w:rPr>
                <w:lang w:val="en-GB"/>
              </w:rPr>
            </w:pPr>
          </w:p>
        </w:tc>
      </w:tr>
      <w:tr w:rsidR="00530C9E" w:rsidRPr="000E0085" w14:paraId="214B17A2" w14:textId="77777777" w:rsidTr="00443BC7">
        <w:trPr>
          <w:cantSplit/>
        </w:trPr>
        <w:tc>
          <w:tcPr>
            <w:tcW w:w="4224" w:type="dxa"/>
            <w:tcMar>
              <w:top w:w="0" w:type="dxa"/>
              <w:left w:w="108" w:type="dxa"/>
              <w:bottom w:w="0" w:type="dxa"/>
              <w:right w:w="108" w:type="dxa"/>
            </w:tcMar>
          </w:tcPr>
          <w:p w14:paraId="49D65DDD" w14:textId="77777777" w:rsidR="00530C9E" w:rsidRPr="00EC03BF" w:rsidRDefault="00530C9E" w:rsidP="00443BC7">
            <w:pPr>
              <w:rPr>
                <w:b/>
                <w:bCs/>
                <w:lang w:val="pt-BR"/>
              </w:rPr>
            </w:pPr>
            <w:r w:rsidRPr="00EC03BF">
              <w:rPr>
                <w:b/>
                <w:bCs/>
                <w:lang w:val="pt-BR"/>
              </w:rPr>
              <w:t>Eesti</w:t>
            </w:r>
          </w:p>
          <w:p w14:paraId="3FDBC9D1" w14:textId="77777777" w:rsidR="00530C9E" w:rsidRPr="00EC03BF" w:rsidRDefault="00530C9E" w:rsidP="00443BC7">
            <w:pPr>
              <w:rPr>
                <w:lang w:val="pt-BR"/>
              </w:rPr>
            </w:pPr>
            <w:r w:rsidRPr="00EC03BF">
              <w:rPr>
                <w:lang w:val="pt-BR"/>
              </w:rPr>
              <w:t>Pfizer Luxembourg SARL Eesti filiaal</w:t>
            </w:r>
          </w:p>
          <w:p w14:paraId="6DDA2B4B" w14:textId="77777777" w:rsidR="00530C9E" w:rsidRPr="000E0085" w:rsidRDefault="00530C9E" w:rsidP="00443BC7">
            <w:pPr>
              <w:rPr>
                <w:lang w:val="en-GB"/>
              </w:rPr>
            </w:pPr>
            <w:r w:rsidRPr="000E0085">
              <w:rPr>
                <w:lang w:val="en-GB"/>
              </w:rPr>
              <w:t>Tel: +372 666 7500</w:t>
            </w:r>
          </w:p>
          <w:p w14:paraId="65BBCA50"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704D58D1" w14:textId="77777777" w:rsidR="00530C9E" w:rsidRPr="00C05F53" w:rsidRDefault="00530C9E" w:rsidP="00443BC7">
            <w:pPr>
              <w:rPr>
                <w:b/>
                <w:bCs/>
              </w:rPr>
            </w:pPr>
            <w:r w:rsidRPr="00C05F53">
              <w:rPr>
                <w:b/>
                <w:bCs/>
              </w:rPr>
              <w:t>Österreich</w:t>
            </w:r>
          </w:p>
          <w:p w14:paraId="6255507F" w14:textId="77777777" w:rsidR="00530C9E" w:rsidRPr="00C05F53" w:rsidRDefault="00530C9E" w:rsidP="00443BC7">
            <w:r w:rsidRPr="00C05F53">
              <w:t>Pfizer Corporation Austria Ges.m.b.H.</w:t>
            </w:r>
          </w:p>
          <w:p w14:paraId="7DFDFAAA" w14:textId="77777777" w:rsidR="00530C9E" w:rsidRPr="000E0085" w:rsidRDefault="00530C9E" w:rsidP="00443BC7">
            <w:pPr>
              <w:rPr>
                <w:lang w:val="en-GB"/>
              </w:rPr>
            </w:pPr>
            <w:r w:rsidRPr="000E0085">
              <w:rPr>
                <w:lang w:val="en-GB"/>
              </w:rPr>
              <w:t>Tel: +43 (0)1 521 15-0</w:t>
            </w:r>
          </w:p>
          <w:p w14:paraId="1386467E" w14:textId="77777777" w:rsidR="00530C9E" w:rsidRPr="000E0085" w:rsidRDefault="00530C9E" w:rsidP="00443BC7">
            <w:pPr>
              <w:autoSpaceDE w:val="0"/>
              <w:autoSpaceDN w:val="0"/>
              <w:rPr>
                <w:lang w:val="en-GB"/>
              </w:rPr>
            </w:pPr>
          </w:p>
        </w:tc>
      </w:tr>
      <w:tr w:rsidR="00530C9E" w:rsidRPr="000E0085" w14:paraId="66F62C3C" w14:textId="77777777" w:rsidTr="00443BC7">
        <w:trPr>
          <w:cantSplit/>
        </w:trPr>
        <w:tc>
          <w:tcPr>
            <w:tcW w:w="4224" w:type="dxa"/>
            <w:tcMar>
              <w:top w:w="0" w:type="dxa"/>
              <w:left w:w="108" w:type="dxa"/>
              <w:bottom w:w="0" w:type="dxa"/>
              <w:right w:w="108" w:type="dxa"/>
            </w:tcMar>
          </w:tcPr>
          <w:p w14:paraId="58D65CBE" w14:textId="77777777" w:rsidR="00530C9E" w:rsidRPr="00530C9E" w:rsidRDefault="00530C9E" w:rsidP="00443BC7">
            <w:pPr>
              <w:rPr>
                <w:b/>
                <w:bCs/>
              </w:rPr>
            </w:pPr>
            <w:proofErr w:type="spellStart"/>
            <w:r w:rsidRPr="00F94824">
              <w:rPr>
                <w:b/>
                <w:bCs/>
                <w:lang w:val="en-GB"/>
              </w:rPr>
              <w:t>Ελλάδ</w:t>
            </w:r>
            <w:proofErr w:type="spellEnd"/>
            <w:r w:rsidRPr="00F94824">
              <w:rPr>
                <w:b/>
                <w:bCs/>
                <w:lang w:val="en-GB"/>
              </w:rPr>
              <w:t>α</w:t>
            </w:r>
          </w:p>
          <w:p w14:paraId="32B0DC63" w14:textId="77777777" w:rsidR="00530C9E" w:rsidRPr="00530C9E" w:rsidRDefault="00530C9E" w:rsidP="00443BC7">
            <w:r w:rsidRPr="00530C9E">
              <w:t>PFIZER E</w:t>
            </w:r>
            <w:r w:rsidRPr="00F94824">
              <w:rPr>
                <w:lang w:val="en-GB"/>
              </w:rPr>
              <w:t>ΛΛ</w:t>
            </w:r>
            <w:r w:rsidRPr="00530C9E">
              <w:t>A</w:t>
            </w:r>
            <w:r w:rsidRPr="00F94824">
              <w:rPr>
                <w:lang w:val="en-GB"/>
              </w:rPr>
              <w:t>Σ</w:t>
            </w:r>
            <w:r w:rsidRPr="00530C9E">
              <w:t xml:space="preserve"> A.E.</w:t>
            </w:r>
          </w:p>
          <w:p w14:paraId="46038301" w14:textId="77777777" w:rsidR="00530C9E" w:rsidRPr="00F94824" w:rsidRDefault="00530C9E" w:rsidP="00443BC7">
            <w:pPr>
              <w:rPr>
                <w:lang w:val="en-GB"/>
              </w:rPr>
            </w:pPr>
            <w:proofErr w:type="spellStart"/>
            <w:r w:rsidRPr="00F94824">
              <w:rPr>
                <w:lang w:val="en-GB"/>
              </w:rPr>
              <w:t>Τηλ</w:t>
            </w:r>
            <w:proofErr w:type="spellEnd"/>
            <w:r w:rsidRPr="00F94824">
              <w:rPr>
                <w:lang w:val="en-GB"/>
              </w:rPr>
              <w:t>.: +30 210 67 85 800</w:t>
            </w:r>
          </w:p>
          <w:p w14:paraId="0FC58A51" w14:textId="77777777" w:rsidR="00530C9E" w:rsidRPr="00F94824" w:rsidRDefault="00530C9E" w:rsidP="00443BC7">
            <w:pPr>
              <w:autoSpaceDE w:val="0"/>
              <w:autoSpaceDN w:val="0"/>
              <w:rPr>
                <w:lang w:val="en-GB"/>
              </w:rPr>
            </w:pPr>
          </w:p>
        </w:tc>
        <w:tc>
          <w:tcPr>
            <w:tcW w:w="4863" w:type="dxa"/>
            <w:tcMar>
              <w:top w:w="0" w:type="dxa"/>
              <w:left w:w="108" w:type="dxa"/>
              <w:bottom w:w="0" w:type="dxa"/>
              <w:right w:w="108" w:type="dxa"/>
            </w:tcMar>
          </w:tcPr>
          <w:p w14:paraId="28580DCF" w14:textId="77777777" w:rsidR="00530C9E" w:rsidRPr="00EC03BF" w:rsidRDefault="00530C9E" w:rsidP="00443BC7">
            <w:pPr>
              <w:rPr>
                <w:b/>
              </w:rPr>
            </w:pPr>
            <w:r w:rsidRPr="00EC03BF">
              <w:rPr>
                <w:b/>
              </w:rPr>
              <w:t>Polska</w:t>
            </w:r>
          </w:p>
          <w:p w14:paraId="55168382" w14:textId="77777777" w:rsidR="00530C9E" w:rsidRPr="00EC03BF" w:rsidRDefault="00530C9E" w:rsidP="00443BC7">
            <w:r w:rsidRPr="00EC03BF">
              <w:t>Pfizer Polska Sp. z o.o.</w:t>
            </w:r>
          </w:p>
          <w:p w14:paraId="5BBFECBD" w14:textId="77777777" w:rsidR="00530C9E" w:rsidRPr="000E0085" w:rsidRDefault="00530C9E" w:rsidP="00443BC7">
            <w:pPr>
              <w:rPr>
                <w:lang w:val="en-GB"/>
              </w:rPr>
            </w:pPr>
            <w:r w:rsidRPr="000E0085">
              <w:rPr>
                <w:lang w:val="en-GB"/>
              </w:rPr>
              <w:t>Tel.: +48 22 335 61 00</w:t>
            </w:r>
          </w:p>
          <w:p w14:paraId="6CE9F8AE" w14:textId="77777777" w:rsidR="00530C9E" w:rsidRPr="000E0085" w:rsidRDefault="00530C9E" w:rsidP="00443BC7">
            <w:pPr>
              <w:autoSpaceDE w:val="0"/>
              <w:autoSpaceDN w:val="0"/>
              <w:rPr>
                <w:lang w:val="en-GB"/>
              </w:rPr>
            </w:pPr>
          </w:p>
        </w:tc>
      </w:tr>
      <w:tr w:rsidR="00530C9E" w:rsidRPr="00E26A2B" w14:paraId="60520C42" w14:textId="77777777" w:rsidTr="00443BC7">
        <w:trPr>
          <w:cantSplit/>
        </w:trPr>
        <w:tc>
          <w:tcPr>
            <w:tcW w:w="4224" w:type="dxa"/>
            <w:tcMar>
              <w:top w:w="0" w:type="dxa"/>
              <w:left w:w="108" w:type="dxa"/>
              <w:bottom w:w="0" w:type="dxa"/>
              <w:right w:w="108" w:type="dxa"/>
            </w:tcMar>
          </w:tcPr>
          <w:p w14:paraId="0D0BF1E9" w14:textId="77777777" w:rsidR="00530C9E" w:rsidRPr="00C05F53" w:rsidRDefault="00530C9E" w:rsidP="00443BC7">
            <w:pPr>
              <w:rPr>
                <w:b/>
                <w:bCs/>
                <w:lang w:val="es-ES"/>
              </w:rPr>
            </w:pPr>
            <w:r w:rsidRPr="00C05F53">
              <w:rPr>
                <w:b/>
                <w:bCs/>
                <w:lang w:val="es-ES"/>
              </w:rPr>
              <w:lastRenderedPageBreak/>
              <w:t>España</w:t>
            </w:r>
          </w:p>
          <w:p w14:paraId="1E4C31A4" w14:textId="77777777" w:rsidR="00530C9E" w:rsidRPr="00C05F53" w:rsidRDefault="00530C9E" w:rsidP="00443BC7">
            <w:pPr>
              <w:rPr>
                <w:lang w:val="es-ES"/>
              </w:rPr>
            </w:pPr>
            <w:r w:rsidRPr="00C05F53">
              <w:rPr>
                <w:lang w:val="es-ES"/>
              </w:rPr>
              <w:t>Pfizer S.L.</w:t>
            </w:r>
          </w:p>
          <w:p w14:paraId="6C192AAE" w14:textId="77777777" w:rsidR="00530C9E" w:rsidRPr="00C05F53" w:rsidRDefault="00530C9E" w:rsidP="00443BC7">
            <w:pPr>
              <w:rPr>
                <w:lang w:val="es-ES"/>
              </w:rPr>
            </w:pPr>
            <w:r w:rsidRPr="00C05F53">
              <w:rPr>
                <w:lang w:val="es-ES"/>
              </w:rPr>
              <w:t>Tel: +34 91 490 99 00</w:t>
            </w:r>
          </w:p>
          <w:p w14:paraId="1C8747B4" w14:textId="77777777" w:rsidR="00530C9E" w:rsidRPr="00C05F53" w:rsidRDefault="00530C9E" w:rsidP="00443BC7">
            <w:pPr>
              <w:rPr>
                <w:lang w:val="es-ES"/>
              </w:rPr>
            </w:pPr>
          </w:p>
          <w:p w14:paraId="0CD68CDA" w14:textId="77777777" w:rsidR="00530C9E" w:rsidRPr="00C05F53" w:rsidRDefault="00530C9E" w:rsidP="00443BC7">
            <w:pPr>
              <w:autoSpaceDE w:val="0"/>
              <w:autoSpaceDN w:val="0"/>
              <w:rPr>
                <w:lang w:val="es-ES"/>
              </w:rPr>
            </w:pPr>
          </w:p>
        </w:tc>
        <w:tc>
          <w:tcPr>
            <w:tcW w:w="4863" w:type="dxa"/>
            <w:tcMar>
              <w:top w:w="0" w:type="dxa"/>
              <w:left w:w="108" w:type="dxa"/>
              <w:bottom w:w="0" w:type="dxa"/>
              <w:right w:w="108" w:type="dxa"/>
            </w:tcMar>
          </w:tcPr>
          <w:p w14:paraId="1DE62D1D" w14:textId="77777777" w:rsidR="00530C9E" w:rsidRPr="00C05F53" w:rsidRDefault="00530C9E" w:rsidP="00443BC7">
            <w:pPr>
              <w:autoSpaceDE w:val="0"/>
              <w:autoSpaceDN w:val="0"/>
              <w:rPr>
                <w:b/>
                <w:lang w:val="es-ES"/>
              </w:rPr>
            </w:pPr>
            <w:r w:rsidRPr="00C05F53">
              <w:rPr>
                <w:b/>
                <w:lang w:val="es-ES"/>
              </w:rPr>
              <w:t>Portugal</w:t>
            </w:r>
          </w:p>
          <w:p w14:paraId="225D6191" w14:textId="77777777" w:rsidR="00530C9E" w:rsidRPr="00C05F53" w:rsidRDefault="00530C9E" w:rsidP="00443BC7">
            <w:pPr>
              <w:autoSpaceDE w:val="0"/>
              <w:autoSpaceDN w:val="0"/>
              <w:rPr>
                <w:lang w:val="es-ES"/>
              </w:rPr>
            </w:pPr>
            <w:proofErr w:type="spellStart"/>
            <w:r w:rsidRPr="00C05F53">
              <w:rPr>
                <w:lang w:val="es-ES"/>
              </w:rPr>
              <w:t>Laboratórios</w:t>
            </w:r>
            <w:proofErr w:type="spellEnd"/>
            <w:r w:rsidRPr="00C05F53">
              <w:rPr>
                <w:lang w:val="es-ES"/>
              </w:rPr>
              <w:t xml:space="preserve"> Pfizer, Lda.</w:t>
            </w:r>
          </w:p>
          <w:p w14:paraId="7374BBB5" w14:textId="77777777" w:rsidR="00530C9E" w:rsidRPr="00C05F53" w:rsidRDefault="00530C9E" w:rsidP="00443BC7">
            <w:pPr>
              <w:autoSpaceDE w:val="0"/>
              <w:autoSpaceDN w:val="0"/>
              <w:rPr>
                <w:lang w:val="es-ES"/>
              </w:rPr>
            </w:pPr>
            <w:r w:rsidRPr="00C05F53">
              <w:rPr>
                <w:lang w:val="es-ES"/>
              </w:rPr>
              <w:t>Tel: +351 21 423 5500</w:t>
            </w:r>
          </w:p>
        </w:tc>
      </w:tr>
      <w:tr w:rsidR="00530C9E" w:rsidRPr="000E0085" w14:paraId="2E3281E5" w14:textId="77777777" w:rsidTr="00443BC7">
        <w:trPr>
          <w:cantSplit/>
        </w:trPr>
        <w:tc>
          <w:tcPr>
            <w:tcW w:w="4224" w:type="dxa"/>
            <w:tcMar>
              <w:top w:w="0" w:type="dxa"/>
              <w:left w:w="108" w:type="dxa"/>
              <w:bottom w:w="0" w:type="dxa"/>
              <w:right w:w="108" w:type="dxa"/>
            </w:tcMar>
          </w:tcPr>
          <w:p w14:paraId="46AD2368" w14:textId="77777777" w:rsidR="00530C9E" w:rsidRPr="000E0085" w:rsidRDefault="00530C9E" w:rsidP="00443BC7">
            <w:pPr>
              <w:rPr>
                <w:b/>
                <w:bCs/>
                <w:lang w:val="en-GB"/>
              </w:rPr>
            </w:pPr>
            <w:r w:rsidRPr="000E0085">
              <w:rPr>
                <w:b/>
                <w:bCs/>
                <w:lang w:val="en-GB"/>
              </w:rPr>
              <w:t>France</w:t>
            </w:r>
          </w:p>
          <w:p w14:paraId="7B34280A" w14:textId="77777777" w:rsidR="00530C9E" w:rsidRPr="000E0085" w:rsidRDefault="00530C9E" w:rsidP="00443BC7">
            <w:pPr>
              <w:rPr>
                <w:lang w:val="en-GB"/>
              </w:rPr>
            </w:pPr>
            <w:r w:rsidRPr="000E0085">
              <w:rPr>
                <w:lang w:val="en-GB"/>
              </w:rPr>
              <w:t xml:space="preserve">Pfizer </w:t>
            </w:r>
          </w:p>
          <w:p w14:paraId="1AF110FB" w14:textId="77777777" w:rsidR="00530C9E" w:rsidRPr="000E0085" w:rsidRDefault="00530C9E" w:rsidP="00443BC7">
            <w:pPr>
              <w:rPr>
                <w:lang w:val="en-GB"/>
              </w:rPr>
            </w:pPr>
            <w:proofErr w:type="spellStart"/>
            <w:r w:rsidRPr="000E0085">
              <w:rPr>
                <w:lang w:val="en-GB"/>
              </w:rPr>
              <w:t>Tél</w:t>
            </w:r>
            <w:proofErr w:type="spellEnd"/>
            <w:r w:rsidRPr="000E0085">
              <w:rPr>
                <w:lang w:val="en-GB"/>
              </w:rPr>
              <w:t>: +33 (0)1 58 07 34 40</w:t>
            </w:r>
          </w:p>
          <w:p w14:paraId="2D251EB6" w14:textId="77777777" w:rsidR="00530C9E" w:rsidRPr="000E0085" w:rsidRDefault="00530C9E" w:rsidP="00443BC7">
            <w:pPr>
              <w:rPr>
                <w:lang w:val="en-GB"/>
              </w:rPr>
            </w:pPr>
          </w:p>
        </w:tc>
        <w:tc>
          <w:tcPr>
            <w:tcW w:w="4863" w:type="dxa"/>
            <w:tcMar>
              <w:top w:w="0" w:type="dxa"/>
              <w:left w:w="108" w:type="dxa"/>
              <w:bottom w:w="0" w:type="dxa"/>
              <w:right w:w="108" w:type="dxa"/>
            </w:tcMar>
          </w:tcPr>
          <w:p w14:paraId="0418086F" w14:textId="77777777" w:rsidR="00530C9E" w:rsidRPr="00EC03BF" w:rsidRDefault="00530C9E" w:rsidP="00443BC7">
            <w:pPr>
              <w:rPr>
                <w:b/>
                <w:bCs/>
                <w:lang w:val="pt-BR"/>
              </w:rPr>
            </w:pPr>
            <w:r w:rsidRPr="00EC03BF">
              <w:rPr>
                <w:b/>
                <w:bCs/>
                <w:lang w:val="pt-BR"/>
              </w:rPr>
              <w:t>România</w:t>
            </w:r>
          </w:p>
          <w:p w14:paraId="29083569" w14:textId="77777777" w:rsidR="00530C9E" w:rsidRPr="00EC03BF" w:rsidRDefault="00530C9E" w:rsidP="00443BC7">
            <w:pPr>
              <w:rPr>
                <w:lang w:val="pt-BR"/>
              </w:rPr>
            </w:pPr>
            <w:r w:rsidRPr="00EC03BF">
              <w:rPr>
                <w:lang w:val="pt-BR"/>
              </w:rPr>
              <w:t>Pfizer România S.R.L</w:t>
            </w:r>
          </w:p>
          <w:p w14:paraId="3AF5C1A1" w14:textId="77777777" w:rsidR="00530C9E" w:rsidRPr="000E0085" w:rsidRDefault="00530C9E" w:rsidP="00443BC7">
            <w:pPr>
              <w:rPr>
                <w:lang w:val="en-GB"/>
              </w:rPr>
            </w:pPr>
            <w:r w:rsidRPr="000E0085">
              <w:rPr>
                <w:lang w:val="en-GB"/>
              </w:rPr>
              <w:t>Tel: +40 (0) 21 207 28 00</w:t>
            </w:r>
          </w:p>
          <w:p w14:paraId="01121815" w14:textId="77777777" w:rsidR="00530C9E" w:rsidRPr="000E0085" w:rsidRDefault="00530C9E" w:rsidP="00443BC7">
            <w:pPr>
              <w:autoSpaceDE w:val="0"/>
              <w:autoSpaceDN w:val="0"/>
              <w:rPr>
                <w:lang w:val="en-GB"/>
              </w:rPr>
            </w:pPr>
          </w:p>
        </w:tc>
      </w:tr>
      <w:tr w:rsidR="00530C9E" w:rsidRPr="000E0085" w14:paraId="76C24A3A" w14:textId="77777777" w:rsidTr="00443BC7">
        <w:trPr>
          <w:cantSplit/>
        </w:trPr>
        <w:tc>
          <w:tcPr>
            <w:tcW w:w="4224" w:type="dxa"/>
            <w:tcMar>
              <w:top w:w="0" w:type="dxa"/>
              <w:left w:w="108" w:type="dxa"/>
              <w:bottom w:w="0" w:type="dxa"/>
              <w:right w:w="108" w:type="dxa"/>
            </w:tcMar>
          </w:tcPr>
          <w:p w14:paraId="62AE04BC" w14:textId="77777777" w:rsidR="00530C9E" w:rsidRPr="00EC03BF" w:rsidRDefault="00530C9E" w:rsidP="00443BC7">
            <w:pPr>
              <w:rPr>
                <w:b/>
                <w:bCs/>
                <w:lang w:val="pt-BR"/>
              </w:rPr>
            </w:pPr>
            <w:r w:rsidRPr="00EC03BF">
              <w:rPr>
                <w:b/>
                <w:bCs/>
                <w:lang w:val="pt-BR"/>
              </w:rPr>
              <w:t>Hrvatska</w:t>
            </w:r>
          </w:p>
          <w:p w14:paraId="48F87DC5" w14:textId="77777777" w:rsidR="00530C9E" w:rsidRPr="00EC03BF" w:rsidRDefault="00530C9E" w:rsidP="00443BC7">
            <w:pPr>
              <w:rPr>
                <w:lang w:val="pt-BR"/>
              </w:rPr>
            </w:pPr>
            <w:r w:rsidRPr="00EC03BF">
              <w:rPr>
                <w:lang w:val="pt-BR"/>
              </w:rPr>
              <w:t>Pfizer Croatia d.o.o.</w:t>
            </w:r>
          </w:p>
          <w:p w14:paraId="7FFDCC13" w14:textId="77777777" w:rsidR="00530C9E" w:rsidRPr="000E0085" w:rsidRDefault="00530C9E" w:rsidP="00443BC7">
            <w:pPr>
              <w:rPr>
                <w:lang w:val="en-GB"/>
              </w:rPr>
            </w:pPr>
            <w:r w:rsidRPr="000E0085">
              <w:rPr>
                <w:lang w:val="en-GB"/>
              </w:rPr>
              <w:t>Tel: +385 1 3908 777</w:t>
            </w:r>
          </w:p>
          <w:p w14:paraId="468AE91E"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5A1DF33F" w14:textId="77777777" w:rsidR="00530C9E" w:rsidRPr="00EC03BF" w:rsidRDefault="00530C9E" w:rsidP="00443BC7">
            <w:pPr>
              <w:rPr>
                <w:b/>
                <w:bCs/>
                <w:lang w:val="pt-BR"/>
              </w:rPr>
            </w:pPr>
            <w:r w:rsidRPr="00EC03BF">
              <w:rPr>
                <w:b/>
                <w:bCs/>
                <w:lang w:val="pt-BR"/>
              </w:rPr>
              <w:t>Slovenija</w:t>
            </w:r>
          </w:p>
          <w:p w14:paraId="4A099F70" w14:textId="77777777" w:rsidR="00530C9E" w:rsidRPr="00EC03BF" w:rsidRDefault="00530C9E" w:rsidP="00443BC7">
            <w:pPr>
              <w:pStyle w:val="NoSpacing"/>
              <w:rPr>
                <w:rFonts w:ascii="Times New Roman" w:hAnsi="Times New Roman"/>
                <w:lang w:val="pt-BR"/>
              </w:rPr>
            </w:pPr>
            <w:r w:rsidRPr="00EC03BF">
              <w:rPr>
                <w:rFonts w:ascii="Times New Roman" w:hAnsi="Times New Roman"/>
                <w:lang w:val="pt-BR"/>
              </w:rPr>
              <w:t>Pfizer Luxembourg SARL</w:t>
            </w:r>
            <w:r w:rsidRPr="00EC03BF">
              <w:rPr>
                <w:rFonts w:ascii="Times New Roman" w:hAnsi="Times New Roman"/>
                <w:i/>
                <w:iCs/>
                <w:lang w:val="pt-BR"/>
              </w:rPr>
              <w:t xml:space="preserve">, </w:t>
            </w:r>
            <w:r w:rsidRPr="00EC03BF">
              <w:rPr>
                <w:rFonts w:ascii="Times New Roman" w:hAnsi="Times New Roman"/>
                <w:lang w:val="pt-BR"/>
              </w:rPr>
              <w:t>Pfizer, podružnica</w:t>
            </w:r>
          </w:p>
          <w:p w14:paraId="6E366693" w14:textId="77777777" w:rsidR="00530C9E" w:rsidRPr="00EC03BF" w:rsidRDefault="00530C9E" w:rsidP="00443BC7">
            <w:pPr>
              <w:rPr>
                <w:lang w:val="pt-BR"/>
              </w:rPr>
            </w:pPr>
            <w:r w:rsidRPr="00EC03BF">
              <w:rPr>
                <w:lang w:val="pt-BR"/>
              </w:rPr>
              <w:t>za svetovanje s področja farmacevtske</w:t>
            </w:r>
          </w:p>
          <w:p w14:paraId="3809FBE8" w14:textId="77777777" w:rsidR="00530C9E" w:rsidRPr="00EC03BF" w:rsidRDefault="00530C9E" w:rsidP="00443BC7">
            <w:pPr>
              <w:rPr>
                <w:lang w:val="pt-BR"/>
              </w:rPr>
            </w:pPr>
            <w:r w:rsidRPr="00EC03BF">
              <w:rPr>
                <w:lang w:val="pt-BR"/>
              </w:rPr>
              <w:t>dejavnosti, Ljubljana</w:t>
            </w:r>
          </w:p>
          <w:p w14:paraId="7211B956" w14:textId="77777777" w:rsidR="00530C9E" w:rsidRPr="002D6956" w:rsidRDefault="00530C9E" w:rsidP="00443BC7">
            <w:pPr>
              <w:rPr>
                <w:lang w:val="en-GB"/>
              </w:rPr>
            </w:pPr>
            <w:r w:rsidRPr="002D6956">
              <w:rPr>
                <w:lang w:val="en-GB"/>
              </w:rPr>
              <w:t>Tel: +386 (0)1 52 11 400</w:t>
            </w:r>
          </w:p>
          <w:p w14:paraId="2D001214" w14:textId="77777777" w:rsidR="00530C9E" w:rsidRPr="002D6956" w:rsidRDefault="00530C9E" w:rsidP="00443BC7">
            <w:pPr>
              <w:autoSpaceDE w:val="0"/>
              <w:autoSpaceDN w:val="0"/>
              <w:rPr>
                <w:lang w:val="en-GB"/>
              </w:rPr>
            </w:pPr>
          </w:p>
        </w:tc>
      </w:tr>
      <w:tr w:rsidR="00530C9E" w:rsidRPr="000E0085" w14:paraId="159AEF78" w14:textId="77777777" w:rsidTr="00443BC7">
        <w:trPr>
          <w:cantSplit/>
        </w:trPr>
        <w:tc>
          <w:tcPr>
            <w:tcW w:w="4224" w:type="dxa"/>
            <w:tcMar>
              <w:top w:w="0" w:type="dxa"/>
              <w:left w:w="108" w:type="dxa"/>
              <w:bottom w:w="0" w:type="dxa"/>
              <w:right w:w="108" w:type="dxa"/>
            </w:tcMar>
          </w:tcPr>
          <w:p w14:paraId="16A67F6B" w14:textId="77777777" w:rsidR="00530C9E" w:rsidRPr="000E0085" w:rsidRDefault="00530C9E" w:rsidP="00443BC7">
            <w:pPr>
              <w:rPr>
                <w:b/>
                <w:bCs/>
                <w:lang w:val="en-GB"/>
              </w:rPr>
            </w:pPr>
            <w:r w:rsidRPr="000E0085">
              <w:rPr>
                <w:b/>
                <w:bCs/>
                <w:lang w:val="en-GB"/>
              </w:rPr>
              <w:t>Ireland</w:t>
            </w:r>
          </w:p>
          <w:p w14:paraId="0C72F887" w14:textId="4455464C" w:rsidR="00530C9E" w:rsidRPr="000E0085" w:rsidRDefault="00530C9E" w:rsidP="00443BC7">
            <w:pPr>
              <w:rPr>
                <w:lang w:val="en-GB"/>
              </w:rPr>
            </w:pPr>
            <w:r w:rsidRPr="000E0085">
              <w:rPr>
                <w:lang w:val="en-GB"/>
              </w:rPr>
              <w:t>Pfizer Healthcare Ireland</w:t>
            </w:r>
            <w:ins w:id="31" w:author="Author" w:date="2025-06-12T14:14:00Z" w16du:dateUtc="2025-06-12T13:14:00Z">
              <w:r w:rsidR="00EC03BF">
                <w:rPr>
                  <w:lang w:val="en-GB"/>
                </w:rPr>
                <w:t xml:space="preserve"> Unlimited Company</w:t>
              </w:r>
            </w:ins>
          </w:p>
          <w:p w14:paraId="31B4FF8D" w14:textId="77777777" w:rsidR="00530C9E" w:rsidRPr="000E0085" w:rsidRDefault="00530C9E" w:rsidP="00443BC7">
            <w:pPr>
              <w:rPr>
                <w:lang w:val="en-GB"/>
              </w:rPr>
            </w:pPr>
            <w:r w:rsidRPr="000E0085">
              <w:rPr>
                <w:lang w:val="en-GB"/>
              </w:rPr>
              <w:t>Tel: +1800 633 363 (toll free)</w:t>
            </w:r>
          </w:p>
          <w:p w14:paraId="07BC9A05" w14:textId="77777777" w:rsidR="00530C9E" w:rsidRPr="000E0085" w:rsidRDefault="00530C9E" w:rsidP="00443BC7">
            <w:pPr>
              <w:rPr>
                <w:lang w:val="en-GB"/>
              </w:rPr>
            </w:pPr>
            <w:r w:rsidRPr="000E0085">
              <w:rPr>
                <w:lang w:val="en-GB"/>
              </w:rPr>
              <w:t>Tel: +44 (0)1304 616161</w:t>
            </w:r>
          </w:p>
          <w:p w14:paraId="696D6477"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24B42158" w14:textId="77777777" w:rsidR="00530C9E" w:rsidRPr="00EC03BF" w:rsidRDefault="00530C9E" w:rsidP="00443BC7">
            <w:pPr>
              <w:rPr>
                <w:b/>
                <w:bCs/>
                <w:lang w:val="pt-BR"/>
              </w:rPr>
            </w:pPr>
            <w:r w:rsidRPr="00EC03BF">
              <w:rPr>
                <w:b/>
                <w:bCs/>
                <w:lang w:val="pt-BR"/>
              </w:rPr>
              <w:t>Slovenská Republika</w:t>
            </w:r>
          </w:p>
          <w:p w14:paraId="2D6FE6F7" w14:textId="77777777" w:rsidR="00530C9E" w:rsidRPr="00EC03BF" w:rsidRDefault="00530C9E" w:rsidP="00443BC7">
            <w:pPr>
              <w:rPr>
                <w:lang w:val="pt-BR"/>
              </w:rPr>
            </w:pPr>
            <w:r w:rsidRPr="00EC03BF">
              <w:rPr>
                <w:lang w:val="pt-BR"/>
              </w:rPr>
              <w:t>Pfizer Luxembourg SARL, organizačná zložka</w:t>
            </w:r>
          </w:p>
          <w:p w14:paraId="38FC5BD6" w14:textId="77777777" w:rsidR="00530C9E" w:rsidRPr="000E0085" w:rsidRDefault="00530C9E" w:rsidP="00443BC7">
            <w:pPr>
              <w:rPr>
                <w:lang w:val="en-GB"/>
              </w:rPr>
            </w:pPr>
            <w:r w:rsidRPr="000E0085">
              <w:rPr>
                <w:lang w:val="en-GB"/>
              </w:rPr>
              <w:t>Tel: +421 2 3355 5500</w:t>
            </w:r>
          </w:p>
          <w:p w14:paraId="445BECDF" w14:textId="77777777" w:rsidR="00530C9E" w:rsidRPr="000E0085" w:rsidRDefault="00530C9E" w:rsidP="00443BC7">
            <w:pPr>
              <w:autoSpaceDE w:val="0"/>
              <w:autoSpaceDN w:val="0"/>
              <w:rPr>
                <w:lang w:val="en-GB"/>
              </w:rPr>
            </w:pPr>
          </w:p>
        </w:tc>
      </w:tr>
      <w:tr w:rsidR="00530C9E" w:rsidRPr="00C05F53" w14:paraId="7D953627" w14:textId="77777777" w:rsidTr="00443BC7">
        <w:trPr>
          <w:cantSplit/>
        </w:trPr>
        <w:tc>
          <w:tcPr>
            <w:tcW w:w="4224" w:type="dxa"/>
            <w:tcMar>
              <w:top w:w="0" w:type="dxa"/>
              <w:left w:w="108" w:type="dxa"/>
              <w:bottom w:w="0" w:type="dxa"/>
              <w:right w:w="108" w:type="dxa"/>
            </w:tcMar>
          </w:tcPr>
          <w:p w14:paraId="73E19ADE" w14:textId="77777777" w:rsidR="00530C9E" w:rsidRPr="000E0085" w:rsidRDefault="00530C9E" w:rsidP="00443BC7">
            <w:pPr>
              <w:rPr>
                <w:b/>
                <w:bCs/>
                <w:lang w:val="en-GB"/>
              </w:rPr>
            </w:pPr>
            <w:proofErr w:type="spellStart"/>
            <w:r w:rsidRPr="000E0085">
              <w:rPr>
                <w:b/>
                <w:bCs/>
                <w:lang w:val="en-GB"/>
              </w:rPr>
              <w:t>Ísland</w:t>
            </w:r>
            <w:proofErr w:type="spellEnd"/>
          </w:p>
          <w:p w14:paraId="30FF3368" w14:textId="77777777" w:rsidR="00530C9E" w:rsidRPr="000E0085" w:rsidRDefault="00530C9E" w:rsidP="00443BC7">
            <w:pPr>
              <w:rPr>
                <w:lang w:val="en-GB"/>
              </w:rPr>
            </w:pPr>
            <w:proofErr w:type="spellStart"/>
            <w:r w:rsidRPr="000E0085">
              <w:rPr>
                <w:lang w:val="en-GB"/>
              </w:rPr>
              <w:t>Icepharma</w:t>
            </w:r>
            <w:proofErr w:type="spellEnd"/>
            <w:r w:rsidRPr="000E0085">
              <w:rPr>
                <w:lang w:val="en-GB"/>
              </w:rPr>
              <w:t xml:space="preserve"> hf.</w:t>
            </w:r>
          </w:p>
          <w:p w14:paraId="4963E0E4" w14:textId="77777777" w:rsidR="00530C9E" w:rsidRPr="000E0085" w:rsidRDefault="00530C9E" w:rsidP="00443BC7">
            <w:pPr>
              <w:rPr>
                <w:lang w:val="en-GB"/>
              </w:rPr>
            </w:pPr>
            <w:r w:rsidRPr="000E0085">
              <w:rPr>
                <w:lang w:val="en-GB"/>
              </w:rPr>
              <w:t>Tel: +354 540 8000</w:t>
            </w:r>
          </w:p>
          <w:p w14:paraId="17B768F1"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72419E6B" w14:textId="77777777" w:rsidR="00530C9E" w:rsidRPr="00C05F53" w:rsidRDefault="00530C9E" w:rsidP="00443BC7">
            <w:pPr>
              <w:rPr>
                <w:b/>
                <w:bCs/>
              </w:rPr>
            </w:pPr>
            <w:r w:rsidRPr="00C05F53">
              <w:rPr>
                <w:b/>
                <w:bCs/>
              </w:rPr>
              <w:t>Suomi/Finland</w:t>
            </w:r>
          </w:p>
          <w:p w14:paraId="5A6769E7" w14:textId="77777777" w:rsidR="00530C9E" w:rsidRPr="00C05F53" w:rsidRDefault="00530C9E" w:rsidP="00443BC7">
            <w:r w:rsidRPr="00C05F53">
              <w:t>Pfizer Oy</w:t>
            </w:r>
          </w:p>
          <w:p w14:paraId="4C56A6A6" w14:textId="77777777" w:rsidR="00530C9E" w:rsidRPr="00C05F53" w:rsidRDefault="00530C9E" w:rsidP="00443BC7">
            <w:r w:rsidRPr="00C05F53">
              <w:t>Puh/Tel: +358 (0)9 430 040</w:t>
            </w:r>
          </w:p>
          <w:p w14:paraId="3343FF14" w14:textId="77777777" w:rsidR="00530C9E" w:rsidRPr="00C05F53" w:rsidRDefault="00530C9E" w:rsidP="00443BC7"/>
          <w:p w14:paraId="529D74C3" w14:textId="77777777" w:rsidR="00530C9E" w:rsidRPr="00C05F53" w:rsidRDefault="00530C9E" w:rsidP="00443BC7">
            <w:pPr>
              <w:autoSpaceDE w:val="0"/>
              <w:autoSpaceDN w:val="0"/>
            </w:pPr>
          </w:p>
        </w:tc>
      </w:tr>
      <w:tr w:rsidR="00530C9E" w:rsidRPr="000E0085" w14:paraId="0C6594CF" w14:textId="77777777" w:rsidTr="00443BC7">
        <w:trPr>
          <w:cantSplit/>
        </w:trPr>
        <w:tc>
          <w:tcPr>
            <w:tcW w:w="4224" w:type="dxa"/>
            <w:tcMar>
              <w:top w:w="0" w:type="dxa"/>
              <w:left w:w="108" w:type="dxa"/>
              <w:bottom w:w="0" w:type="dxa"/>
              <w:right w:w="108" w:type="dxa"/>
            </w:tcMar>
          </w:tcPr>
          <w:p w14:paraId="604B63C9" w14:textId="77777777" w:rsidR="00530C9E" w:rsidRPr="00EC03BF" w:rsidRDefault="00530C9E" w:rsidP="00443BC7">
            <w:pPr>
              <w:rPr>
                <w:lang w:val="pt-BR"/>
              </w:rPr>
            </w:pPr>
            <w:r w:rsidRPr="00EC03BF">
              <w:rPr>
                <w:b/>
                <w:bCs/>
                <w:lang w:val="pt-BR"/>
              </w:rPr>
              <w:t>Italia</w:t>
            </w:r>
          </w:p>
          <w:p w14:paraId="47400C55" w14:textId="77777777" w:rsidR="00530C9E" w:rsidRPr="00EC03BF" w:rsidRDefault="00530C9E" w:rsidP="00443BC7">
            <w:pPr>
              <w:rPr>
                <w:lang w:val="pt-BR"/>
              </w:rPr>
            </w:pPr>
            <w:r w:rsidRPr="00EC03BF">
              <w:rPr>
                <w:lang w:val="pt-BR"/>
              </w:rPr>
              <w:t xml:space="preserve">Pfizer S.r.l. </w:t>
            </w:r>
          </w:p>
          <w:p w14:paraId="7F25EB72" w14:textId="77777777" w:rsidR="00530C9E" w:rsidRPr="000E0085" w:rsidRDefault="00530C9E" w:rsidP="00443BC7">
            <w:pPr>
              <w:rPr>
                <w:lang w:val="en-GB"/>
              </w:rPr>
            </w:pPr>
            <w:r w:rsidRPr="000E0085">
              <w:rPr>
                <w:lang w:val="en-GB"/>
              </w:rPr>
              <w:t>Tel: +39 06 33 18 21</w:t>
            </w:r>
          </w:p>
          <w:p w14:paraId="6CC67B0F" w14:textId="77777777" w:rsidR="00530C9E" w:rsidRPr="000E0085" w:rsidRDefault="00530C9E" w:rsidP="00443BC7">
            <w:pPr>
              <w:autoSpaceDE w:val="0"/>
              <w:autoSpaceDN w:val="0"/>
              <w:rPr>
                <w:lang w:val="en-GB"/>
              </w:rPr>
            </w:pPr>
          </w:p>
        </w:tc>
        <w:tc>
          <w:tcPr>
            <w:tcW w:w="4863" w:type="dxa"/>
            <w:tcMar>
              <w:top w:w="0" w:type="dxa"/>
              <w:left w:w="108" w:type="dxa"/>
              <w:bottom w:w="0" w:type="dxa"/>
              <w:right w:w="108" w:type="dxa"/>
            </w:tcMar>
          </w:tcPr>
          <w:p w14:paraId="156BD807" w14:textId="77777777" w:rsidR="00530C9E" w:rsidRPr="000E0085" w:rsidRDefault="00530C9E" w:rsidP="00443BC7">
            <w:pPr>
              <w:rPr>
                <w:b/>
                <w:bCs/>
                <w:lang w:val="en-GB"/>
              </w:rPr>
            </w:pPr>
            <w:r w:rsidRPr="000E0085">
              <w:rPr>
                <w:b/>
                <w:bCs/>
                <w:lang w:val="en-GB"/>
              </w:rPr>
              <w:t>Sverige</w:t>
            </w:r>
          </w:p>
          <w:p w14:paraId="654B3578" w14:textId="77777777" w:rsidR="00530C9E" w:rsidRPr="000E0085" w:rsidRDefault="00530C9E" w:rsidP="00443BC7">
            <w:pPr>
              <w:rPr>
                <w:lang w:val="en-GB"/>
              </w:rPr>
            </w:pPr>
            <w:r w:rsidRPr="000E0085">
              <w:rPr>
                <w:lang w:val="en-GB"/>
              </w:rPr>
              <w:t>Pfizer AB</w:t>
            </w:r>
          </w:p>
          <w:p w14:paraId="114F2DE3" w14:textId="77777777" w:rsidR="00530C9E" w:rsidRPr="000E0085" w:rsidRDefault="00530C9E" w:rsidP="00443BC7">
            <w:pPr>
              <w:rPr>
                <w:lang w:val="en-GB"/>
              </w:rPr>
            </w:pPr>
            <w:r w:rsidRPr="000E0085">
              <w:rPr>
                <w:lang w:val="en-GB"/>
              </w:rPr>
              <w:t>Tel: +46 (0)8 550 520 00</w:t>
            </w:r>
          </w:p>
          <w:p w14:paraId="25A02985" w14:textId="77777777" w:rsidR="00530C9E" w:rsidRPr="000E0085" w:rsidRDefault="00530C9E" w:rsidP="00443BC7">
            <w:pPr>
              <w:autoSpaceDE w:val="0"/>
              <w:autoSpaceDN w:val="0"/>
              <w:rPr>
                <w:lang w:val="en-GB"/>
              </w:rPr>
            </w:pPr>
          </w:p>
        </w:tc>
      </w:tr>
      <w:tr w:rsidR="00530C9E" w:rsidRPr="000E0085" w14:paraId="350F8D38" w14:textId="77777777" w:rsidTr="00443BC7">
        <w:trPr>
          <w:cantSplit/>
        </w:trPr>
        <w:tc>
          <w:tcPr>
            <w:tcW w:w="4224" w:type="dxa"/>
            <w:tcMar>
              <w:top w:w="0" w:type="dxa"/>
              <w:left w:w="108" w:type="dxa"/>
              <w:bottom w:w="0" w:type="dxa"/>
              <w:right w:w="108" w:type="dxa"/>
            </w:tcMar>
          </w:tcPr>
          <w:p w14:paraId="300A733C" w14:textId="77777777" w:rsidR="00530C9E" w:rsidRPr="00EC03BF" w:rsidRDefault="00530C9E" w:rsidP="00443BC7">
            <w:pPr>
              <w:rPr>
                <w:b/>
                <w:bCs/>
                <w:lang w:val="pt-BR"/>
              </w:rPr>
            </w:pPr>
            <w:r w:rsidRPr="00EC03BF">
              <w:rPr>
                <w:b/>
                <w:bCs/>
                <w:lang w:val="pt-BR"/>
              </w:rPr>
              <w:t>Latvija</w:t>
            </w:r>
          </w:p>
          <w:p w14:paraId="1BF39AD1" w14:textId="77777777" w:rsidR="00530C9E" w:rsidRPr="00EC03BF" w:rsidRDefault="00530C9E" w:rsidP="00443BC7">
            <w:pPr>
              <w:rPr>
                <w:lang w:val="pt-BR"/>
              </w:rPr>
            </w:pPr>
            <w:r w:rsidRPr="00EC03BF">
              <w:rPr>
                <w:lang w:val="pt-BR"/>
              </w:rPr>
              <w:t>Pfizer Luxembourg SARL filiāle Latvijā</w:t>
            </w:r>
          </w:p>
          <w:p w14:paraId="6B870B7B" w14:textId="77777777" w:rsidR="00530C9E" w:rsidRPr="000E0085" w:rsidRDefault="00530C9E" w:rsidP="00443BC7">
            <w:pPr>
              <w:rPr>
                <w:lang w:val="en-GB"/>
              </w:rPr>
            </w:pPr>
            <w:r w:rsidRPr="000E0085">
              <w:rPr>
                <w:lang w:val="en-GB"/>
              </w:rPr>
              <w:t>Tel. +371 67035775</w:t>
            </w:r>
          </w:p>
          <w:p w14:paraId="36D0596E" w14:textId="77777777" w:rsidR="00530C9E" w:rsidRPr="000E0085" w:rsidRDefault="00530C9E" w:rsidP="00443BC7">
            <w:pPr>
              <w:autoSpaceDE w:val="0"/>
              <w:autoSpaceDN w:val="0"/>
              <w:rPr>
                <w:b/>
                <w:bCs/>
                <w:lang w:val="en-GB"/>
              </w:rPr>
            </w:pPr>
          </w:p>
        </w:tc>
        <w:tc>
          <w:tcPr>
            <w:tcW w:w="4863" w:type="dxa"/>
            <w:tcMar>
              <w:top w:w="0" w:type="dxa"/>
              <w:left w:w="108" w:type="dxa"/>
              <w:bottom w:w="0" w:type="dxa"/>
              <w:right w:w="108" w:type="dxa"/>
            </w:tcMar>
          </w:tcPr>
          <w:p w14:paraId="7203B297" w14:textId="6FFFD704" w:rsidR="00530C9E" w:rsidRPr="000E0085" w:rsidDel="00EC03BF" w:rsidRDefault="00530C9E" w:rsidP="00443BC7">
            <w:pPr>
              <w:rPr>
                <w:del w:id="32" w:author="Author" w:date="2025-06-12T14:14:00Z" w16du:dateUtc="2025-06-12T13:14:00Z"/>
                <w:b/>
                <w:bCs/>
                <w:lang w:val="en-GB"/>
              </w:rPr>
            </w:pPr>
            <w:del w:id="33" w:author="Author" w:date="2025-06-12T14:14:00Z" w16du:dateUtc="2025-06-12T13:14:00Z">
              <w:r w:rsidRPr="000E0085" w:rsidDel="00EC03BF">
                <w:rPr>
                  <w:b/>
                  <w:bCs/>
                  <w:lang w:val="en-GB"/>
                </w:rPr>
                <w:delText>United Kingdom</w:delText>
              </w:r>
              <w:r w:rsidDel="00EC03BF">
                <w:rPr>
                  <w:b/>
                  <w:bCs/>
                  <w:lang w:val="en-GB"/>
                </w:rPr>
                <w:delText xml:space="preserve"> (Northern Ireland)</w:delText>
              </w:r>
            </w:del>
          </w:p>
          <w:p w14:paraId="12E73EB3" w14:textId="2D001305" w:rsidR="00530C9E" w:rsidRPr="000E0085" w:rsidDel="00EC03BF" w:rsidRDefault="00530C9E" w:rsidP="00443BC7">
            <w:pPr>
              <w:rPr>
                <w:del w:id="34" w:author="Author" w:date="2025-06-12T14:14:00Z" w16du:dateUtc="2025-06-12T13:14:00Z"/>
                <w:lang w:val="en-GB"/>
              </w:rPr>
            </w:pPr>
            <w:del w:id="35" w:author="Author" w:date="2025-06-12T14:14:00Z" w16du:dateUtc="2025-06-12T13:14:00Z">
              <w:r w:rsidRPr="000E0085" w:rsidDel="00EC03BF">
                <w:rPr>
                  <w:lang w:val="en-GB"/>
                </w:rPr>
                <w:delText>Pfizer Limited</w:delText>
              </w:r>
            </w:del>
          </w:p>
          <w:p w14:paraId="4C5D059C" w14:textId="029DAD52" w:rsidR="00530C9E" w:rsidRPr="000E0085" w:rsidDel="00EC03BF" w:rsidRDefault="00530C9E" w:rsidP="00443BC7">
            <w:pPr>
              <w:rPr>
                <w:del w:id="36" w:author="Author" w:date="2025-06-12T14:14:00Z" w16du:dateUtc="2025-06-12T13:14:00Z"/>
                <w:lang w:val="en-GB"/>
              </w:rPr>
            </w:pPr>
            <w:del w:id="37" w:author="Author" w:date="2025-06-12T14:14:00Z" w16du:dateUtc="2025-06-12T13:14:00Z">
              <w:r w:rsidRPr="000E0085" w:rsidDel="00EC03BF">
                <w:rPr>
                  <w:lang w:val="en-GB"/>
                </w:rPr>
                <w:delText>Tel: +44 (0)1304 616161</w:delText>
              </w:r>
            </w:del>
          </w:p>
          <w:p w14:paraId="27AD0E6F" w14:textId="77777777" w:rsidR="00530C9E" w:rsidRPr="000E0085" w:rsidRDefault="00530C9E" w:rsidP="00EC03BF">
            <w:pPr>
              <w:rPr>
                <w:b/>
                <w:bCs/>
                <w:lang w:val="en-GB"/>
              </w:rPr>
            </w:pPr>
          </w:p>
        </w:tc>
      </w:tr>
      <w:tr w:rsidR="00530C9E" w:rsidRPr="000E0085" w14:paraId="44519DCE" w14:textId="77777777" w:rsidTr="00443BC7">
        <w:trPr>
          <w:cantSplit/>
        </w:trPr>
        <w:tc>
          <w:tcPr>
            <w:tcW w:w="4224" w:type="dxa"/>
            <w:tcMar>
              <w:top w:w="0" w:type="dxa"/>
              <w:left w:w="108" w:type="dxa"/>
              <w:bottom w:w="0" w:type="dxa"/>
              <w:right w:w="108" w:type="dxa"/>
            </w:tcMar>
            <w:hideMark/>
          </w:tcPr>
          <w:p w14:paraId="30A96F77" w14:textId="77777777" w:rsidR="00530C9E" w:rsidRPr="00EC03BF" w:rsidRDefault="00530C9E" w:rsidP="00443BC7">
            <w:pPr>
              <w:rPr>
                <w:b/>
                <w:bCs/>
                <w:lang w:val="pt-BR"/>
              </w:rPr>
            </w:pPr>
            <w:r w:rsidRPr="00EC03BF">
              <w:rPr>
                <w:b/>
                <w:bCs/>
                <w:lang w:val="pt-BR"/>
              </w:rPr>
              <w:t>Lietuva</w:t>
            </w:r>
          </w:p>
          <w:p w14:paraId="6F260510" w14:textId="77777777" w:rsidR="00530C9E" w:rsidRPr="00EC03BF" w:rsidRDefault="00530C9E" w:rsidP="00443BC7">
            <w:pPr>
              <w:rPr>
                <w:lang w:val="pt-BR"/>
              </w:rPr>
            </w:pPr>
            <w:r w:rsidRPr="00EC03BF">
              <w:rPr>
                <w:lang w:val="pt-BR"/>
              </w:rPr>
              <w:t>Pfizer Luxembourg SARL filialas Lietuvoje</w:t>
            </w:r>
          </w:p>
          <w:p w14:paraId="209D390A" w14:textId="77777777" w:rsidR="00530C9E" w:rsidRPr="000E0085" w:rsidRDefault="00530C9E" w:rsidP="00443BC7">
            <w:pPr>
              <w:autoSpaceDE w:val="0"/>
              <w:autoSpaceDN w:val="0"/>
              <w:rPr>
                <w:b/>
                <w:bCs/>
                <w:lang w:val="en-GB"/>
              </w:rPr>
            </w:pPr>
            <w:r w:rsidRPr="000E0085">
              <w:rPr>
                <w:lang w:val="en-GB"/>
              </w:rPr>
              <w:t>Tel. +3705 2514000</w:t>
            </w:r>
          </w:p>
        </w:tc>
        <w:tc>
          <w:tcPr>
            <w:tcW w:w="4863" w:type="dxa"/>
            <w:tcMar>
              <w:top w:w="0" w:type="dxa"/>
              <w:left w:w="108" w:type="dxa"/>
              <w:bottom w:w="0" w:type="dxa"/>
              <w:right w:w="108" w:type="dxa"/>
            </w:tcMar>
          </w:tcPr>
          <w:p w14:paraId="4AA202C8" w14:textId="77777777" w:rsidR="00530C9E" w:rsidRPr="000E0085" w:rsidRDefault="00530C9E" w:rsidP="00443BC7">
            <w:pPr>
              <w:autoSpaceDE w:val="0"/>
              <w:autoSpaceDN w:val="0"/>
              <w:rPr>
                <w:b/>
                <w:bCs/>
                <w:lang w:val="en-GB"/>
              </w:rPr>
            </w:pPr>
          </w:p>
        </w:tc>
      </w:tr>
    </w:tbl>
    <w:p w14:paraId="153C960E" w14:textId="77777777" w:rsidR="00C46587" w:rsidRDefault="00C46587" w:rsidP="00982118">
      <w:pPr>
        <w:rPr>
          <w:color w:val="000000"/>
          <w:lang w:val="en-GB"/>
        </w:rPr>
      </w:pPr>
    </w:p>
    <w:p w14:paraId="50554398" w14:textId="77777777" w:rsidR="00943A70" w:rsidRPr="004F5FB4" w:rsidRDefault="00943A70" w:rsidP="00982118">
      <w:pPr>
        <w:rPr>
          <w:color w:val="000000"/>
          <w:lang w:val="en-GB"/>
        </w:rPr>
      </w:pPr>
    </w:p>
    <w:p w14:paraId="720EF402" w14:textId="77777777" w:rsidR="00C46587" w:rsidRPr="004F5FB4" w:rsidRDefault="00C46587" w:rsidP="00982118">
      <w:pPr>
        <w:rPr>
          <w:b/>
          <w:color w:val="000000"/>
        </w:rPr>
      </w:pPr>
      <w:r w:rsidRPr="004F5FB4">
        <w:rPr>
          <w:b/>
          <w:color w:val="000000"/>
        </w:rPr>
        <w:t>Diese Packungsbeilage wurde zuletzt überarbeitet i</w:t>
      </w:r>
      <w:r w:rsidR="00C958F5" w:rsidRPr="004F5FB4">
        <w:rPr>
          <w:b/>
          <w:color w:val="000000"/>
        </w:rPr>
        <w:t>m</w:t>
      </w:r>
    </w:p>
    <w:p w14:paraId="42B3F01B" w14:textId="77777777" w:rsidR="00C46587" w:rsidRPr="004F5FB4" w:rsidRDefault="00C46587" w:rsidP="00982118">
      <w:pPr>
        <w:rPr>
          <w:color w:val="000000"/>
        </w:rPr>
      </w:pPr>
    </w:p>
    <w:p w14:paraId="0C0F0D8F" w14:textId="763BD1FF" w:rsidR="00C46587" w:rsidRPr="004F5FB4" w:rsidRDefault="00C46587" w:rsidP="00982118">
      <w:pPr>
        <w:rPr>
          <w:color w:val="000000"/>
        </w:rPr>
      </w:pPr>
      <w:r w:rsidRPr="004F5FB4">
        <w:rPr>
          <w:color w:val="000000"/>
        </w:rPr>
        <w:t xml:space="preserve">Ausführliche Informationen zu diesem Arzneimittel sind auf den Internetseiten der Europäischen Arzneimittel-Agentur </w:t>
      </w:r>
      <w:r w:rsidR="00000C6C">
        <w:fldChar w:fldCharType="begin"/>
      </w:r>
      <w:r w:rsidR="00000C6C">
        <w:instrText>HYPERLINK "https://www.ema.europa.eu"</w:instrText>
      </w:r>
      <w:r w:rsidR="00000C6C">
        <w:fldChar w:fldCharType="separate"/>
      </w:r>
      <w:r w:rsidR="00000C6C" w:rsidRPr="00A242C3">
        <w:rPr>
          <w:rStyle w:val="Hyperlink"/>
        </w:rPr>
        <w:t>https://www.ema.europa.eu</w:t>
      </w:r>
      <w:r w:rsidR="00000C6C">
        <w:fldChar w:fldCharType="end"/>
      </w:r>
      <w:r w:rsidR="00EB43A2">
        <w:rPr>
          <w:rStyle w:val="Hyperlink"/>
        </w:rPr>
        <w:t xml:space="preserve"> </w:t>
      </w:r>
      <w:r w:rsidRPr="004F5FB4">
        <w:rPr>
          <w:color w:val="000000"/>
        </w:rPr>
        <w:t>verfügbar.</w:t>
      </w:r>
    </w:p>
    <w:p w14:paraId="3887E0F2" w14:textId="77777777" w:rsidR="000B71DE" w:rsidRPr="004F5FB4" w:rsidRDefault="00B51C8C" w:rsidP="00687087">
      <w:pPr>
        <w:keepNext/>
        <w:tabs>
          <w:tab w:val="left" w:pos="562"/>
        </w:tabs>
        <w:jc w:val="center"/>
        <w:rPr>
          <w:b/>
          <w:color w:val="000000"/>
          <w:u w:val="single"/>
        </w:rPr>
      </w:pPr>
      <w:r w:rsidRPr="004F5FB4">
        <w:rPr>
          <w:color w:val="000000"/>
        </w:rPr>
        <w:br w:type="page"/>
      </w:r>
      <w:r w:rsidR="000B71DE" w:rsidRPr="004F5FB4">
        <w:rPr>
          <w:b/>
          <w:color w:val="000000"/>
          <w:u w:val="single"/>
        </w:rPr>
        <w:lastRenderedPageBreak/>
        <w:t>HINWEISE ZUR ANWENDUNG</w:t>
      </w:r>
    </w:p>
    <w:p w14:paraId="4FCD6E04" w14:textId="77777777" w:rsidR="00B51C8C" w:rsidRPr="004F5FB4" w:rsidRDefault="00B51C8C" w:rsidP="00982118">
      <w:pPr>
        <w:tabs>
          <w:tab w:val="left" w:pos="562"/>
        </w:tabs>
        <w:rPr>
          <w:b/>
          <w:bCs/>
          <w:color w:val="000000"/>
        </w:rPr>
      </w:pPr>
    </w:p>
    <w:p w14:paraId="170281F2" w14:textId="77777777" w:rsidR="00A8620A" w:rsidRPr="004F5FB4" w:rsidRDefault="00A8620A" w:rsidP="00982118">
      <w:pPr>
        <w:autoSpaceDE w:val="0"/>
        <w:autoSpaceDN w:val="0"/>
        <w:adjustRightInd w:val="0"/>
        <w:rPr>
          <w:b/>
          <w:bCs/>
          <w:color w:val="000000"/>
        </w:rPr>
      </w:pPr>
      <w:r w:rsidRPr="004F5FB4">
        <w:rPr>
          <w:b/>
          <w:bCs/>
          <w:color w:val="000000"/>
        </w:rPr>
        <w:t>Anweisungen zur Vorbereitung und Verabreichung einer Amsparity-Injektion</w:t>
      </w:r>
    </w:p>
    <w:p w14:paraId="563FE95E" w14:textId="77777777" w:rsidR="00A8620A" w:rsidRPr="004F5FB4" w:rsidRDefault="00A8620A" w:rsidP="00982118">
      <w:pPr>
        <w:autoSpaceDE w:val="0"/>
        <w:autoSpaceDN w:val="0"/>
        <w:adjustRightInd w:val="0"/>
        <w:rPr>
          <w:b/>
          <w:bCs/>
          <w:color w:val="000000"/>
        </w:rPr>
      </w:pPr>
    </w:p>
    <w:p w14:paraId="6CE8ADC9" w14:textId="77777777" w:rsidR="000B71DE" w:rsidRPr="004F5FB4" w:rsidRDefault="00A8620A" w:rsidP="00982118">
      <w:pPr>
        <w:autoSpaceDE w:val="0"/>
        <w:autoSpaceDN w:val="0"/>
        <w:adjustRightInd w:val="0"/>
        <w:rPr>
          <w:color w:val="000000"/>
        </w:rPr>
      </w:pPr>
      <w:r w:rsidRPr="004F5FB4">
        <w:rPr>
          <w:color w:val="000000"/>
        </w:rPr>
        <w:t>Die folgenden Anweisungen erklären Ihnen, wie Amsparity zu spritzen ist. Bitte lesen Sie die Anweisungen sorgfältig durch und folgen Sie ihnen Schritt für Schritt.</w:t>
      </w:r>
    </w:p>
    <w:p w14:paraId="355FF4C7" w14:textId="77777777" w:rsidR="00BA6DF0" w:rsidRPr="004F5FB4" w:rsidRDefault="000B71DE" w:rsidP="00BA6DF0">
      <w:pPr>
        <w:rPr>
          <w:color w:val="000000"/>
        </w:rPr>
      </w:pPr>
      <w:r w:rsidRPr="004F5FB4">
        <w:rPr>
          <w:b/>
          <w:color w:val="000000"/>
        </w:rPr>
        <w:t>Versuchen Sie nicht</w:t>
      </w:r>
      <w:r w:rsidRPr="004F5FB4">
        <w:rPr>
          <w:color w:val="000000"/>
        </w:rPr>
        <w:t xml:space="preserve">, Ihrem Kind eine Injektion zu verabreichen, bevor Sie die Hinweise zur Anwendung gelesen und verstanden haben. </w:t>
      </w:r>
      <w:r w:rsidR="00BA6DF0" w:rsidRPr="004F5FB4">
        <w:rPr>
          <w:color w:val="000000"/>
        </w:rPr>
        <w:t>Wenn der Arzt Ihres Kindes, das medizinische Fachpersonal oder der Apotheker entscheidet, dass Sie Ihrem Kind die Amsparity-Injektionen zu</w:t>
      </w:r>
      <w:r w:rsidR="001C7C54" w:rsidRPr="004F5FB4">
        <w:rPr>
          <w:color w:val="000000"/>
        </w:rPr>
        <w:t xml:space="preserve"> H</w:t>
      </w:r>
      <w:r w:rsidR="00BA6DF0" w:rsidRPr="004F5FB4">
        <w:rPr>
          <w:color w:val="000000"/>
        </w:rPr>
        <w:t>ause verabreichen können, sollten Sie in der richtigen Art und Weise der Vorbereitung und Injektion von Amsparity eingewiesen werden.</w:t>
      </w:r>
    </w:p>
    <w:p w14:paraId="3D3E3A67" w14:textId="77777777" w:rsidR="00BA6DF0" w:rsidRPr="004F5FB4" w:rsidRDefault="00BA6DF0" w:rsidP="00BA6DF0">
      <w:pPr>
        <w:rPr>
          <w:color w:val="000000"/>
        </w:rPr>
      </w:pPr>
    </w:p>
    <w:p w14:paraId="17535F88" w14:textId="77777777" w:rsidR="00BA6DF0" w:rsidRPr="004F5FB4" w:rsidRDefault="001C7C54" w:rsidP="00BA6DF0">
      <w:pPr>
        <w:rPr>
          <w:color w:val="000000"/>
        </w:rPr>
      </w:pPr>
      <w:r w:rsidRPr="004F5FB4">
        <w:rPr>
          <w:color w:val="000000"/>
        </w:rPr>
        <w:t>Es ist wichtig mit dem Arzt, medizinischen Fachpersonal oder Apotheker Ihres Kindes zu sprechen, um sicherzustellen, dass Sie die Amsparity Dosierungshinweise für Ihr Kind verstanden haben</w:t>
      </w:r>
      <w:r w:rsidR="00BA6DF0" w:rsidRPr="004F5FB4">
        <w:rPr>
          <w:color w:val="000000"/>
        </w:rPr>
        <w:t>. Um Sie an die Amsparity-Injektion zu erinnern, können Sie im Voraus entsprechende Einträge in Ihrem Kalender machen. Sprechen Sie mit dem Arzt Ihres Kindes, dem medizinischen Fachpersonal oder Apotheker, wenn Sie Fragen zur richtigen Injektionsweise von Amsparity haben.</w:t>
      </w:r>
    </w:p>
    <w:p w14:paraId="74849D46" w14:textId="77777777" w:rsidR="00BA6DF0" w:rsidRPr="004F5FB4" w:rsidRDefault="00BA6DF0" w:rsidP="00BA6DF0">
      <w:pPr>
        <w:rPr>
          <w:color w:val="000000"/>
        </w:rPr>
      </w:pPr>
    </w:p>
    <w:p w14:paraId="1E928177" w14:textId="77777777" w:rsidR="00A8620A" w:rsidRPr="004F5FB4" w:rsidRDefault="00A8620A" w:rsidP="00982118">
      <w:pPr>
        <w:autoSpaceDE w:val="0"/>
        <w:autoSpaceDN w:val="0"/>
        <w:adjustRightInd w:val="0"/>
        <w:rPr>
          <w:color w:val="000000"/>
        </w:rPr>
      </w:pPr>
      <w:r w:rsidRPr="004F5FB4">
        <w:rPr>
          <w:color w:val="000000"/>
        </w:rPr>
        <w:t xml:space="preserve">Nach einer sorgfältigen Einweisung können Sie </w:t>
      </w:r>
      <w:r w:rsidR="00176CC7" w:rsidRPr="004F5FB4">
        <w:rPr>
          <w:color w:val="000000"/>
        </w:rPr>
        <w:t>Ihrem Kind</w:t>
      </w:r>
      <w:r w:rsidRPr="004F5FB4">
        <w:rPr>
          <w:color w:val="000000"/>
        </w:rPr>
        <w:t xml:space="preserve"> die Injektion selbst verabreichen oder von einer anderen Person verabreichen lassen, z. B. einem Familienangehörigen oder Freund.</w:t>
      </w:r>
    </w:p>
    <w:p w14:paraId="757D6F98" w14:textId="77777777" w:rsidR="00A8620A" w:rsidRPr="004F5FB4" w:rsidRDefault="00A8620A" w:rsidP="00982118">
      <w:pPr>
        <w:autoSpaceDE w:val="0"/>
        <w:autoSpaceDN w:val="0"/>
        <w:adjustRightInd w:val="0"/>
        <w:rPr>
          <w:color w:val="000000"/>
        </w:rPr>
      </w:pPr>
    </w:p>
    <w:p w14:paraId="682F115A" w14:textId="77777777" w:rsidR="00A8620A" w:rsidRPr="004F5FB4" w:rsidRDefault="00A8620A" w:rsidP="00982118">
      <w:pPr>
        <w:autoSpaceDE w:val="0"/>
        <w:autoSpaceDN w:val="0"/>
        <w:adjustRightInd w:val="0"/>
        <w:rPr>
          <w:color w:val="000000"/>
        </w:rPr>
      </w:pPr>
      <w:r w:rsidRPr="004F5FB4">
        <w:rPr>
          <w:color w:val="000000"/>
        </w:rPr>
        <w:t>Wenn die folgenden Schritte nicht strikt, wie beschrieben, eingehalten werden, kann dies eine Verunreinigung verursachen, die zu einer Infektion bei dem Kind führen kann.</w:t>
      </w:r>
    </w:p>
    <w:p w14:paraId="70B9A2B4" w14:textId="77777777" w:rsidR="00A8620A" w:rsidRPr="004F5FB4" w:rsidRDefault="00A8620A" w:rsidP="00982118">
      <w:pPr>
        <w:autoSpaceDE w:val="0"/>
        <w:autoSpaceDN w:val="0"/>
        <w:adjustRightInd w:val="0"/>
        <w:rPr>
          <w:color w:val="000000"/>
        </w:rPr>
      </w:pPr>
    </w:p>
    <w:p w14:paraId="1CA3BAA5" w14:textId="77777777" w:rsidR="00A8620A" w:rsidRPr="004F5FB4" w:rsidRDefault="00A8620A" w:rsidP="00982118">
      <w:pPr>
        <w:autoSpaceDE w:val="0"/>
        <w:autoSpaceDN w:val="0"/>
        <w:adjustRightInd w:val="0"/>
        <w:rPr>
          <w:color w:val="000000"/>
        </w:rPr>
      </w:pPr>
      <w:r w:rsidRPr="004F5FB4">
        <w:rPr>
          <w:color w:val="000000"/>
        </w:rPr>
        <w:t>Diese Injektion darf nicht in derselben Spritze oder Durchstechflasche mit einem anderen Arzneimittel gemischt werden.</w:t>
      </w:r>
    </w:p>
    <w:p w14:paraId="503C0B1B" w14:textId="77777777" w:rsidR="00A8620A" w:rsidRPr="004F5FB4" w:rsidRDefault="00A8620A" w:rsidP="00982118">
      <w:pPr>
        <w:autoSpaceDE w:val="0"/>
        <w:autoSpaceDN w:val="0"/>
        <w:adjustRightInd w:val="0"/>
        <w:rPr>
          <w:color w:val="000000"/>
        </w:rPr>
      </w:pPr>
    </w:p>
    <w:p w14:paraId="2A82E95F" w14:textId="77777777" w:rsidR="00A8620A" w:rsidRPr="004F5FB4" w:rsidRDefault="00A8620A" w:rsidP="00982118">
      <w:pPr>
        <w:pStyle w:val="ListParagraph"/>
        <w:numPr>
          <w:ilvl w:val="0"/>
          <w:numId w:val="30"/>
        </w:numPr>
        <w:autoSpaceDE w:val="0"/>
        <w:autoSpaceDN w:val="0"/>
        <w:adjustRightInd w:val="0"/>
        <w:ind w:left="540" w:hanging="540"/>
        <w:contextualSpacing/>
        <w:rPr>
          <w:color w:val="000000"/>
        </w:rPr>
      </w:pPr>
      <w:r w:rsidRPr="004F5FB4">
        <w:rPr>
          <w:b/>
          <w:bCs/>
          <w:color w:val="000000"/>
        </w:rPr>
        <w:t>Vorbereitung</w:t>
      </w:r>
    </w:p>
    <w:p w14:paraId="7B3F9DD3" w14:textId="77777777" w:rsidR="00A8620A" w:rsidRPr="004F5FB4" w:rsidRDefault="00A8620A" w:rsidP="00982118">
      <w:pPr>
        <w:pStyle w:val="ListParagraph"/>
        <w:autoSpaceDE w:val="0"/>
        <w:autoSpaceDN w:val="0"/>
        <w:adjustRightInd w:val="0"/>
        <w:ind w:left="540"/>
        <w:rPr>
          <w:color w:val="000000"/>
          <w:lang w:val="en-GB"/>
        </w:rPr>
      </w:pPr>
    </w:p>
    <w:p w14:paraId="5296B052"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Stellen Sie sicher, dass Sie die richtige Menge (Volumen) kennen, die verabreicht werden soll. Wenn Sie die Menge nicht kennen, </w:t>
      </w:r>
      <w:r w:rsidRPr="004F5FB4">
        <w:rPr>
          <w:b/>
          <w:bCs/>
          <w:color w:val="000000"/>
        </w:rPr>
        <w:t>UNTERBRECHEN SIE HIER</w:t>
      </w:r>
      <w:r w:rsidRPr="004F5FB4">
        <w:rPr>
          <w:color w:val="000000"/>
        </w:rPr>
        <w:t xml:space="preserve"> und </w:t>
      </w:r>
      <w:r w:rsidR="00BA6DF0" w:rsidRPr="004F5FB4">
        <w:rPr>
          <w:color w:val="000000"/>
        </w:rPr>
        <w:t xml:space="preserve">sprechen </w:t>
      </w:r>
      <w:r w:rsidRPr="004F5FB4">
        <w:rPr>
          <w:color w:val="000000"/>
        </w:rPr>
        <w:t xml:space="preserve">Sie </w:t>
      </w:r>
      <w:r w:rsidR="00BA6DF0" w:rsidRPr="004F5FB4">
        <w:rPr>
          <w:color w:val="000000"/>
        </w:rPr>
        <w:t>mit</w:t>
      </w:r>
      <w:r w:rsidRPr="004F5FB4">
        <w:rPr>
          <w:color w:val="000000"/>
        </w:rPr>
        <w:t xml:space="preserve"> </w:t>
      </w:r>
      <w:r w:rsidR="00BA6DF0" w:rsidRPr="004F5FB4">
        <w:rPr>
          <w:color w:val="000000"/>
        </w:rPr>
        <w:t>dem</w:t>
      </w:r>
      <w:r w:rsidRPr="004F5FB4">
        <w:rPr>
          <w:color w:val="000000"/>
        </w:rPr>
        <w:t xml:space="preserve"> Arzt </w:t>
      </w:r>
      <w:r w:rsidR="00BA6DF0" w:rsidRPr="004F5FB4">
        <w:rPr>
          <w:color w:val="000000"/>
        </w:rPr>
        <w:t>Ihres Kindes, dem medizinischen Fachpersonal oder Apotheker, um</w:t>
      </w:r>
      <w:r w:rsidRPr="004F5FB4">
        <w:rPr>
          <w:color w:val="000000"/>
        </w:rPr>
        <w:t xml:space="preserve"> weitere Anweisungen</w:t>
      </w:r>
      <w:r w:rsidR="00BA6DF0" w:rsidRPr="004F5FB4">
        <w:rPr>
          <w:color w:val="000000"/>
        </w:rPr>
        <w:t xml:space="preserve"> zu erhalten</w:t>
      </w:r>
      <w:r w:rsidRPr="004F5FB4">
        <w:rPr>
          <w:color w:val="000000"/>
        </w:rPr>
        <w:t>.</w:t>
      </w:r>
    </w:p>
    <w:p w14:paraId="79F71F9D" w14:textId="77777777" w:rsidR="00A8620A" w:rsidRPr="004F5FB4" w:rsidRDefault="00A8620A" w:rsidP="00982118">
      <w:pPr>
        <w:pStyle w:val="ListParagraph"/>
        <w:autoSpaceDE w:val="0"/>
        <w:autoSpaceDN w:val="0"/>
        <w:adjustRightInd w:val="0"/>
        <w:ind w:left="540"/>
        <w:rPr>
          <w:color w:val="000000"/>
        </w:rPr>
      </w:pPr>
    </w:p>
    <w:p w14:paraId="1884C479"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Sie benötigen einen speziellen Abfallbehälter (z. B. einen Behälter für spitze Gegenstände) entsprechend den Anweisungen </w:t>
      </w:r>
      <w:r w:rsidR="00BA6DF0" w:rsidRPr="004F5FB4">
        <w:rPr>
          <w:color w:val="000000"/>
        </w:rPr>
        <w:t>d</w:t>
      </w:r>
      <w:r w:rsidR="00606E0E" w:rsidRPr="004F5FB4">
        <w:rPr>
          <w:color w:val="000000"/>
        </w:rPr>
        <w:t>es Arztes</w:t>
      </w:r>
      <w:r w:rsidR="00BA6DF0" w:rsidRPr="004F5FB4">
        <w:rPr>
          <w:color w:val="000000"/>
        </w:rPr>
        <w:t xml:space="preserve"> Ihres Kindes, des medizinischen Fachpersonals</w:t>
      </w:r>
      <w:r w:rsidRPr="004F5FB4">
        <w:rPr>
          <w:color w:val="000000"/>
        </w:rPr>
        <w:t xml:space="preserve"> oder Apotheker</w:t>
      </w:r>
      <w:r w:rsidR="00606E0E" w:rsidRPr="004F5FB4">
        <w:rPr>
          <w:color w:val="000000"/>
        </w:rPr>
        <w:t>s</w:t>
      </w:r>
      <w:r w:rsidRPr="004F5FB4">
        <w:rPr>
          <w:color w:val="000000"/>
        </w:rPr>
        <w:t>. Stellen Sie den Behälter auf Ihre Arbeitsfläche.</w:t>
      </w:r>
    </w:p>
    <w:p w14:paraId="387201F1" w14:textId="77777777" w:rsidR="00A8620A" w:rsidRPr="004F5FB4" w:rsidRDefault="00A8620A" w:rsidP="00982118">
      <w:pPr>
        <w:pStyle w:val="ListParagraph"/>
        <w:autoSpaceDE w:val="0"/>
        <w:autoSpaceDN w:val="0"/>
        <w:adjustRightInd w:val="0"/>
        <w:ind w:left="540"/>
        <w:rPr>
          <w:color w:val="000000"/>
        </w:rPr>
      </w:pPr>
    </w:p>
    <w:p w14:paraId="08C145EF"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Waschen Sie sich gründlich die Hände.</w:t>
      </w:r>
    </w:p>
    <w:p w14:paraId="79A48AF5" w14:textId="77777777" w:rsidR="00A8620A" w:rsidRPr="004F5FB4" w:rsidRDefault="00A8620A" w:rsidP="00982118">
      <w:pPr>
        <w:pStyle w:val="ListParagraph"/>
        <w:autoSpaceDE w:val="0"/>
        <w:autoSpaceDN w:val="0"/>
        <w:adjustRightInd w:val="0"/>
        <w:ind w:left="540"/>
        <w:rPr>
          <w:color w:val="000000"/>
        </w:rPr>
      </w:pPr>
    </w:p>
    <w:p w14:paraId="3873CE7E"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Nehmen Sie eine Faltschachtel aus dem Umkarton. Die Faltschachtel enthält eine Spritze, einen Adapter für die Durchstechflasche, eine Durchstechflasche, zwei Alkoholtupfer und eine Nadel. Wenn noch eine zweite Faltschachtel für eine künftige Injektion in dem Umkarton ist, stellen Sie sie sofort in den Kühlschrank zurück.</w:t>
      </w:r>
    </w:p>
    <w:p w14:paraId="4DC58A6B" w14:textId="77777777" w:rsidR="00A8620A" w:rsidRPr="004F5FB4" w:rsidRDefault="00A8620A" w:rsidP="00982118">
      <w:pPr>
        <w:pStyle w:val="ListParagraph"/>
        <w:autoSpaceDE w:val="0"/>
        <w:autoSpaceDN w:val="0"/>
        <w:adjustRightInd w:val="0"/>
        <w:ind w:left="540"/>
        <w:rPr>
          <w:color w:val="000000"/>
        </w:rPr>
      </w:pPr>
    </w:p>
    <w:p w14:paraId="2E5C1220"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Überprüfen Sie das Verfalldatum auf der Faltschachtel, deren Inhalt Sie verwenden möchten. Verwenden Sie </w:t>
      </w:r>
      <w:r w:rsidRPr="004F5FB4">
        <w:rPr>
          <w:b/>
          <w:bCs/>
          <w:color w:val="000000"/>
        </w:rPr>
        <w:t>KEINEN</w:t>
      </w:r>
      <w:r w:rsidRPr="004F5FB4">
        <w:rPr>
          <w:color w:val="000000"/>
        </w:rPr>
        <w:t xml:space="preserve"> Gegenstand der Packung nach dem Verfalldatum, das auf dem Umkarton angegeben ist.</w:t>
      </w:r>
    </w:p>
    <w:p w14:paraId="1D3014A4" w14:textId="77777777" w:rsidR="00A8620A" w:rsidRPr="004F5FB4" w:rsidRDefault="00A8620A" w:rsidP="00982118">
      <w:pPr>
        <w:pStyle w:val="ListParagraph"/>
        <w:autoSpaceDE w:val="0"/>
        <w:autoSpaceDN w:val="0"/>
        <w:adjustRightInd w:val="0"/>
        <w:ind w:left="540"/>
        <w:rPr>
          <w:color w:val="000000"/>
        </w:rPr>
      </w:pPr>
    </w:p>
    <w:p w14:paraId="5894A833"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Stellen Sie die folgenden Gegenstände auf einer sauberen Oberfläche bereit. Nehmen Sie sie </w:t>
      </w:r>
      <w:r w:rsidRPr="004F5FB4">
        <w:rPr>
          <w:b/>
          <w:bCs/>
          <w:color w:val="000000"/>
        </w:rPr>
        <w:t xml:space="preserve">NOCH NICHT </w:t>
      </w:r>
      <w:r w:rsidRPr="004F5FB4">
        <w:rPr>
          <w:color w:val="000000"/>
        </w:rPr>
        <w:t>aus ihrer Einzelverpackung:</w:t>
      </w:r>
    </w:p>
    <w:p w14:paraId="5A059773" w14:textId="77777777" w:rsidR="00A8620A" w:rsidRPr="004F5FB4" w:rsidRDefault="00A8620A" w:rsidP="00982118">
      <w:pPr>
        <w:pStyle w:val="ListParagraph"/>
        <w:autoSpaceDE w:val="0"/>
        <w:autoSpaceDN w:val="0"/>
        <w:adjustRightInd w:val="0"/>
        <w:ind w:left="1080"/>
        <w:rPr>
          <w:rFonts w:eastAsia="SymbolMT"/>
          <w:color w:val="000000"/>
          <w:lang w:val="en-GB"/>
        </w:rPr>
      </w:pPr>
    </w:p>
    <w:p w14:paraId="238FF856" w14:textId="77777777" w:rsidR="00A8620A" w:rsidRPr="004F5FB4" w:rsidRDefault="0078037B" w:rsidP="00982118">
      <w:pPr>
        <w:pStyle w:val="ListParagraph"/>
        <w:numPr>
          <w:ilvl w:val="1"/>
          <w:numId w:val="29"/>
        </w:numPr>
        <w:autoSpaceDE w:val="0"/>
        <w:autoSpaceDN w:val="0"/>
        <w:adjustRightInd w:val="0"/>
        <w:ind w:left="1080" w:hanging="540"/>
        <w:contextualSpacing/>
        <w:rPr>
          <w:rFonts w:eastAsia="SymbolMT"/>
          <w:color w:val="000000"/>
        </w:rPr>
      </w:pPr>
      <w:r w:rsidRPr="004F5FB4">
        <w:rPr>
          <w:color w:val="000000"/>
        </w:rPr>
        <w:t>e</w:t>
      </w:r>
      <w:r w:rsidR="00A8620A" w:rsidRPr="004F5FB4">
        <w:rPr>
          <w:color w:val="000000"/>
        </w:rPr>
        <w:t>ine 1-ml-Spritze (1)</w:t>
      </w:r>
    </w:p>
    <w:p w14:paraId="6536C1BF" w14:textId="77777777" w:rsidR="00A8620A" w:rsidRPr="004F5FB4" w:rsidRDefault="0078037B" w:rsidP="00982118">
      <w:pPr>
        <w:pStyle w:val="ListParagraph"/>
        <w:numPr>
          <w:ilvl w:val="1"/>
          <w:numId w:val="29"/>
        </w:numPr>
        <w:autoSpaceDE w:val="0"/>
        <w:autoSpaceDN w:val="0"/>
        <w:adjustRightInd w:val="0"/>
        <w:ind w:left="1080" w:hanging="540"/>
        <w:contextualSpacing/>
        <w:rPr>
          <w:rFonts w:eastAsia="SymbolMT"/>
          <w:color w:val="000000"/>
        </w:rPr>
      </w:pPr>
      <w:r w:rsidRPr="004F5FB4">
        <w:rPr>
          <w:color w:val="000000"/>
        </w:rPr>
        <w:t>e</w:t>
      </w:r>
      <w:r w:rsidR="00A8620A" w:rsidRPr="004F5FB4">
        <w:rPr>
          <w:color w:val="000000"/>
        </w:rPr>
        <w:t>inen Adapter für die Durchstechflasche (2)</w:t>
      </w:r>
    </w:p>
    <w:p w14:paraId="00B3B9AC" w14:textId="77777777" w:rsidR="00A8620A" w:rsidRPr="004F5FB4" w:rsidRDefault="0078037B" w:rsidP="00982118">
      <w:pPr>
        <w:pStyle w:val="ListParagraph"/>
        <w:numPr>
          <w:ilvl w:val="1"/>
          <w:numId w:val="29"/>
        </w:numPr>
        <w:autoSpaceDE w:val="0"/>
        <w:autoSpaceDN w:val="0"/>
        <w:adjustRightInd w:val="0"/>
        <w:ind w:left="1080" w:hanging="540"/>
        <w:contextualSpacing/>
        <w:rPr>
          <w:rFonts w:eastAsia="SymbolMT"/>
          <w:color w:val="000000"/>
        </w:rPr>
      </w:pPr>
      <w:r w:rsidRPr="004F5FB4">
        <w:rPr>
          <w:color w:val="000000"/>
        </w:rPr>
        <w:t>e</w:t>
      </w:r>
      <w:r w:rsidR="00A8620A" w:rsidRPr="004F5FB4">
        <w:rPr>
          <w:color w:val="000000"/>
        </w:rPr>
        <w:t>ine Durchstechflasche mit Amsparity zur Anwendung bei Kindern und Jugendlichen für die Injektion (3)</w:t>
      </w:r>
    </w:p>
    <w:p w14:paraId="09E6A393" w14:textId="77777777" w:rsidR="00A8620A" w:rsidRPr="004F5FB4" w:rsidRDefault="0078037B" w:rsidP="00982118">
      <w:pPr>
        <w:pStyle w:val="ListParagraph"/>
        <w:numPr>
          <w:ilvl w:val="1"/>
          <w:numId w:val="29"/>
        </w:numPr>
        <w:autoSpaceDE w:val="0"/>
        <w:autoSpaceDN w:val="0"/>
        <w:adjustRightInd w:val="0"/>
        <w:ind w:left="1080" w:hanging="540"/>
        <w:contextualSpacing/>
        <w:rPr>
          <w:rFonts w:eastAsia="SymbolMT"/>
          <w:color w:val="000000"/>
        </w:rPr>
      </w:pPr>
      <w:r w:rsidRPr="004F5FB4">
        <w:rPr>
          <w:color w:val="000000"/>
        </w:rPr>
        <w:t>z</w:t>
      </w:r>
      <w:r w:rsidR="00A8620A" w:rsidRPr="004F5FB4">
        <w:rPr>
          <w:color w:val="000000"/>
        </w:rPr>
        <w:t>wei Alkoholtupfer (4)</w:t>
      </w:r>
    </w:p>
    <w:p w14:paraId="701DF8B2" w14:textId="77777777" w:rsidR="00A8620A" w:rsidRPr="004F5FB4" w:rsidRDefault="0078037B" w:rsidP="00982118">
      <w:pPr>
        <w:pStyle w:val="ListParagraph"/>
        <w:numPr>
          <w:ilvl w:val="1"/>
          <w:numId w:val="29"/>
        </w:numPr>
        <w:autoSpaceDE w:val="0"/>
        <w:autoSpaceDN w:val="0"/>
        <w:adjustRightInd w:val="0"/>
        <w:ind w:left="1080" w:hanging="540"/>
        <w:contextualSpacing/>
        <w:rPr>
          <w:rFonts w:eastAsia="SymbolMT"/>
          <w:color w:val="000000"/>
        </w:rPr>
      </w:pPr>
      <w:r w:rsidRPr="004F5FB4">
        <w:rPr>
          <w:color w:val="000000"/>
        </w:rPr>
        <w:lastRenderedPageBreak/>
        <w:t>e</w:t>
      </w:r>
      <w:r w:rsidR="00A8620A" w:rsidRPr="004F5FB4">
        <w:rPr>
          <w:color w:val="000000"/>
        </w:rPr>
        <w:t>ine Nadel (5)</w:t>
      </w:r>
    </w:p>
    <w:p w14:paraId="48DAB625" w14:textId="77777777" w:rsidR="00A8620A" w:rsidRPr="004F5FB4" w:rsidRDefault="00A8620A" w:rsidP="00982118">
      <w:pPr>
        <w:pStyle w:val="NoSpacing"/>
        <w:rPr>
          <w:rFonts w:ascii="Times New Roman" w:hAnsi="Times New Roman"/>
          <w:color w:val="000000"/>
          <w:lang w:val="en-GB"/>
        </w:rPr>
      </w:pPr>
    </w:p>
    <w:p w14:paraId="098A73D9" w14:textId="7B50F50B" w:rsidR="002B32EE" w:rsidRPr="004F5FB4" w:rsidRDefault="00032CD3" w:rsidP="00982118">
      <w:pPr>
        <w:pStyle w:val="NoSpacing"/>
        <w:jc w:val="center"/>
        <w:rPr>
          <w:rFonts w:ascii="Times New Roman" w:hAnsi="Times New Roman"/>
          <w:color w:val="000000"/>
        </w:rPr>
      </w:pPr>
      <w:r w:rsidRPr="004F5FB4">
        <w:rPr>
          <w:rFonts w:ascii="Times New Roman" w:hAnsi="Times New Roman"/>
          <w:noProof/>
          <w:color w:val="000000"/>
          <w:lang w:eastAsia="de-DE"/>
        </w:rPr>
        <w:drawing>
          <wp:inline distT="0" distB="0" distL="0" distR="0" wp14:anchorId="6A897E5C" wp14:editId="2852609B">
            <wp:extent cx="2009775" cy="2028825"/>
            <wp:effectExtent l="0" t="0" r="0" b="0"/>
            <wp:docPr id="28" name="Picture 26" descr="adi vial individual illustration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di vial individual illustrations-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9775" cy="2028825"/>
                    </a:xfrm>
                    <a:prstGeom prst="rect">
                      <a:avLst/>
                    </a:prstGeom>
                    <a:noFill/>
                    <a:ln>
                      <a:noFill/>
                    </a:ln>
                  </pic:spPr>
                </pic:pic>
              </a:graphicData>
            </a:graphic>
          </wp:inline>
        </w:drawing>
      </w:r>
    </w:p>
    <w:p w14:paraId="1F8B0D79" w14:textId="77777777" w:rsidR="00A8620A" w:rsidRPr="004F5FB4" w:rsidRDefault="00A8620A" w:rsidP="00982118">
      <w:pPr>
        <w:pStyle w:val="NoSpacing"/>
        <w:rPr>
          <w:rFonts w:ascii="Times New Roman" w:hAnsi="Times New Roman"/>
          <w:color w:val="000000"/>
          <w:lang w:val="en-GB"/>
        </w:rPr>
      </w:pPr>
    </w:p>
    <w:p w14:paraId="349092EE" w14:textId="77777777" w:rsidR="00A8620A" w:rsidRPr="004F5FB4" w:rsidRDefault="006A1144" w:rsidP="00982118">
      <w:pPr>
        <w:pStyle w:val="NoSpacing"/>
        <w:rPr>
          <w:rFonts w:ascii="Times New Roman" w:hAnsi="Times New Roman"/>
          <w:color w:val="000000"/>
        </w:rPr>
      </w:pPr>
      <w:r w:rsidRPr="004F5FB4">
        <w:rPr>
          <w:rFonts w:ascii="Times New Roman" w:hAnsi="Times New Roman"/>
          <w:color w:val="000000"/>
        </w:rPr>
        <w:t xml:space="preserve">Amsparity ist eine klare und farblose bis sehr hellbraune Flüssigkeit, die frei von Flocken oder </w:t>
      </w:r>
      <w:r w:rsidR="00564088" w:rsidRPr="004F5FB4">
        <w:rPr>
          <w:rFonts w:ascii="Times New Roman" w:hAnsi="Times New Roman"/>
          <w:color w:val="000000"/>
        </w:rPr>
        <w:t xml:space="preserve">Teilchen </w:t>
      </w:r>
      <w:r w:rsidRPr="004F5FB4">
        <w:rPr>
          <w:rFonts w:ascii="Times New Roman" w:hAnsi="Times New Roman"/>
          <w:color w:val="000000"/>
        </w:rPr>
        <w:t xml:space="preserve">ist. Wenn die Flüssigkeit Flocken oder </w:t>
      </w:r>
      <w:r w:rsidR="00564088" w:rsidRPr="004F5FB4">
        <w:rPr>
          <w:rFonts w:ascii="Times New Roman" w:hAnsi="Times New Roman"/>
          <w:color w:val="000000"/>
        </w:rPr>
        <w:t xml:space="preserve">Teilchen </w:t>
      </w:r>
      <w:r w:rsidRPr="004F5FB4">
        <w:rPr>
          <w:rFonts w:ascii="Times New Roman" w:hAnsi="Times New Roman"/>
          <w:color w:val="000000"/>
        </w:rPr>
        <w:t xml:space="preserve">enthält, verwenden Sie sie </w:t>
      </w:r>
      <w:r w:rsidRPr="004F5FB4">
        <w:rPr>
          <w:rFonts w:ascii="Times New Roman" w:hAnsi="Times New Roman"/>
          <w:b/>
          <w:bCs/>
          <w:color w:val="000000"/>
        </w:rPr>
        <w:t>NICHT</w:t>
      </w:r>
      <w:r w:rsidRPr="004F5FB4">
        <w:rPr>
          <w:rFonts w:ascii="Times New Roman" w:hAnsi="Times New Roman"/>
          <w:color w:val="000000"/>
        </w:rPr>
        <w:t>.</w:t>
      </w:r>
    </w:p>
    <w:p w14:paraId="2961823D" w14:textId="77777777" w:rsidR="00A8620A" w:rsidRPr="004F5FB4" w:rsidRDefault="00A8620A" w:rsidP="00982118">
      <w:pPr>
        <w:autoSpaceDE w:val="0"/>
        <w:autoSpaceDN w:val="0"/>
        <w:adjustRightInd w:val="0"/>
        <w:rPr>
          <w:rFonts w:eastAsia="SymbolMT"/>
          <w:color w:val="000000"/>
        </w:rPr>
      </w:pPr>
    </w:p>
    <w:p w14:paraId="1CCE2678" w14:textId="77777777" w:rsidR="00A8620A" w:rsidRPr="004F5FB4" w:rsidRDefault="00A8620A" w:rsidP="00982118">
      <w:pPr>
        <w:pStyle w:val="ListParagraph"/>
        <w:numPr>
          <w:ilvl w:val="0"/>
          <w:numId w:val="30"/>
        </w:numPr>
        <w:autoSpaceDE w:val="0"/>
        <w:autoSpaceDN w:val="0"/>
        <w:adjustRightInd w:val="0"/>
        <w:ind w:left="540" w:hanging="540"/>
        <w:contextualSpacing/>
        <w:rPr>
          <w:b/>
          <w:bCs/>
          <w:color w:val="000000"/>
        </w:rPr>
      </w:pPr>
      <w:r w:rsidRPr="004F5FB4">
        <w:rPr>
          <w:b/>
          <w:bCs/>
          <w:color w:val="000000"/>
        </w:rPr>
        <w:t>Vorbereitung der Amsparity-Dosis für eine Injektion</w:t>
      </w:r>
    </w:p>
    <w:p w14:paraId="2BA687F0" w14:textId="77777777" w:rsidR="00A8620A" w:rsidRPr="004F5FB4" w:rsidRDefault="00A8620A" w:rsidP="00982118">
      <w:pPr>
        <w:autoSpaceDE w:val="0"/>
        <w:autoSpaceDN w:val="0"/>
        <w:adjustRightInd w:val="0"/>
        <w:ind w:left="426"/>
        <w:rPr>
          <w:rFonts w:eastAsia="SymbolMT"/>
          <w:b/>
          <w:bCs/>
          <w:color w:val="000000"/>
        </w:rPr>
      </w:pPr>
    </w:p>
    <w:p w14:paraId="2EB9BA76" w14:textId="77777777" w:rsidR="00A8620A" w:rsidRPr="004F5FB4" w:rsidRDefault="00A8620A" w:rsidP="0078037B">
      <w:pPr>
        <w:autoSpaceDE w:val="0"/>
        <w:autoSpaceDN w:val="0"/>
        <w:adjustRightInd w:val="0"/>
        <w:rPr>
          <w:rFonts w:eastAsia="SymbolMT"/>
          <w:color w:val="000000"/>
        </w:rPr>
      </w:pPr>
      <w:r w:rsidRPr="004F5FB4">
        <w:rPr>
          <w:color w:val="000000"/>
        </w:rPr>
        <w:t xml:space="preserve">Allgemeine Handlungsanweisung: Beseitigen Sie den Abfall </w:t>
      </w:r>
      <w:r w:rsidRPr="004F5FB4">
        <w:rPr>
          <w:b/>
          <w:bCs/>
          <w:color w:val="000000"/>
        </w:rPr>
        <w:t>ERST DANN</w:t>
      </w:r>
      <w:r w:rsidRPr="004F5FB4">
        <w:rPr>
          <w:color w:val="000000"/>
        </w:rPr>
        <w:t>, wenn die Injektion abgeschlossen ist.</w:t>
      </w:r>
    </w:p>
    <w:p w14:paraId="26330428" w14:textId="77777777" w:rsidR="00A8620A" w:rsidRPr="004F5FB4" w:rsidRDefault="00A8620A" w:rsidP="00982118">
      <w:pPr>
        <w:autoSpaceDE w:val="0"/>
        <w:autoSpaceDN w:val="0"/>
        <w:adjustRightInd w:val="0"/>
        <w:rPr>
          <w:rFonts w:eastAsia="SymbolMT"/>
          <w:color w:val="000000"/>
        </w:rPr>
      </w:pPr>
    </w:p>
    <w:p w14:paraId="0E332A5B" w14:textId="77777777" w:rsidR="00A8620A" w:rsidRPr="004F5FB4" w:rsidRDefault="006A4773" w:rsidP="00982118">
      <w:pPr>
        <w:pStyle w:val="ListParagraph"/>
        <w:numPr>
          <w:ilvl w:val="0"/>
          <w:numId w:val="29"/>
        </w:numPr>
        <w:autoSpaceDE w:val="0"/>
        <w:autoSpaceDN w:val="0"/>
        <w:adjustRightInd w:val="0"/>
        <w:ind w:left="540" w:hanging="540"/>
        <w:contextualSpacing/>
        <w:rPr>
          <w:rFonts w:eastAsia="SymbolMT"/>
          <w:color w:val="000000"/>
        </w:rPr>
      </w:pPr>
      <w:r w:rsidRPr="004F5FB4">
        <w:rPr>
          <w:color w:val="000000"/>
        </w:rPr>
        <w:t>Bereiten Sie die Nadel vor</w:t>
      </w:r>
      <w:r w:rsidR="004A550D">
        <w:rPr>
          <w:color w:val="000000"/>
        </w:rPr>
        <w:t xml:space="preserve">: </w:t>
      </w:r>
      <w:r w:rsidR="00A8620A" w:rsidRPr="004F5FB4">
        <w:rPr>
          <w:color w:val="000000"/>
        </w:rPr>
        <w:t>Öffnen Sie die Verpackung</w:t>
      </w:r>
      <w:r w:rsidR="0078037B" w:rsidRPr="004F5FB4">
        <w:rPr>
          <w:color w:val="000000"/>
        </w:rPr>
        <w:t xml:space="preserve"> der Nadel</w:t>
      </w:r>
      <w:r w:rsidR="00A8620A" w:rsidRPr="004F5FB4">
        <w:rPr>
          <w:color w:val="000000"/>
        </w:rPr>
        <w:t xml:space="preserve"> ein Stück weit von dem Ende her, das dem gelben Anschlussteil </w:t>
      </w:r>
      <w:r w:rsidR="00CB2FB8" w:rsidRPr="004F5FB4">
        <w:rPr>
          <w:color w:val="000000"/>
        </w:rPr>
        <w:t xml:space="preserve">für </w:t>
      </w:r>
      <w:r w:rsidR="00A8620A" w:rsidRPr="004F5FB4">
        <w:rPr>
          <w:color w:val="000000"/>
        </w:rPr>
        <w:t>d</w:t>
      </w:r>
      <w:r w:rsidR="00CB2FB8" w:rsidRPr="004F5FB4">
        <w:rPr>
          <w:color w:val="000000"/>
        </w:rPr>
        <w:t>ie</w:t>
      </w:r>
      <w:r w:rsidR="00A8620A" w:rsidRPr="004F5FB4">
        <w:rPr>
          <w:color w:val="000000"/>
        </w:rPr>
        <w:t xml:space="preserve"> Spritze am nächsten ist. Ziehen Sie die Verpackung nur so weit auf, dass das gelbe Anschlussteil für die Spritze frei liegt. Legen Sie die Verpackung nun so ab, dass die durchsichtige Verpackungsseite nach oben zeigt.</w:t>
      </w:r>
    </w:p>
    <w:p w14:paraId="5BECA4E5" w14:textId="77777777" w:rsidR="00A8620A" w:rsidRPr="004F5FB4" w:rsidRDefault="00A8620A" w:rsidP="00982118">
      <w:pPr>
        <w:pStyle w:val="NoSpacing"/>
        <w:ind w:left="709"/>
        <w:rPr>
          <w:rFonts w:ascii="Times New Roman" w:eastAsia="SymbolMT" w:hAnsi="Times New Roman"/>
          <w:color w:val="000000"/>
        </w:rPr>
      </w:pPr>
    </w:p>
    <w:p w14:paraId="207EDC1B" w14:textId="07E79C26" w:rsidR="00A8620A" w:rsidRPr="004F5FB4" w:rsidRDefault="00032CD3" w:rsidP="00982118">
      <w:pPr>
        <w:pStyle w:val="NoSpacing"/>
        <w:ind w:left="709"/>
        <w:jc w:val="center"/>
        <w:rPr>
          <w:rFonts w:ascii="Times New Roman" w:eastAsia="SymbolMT" w:hAnsi="Times New Roman"/>
          <w:color w:val="000000"/>
        </w:rPr>
      </w:pPr>
      <w:r w:rsidRPr="004F5FB4">
        <w:rPr>
          <w:rFonts w:ascii="Times New Roman" w:hAnsi="Times New Roman"/>
          <w:noProof/>
          <w:color w:val="000000"/>
          <w:lang w:eastAsia="de-DE"/>
        </w:rPr>
        <w:drawing>
          <wp:inline distT="0" distB="0" distL="0" distR="0" wp14:anchorId="37C17866" wp14:editId="744EA39C">
            <wp:extent cx="1962150" cy="2009775"/>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DCEB566" w14:textId="77777777" w:rsidR="00A8620A" w:rsidRPr="004F5FB4" w:rsidRDefault="00A8620A" w:rsidP="00982118">
      <w:pPr>
        <w:pStyle w:val="NoSpacing"/>
        <w:ind w:left="709"/>
        <w:jc w:val="center"/>
        <w:rPr>
          <w:rFonts w:ascii="Times New Roman" w:eastAsia="SymbolMT" w:hAnsi="Times New Roman"/>
          <w:color w:val="000000"/>
          <w:lang w:val="en-GB"/>
        </w:rPr>
      </w:pPr>
    </w:p>
    <w:p w14:paraId="3E11EFBC" w14:textId="77777777" w:rsidR="00A8620A" w:rsidRPr="004F5FB4" w:rsidRDefault="00A8620A" w:rsidP="00982118">
      <w:pPr>
        <w:pStyle w:val="ListParagraph"/>
        <w:numPr>
          <w:ilvl w:val="0"/>
          <w:numId w:val="29"/>
        </w:numPr>
        <w:autoSpaceDE w:val="0"/>
        <w:autoSpaceDN w:val="0"/>
        <w:adjustRightInd w:val="0"/>
        <w:ind w:left="540" w:hanging="540"/>
        <w:contextualSpacing/>
        <w:rPr>
          <w:rFonts w:eastAsia="SymbolMT"/>
          <w:color w:val="000000"/>
        </w:rPr>
      </w:pPr>
      <w:r w:rsidRPr="004F5FB4">
        <w:rPr>
          <w:color w:val="000000"/>
        </w:rPr>
        <w:t>Drücken Sie die Plastikkappe von der Durchstechflasche ab. Jetzt sehen Sie die Oberseite des Stopfens der Durchstechflasche.</w:t>
      </w:r>
    </w:p>
    <w:p w14:paraId="5126C56E" w14:textId="77777777" w:rsidR="00A8620A" w:rsidRPr="004F5FB4" w:rsidRDefault="00A8620A" w:rsidP="00982118">
      <w:pPr>
        <w:pStyle w:val="NoSpacing"/>
        <w:rPr>
          <w:rFonts w:ascii="Times New Roman" w:eastAsia="SymbolMT" w:hAnsi="Times New Roman"/>
          <w:color w:val="000000"/>
        </w:rPr>
      </w:pPr>
    </w:p>
    <w:p w14:paraId="5770E766" w14:textId="4200DC2A" w:rsidR="00A8620A" w:rsidRPr="004F5FB4" w:rsidRDefault="00032CD3" w:rsidP="00982118">
      <w:pPr>
        <w:pStyle w:val="NoSpacing"/>
        <w:jc w:val="center"/>
        <w:rPr>
          <w:rFonts w:ascii="Times New Roman" w:eastAsia="SymbolMT" w:hAnsi="Times New Roman"/>
          <w:color w:val="000000"/>
        </w:rPr>
      </w:pPr>
      <w:r w:rsidRPr="004F5FB4">
        <w:rPr>
          <w:rFonts w:ascii="Times New Roman" w:hAnsi="Times New Roman"/>
          <w:noProof/>
          <w:color w:val="000000"/>
          <w:lang w:eastAsia="de-DE"/>
        </w:rPr>
        <w:lastRenderedPageBreak/>
        <w:drawing>
          <wp:inline distT="0" distB="0" distL="0" distR="0" wp14:anchorId="1434A6E4" wp14:editId="24EA0CFC">
            <wp:extent cx="1971675" cy="2009775"/>
            <wp:effectExtent l="0" t="0" r="0" b="0"/>
            <wp:docPr id="30" name="Picture 28" descr="adi vial individual illustra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di vial individual illustrations-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71675" cy="2009775"/>
                    </a:xfrm>
                    <a:prstGeom prst="rect">
                      <a:avLst/>
                    </a:prstGeom>
                    <a:noFill/>
                    <a:ln>
                      <a:noFill/>
                    </a:ln>
                  </pic:spPr>
                </pic:pic>
              </a:graphicData>
            </a:graphic>
          </wp:inline>
        </w:drawing>
      </w:r>
    </w:p>
    <w:p w14:paraId="216A171D" w14:textId="77777777" w:rsidR="00A8620A" w:rsidRPr="004F5FB4" w:rsidRDefault="00A8620A" w:rsidP="00982118">
      <w:pPr>
        <w:pStyle w:val="ListParagraph"/>
        <w:numPr>
          <w:ilvl w:val="0"/>
          <w:numId w:val="29"/>
        </w:numPr>
        <w:autoSpaceDE w:val="0"/>
        <w:autoSpaceDN w:val="0"/>
        <w:adjustRightInd w:val="0"/>
        <w:ind w:left="540" w:hanging="540"/>
        <w:contextualSpacing/>
        <w:rPr>
          <w:rFonts w:eastAsia="SymbolMT"/>
          <w:color w:val="000000"/>
        </w:rPr>
      </w:pPr>
      <w:r w:rsidRPr="004F5FB4">
        <w:rPr>
          <w:color w:val="000000"/>
        </w:rPr>
        <w:t xml:space="preserve">Wischen Sie den Stopfen der Durchstechflasche mit einem Alkoholtupfer ab. Berühren Sie den Stopfen danach </w:t>
      </w:r>
      <w:r w:rsidRPr="004F5FB4">
        <w:rPr>
          <w:b/>
          <w:bCs/>
          <w:color w:val="000000"/>
        </w:rPr>
        <w:t>NICHT</w:t>
      </w:r>
      <w:r w:rsidRPr="004F5FB4">
        <w:rPr>
          <w:color w:val="000000"/>
        </w:rPr>
        <w:t xml:space="preserve"> mehr.</w:t>
      </w:r>
    </w:p>
    <w:p w14:paraId="7E056BF4" w14:textId="77777777" w:rsidR="00A8620A" w:rsidRPr="004F5FB4" w:rsidRDefault="00A8620A" w:rsidP="00982118">
      <w:pPr>
        <w:pStyle w:val="ListParagraph"/>
        <w:autoSpaceDE w:val="0"/>
        <w:autoSpaceDN w:val="0"/>
        <w:adjustRightInd w:val="0"/>
        <w:ind w:left="540"/>
        <w:rPr>
          <w:rFonts w:eastAsia="SymbolMT"/>
          <w:color w:val="000000"/>
          <w:lang w:val="en-GB"/>
        </w:rPr>
      </w:pPr>
    </w:p>
    <w:p w14:paraId="310B673A" w14:textId="77777777" w:rsidR="00A8620A" w:rsidRPr="004F5FB4" w:rsidRDefault="00A8620A" w:rsidP="00982118">
      <w:pPr>
        <w:pStyle w:val="ListParagraph"/>
        <w:numPr>
          <w:ilvl w:val="0"/>
          <w:numId w:val="29"/>
        </w:numPr>
        <w:autoSpaceDE w:val="0"/>
        <w:autoSpaceDN w:val="0"/>
        <w:adjustRightInd w:val="0"/>
        <w:ind w:left="540" w:hanging="540"/>
        <w:contextualSpacing/>
        <w:rPr>
          <w:rFonts w:eastAsia="SymbolMT"/>
          <w:color w:val="000000"/>
        </w:rPr>
      </w:pPr>
      <w:r w:rsidRPr="004F5FB4">
        <w:rPr>
          <w:color w:val="000000"/>
        </w:rPr>
        <w:t>Ziehen Sie die Abdeckung von der Verpackung des Adapters für die Durchstechflasche ab, aber entnehmen Sie den Adapter noch nicht.</w:t>
      </w:r>
    </w:p>
    <w:p w14:paraId="1D83F204" w14:textId="77777777" w:rsidR="00A8620A" w:rsidRPr="004F5FB4" w:rsidRDefault="00A8620A" w:rsidP="00982118">
      <w:pPr>
        <w:autoSpaceDE w:val="0"/>
        <w:autoSpaceDN w:val="0"/>
        <w:adjustRightInd w:val="0"/>
        <w:rPr>
          <w:color w:val="000000"/>
        </w:rPr>
      </w:pPr>
    </w:p>
    <w:p w14:paraId="69E8440A" w14:textId="62D1B0F6"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42F33765" wp14:editId="2F3A18AF">
            <wp:extent cx="1962150" cy="2009775"/>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0E872381"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Halten Sie die Durchstechflasche so, dass der Stopfen nach oben zeigt.</w:t>
      </w:r>
    </w:p>
    <w:p w14:paraId="7169C69B" w14:textId="77777777" w:rsidR="00A8620A" w:rsidRPr="004F5FB4" w:rsidRDefault="00A8620A" w:rsidP="00982118">
      <w:pPr>
        <w:pStyle w:val="ListParagraph"/>
        <w:autoSpaceDE w:val="0"/>
        <w:autoSpaceDN w:val="0"/>
        <w:adjustRightInd w:val="0"/>
        <w:ind w:left="540"/>
        <w:rPr>
          <w:color w:val="000000"/>
        </w:rPr>
      </w:pPr>
    </w:p>
    <w:p w14:paraId="01F511BD"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Drücken Sie nun den Adapter, der sich noch im durchsichtigen Verpackungsteil befindet, auf den Stopfen der Durchstechflasche, bis der Adapter einrastet.</w:t>
      </w:r>
    </w:p>
    <w:p w14:paraId="31B622A7" w14:textId="77777777" w:rsidR="00A8620A" w:rsidRPr="004F5FB4" w:rsidRDefault="00A8620A" w:rsidP="00982118">
      <w:pPr>
        <w:autoSpaceDE w:val="0"/>
        <w:autoSpaceDN w:val="0"/>
        <w:adjustRightInd w:val="0"/>
        <w:rPr>
          <w:color w:val="000000"/>
        </w:rPr>
      </w:pPr>
    </w:p>
    <w:p w14:paraId="335C33D8"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Wenn Sie sicher sind, dass der Adapter auf der Durchstechflasche befestigt ist, entfernen Sie die Verpackung vom Adapter.</w:t>
      </w:r>
    </w:p>
    <w:p w14:paraId="733DA169" w14:textId="77777777" w:rsidR="00A8620A" w:rsidRPr="004F5FB4" w:rsidRDefault="00A8620A" w:rsidP="00982118">
      <w:pPr>
        <w:pStyle w:val="ListParagraph"/>
        <w:autoSpaceDE w:val="0"/>
        <w:autoSpaceDN w:val="0"/>
        <w:adjustRightInd w:val="0"/>
        <w:ind w:left="540"/>
        <w:rPr>
          <w:color w:val="000000"/>
        </w:rPr>
      </w:pPr>
    </w:p>
    <w:p w14:paraId="1E661EF9"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Stellen Sie nun die Durchstechflasche mit dem Adapter behutsam auf Ihre saubere Arbeitsfläche. Passen Sie auf, dass sie nicht umfällt. Berühren Sie den Adapter für die Durchstechflasche </w:t>
      </w:r>
      <w:r w:rsidRPr="004F5FB4">
        <w:rPr>
          <w:b/>
          <w:bCs/>
          <w:color w:val="000000"/>
        </w:rPr>
        <w:t>NICHT</w:t>
      </w:r>
      <w:r w:rsidRPr="004F5FB4">
        <w:rPr>
          <w:color w:val="000000"/>
        </w:rPr>
        <w:t>.</w:t>
      </w:r>
    </w:p>
    <w:p w14:paraId="4EBF0A9A" w14:textId="77777777" w:rsidR="00A8620A" w:rsidRPr="004F5FB4" w:rsidRDefault="00A8620A" w:rsidP="00982118">
      <w:pPr>
        <w:autoSpaceDE w:val="0"/>
        <w:autoSpaceDN w:val="0"/>
        <w:adjustRightInd w:val="0"/>
        <w:rPr>
          <w:color w:val="000000"/>
        </w:rPr>
      </w:pPr>
    </w:p>
    <w:p w14:paraId="12068F1D" w14:textId="6127D8F0" w:rsidR="00A8620A" w:rsidRPr="004F5FB4" w:rsidRDefault="00032CD3" w:rsidP="00982118">
      <w:pPr>
        <w:autoSpaceDE w:val="0"/>
        <w:autoSpaceDN w:val="0"/>
        <w:adjustRightInd w:val="0"/>
        <w:jc w:val="center"/>
        <w:rPr>
          <w:color w:val="000000"/>
        </w:rPr>
      </w:pPr>
      <w:r w:rsidRPr="004F5FB4">
        <w:rPr>
          <w:noProof/>
          <w:color w:val="000000"/>
        </w:rPr>
        <mc:AlternateContent>
          <mc:Choice Requires="wps">
            <w:drawing>
              <wp:anchor distT="0" distB="0" distL="114300" distR="114300" simplePos="0" relativeHeight="251658281" behindDoc="0" locked="0" layoutInCell="1" allowOverlap="1" wp14:anchorId="10B66274" wp14:editId="481B7A18">
                <wp:simplePos x="0" y="0"/>
                <wp:positionH relativeFrom="column">
                  <wp:posOffset>2183765</wp:posOffset>
                </wp:positionH>
                <wp:positionV relativeFrom="paragraph">
                  <wp:posOffset>1481455</wp:posOffset>
                </wp:positionV>
                <wp:extent cx="457835" cy="250190"/>
                <wp:effectExtent l="0" t="0" r="0" b="0"/>
                <wp:wrapNone/>
                <wp:docPr id="11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250190"/>
                        </a:xfrm>
                        <a:prstGeom prst="rect">
                          <a:avLst/>
                        </a:prstGeom>
                        <a:solidFill>
                          <a:srgbClr val="FFFFFF"/>
                        </a:solidFill>
                        <a:ln>
                          <a:noFill/>
                        </a:ln>
                      </wps:spPr>
                      <wps:txbx>
                        <w:txbxContent>
                          <w:p w14:paraId="25520400" w14:textId="77777777" w:rsidR="008F3710" w:rsidRPr="009E6D01" w:rsidRDefault="008F3710" w:rsidP="009E6D01">
                            <w:pPr>
                              <w:rPr>
                                <w:b/>
                                <w:bCs/>
                                <w:sz w:val="18"/>
                                <w:szCs w:val="18"/>
                              </w:rPr>
                            </w:pPr>
                            <w:r>
                              <w:rPr>
                                <w:b/>
                                <w:bCs/>
                                <w:sz w:val="18"/>
                                <w:szCs w:val="18"/>
                              </w:rPr>
                              <w:t>Klick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66274" id="Text Box 271" o:spid="_x0000_s1087" type="#_x0000_t202" style="position:absolute;left:0;text-align:left;margin-left:171.95pt;margin-top:116.65pt;width:36.05pt;height:19.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" stroked="f">
                <v:textbox>
                  <w:txbxContent>
                    <w:p w14:paraId="25520400" w14:textId="77777777" w:rsidR="008F3710" w:rsidRPr="009E6D01" w:rsidRDefault="008F3710" w:rsidP="009E6D01">
                      <w:pPr>
                        <w:rPr>
                          <w:b/>
                          <w:bCs/>
                          <w:sz w:val="18"/>
                          <w:szCs w:val="18"/>
                        </w:rPr>
                      </w:pPr>
                      <w:r>
                        <w:rPr>
                          <w:b/>
                          <w:bCs/>
                          <w:sz w:val="18"/>
                          <w:szCs w:val="18"/>
                        </w:rPr>
                        <w:t>Klick</w:t>
                      </w:r>
                    </w:p>
                  </w:txbxContent>
                </v:textbox>
              </v:shape>
            </w:pict>
          </mc:Fallback>
        </mc:AlternateContent>
      </w:r>
      <w:r w:rsidRPr="004F5FB4">
        <w:rPr>
          <w:noProof/>
          <w:color w:val="000000"/>
          <w:lang w:eastAsia="de-DE"/>
        </w:rPr>
        <w:drawing>
          <wp:inline distT="0" distB="0" distL="0" distR="0" wp14:anchorId="07A0EADF" wp14:editId="5069845C">
            <wp:extent cx="1962150" cy="2009775"/>
            <wp:effectExtent l="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r w:rsidRPr="004F5FB4">
        <w:rPr>
          <w:noProof/>
          <w:color w:val="000000"/>
          <w:lang w:eastAsia="de-DE"/>
        </w:rPr>
        <w:drawing>
          <wp:inline distT="0" distB="0" distL="0" distR="0" wp14:anchorId="435F23EF" wp14:editId="62DBEC4C">
            <wp:extent cx="1962150" cy="2009775"/>
            <wp:effectExtent l="0" t="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20AD04DC" w14:textId="77777777" w:rsidR="00A8620A" w:rsidRPr="004F5FB4" w:rsidRDefault="00A8620A" w:rsidP="00982118">
      <w:pPr>
        <w:autoSpaceDE w:val="0"/>
        <w:autoSpaceDN w:val="0"/>
        <w:adjustRightInd w:val="0"/>
        <w:rPr>
          <w:color w:val="000000"/>
          <w:lang w:val="en-GB"/>
        </w:rPr>
      </w:pPr>
    </w:p>
    <w:p w14:paraId="28A01DAD"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lastRenderedPageBreak/>
        <w:t>Bereiten Sie nun die Spritze vor: Öffnen Sie die Verpackung</w:t>
      </w:r>
      <w:r w:rsidR="00CB2FB8" w:rsidRPr="004F5FB4">
        <w:rPr>
          <w:color w:val="000000"/>
        </w:rPr>
        <w:t xml:space="preserve"> der Spritze</w:t>
      </w:r>
      <w:r w:rsidRPr="004F5FB4">
        <w:rPr>
          <w:color w:val="000000"/>
        </w:rPr>
        <w:t xml:space="preserve"> ein Stück weit von dem Ende her, das der weißen Kolbenstange am nächsten ist.</w:t>
      </w:r>
    </w:p>
    <w:p w14:paraId="219F40B4" w14:textId="77777777" w:rsidR="00A8620A" w:rsidRPr="004F5FB4" w:rsidRDefault="00A8620A" w:rsidP="00982118">
      <w:pPr>
        <w:pStyle w:val="ListParagraph"/>
        <w:autoSpaceDE w:val="0"/>
        <w:autoSpaceDN w:val="0"/>
        <w:adjustRightInd w:val="0"/>
        <w:ind w:left="540"/>
        <w:rPr>
          <w:color w:val="000000"/>
        </w:rPr>
      </w:pPr>
    </w:p>
    <w:p w14:paraId="7581FE79"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Ziehen Sie die durchsichtige Verpackung gerade weit genug auf, um die weiße Kolbenstange freizulegen, aber nehmen Sie die Spritze nicht aus der Verpackung.</w:t>
      </w:r>
    </w:p>
    <w:p w14:paraId="170C53EE" w14:textId="77777777" w:rsidR="00A8620A" w:rsidRPr="004F5FB4" w:rsidRDefault="00A8620A" w:rsidP="00982118">
      <w:pPr>
        <w:pStyle w:val="ListParagraph"/>
        <w:autoSpaceDE w:val="0"/>
        <w:autoSpaceDN w:val="0"/>
        <w:adjustRightInd w:val="0"/>
        <w:ind w:left="540"/>
        <w:rPr>
          <w:color w:val="000000"/>
        </w:rPr>
      </w:pPr>
    </w:p>
    <w:p w14:paraId="4EFCA18F"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Halten Sie die Spritze (zusammen mit der Verpackung) fest und ziehen Sie die weiße Kolbenstange </w:t>
      </w:r>
      <w:r w:rsidRPr="004F5FB4">
        <w:rPr>
          <w:b/>
          <w:bCs/>
          <w:color w:val="000000"/>
        </w:rPr>
        <w:t>LANGSAM</w:t>
      </w:r>
      <w:r w:rsidRPr="004F5FB4">
        <w:rPr>
          <w:color w:val="000000"/>
        </w:rPr>
        <w:t xml:space="preserve"> bis 0,1</w:t>
      </w:r>
      <w:r w:rsidR="00DB07BB" w:rsidRPr="004F5FB4">
        <w:rPr>
          <w:color w:val="000000"/>
        </w:rPr>
        <w:t> </w:t>
      </w:r>
      <w:r w:rsidRPr="004F5FB4">
        <w:rPr>
          <w:color w:val="000000"/>
        </w:rPr>
        <w:t>ml über die verschriebene Dosierung hinaus heraus (Beispiel: Wenn die verschriebene Dosis 0,5</w:t>
      </w:r>
      <w:r w:rsidR="00DB07BB" w:rsidRPr="004F5FB4">
        <w:rPr>
          <w:color w:val="000000"/>
        </w:rPr>
        <w:t> </w:t>
      </w:r>
      <w:r w:rsidRPr="004F5FB4">
        <w:rPr>
          <w:color w:val="000000"/>
        </w:rPr>
        <w:t xml:space="preserve">ml ist, ziehen Sie die weiße Kolbenstange bis 0,6 ml). Ziehen Sie </w:t>
      </w:r>
      <w:r w:rsidRPr="004F5FB4">
        <w:rPr>
          <w:b/>
          <w:bCs/>
          <w:color w:val="000000"/>
        </w:rPr>
        <w:t>NIE</w:t>
      </w:r>
      <w:r w:rsidRPr="004F5FB4">
        <w:rPr>
          <w:color w:val="000000"/>
        </w:rPr>
        <w:t xml:space="preserve"> über die Position von 0,9</w:t>
      </w:r>
      <w:r w:rsidR="00DB07BB" w:rsidRPr="004F5FB4">
        <w:rPr>
          <w:color w:val="000000"/>
        </w:rPr>
        <w:t> </w:t>
      </w:r>
      <w:r w:rsidRPr="004F5FB4">
        <w:rPr>
          <w:color w:val="000000"/>
        </w:rPr>
        <w:t>ml hinaus, egal, welche Dosis verschrieben ist.</w:t>
      </w:r>
    </w:p>
    <w:p w14:paraId="4CCECB75" w14:textId="77777777" w:rsidR="00A8620A" w:rsidRPr="004F5FB4" w:rsidRDefault="00A8620A" w:rsidP="00982118">
      <w:pPr>
        <w:pStyle w:val="ListParagraph"/>
        <w:autoSpaceDE w:val="0"/>
        <w:autoSpaceDN w:val="0"/>
        <w:adjustRightInd w:val="0"/>
        <w:ind w:left="540"/>
        <w:rPr>
          <w:color w:val="000000"/>
        </w:rPr>
      </w:pPr>
    </w:p>
    <w:p w14:paraId="34601F8C"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Sie werden das Volumen in einem späteren Schritt an die verschriebene Dosis anpassen.</w:t>
      </w:r>
    </w:p>
    <w:p w14:paraId="66A701BE" w14:textId="77777777" w:rsidR="00A8620A" w:rsidRPr="004F5FB4" w:rsidRDefault="00A8620A" w:rsidP="00982118">
      <w:pPr>
        <w:pStyle w:val="ListParagraph"/>
        <w:autoSpaceDE w:val="0"/>
        <w:autoSpaceDN w:val="0"/>
        <w:adjustRightInd w:val="0"/>
        <w:ind w:left="540"/>
        <w:rPr>
          <w:color w:val="000000"/>
        </w:rPr>
      </w:pPr>
    </w:p>
    <w:p w14:paraId="2FFAC598"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Ziehen Sie die weiße Kolbenstange </w:t>
      </w:r>
      <w:r w:rsidRPr="004F5FB4">
        <w:rPr>
          <w:b/>
          <w:bCs/>
          <w:color w:val="000000"/>
        </w:rPr>
        <w:t>NICHT</w:t>
      </w:r>
      <w:r w:rsidRPr="004F5FB4">
        <w:rPr>
          <w:color w:val="000000"/>
        </w:rPr>
        <w:t xml:space="preserve"> vollständig aus der Spritze.</w:t>
      </w:r>
    </w:p>
    <w:p w14:paraId="427B1D74" w14:textId="77777777" w:rsidR="00A8620A" w:rsidRPr="004F5FB4" w:rsidRDefault="00A8620A" w:rsidP="00982118">
      <w:pPr>
        <w:autoSpaceDE w:val="0"/>
        <w:autoSpaceDN w:val="0"/>
        <w:adjustRightInd w:val="0"/>
        <w:rPr>
          <w:b/>
          <w:bCs/>
          <w:color w:val="000000"/>
        </w:rPr>
      </w:pPr>
    </w:p>
    <w:p w14:paraId="0825BEB0" w14:textId="77777777" w:rsidR="00A8620A" w:rsidRPr="004F5FB4" w:rsidRDefault="00A8620A" w:rsidP="00982118">
      <w:pPr>
        <w:autoSpaceDE w:val="0"/>
        <w:autoSpaceDN w:val="0"/>
        <w:adjustRightInd w:val="0"/>
        <w:rPr>
          <w:b/>
          <w:color w:val="000000"/>
        </w:rPr>
      </w:pPr>
      <w:r w:rsidRPr="004F5FB4">
        <w:rPr>
          <w:b/>
          <w:color w:val="000000"/>
        </w:rPr>
        <w:t>ACHTUNG:</w:t>
      </w:r>
    </w:p>
    <w:p w14:paraId="2B112DB8" w14:textId="77777777" w:rsidR="00A8620A" w:rsidRPr="004F5FB4" w:rsidRDefault="00A8620A" w:rsidP="00982118">
      <w:pPr>
        <w:autoSpaceDE w:val="0"/>
        <w:autoSpaceDN w:val="0"/>
        <w:adjustRightInd w:val="0"/>
        <w:ind w:left="426"/>
        <w:rPr>
          <w:color w:val="000000"/>
        </w:rPr>
      </w:pPr>
    </w:p>
    <w:p w14:paraId="4D13C622" w14:textId="77777777" w:rsidR="00A8620A" w:rsidRPr="004F5FB4" w:rsidRDefault="00A8620A" w:rsidP="00982118">
      <w:pPr>
        <w:autoSpaceDE w:val="0"/>
        <w:autoSpaceDN w:val="0"/>
        <w:adjustRightInd w:val="0"/>
        <w:rPr>
          <w:color w:val="000000"/>
        </w:rPr>
      </w:pPr>
      <w:r w:rsidRPr="004F5FB4">
        <w:rPr>
          <w:color w:val="000000"/>
        </w:rPr>
        <w:t>Wenn die weiße Kolbenstange vollständig aus der Spritze gezogen wurde, werfen Sie die Spritze weg und nehmen Sie</w:t>
      </w:r>
      <w:r w:rsidR="0078037B" w:rsidRPr="004F5FB4">
        <w:rPr>
          <w:color w:val="000000"/>
        </w:rPr>
        <w:t xml:space="preserve"> </w:t>
      </w:r>
      <w:r w:rsidR="006A1144" w:rsidRPr="004F5FB4">
        <w:rPr>
          <w:color w:val="000000"/>
        </w:rPr>
        <w:t>Kontakt zu</w:t>
      </w:r>
      <w:r w:rsidR="00BA6DF0" w:rsidRPr="004F5FB4">
        <w:rPr>
          <w:color w:val="000000"/>
        </w:rPr>
        <w:t>m</w:t>
      </w:r>
      <w:r w:rsidR="006A1144" w:rsidRPr="004F5FB4">
        <w:rPr>
          <w:color w:val="000000"/>
        </w:rPr>
        <w:t xml:space="preserve"> Arzt </w:t>
      </w:r>
      <w:r w:rsidR="00BA6DF0" w:rsidRPr="004F5FB4">
        <w:rPr>
          <w:color w:val="000000"/>
        </w:rPr>
        <w:t xml:space="preserve">Ihres Kindes </w:t>
      </w:r>
      <w:r w:rsidR="006A1144" w:rsidRPr="004F5FB4">
        <w:rPr>
          <w:color w:val="000000"/>
        </w:rPr>
        <w:t xml:space="preserve">oder Apotheker auf, um Amsparity-Ersatz zu erhalten. Versuchen Sie </w:t>
      </w:r>
      <w:r w:rsidR="006A1144" w:rsidRPr="004F5FB4">
        <w:rPr>
          <w:b/>
          <w:color w:val="000000"/>
        </w:rPr>
        <w:t>NICHT</w:t>
      </w:r>
      <w:r w:rsidR="006A1144" w:rsidRPr="004F5FB4">
        <w:rPr>
          <w:color w:val="000000"/>
        </w:rPr>
        <w:t>, die weiße Kolbenstange wieder einzusetzen.</w:t>
      </w:r>
    </w:p>
    <w:p w14:paraId="0AA4DB79" w14:textId="77777777" w:rsidR="00A8620A" w:rsidRPr="004F5FB4" w:rsidRDefault="00A8620A" w:rsidP="00982118">
      <w:pPr>
        <w:autoSpaceDE w:val="0"/>
        <w:autoSpaceDN w:val="0"/>
        <w:adjustRightInd w:val="0"/>
        <w:rPr>
          <w:color w:val="000000"/>
        </w:rPr>
      </w:pPr>
    </w:p>
    <w:p w14:paraId="7184719E" w14:textId="3A70B94D" w:rsidR="00A8620A" w:rsidRPr="004F5FB4" w:rsidRDefault="00032CD3" w:rsidP="00982118">
      <w:pPr>
        <w:autoSpaceDE w:val="0"/>
        <w:autoSpaceDN w:val="0"/>
        <w:adjustRightInd w:val="0"/>
        <w:jc w:val="center"/>
        <w:rPr>
          <w:color w:val="000000"/>
        </w:rPr>
      </w:pPr>
      <w:r w:rsidRPr="004F5FB4">
        <w:rPr>
          <w:noProof/>
          <w:color w:val="000000"/>
        </w:rPr>
        <mc:AlternateContent>
          <mc:Choice Requires="wps">
            <w:drawing>
              <wp:anchor distT="0" distB="0" distL="114300" distR="114300" simplePos="0" relativeHeight="251658240" behindDoc="0" locked="0" layoutInCell="1" allowOverlap="1" wp14:anchorId="3FEBB23D" wp14:editId="0A069AE3">
                <wp:simplePos x="0" y="0"/>
                <wp:positionH relativeFrom="column">
                  <wp:posOffset>3895725</wp:posOffset>
                </wp:positionH>
                <wp:positionV relativeFrom="paragraph">
                  <wp:posOffset>1506855</wp:posOffset>
                </wp:positionV>
                <wp:extent cx="1656715" cy="2705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270510"/>
                        </a:xfrm>
                        <a:prstGeom prst="rect">
                          <a:avLst/>
                        </a:prstGeom>
                        <a:solidFill>
                          <a:srgbClr val="FFFFFF"/>
                        </a:solidFill>
                        <a:ln w="9525">
                          <a:noFill/>
                          <a:miter lim="800000"/>
                          <a:headEnd/>
                          <a:tailEnd/>
                        </a:ln>
                      </wps:spPr>
                      <wps:txbx>
                        <w:txbxContent>
                          <w:p w14:paraId="29E63984" w14:textId="77777777" w:rsidR="008F3710" w:rsidRDefault="008F3710" w:rsidP="00A8620A">
                            <w:pPr>
                              <w:autoSpaceDE w:val="0"/>
                              <w:autoSpaceDN w:val="0"/>
                              <w:adjustRightInd w:val="0"/>
                            </w:pPr>
                            <w:r>
                              <w:t>Dosis + 0,1 ml</w:t>
                            </w:r>
                          </w:p>
                          <w:p w14:paraId="00393EF8" w14:textId="77777777" w:rsidR="008F3710" w:rsidRDefault="008F3710" w:rsidP="00A86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BB23D" id="Text Box 2" o:spid="_x0000_s1088" type="#_x0000_t202" style="position:absolute;left:0;text-align:left;margin-left:306.75pt;margin-top:118.65pt;width:130.4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" stroked="f">
                <v:textbox>
                  <w:txbxContent>
                    <w:p w14:paraId="29E63984" w14:textId="77777777" w:rsidR="008F3710" w:rsidRDefault="008F3710" w:rsidP="00A8620A">
                      <w:pPr>
                        <w:autoSpaceDE w:val="0"/>
                        <w:autoSpaceDN w:val="0"/>
                        <w:adjustRightInd w:val="0"/>
                      </w:pPr>
                      <w:r>
                        <w:t>Dosis + 0,1 ml</w:t>
                      </w:r>
                    </w:p>
                    <w:p w14:paraId="00393EF8" w14:textId="77777777" w:rsidR="008F3710" w:rsidRDefault="008F3710" w:rsidP="00A8620A"/>
                  </w:txbxContent>
                </v:textbox>
              </v:shape>
            </w:pict>
          </mc:Fallback>
        </mc:AlternateContent>
      </w:r>
      <w:r w:rsidRPr="004F5FB4">
        <w:rPr>
          <w:noProof/>
          <w:color w:val="000000"/>
          <w:lang w:eastAsia="de-DE"/>
        </w:rPr>
        <w:drawing>
          <wp:inline distT="0" distB="0" distL="0" distR="0" wp14:anchorId="33F26722" wp14:editId="68128035">
            <wp:extent cx="1962150" cy="2009775"/>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0107B13D" w14:textId="77777777" w:rsidR="00A8620A" w:rsidRPr="004F5FB4" w:rsidRDefault="00A8620A" w:rsidP="00982118">
      <w:pPr>
        <w:autoSpaceDE w:val="0"/>
        <w:autoSpaceDN w:val="0"/>
        <w:adjustRightInd w:val="0"/>
        <w:rPr>
          <w:color w:val="000000"/>
          <w:lang w:val="en-GB"/>
        </w:rPr>
      </w:pPr>
    </w:p>
    <w:p w14:paraId="1F2727EF" w14:textId="77777777" w:rsidR="00A8620A" w:rsidRPr="004F5FB4" w:rsidRDefault="00A8620A" w:rsidP="00982118">
      <w:pPr>
        <w:pStyle w:val="ListParagraph"/>
        <w:numPr>
          <w:ilvl w:val="0"/>
          <w:numId w:val="29"/>
        </w:numPr>
        <w:autoSpaceDE w:val="0"/>
        <w:autoSpaceDN w:val="0"/>
        <w:adjustRightInd w:val="0"/>
        <w:ind w:left="540" w:hanging="540"/>
        <w:contextualSpacing/>
        <w:rPr>
          <w:b/>
          <w:bCs/>
          <w:color w:val="000000"/>
        </w:rPr>
      </w:pPr>
      <w:r w:rsidRPr="004F5FB4">
        <w:rPr>
          <w:color w:val="000000"/>
        </w:rPr>
        <w:t xml:space="preserve">Halten Sie die Spritze in dem Bereich mit den Teilstrichen und ziehen Sie die Spritze aus der Verpackung. Verwenden Sie </w:t>
      </w:r>
      <w:r w:rsidRPr="004F5FB4">
        <w:rPr>
          <w:b/>
          <w:bCs/>
          <w:color w:val="000000"/>
        </w:rPr>
        <w:t>NICHT</w:t>
      </w:r>
      <w:r w:rsidRPr="004F5FB4">
        <w:rPr>
          <w:color w:val="000000"/>
        </w:rPr>
        <w:t xml:space="preserve"> die weiße Kolbenstange, um die Spritze aus der Packung zu entnehmen. Legen Sie die Spritze </w:t>
      </w:r>
      <w:r w:rsidRPr="004F5FB4">
        <w:rPr>
          <w:b/>
          <w:bCs/>
          <w:color w:val="000000"/>
        </w:rPr>
        <w:t>NIE</w:t>
      </w:r>
      <w:r w:rsidRPr="004F5FB4">
        <w:rPr>
          <w:color w:val="000000"/>
        </w:rPr>
        <w:t xml:space="preserve"> ab.</w:t>
      </w:r>
    </w:p>
    <w:p w14:paraId="3C33CD33" w14:textId="77777777" w:rsidR="00A8620A" w:rsidRPr="004F5FB4" w:rsidRDefault="00A8620A" w:rsidP="00982118">
      <w:pPr>
        <w:pStyle w:val="ListParagraph"/>
        <w:autoSpaceDE w:val="0"/>
        <w:autoSpaceDN w:val="0"/>
        <w:adjustRightInd w:val="0"/>
        <w:ind w:left="540"/>
        <w:rPr>
          <w:b/>
          <w:bCs/>
          <w:color w:val="000000"/>
          <w:lang w:val="en-GB"/>
        </w:rPr>
      </w:pPr>
    </w:p>
    <w:p w14:paraId="2A53E68C" w14:textId="77777777" w:rsidR="00A8620A" w:rsidRPr="004F5FB4" w:rsidRDefault="00A8620A" w:rsidP="00982118">
      <w:pPr>
        <w:pStyle w:val="ListParagraph"/>
        <w:numPr>
          <w:ilvl w:val="0"/>
          <w:numId w:val="29"/>
        </w:numPr>
        <w:autoSpaceDE w:val="0"/>
        <w:autoSpaceDN w:val="0"/>
        <w:adjustRightInd w:val="0"/>
        <w:ind w:left="540" w:hanging="540"/>
        <w:contextualSpacing/>
        <w:rPr>
          <w:b/>
          <w:bCs/>
          <w:color w:val="000000"/>
        </w:rPr>
      </w:pPr>
      <w:r w:rsidRPr="004F5FB4">
        <w:rPr>
          <w:color w:val="000000"/>
        </w:rPr>
        <w:t xml:space="preserve">Nun halten Sie den Adapter der Durchstechflasche fest und führen die Spitze der Spritze in den Adapter ein. Drehen Sie die Spritze im Uhrzeigersinn mit einer Hand, bis diese fest ist. Ziehen Sie </w:t>
      </w:r>
      <w:r w:rsidRPr="004F5FB4">
        <w:rPr>
          <w:b/>
          <w:bCs/>
          <w:color w:val="000000"/>
        </w:rPr>
        <w:t>NICHT</w:t>
      </w:r>
      <w:r w:rsidRPr="004F5FB4">
        <w:rPr>
          <w:color w:val="000000"/>
        </w:rPr>
        <w:t xml:space="preserve"> zu fest an.</w:t>
      </w:r>
    </w:p>
    <w:p w14:paraId="6FC04FE4" w14:textId="123B58AC"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756B5EFC" wp14:editId="4DE9825F">
            <wp:extent cx="1962150" cy="2009775"/>
            <wp:effectExtent l="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FC5BF29" w14:textId="77777777" w:rsidR="00A8620A" w:rsidRPr="004F5FB4" w:rsidRDefault="00A8620A" w:rsidP="00982118">
      <w:pPr>
        <w:autoSpaceDE w:val="0"/>
        <w:autoSpaceDN w:val="0"/>
        <w:adjustRightInd w:val="0"/>
        <w:jc w:val="center"/>
        <w:rPr>
          <w:color w:val="000000"/>
          <w:lang w:val="en-GB"/>
        </w:rPr>
      </w:pPr>
    </w:p>
    <w:p w14:paraId="20435FF0"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Halten Sie jetzt die Durchstechflasche fest und drücken Sie die weiße Kolbenstange ganz in die Spritze. Dieser Schritt ist für die genaue Dosierung wichtig.</w:t>
      </w:r>
    </w:p>
    <w:p w14:paraId="53C43E12" w14:textId="77777777" w:rsidR="00A8620A" w:rsidRPr="004F5FB4" w:rsidRDefault="00A8620A" w:rsidP="00982118">
      <w:pPr>
        <w:autoSpaceDE w:val="0"/>
        <w:autoSpaceDN w:val="0"/>
        <w:adjustRightInd w:val="0"/>
        <w:rPr>
          <w:color w:val="000000"/>
          <w:lang w:val="en-GB"/>
        </w:rPr>
      </w:pPr>
    </w:p>
    <w:p w14:paraId="2A8E281C" w14:textId="2A823ADD"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3327EF5F" wp14:editId="1802479E">
            <wp:extent cx="1962150" cy="2009775"/>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2AA57F68" w14:textId="77777777" w:rsidR="00A8620A" w:rsidRPr="004F5FB4" w:rsidRDefault="00A8620A" w:rsidP="00982118">
      <w:pPr>
        <w:autoSpaceDE w:val="0"/>
        <w:autoSpaceDN w:val="0"/>
        <w:adjustRightInd w:val="0"/>
        <w:rPr>
          <w:color w:val="000000"/>
          <w:lang w:val="en-GB"/>
        </w:rPr>
      </w:pPr>
    </w:p>
    <w:p w14:paraId="2A158C54" w14:textId="77777777" w:rsidR="00A8620A" w:rsidRPr="004F5FB4" w:rsidRDefault="00A8620A" w:rsidP="00982118">
      <w:pPr>
        <w:autoSpaceDE w:val="0"/>
        <w:autoSpaceDN w:val="0"/>
        <w:adjustRightInd w:val="0"/>
        <w:rPr>
          <w:color w:val="000000"/>
          <w:lang w:val="en-GB"/>
        </w:rPr>
      </w:pPr>
    </w:p>
    <w:p w14:paraId="17B53A4D" w14:textId="77777777" w:rsidR="00A8620A" w:rsidRPr="004F5FB4" w:rsidRDefault="00A8620A" w:rsidP="00982118">
      <w:pPr>
        <w:pStyle w:val="ListParagraph"/>
        <w:keepNext/>
        <w:numPr>
          <w:ilvl w:val="0"/>
          <w:numId w:val="29"/>
        </w:numPr>
        <w:autoSpaceDE w:val="0"/>
        <w:autoSpaceDN w:val="0"/>
        <w:adjustRightInd w:val="0"/>
        <w:ind w:left="540" w:hanging="540"/>
        <w:contextualSpacing/>
        <w:rPr>
          <w:color w:val="000000"/>
        </w:rPr>
      </w:pPr>
      <w:r w:rsidRPr="004F5FB4">
        <w:rPr>
          <w:color w:val="000000"/>
        </w:rPr>
        <w:t>Halten Sie die weiße Kolbenstange in die Spritze gedrückt und stellen Sie die Durchstechflasche mit Spritze auf den Kopf.</w:t>
      </w:r>
    </w:p>
    <w:p w14:paraId="1E8A4FE6" w14:textId="77777777" w:rsidR="00A8620A" w:rsidRPr="004F5FB4" w:rsidRDefault="00A8620A" w:rsidP="00982118">
      <w:pPr>
        <w:keepNext/>
        <w:autoSpaceDE w:val="0"/>
        <w:autoSpaceDN w:val="0"/>
        <w:adjustRightInd w:val="0"/>
        <w:rPr>
          <w:color w:val="000000"/>
        </w:rPr>
      </w:pPr>
    </w:p>
    <w:p w14:paraId="3B27FFAD" w14:textId="098F2BAF"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1E16D2E0" wp14:editId="253F543B">
            <wp:extent cx="2543175" cy="2009775"/>
            <wp:effectExtent l="0" t="0" r="0" b="0"/>
            <wp:docPr id="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43175" cy="2009775"/>
                    </a:xfrm>
                    <a:prstGeom prst="rect">
                      <a:avLst/>
                    </a:prstGeom>
                    <a:noFill/>
                    <a:ln>
                      <a:noFill/>
                    </a:ln>
                  </pic:spPr>
                </pic:pic>
              </a:graphicData>
            </a:graphic>
          </wp:inline>
        </w:drawing>
      </w:r>
    </w:p>
    <w:p w14:paraId="08885084" w14:textId="77777777" w:rsidR="00A8620A" w:rsidRPr="004F5FB4" w:rsidRDefault="00A8620A" w:rsidP="00982118">
      <w:pPr>
        <w:autoSpaceDE w:val="0"/>
        <w:autoSpaceDN w:val="0"/>
        <w:adjustRightInd w:val="0"/>
        <w:rPr>
          <w:color w:val="000000"/>
          <w:lang w:val="en-GB"/>
        </w:rPr>
      </w:pPr>
    </w:p>
    <w:p w14:paraId="7085820F" w14:textId="77777777" w:rsidR="00A8620A" w:rsidRPr="004F5FB4" w:rsidRDefault="00A8620A" w:rsidP="00982118">
      <w:pPr>
        <w:autoSpaceDE w:val="0"/>
        <w:autoSpaceDN w:val="0"/>
        <w:adjustRightInd w:val="0"/>
        <w:rPr>
          <w:color w:val="000000"/>
          <w:lang w:val="en-GB"/>
        </w:rPr>
      </w:pPr>
    </w:p>
    <w:p w14:paraId="4CDB7CCC" w14:textId="77777777" w:rsidR="00A8620A" w:rsidRPr="004F5FB4" w:rsidRDefault="00A8620A" w:rsidP="007C4B2C">
      <w:pPr>
        <w:pStyle w:val="ListParagraph"/>
        <w:keepNext/>
        <w:keepLines/>
        <w:numPr>
          <w:ilvl w:val="0"/>
          <w:numId w:val="29"/>
        </w:numPr>
        <w:autoSpaceDE w:val="0"/>
        <w:autoSpaceDN w:val="0"/>
        <w:adjustRightInd w:val="0"/>
        <w:ind w:left="547" w:hanging="547"/>
        <w:contextualSpacing/>
        <w:rPr>
          <w:color w:val="000000"/>
        </w:rPr>
      </w:pPr>
      <w:r w:rsidRPr="004F5FB4">
        <w:rPr>
          <w:color w:val="000000"/>
        </w:rPr>
        <w:t xml:space="preserve">Nun ziehen Sie die weiße Kolbenstange </w:t>
      </w:r>
      <w:r w:rsidRPr="004F5FB4">
        <w:rPr>
          <w:b/>
          <w:bCs/>
          <w:color w:val="000000"/>
        </w:rPr>
        <w:t>LANGSAM</w:t>
      </w:r>
      <w:r w:rsidRPr="004F5FB4">
        <w:rPr>
          <w:color w:val="000000"/>
        </w:rPr>
        <w:t xml:space="preserve"> auf 0,1</w:t>
      </w:r>
      <w:r w:rsidR="00DB07BB" w:rsidRPr="004F5FB4">
        <w:rPr>
          <w:color w:val="000000"/>
        </w:rPr>
        <w:t> </w:t>
      </w:r>
      <w:r w:rsidRPr="004F5FB4">
        <w:rPr>
          <w:color w:val="000000"/>
        </w:rPr>
        <w:t>ml über die verschriebene Dosis hinaus heraus. Dies ist für die genaue Dosierung wichtig. Sie werden das Volumen in Schritt</w:t>
      </w:r>
      <w:r w:rsidR="00DB07BB" w:rsidRPr="004F5FB4">
        <w:rPr>
          <w:color w:val="000000"/>
        </w:rPr>
        <w:t> </w:t>
      </w:r>
      <w:r w:rsidRPr="004F5FB4">
        <w:rPr>
          <w:color w:val="000000"/>
        </w:rPr>
        <w:t>4) Vorbereitung der Dosierung an die verschriebene Dosis anpassen. Wenn Ihre verschriebene Dosis zum Beispiel 0,5 ml ist, ziehen Sie die weiße Kolbenstange auf 0,6 ml. Sie werden sehen, dass die Flüssigkeit aus der Durchstechflasche in die Spritze fließt.</w:t>
      </w:r>
    </w:p>
    <w:p w14:paraId="1B4F87FC" w14:textId="77777777" w:rsidR="00A8620A" w:rsidRPr="004F5FB4" w:rsidRDefault="00A8620A" w:rsidP="007C4B2C">
      <w:pPr>
        <w:keepNext/>
        <w:keepLines/>
        <w:autoSpaceDE w:val="0"/>
        <w:autoSpaceDN w:val="0"/>
        <w:adjustRightInd w:val="0"/>
        <w:rPr>
          <w:color w:val="000000"/>
        </w:rPr>
      </w:pPr>
    </w:p>
    <w:p w14:paraId="55209B46" w14:textId="77777777" w:rsidR="00A8620A" w:rsidRPr="004F5FB4" w:rsidRDefault="00A8620A" w:rsidP="00982118">
      <w:pPr>
        <w:autoSpaceDE w:val="0"/>
        <w:autoSpaceDN w:val="0"/>
        <w:adjustRightInd w:val="0"/>
        <w:rPr>
          <w:color w:val="000000"/>
        </w:rPr>
      </w:pPr>
    </w:p>
    <w:p w14:paraId="5EF1A644" w14:textId="0EF0F593"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6CA49A2A" wp14:editId="2CD5537F">
            <wp:extent cx="1962150" cy="2009775"/>
            <wp:effectExtent l="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778476BC" w14:textId="77777777" w:rsidR="00A8620A" w:rsidRPr="004F5FB4" w:rsidRDefault="00A8620A" w:rsidP="00982118">
      <w:pPr>
        <w:autoSpaceDE w:val="0"/>
        <w:autoSpaceDN w:val="0"/>
        <w:adjustRightInd w:val="0"/>
        <w:jc w:val="center"/>
        <w:rPr>
          <w:color w:val="000000"/>
          <w:lang w:val="en-GB"/>
        </w:rPr>
      </w:pPr>
    </w:p>
    <w:p w14:paraId="2FCC0A0D" w14:textId="77777777" w:rsidR="00A8620A" w:rsidRPr="004F5FB4" w:rsidRDefault="00A8620A" w:rsidP="00982118">
      <w:pPr>
        <w:autoSpaceDE w:val="0"/>
        <w:autoSpaceDN w:val="0"/>
        <w:adjustRightInd w:val="0"/>
        <w:rPr>
          <w:color w:val="000000"/>
          <w:lang w:val="en-GB"/>
        </w:rPr>
      </w:pPr>
    </w:p>
    <w:p w14:paraId="41AA6306"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Drücken Sie nun die weiße Kolbenstange wieder ganz hinein, um die Flüssigkeit wieder in die Durchstechflasche zurück zu drücken. Jetzt ziehen Sie noch einmal </w:t>
      </w:r>
      <w:r w:rsidRPr="004F5FB4">
        <w:rPr>
          <w:b/>
          <w:bCs/>
          <w:color w:val="000000"/>
        </w:rPr>
        <w:t>LANGSAM</w:t>
      </w:r>
      <w:r w:rsidRPr="004F5FB4">
        <w:rPr>
          <w:color w:val="000000"/>
        </w:rPr>
        <w:t xml:space="preserve"> die weiße </w:t>
      </w:r>
      <w:r w:rsidRPr="004F5FB4">
        <w:rPr>
          <w:color w:val="000000"/>
        </w:rPr>
        <w:lastRenderedPageBreak/>
        <w:t>Kolbenstange über 0,1</w:t>
      </w:r>
      <w:r w:rsidR="00DB07BB" w:rsidRPr="004F5FB4">
        <w:rPr>
          <w:color w:val="000000"/>
        </w:rPr>
        <w:t> </w:t>
      </w:r>
      <w:r w:rsidRPr="004F5FB4">
        <w:rPr>
          <w:color w:val="000000"/>
        </w:rPr>
        <w:t>ml über die verschriebene Dosis hinaus heraus. Dies ist wichtig für die genaue Dosierung und um Luftblasen oder Luftzwischenräume in der Flüssigkeit zu verhindern. Sie werden das Volumen in Schritt</w:t>
      </w:r>
      <w:r w:rsidR="00DB07BB" w:rsidRPr="004F5FB4">
        <w:rPr>
          <w:color w:val="000000"/>
        </w:rPr>
        <w:t> </w:t>
      </w:r>
      <w:r w:rsidRPr="004F5FB4">
        <w:rPr>
          <w:color w:val="000000"/>
        </w:rPr>
        <w:t>4) Vorbereitung der Dosierung an die verschriebene Dosis anpassen.</w:t>
      </w:r>
    </w:p>
    <w:p w14:paraId="40A5AFE7" w14:textId="77777777" w:rsidR="00A8620A" w:rsidRPr="004F5FB4" w:rsidRDefault="00A8620A" w:rsidP="00982118">
      <w:pPr>
        <w:pStyle w:val="ListParagraph"/>
        <w:autoSpaceDE w:val="0"/>
        <w:autoSpaceDN w:val="0"/>
        <w:adjustRightInd w:val="0"/>
        <w:rPr>
          <w:color w:val="000000"/>
        </w:rPr>
      </w:pPr>
    </w:p>
    <w:p w14:paraId="2F59F8C7" w14:textId="77777777" w:rsidR="00E03946" w:rsidRPr="004F5FB4" w:rsidRDefault="00E03946" w:rsidP="00982118">
      <w:pPr>
        <w:pStyle w:val="ListParagraph"/>
        <w:autoSpaceDE w:val="0"/>
        <w:autoSpaceDN w:val="0"/>
        <w:adjustRightInd w:val="0"/>
        <w:rPr>
          <w:color w:val="000000"/>
        </w:rPr>
      </w:pPr>
    </w:p>
    <w:p w14:paraId="29A9A530" w14:textId="6E211A71" w:rsidR="00A8620A" w:rsidRPr="004F5FB4" w:rsidRDefault="00032CD3" w:rsidP="00982118">
      <w:pPr>
        <w:pStyle w:val="ListParagraph"/>
        <w:autoSpaceDE w:val="0"/>
        <w:autoSpaceDN w:val="0"/>
        <w:adjustRightInd w:val="0"/>
        <w:jc w:val="center"/>
        <w:rPr>
          <w:color w:val="000000"/>
        </w:rPr>
      </w:pPr>
      <w:r w:rsidRPr="004F5FB4">
        <w:rPr>
          <w:noProof/>
          <w:color w:val="000000"/>
          <w:lang w:eastAsia="de-DE"/>
        </w:rPr>
        <w:drawing>
          <wp:inline distT="0" distB="0" distL="0" distR="0" wp14:anchorId="01BB1F58" wp14:editId="481BD0AB">
            <wp:extent cx="1962150" cy="2009775"/>
            <wp:effectExtent l="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6C32F36F" w14:textId="77777777" w:rsidR="00A8620A" w:rsidRPr="004F5FB4" w:rsidRDefault="00A8620A" w:rsidP="00982118">
      <w:pPr>
        <w:pStyle w:val="ListParagraph"/>
        <w:autoSpaceDE w:val="0"/>
        <w:autoSpaceDN w:val="0"/>
        <w:adjustRightInd w:val="0"/>
        <w:jc w:val="center"/>
        <w:rPr>
          <w:color w:val="000000"/>
          <w:lang w:val="en-GB"/>
        </w:rPr>
      </w:pPr>
    </w:p>
    <w:p w14:paraId="79B1D0B9" w14:textId="77777777" w:rsidR="00A8620A" w:rsidRPr="004F5FB4" w:rsidRDefault="00A8620A" w:rsidP="00982118">
      <w:pPr>
        <w:autoSpaceDE w:val="0"/>
        <w:autoSpaceDN w:val="0"/>
        <w:adjustRightInd w:val="0"/>
        <w:rPr>
          <w:color w:val="000000"/>
          <w:lang w:val="en-GB"/>
        </w:rPr>
      </w:pPr>
    </w:p>
    <w:p w14:paraId="35A13C86"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Wenn Sie sehen, dass Luftblasen oder Luftzwischenräume in der Flüssigkeit in der Spritze verbleiben, können Sie den Vorgang bis zu dreimal wiederholen. Schütteln Sie die Spritze </w:t>
      </w:r>
      <w:r w:rsidRPr="004F5FB4">
        <w:rPr>
          <w:b/>
          <w:bCs/>
          <w:color w:val="000000"/>
        </w:rPr>
        <w:t>NICHT</w:t>
      </w:r>
      <w:r w:rsidRPr="004F5FB4">
        <w:rPr>
          <w:color w:val="000000"/>
        </w:rPr>
        <w:t>.</w:t>
      </w:r>
    </w:p>
    <w:p w14:paraId="059BA924" w14:textId="77777777" w:rsidR="00A8620A" w:rsidRPr="004F5FB4" w:rsidRDefault="00A8620A" w:rsidP="00982118">
      <w:pPr>
        <w:autoSpaceDE w:val="0"/>
        <w:autoSpaceDN w:val="0"/>
        <w:adjustRightInd w:val="0"/>
        <w:rPr>
          <w:b/>
          <w:bCs/>
          <w:color w:val="000000"/>
          <w:lang w:val="en-GB"/>
        </w:rPr>
      </w:pPr>
    </w:p>
    <w:p w14:paraId="3FB46FFE" w14:textId="77777777" w:rsidR="00A8620A" w:rsidRPr="004F5FB4" w:rsidRDefault="00A8620A" w:rsidP="00982118">
      <w:pPr>
        <w:autoSpaceDE w:val="0"/>
        <w:autoSpaceDN w:val="0"/>
        <w:adjustRightInd w:val="0"/>
        <w:rPr>
          <w:b/>
          <w:bCs/>
          <w:color w:val="000000"/>
        </w:rPr>
      </w:pPr>
      <w:r w:rsidRPr="004F5FB4">
        <w:rPr>
          <w:b/>
          <w:bCs/>
          <w:color w:val="000000"/>
        </w:rPr>
        <w:t>ACHTUNG:</w:t>
      </w:r>
    </w:p>
    <w:p w14:paraId="083939AB" w14:textId="77777777" w:rsidR="00A8620A" w:rsidRPr="004F5FB4" w:rsidRDefault="00A8620A" w:rsidP="00982118">
      <w:pPr>
        <w:autoSpaceDE w:val="0"/>
        <w:autoSpaceDN w:val="0"/>
        <w:adjustRightInd w:val="0"/>
        <w:rPr>
          <w:b/>
          <w:bCs/>
          <w:color w:val="000000"/>
          <w:lang w:val="en-GB"/>
        </w:rPr>
      </w:pPr>
    </w:p>
    <w:p w14:paraId="16661929" w14:textId="77777777" w:rsidR="00A8620A" w:rsidRPr="004F5FB4" w:rsidRDefault="00A8620A" w:rsidP="00982118">
      <w:pPr>
        <w:autoSpaceDE w:val="0"/>
        <w:autoSpaceDN w:val="0"/>
        <w:adjustRightInd w:val="0"/>
        <w:rPr>
          <w:color w:val="000000"/>
        </w:rPr>
      </w:pPr>
      <w:r w:rsidRPr="004F5FB4">
        <w:rPr>
          <w:color w:val="000000"/>
        </w:rPr>
        <w:t xml:space="preserve">Wenn die weiße Kolbenstange vollständig aus der Spritze gezogen wird, können Sie die Spritze nicht mehr verwenden. Werfen Sie die Spritze dann weg und nehmen Sie wegen Ersatz Kontakt zu Ihrem Arzt oder Apotheker auf. Versuchen Sie </w:t>
      </w:r>
      <w:r w:rsidRPr="004F5FB4">
        <w:rPr>
          <w:b/>
          <w:bCs/>
          <w:color w:val="000000"/>
        </w:rPr>
        <w:t>NICHT</w:t>
      </w:r>
      <w:r w:rsidRPr="004F5FB4">
        <w:rPr>
          <w:color w:val="000000"/>
        </w:rPr>
        <w:t>, die weiße Kolbenstange wieder einzusetzen.</w:t>
      </w:r>
    </w:p>
    <w:p w14:paraId="65DFEAAC" w14:textId="77777777" w:rsidR="00A8620A" w:rsidRPr="004F5FB4" w:rsidRDefault="00A8620A" w:rsidP="00982118">
      <w:pPr>
        <w:autoSpaceDE w:val="0"/>
        <w:autoSpaceDN w:val="0"/>
        <w:adjustRightInd w:val="0"/>
        <w:rPr>
          <w:color w:val="000000"/>
        </w:rPr>
      </w:pPr>
    </w:p>
    <w:p w14:paraId="5A3AABD7"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Halten Sie die Spritze in dem mit Teilstrichen versehenen Bereich aufrecht nach oben. Entfernen Sie den Adapter zusammen mit der Durchstechflasche, indem Sie den Adapter mit der anderen Hand abdrehen. Achten Sie darauf, den Adapter zusammen mit der Durchstechflasche von der Spritze zu entfernen. Berühren Sie </w:t>
      </w:r>
      <w:r w:rsidRPr="004F5FB4">
        <w:rPr>
          <w:b/>
          <w:bCs/>
          <w:color w:val="000000"/>
        </w:rPr>
        <w:t>NICHT</w:t>
      </w:r>
      <w:r w:rsidRPr="004F5FB4">
        <w:rPr>
          <w:color w:val="000000"/>
        </w:rPr>
        <w:t xml:space="preserve"> die Spitze der Spritze.</w:t>
      </w:r>
    </w:p>
    <w:p w14:paraId="17DF2B67" w14:textId="77777777" w:rsidR="00A8620A" w:rsidRPr="004F5FB4" w:rsidRDefault="00A8620A" w:rsidP="00982118">
      <w:pPr>
        <w:autoSpaceDE w:val="0"/>
        <w:autoSpaceDN w:val="0"/>
        <w:adjustRightInd w:val="0"/>
        <w:rPr>
          <w:color w:val="000000"/>
          <w:lang w:val="en-GB"/>
        </w:rPr>
      </w:pPr>
    </w:p>
    <w:p w14:paraId="6790CF27" w14:textId="77777777" w:rsidR="00E03946" w:rsidRPr="004F5FB4" w:rsidRDefault="00E03946" w:rsidP="00982118">
      <w:pPr>
        <w:autoSpaceDE w:val="0"/>
        <w:autoSpaceDN w:val="0"/>
        <w:adjustRightInd w:val="0"/>
        <w:rPr>
          <w:color w:val="000000"/>
          <w:lang w:val="en-GB"/>
        </w:rPr>
      </w:pPr>
    </w:p>
    <w:p w14:paraId="396808F9" w14:textId="62847831"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02AE1D9B" wp14:editId="49126A4A">
            <wp:extent cx="1962150" cy="2009775"/>
            <wp:effectExtent l="0" t="0" r="0" b="0"/>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672D1152"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Sollte eine große Luftblase oder ein Luftzwischenraum </w:t>
      </w:r>
      <w:r w:rsidR="00270CE3" w:rsidRPr="004F5FB4">
        <w:rPr>
          <w:color w:val="000000"/>
        </w:rPr>
        <w:t xml:space="preserve">in der Nähe der Spritzenspitze </w:t>
      </w:r>
      <w:r w:rsidRPr="004F5FB4">
        <w:rPr>
          <w:color w:val="000000"/>
        </w:rPr>
        <w:t xml:space="preserve">sichtbar sein, drücken Sie </w:t>
      </w:r>
      <w:r w:rsidRPr="004F5FB4">
        <w:rPr>
          <w:b/>
          <w:bCs/>
          <w:color w:val="000000"/>
        </w:rPr>
        <w:t>LANGSAM</w:t>
      </w:r>
      <w:r w:rsidRPr="004F5FB4">
        <w:rPr>
          <w:color w:val="000000"/>
        </w:rPr>
        <w:t xml:space="preserve"> die weiße Kolbenstange in die Spritze, bis Flüssigkeit gerade so in die Spritzenspitze einfließt. Drücken Sie die weiße Kolbenstange </w:t>
      </w:r>
      <w:r w:rsidRPr="004F5FB4">
        <w:rPr>
          <w:b/>
          <w:bCs/>
          <w:color w:val="000000"/>
        </w:rPr>
        <w:t>NICHT</w:t>
      </w:r>
      <w:r w:rsidRPr="004F5FB4">
        <w:rPr>
          <w:color w:val="000000"/>
        </w:rPr>
        <w:t xml:space="preserve"> über die Stelle der Dosierung hinaus.</w:t>
      </w:r>
    </w:p>
    <w:p w14:paraId="46FE60F6" w14:textId="77777777" w:rsidR="00A8620A" w:rsidRPr="004F5FB4" w:rsidRDefault="00A8620A" w:rsidP="00982118">
      <w:pPr>
        <w:pStyle w:val="ListParagraph"/>
        <w:autoSpaceDE w:val="0"/>
        <w:autoSpaceDN w:val="0"/>
        <w:adjustRightInd w:val="0"/>
        <w:ind w:left="540"/>
        <w:rPr>
          <w:color w:val="000000"/>
        </w:rPr>
      </w:pPr>
    </w:p>
    <w:p w14:paraId="27DAA5F8"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Wenn Ihre verschriebene Dosis zum Beispiel 0,5</w:t>
      </w:r>
      <w:r w:rsidR="00DB07BB" w:rsidRPr="004F5FB4">
        <w:rPr>
          <w:color w:val="000000"/>
        </w:rPr>
        <w:t> </w:t>
      </w:r>
      <w:r w:rsidRPr="004F5FB4">
        <w:rPr>
          <w:color w:val="000000"/>
        </w:rPr>
        <w:t xml:space="preserve">ml ist, dann drücken Sie die weiße Kolbenstange </w:t>
      </w:r>
      <w:r w:rsidRPr="004F5FB4">
        <w:rPr>
          <w:b/>
          <w:bCs/>
          <w:color w:val="000000"/>
        </w:rPr>
        <w:t>NICHT</w:t>
      </w:r>
      <w:r w:rsidRPr="004F5FB4">
        <w:rPr>
          <w:color w:val="000000"/>
        </w:rPr>
        <w:t xml:space="preserve"> hinter die Stelle von 0,5</w:t>
      </w:r>
      <w:r w:rsidR="00DB07BB" w:rsidRPr="004F5FB4">
        <w:rPr>
          <w:color w:val="000000"/>
        </w:rPr>
        <w:t> </w:t>
      </w:r>
      <w:r w:rsidRPr="004F5FB4">
        <w:rPr>
          <w:color w:val="000000"/>
        </w:rPr>
        <w:t>ml.</w:t>
      </w:r>
    </w:p>
    <w:p w14:paraId="0A1DE474" w14:textId="77777777" w:rsidR="00A8620A" w:rsidRPr="004F5FB4" w:rsidRDefault="00A8620A" w:rsidP="00982118">
      <w:pPr>
        <w:pStyle w:val="ListParagraph"/>
        <w:autoSpaceDE w:val="0"/>
        <w:autoSpaceDN w:val="0"/>
        <w:adjustRightInd w:val="0"/>
        <w:ind w:left="540"/>
        <w:rPr>
          <w:color w:val="000000"/>
        </w:rPr>
      </w:pPr>
    </w:p>
    <w:p w14:paraId="37D1E2F3"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lastRenderedPageBreak/>
        <w:t xml:space="preserve">Prüfen Sie, ob die verbleibende Flüssigkeit in der Spritze mindestens das verschriebene Dosierungsvolumen ist. Wenn das verbleibende Volumen weniger als das verschriebene Dosierungsvolumen ist, verwenden Sie die Spritze </w:t>
      </w:r>
      <w:r w:rsidRPr="004F5FB4">
        <w:rPr>
          <w:b/>
          <w:bCs/>
          <w:color w:val="000000"/>
        </w:rPr>
        <w:t>NICHT</w:t>
      </w:r>
      <w:r w:rsidRPr="004F5FB4">
        <w:rPr>
          <w:color w:val="000000"/>
        </w:rPr>
        <w:t xml:space="preserve"> und </w:t>
      </w:r>
      <w:r w:rsidR="00BA6DF0" w:rsidRPr="004F5FB4">
        <w:rPr>
          <w:color w:val="000000"/>
        </w:rPr>
        <w:t>sprechen Sie mit dem</w:t>
      </w:r>
      <w:r w:rsidRPr="004F5FB4">
        <w:rPr>
          <w:color w:val="000000"/>
        </w:rPr>
        <w:t xml:space="preserve"> Arzt </w:t>
      </w:r>
      <w:r w:rsidR="00BA6DF0" w:rsidRPr="004F5FB4">
        <w:rPr>
          <w:color w:val="000000"/>
        </w:rPr>
        <w:t xml:space="preserve">Ihres Kindes, dem medizinischen Fachpersonal </w:t>
      </w:r>
      <w:r w:rsidRPr="004F5FB4">
        <w:rPr>
          <w:color w:val="000000"/>
        </w:rPr>
        <w:t>oder Apotheker.</w:t>
      </w:r>
    </w:p>
    <w:p w14:paraId="09FC4F95" w14:textId="77777777" w:rsidR="00A8620A" w:rsidRPr="004F5FB4" w:rsidRDefault="00A8620A" w:rsidP="00982118">
      <w:pPr>
        <w:pStyle w:val="ListParagraph"/>
        <w:autoSpaceDE w:val="0"/>
        <w:autoSpaceDN w:val="0"/>
        <w:adjustRightInd w:val="0"/>
        <w:ind w:left="540"/>
        <w:rPr>
          <w:color w:val="000000"/>
        </w:rPr>
      </w:pPr>
    </w:p>
    <w:p w14:paraId="2F85CFA9"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Nehmen Sie mit Ihrer freien Hand die Verpackung mit der Nadel und halten Sie die Nadel so, dass das gelbe Anschlussteil für die Spritze nach unten zeigt.</w:t>
      </w:r>
    </w:p>
    <w:p w14:paraId="3B7C59A4" w14:textId="77777777" w:rsidR="00A8620A" w:rsidRPr="004F5FB4" w:rsidRDefault="00A8620A" w:rsidP="00982118">
      <w:pPr>
        <w:pStyle w:val="ListParagraph"/>
        <w:autoSpaceDE w:val="0"/>
        <w:autoSpaceDN w:val="0"/>
        <w:adjustRightInd w:val="0"/>
        <w:ind w:left="540"/>
        <w:rPr>
          <w:color w:val="000000"/>
        </w:rPr>
      </w:pPr>
    </w:p>
    <w:p w14:paraId="2C87BADA"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Halten Sie die Spritze nach oben. Führen Sie die Spritzenspitze in das gelbe Anschlussteil für die Spritze und drehen die Spritze im Uhrzeigersinn fest (wie auf dem Bild gezeigt). Die Nadel ist nun an der Spritze befestigt.</w:t>
      </w:r>
    </w:p>
    <w:p w14:paraId="6E18019A" w14:textId="387799EE"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6CB28459" wp14:editId="6C73FB2B">
            <wp:extent cx="1962150" cy="2009775"/>
            <wp:effectExtent l="0" t="0" r="0" b="0"/>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2A026AEE" w14:textId="77777777" w:rsidR="00A8620A" w:rsidRPr="004F5FB4" w:rsidRDefault="00A8620A" w:rsidP="00982118">
      <w:pPr>
        <w:autoSpaceDE w:val="0"/>
        <w:autoSpaceDN w:val="0"/>
        <w:adjustRightInd w:val="0"/>
        <w:jc w:val="center"/>
        <w:rPr>
          <w:color w:val="000000"/>
          <w:lang w:val="en-GB"/>
        </w:rPr>
      </w:pPr>
    </w:p>
    <w:p w14:paraId="39CCFB36"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Nehmen Sie jetzt die Nadelverpackung weg, aber entfernen Sie noch </w:t>
      </w:r>
      <w:r w:rsidRPr="004F5FB4">
        <w:rPr>
          <w:b/>
          <w:bCs/>
          <w:color w:val="000000"/>
        </w:rPr>
        <w:t xml:space="preserve">NICHT </w:t>
      </w:r>
      <w:r w:rsidRPr="004F5FB4">
        <w:rPr>
          <w:color w:val="000000"/>
        </w:rPr>
        <w:t>die durchsichtige Nadelhülse.</w:t>
      </w:r>
    </w:p>
    <w:p w14:paraId="07CE1CCA" w14:textId="77777777" w:rsidR="00A8620A" w:rsidRPr="004F5FB4" w:rsidRDefault="00A8620A" w:rsidP="00982118">
      <w:pPr>
        <w:pStyle w:val="ListParagraph"/>
        <w:autoSpaceDE w:val="0"/>
        <w:autoSpaceDN w:val="0"/>
        <w:adjustRightInd w:val="0"/>
        <w:ind w:left="540"/>
        <w:rPr>
          <w:color w:val="000000"/>
        </w:rPr>
      </w:pPr>
    </w:p>
    <w:p w14:paraId="09332084"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Legen Sie die Spritze auf Ihre saubere Arbeitsfläche. Machen Sie sofort mit der Vorbereitung der Injektionsstelle und der Vorbereitung der Dosierung weiter.</w:t>
      </w:r>
    </w:p>
    <w:p w14:paraId="09732519" w14:textId="77777777" w:rsidR="00A8620A" w:rsidRPr="004F5FB4" w:rsidRDefault="00A8620A" w:rsidP="00982118">
      <w:pPr>
        <w:autoSpaceDE w:val="0"/>
        <w:autoSpaceDN w:val="0"/>
        <w:adjustRightInd w:val="0"/>
        <w:rPr>
          <w:color w:val="000000"/>
        </w:rPr>
      </w:pPr>
    </w:p>
    <w:p w14:paraId="2162EBF4" w14:textId="77777777" w:rsidR="00A8620A" w:rsidRPr="004F5FB4" w:rsidRDefault="00A8620A" w:rsidP="00982118">
      <w:pPr>
        <w:pStyle w:val="ListParagraph"/>
        <w:numPr>
          <w:ilvl w:val="0"/>
          <w:numId w:val="30"/>
        </w:numPr>
        <w:autoSpaceDE w:val="0"/>
        <w:autoSpaceDN w:val="0"/>
        <w:adjustRightInd w:val="0"/>
        <w:ind w:left="540" w:hanging="540"/>
        <w:contextualSpacing/>
        <w:rPr>
          <w:b/>
          <w:bCs/>
          <w:color w:val="000000"/>
        </w:rPr>
      </w:pPr>
      <w:r w:rsidRPr="004F5FB4">
        <w:rPr>
          <w:b/>
          <w:bCs/>
          <w:color w:val="000000"/>
        </w:rPr>
        <w:t>Auswahl und Vorbereitung der Injektionsstelle</w:t>
      </w:r>
    </w:p>
    <w:p w14:paraId="6B02A822" w14:textId="77777777" w:rsidR="00A8620A" w:rsidRPr="004F5FB4" w:rsidRDefault="00A8620A" w:rsidP="00982118">
      <w:pPr>
        <w:autoSpaceDE w:val="0"/>
        <w:autoSpaceDN w:val="0"/>
        <w:adjustRightInd w:val="0"/>
        <w:rPr>
          <w:b/>
          <w:bCs/>
          <w:color w:val="000000"/>
          <w:lang w:val="en-GB"/>
        </w:rPr>
      </w:pPr>
    </w:p>
    <w:p w14:paraId="5FF91EE7"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Wählen Sie eine Stelle am Oberschenkel oder Bauch aus. Verwenden Sie </w:t>
      </w:r>
      <w:r w:rsidRPr="004F5FB4">
        <w:rPr>
          <w:b/>
          <w:bCs/>
          <w:color w:val="000000"/>
        </w:rPr>
        <w:t>NICHT</w:t>
      </w:r>
      <w:r w:rsidRPr="004F5FB4">
        <w:rPr>
          <w:color w:val="000000"/>
        </w:rPr>
        <w:t xml:space="preserve"> dieselbe Stelle, die für die letzte Injektion verwendet wurde.</w:t>
      </w:r>
    </w:p>
    <w:p w14:paraId="73237C2D" w14:textId="77777777" w:rsidR="00A8620A" w:rsidRPr="004F5FB4" w:rsidRDefault="00A8620A" w:rsidP="00982118">
      <w:pPr>
        <w:pStyle w:val="ListParagraph"/>
        <w:autoSpaceDE w:val="0"/>
        <w:autoSpaceDN w:val="0"/>
        <w:adjustRightInd w:val="0"/>
        <w:ind w:left="540"/>
        <w:rPr>
          <w:color w:val="000000"/>
        </w:rPr>
      </w:pPr>
    </w:p>
    <w:p w14:paraId="335FB8A5"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Die neue Injektionsstelle sollte mindestens einen Abstand von 3</w:t>
      </w:r>
      <w:r w:rsidR="00DB07BB" w:rsidRPr="004F5FB4">
        <w:rPr>
          <w:color w:val="000000"/>
        </w:rPr>
        <w:t> </w:t>
      </w:r>
      <w:r w:rsidRPr="004F5FB4">
        <w:rPr>
          <w:color w:val="000000"/>
        </w:rPr>
        <w:t>cm von der letzten Injektionsstelle haben.</w:t>
      </w:r>
    </w:p>
    <w:p w14:paraId="7A3B53CD" w14:textId="77777777" w:rsidR="00A8620A" w:rsidRPr="004F5FB4" w:rsidRDefault="00A8620A" w:rsidP="00982118">
      <w:pPr>
        <w:autoSpaceDE w:val="0"/>
        <w:autoSpaceDN w:val="0"/>
        <w:adjustRightInd w:val="0"/>
        <w:rPr>
          <w:color w:val="000000"/>
        </w:rPr>
      </w:pPr>
    </w:p>
    <w:p w14:paraId="510AD2B6" w14:textId="77777777" w:rsidR="00A8620A" w:rsidRPr="004F5FB4" w:rsidRDefault="00A8620A" w:rsidP="00982118">
      <w:pPr>
        <w:autoSpaceDE w:val="0"/>
        <w:autoSpaceDN w:val="0"/>
        <w:adjustRightInd w:val="0"/>
        <w:jc w:val="center"/>
        <w:rPr>
          <w:color w:val="000000"/>
        </w:rPr>
      </w:pPr>
    </w:p>
    <w:p w14:paraId="2742780B" w14:textId="048DFAD8" w:rsidR="00680D74" w:rsidRPr="004F5FB4" w:rsidRDefault="00032CD3" w:rsidP="00680D74">
      <w:pPr>
        <w:autoSpaceDE w:val="0"/>
        <w:autoSpaceDN w:val="0"/>
        <w:adjustRightInd w:val="0"/>
        <w:jc w:val="center"/>
        <w:rPr>
          <w:color w:val="000000"/>
          <w:lang w:val="en-GB"/>
        </w:rPr>
      </w:pPr>
      <w:r w:rsidRPr="004F5FB4">
        <w:rPr>
          <w:noProof/>
          <w:color w:val="000000"/>
          <w:lang w:eastAsia="de-DE"/>
        </w:rPr>
        <mc:AlternateContent>
          <mc:Choice Requires="wps">
            <w:drawing>
              <wp:anchor distT="0" distB="0" distL="114300" distR="114300" simplePos="0" relativeHeight="251658297" behindDoc="0" locked="0" layoutInCell="1" allowOverlap="1" wp14:anchorId="5021AD8B" wp14:editId="4043CFF7">
                <wp:simplePos x="0" y="0"/>
                <wp:positionH relativeFrom="column">
                  <wp:posOffset>3272790</wp:posOffset>
                </wp:positionH>
                <wp:positionV relativeFrom="paragraph">
                  <wp:posOffset>321310</wp:posOffset>
                </wp:positionV>
                <wp:extent cx="1651635" cy="927735"/>
                <wp:effectExtent l="0" t="0" r="0" b="0"/>
                <wp:wrapNone/>
                <wp:docPr id="11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927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B0809" w14:textId="77777777" w:rsidR="008F3710" w:rsidRPr="00687087" w:rsidRDefault="008F3710" w:rsidP="00C3787B">
                            <w:pPr>
                              <w:rPr>
                                <w:rFonts w:ascii="Arial" w:hAnsi="Arial" w:cs="Arial"/>
                                <w:b/>
                                <w:bCs/>
                                <w:color w:val="FF0000"/>
                                <w:sz w:val="20"/>
                                <w:szCs w:val="20"/>
                              </w:rPr>
                            </w:pPr>
                            <w:r w:rsidRPr="00687087">
                              <w:rPr>
                                <w:rFonts w:ascii="Arial" w:hAnsi="Arial" w:cs="Arial"/>
                                <w:b/>
                                <w:bCs/>
                                <w:color w:val="FF0000"/>
                                <w:sz w:val="20"/>
                                <w:szCs w:val="20"/>
                              </w:rPr>
                              <w:t>Bauch:</w:t>
                            </w:r>
                          </w:p>
                          <w:p w14:paraId="179FF379" w14:textId="77777777" w:rsidR="008F3710" w:rsidRPr="00687087" w:rsidRDefault="008F3710" w:rsidP="00C3787B">
                            <w:pPr>
                              <w:rPr>
                                <w:rFonts w:ascii="Arial" w:hAnsi="Arial" w:cs="Arial"/>
                                <w:sz w:val="20"/>
                                <w:szCs w:val="20"/>
                              </w:rPr>
                            </w:pPr>
                            <w:r w:rsidRPr="00687087">
                              <w:rPr>
                                <w:rFonts w:ascii="Arial" w:hAnsi="Arial" w:cs="Arial"/>
                                <w:sz w:val="20"/>
                                <w:szCs w:val="20"/>
                              </w:rPr>
                              <w:t>Wählen Sie eine Stelle, die mindestens 5 cm vom Bauchnabel entfernt 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AD8B" id="Text Box 151" o:spid="_x0000_s1089" type="#_x0000_t202" style="position:absolute;left:0;text-align:left;margin-left:257.7pt;margin-top:25.3pt;width:130.05pt;height:73.0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" stroked="f">
                <v:textbox>
                  <w:txbxContent>
                    <w:p w14:paraId="14EB0809" w14:textId="77777777" w:rsidR="008F3710" w:rsidRPr="00687087" w:rsidRDefault="008F3710" w:rsidP="00C3787B">
                      <w:pPr>
                        <w:rPr>
                          <w:rFonts w:ascii="Arial" w:hAnsi="Arial" w:cs="Arial"/>
                          <w:b/>
                          <w:bCs/>
                          <w:color w:val="FF0000"/>
                          <w:sz w:val="20"/>
                          <w:szCs w:val="20"/>
                        </w:rPr>
                      </w:pPr>
                      <w:r w:rsidRPr="00687087">
                        <w:rPr>
                          <w:rFonts w:ascii="Arial" w:hAnsi="Arial" w:cs="Arial"/>
                          <w:b/>
                          <w:bCs/>
                          <w:color w:val="FF0000"/>
                          <w:sz w:val="20"/>
                          <w:szCs w:val="20"/>
                        </w:rPr>
                        <w:t>Bauch:</w:t>
                      </w:r>
                    </w:p>
                    <w:p w14:paraId="179FF379" w14:textId="77777777" w:rsidR="008F3710" w:rsidRPr="00687087" w:rsidRDefault="008F3710" w:rsidP="00C3787B">
                      <w:pPr>
                        <w:rPr>
                          <w:rFonts w:ascii="Arial" w:hAnsi="Arial" w:cs="Arial"/>
                          <w:sz w:val="20"/>
                          <w:szCs w:val="20"/>
                        </w:rPr>
                      </w:pPr>
                      <w:r w:rsidRPr="00687087">
                        <w:rPr>
                          <w:rFonts w:ascii="Arial" w:hAnsi="Arial" w:cs="Arial"/>
                          <w:sz w:val="20"/>
                          <w:szCs w:val="20"/>
                        </w:rPr>
                        <w:t>Wählen Sie eine Stelle, die mindestens 5 cm vom Bauchnabel entfernt ist.</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310" behindDoc="0" locked="0" layoutInCell="1" allowOverlap="1" wp14:anchorId="370B901A" wp14:editId="15D51D63">
                <wp:simplePos x="0" y="0"/>
                <wp:positionH relativeFrom="column">
                  <wp:posOffset>3333750</wp:posOffset>
                </wp:positionH>
                <wp:positionV relativeFrom="paragraph">
                  <wp:posOffset>1362710</wp:posOffset>
                </wp:positionV>
                <wp:extent cx="1426210" cy="521335"/>
                <wp:effectExtent l="0" t="635" r="2540" b="1905"/>
                <wp:wrapNone/>
                <wp:docPr id="10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0B1B2" w14:textId="77777777" w:rsidR="008F3710" w:rsidRPr="009A1F4C" w:rsidRDefault="008F3710" w:rsidP="004B7C95">
                            <w:pPr>
                              <w:rPr>
                                <w:rFonts w:ascii="Arial" w:hAnsi="Arial" w:cs="Arial"/>
                                <w:b/>
                                <w:bCs/>
                                <w:color w:val="FF0000"/>
                                <w:sz w:val="20"/>
                                <w:szCs w:val="18"/>
                              </w:rPr>
                            </w:pPr>
                            <w:r>
                              <w:rPr>
                                <w:rFonts w:ascii="Arial" w:hAnsi="Arial" w:cs="Arial"/>
                                <w:b/>
                                <w:bCs/>
                                <w:color w:val="FF0000"/>
                                <w:sz w:val="20"/>
                                <w:szCs w:val="18"/>
                              </w:rPr>
                              <w:t>Oberschenkel</w:t>
                            </w:r>
                            <w:r w:rsidRPr="009A1F4C">
                              <w:rPr>
                                <w:rFonts w:ascii="Arial" w:hAnsi="Arial" w:cs="Arial"/>
                                <w:b/>
                                <w:bCs/>
                                <w:color w:val="FF0000"/>
                                <w:sz w:val="20"/>
                                <w:szCs w:val="18"/>
                              </w:rPr>
                              <w:t>:</w:t>
                            </w:r>
                          </w:p>
                          <w:p w14:paraId="38DDE7E2" w14:textId="77777777" w:rsidR="008F3710" w:rsidRPr="009A1F4C" w:rsidRDefault="008F3710" w:rsidP="004B7C95">
                            <w:pPr>
                              <w:rPr>
                                <w:rFonts w:ascii="Arial" w:hAnsi="Arial" w:cs="Arial"/>
                                <w:sz w:val="20"/>
                                <w:szCs w:val="18"/>
                              </w:rPr>
                            </w:pPr>
                            <w:r>
                              <w:rPr>
                                <w:rFonts w:ascii="Arial" w:hAnsi="Arial" w:cs="Arial"/>
                                <w:sz w:val="20"/>
                                <w:szCs w:val="18"/>
                              </w:rPr>
                              <w:t>Vorderseite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901A" id="_x0000_s1090" type="#_x0000_t202" style="position:absolute;left:0;text-align:left;margin-left:262.5pt;margin-top:107.3pt;width:112.3pt;height:41.0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" stroked="f">
                <v:textbox>
                  <w:txbxContent>
                    <w:p w14:paraId="7CF0B1B2" w14:textId="77777777" w:rsidR="008F3710" w:rsidRPr="009A1F4C" w:rsidRDefault="008F3710" w:rsidP="004B7C95">
                      <w:pPr>
                        <w:rPr>
                          <w:rFonts w:ascii="Arial" w:hAnsi="Arial" w:cs="Arial"/>
                          <w:b/>
                          <w:bCs/>
                          <w:color w:val="FF0000"/>
                          <w:sz w:val="20"/>
                          <w:szCs w:val="18"/>
                        </w:rPr>
                      </w:pPr>
                      <w:r>
                        <w:rPr>
                          <w:rFonts w:ascii="Arial" w:hAnsi="Arial" w:cs="Arial"/>
                          <w:b/>
                          <w:bCs/>
                          <w:color w:val="FF0000"/>
                          <w:sz w:val="20"/>
                          <w:szCs w:val="18"/>
                        </w:rPr>
                        <w:t>Oberschenkel</w:t>
                      </w:r>
                      <w:r w:rsidRPr="009A1F4C">
                        <w:rPr>
                          <w:rFonts w:ascii="Arial" w:hAnsi="Arial" w:cs="Arial"/>
                          <w:b/>
                          <w:bCs/>
                          <w:color w:val="FF0000"/>
                          <w:sz w:val="20"/>
                          <w:szCs w:val="18"/>
                        </w:rPr>
                        <w:t>:</w:t>
                      </w:r>
                    </w:p>
                    <w:p w14:paraId="38DDE7E2" w14:textId="77777777" w:rsidR="008F3710" w:rsidRPr="009A1F4C" w:rsidRDefault="008F3710" w:rsidP="004B7C95">
                      <w:pPr>
                        <w:rPr>
                          <w:rFonts w:ascii="Arial" w:hAnsi="Arial" w:cs="Arial"/>
                          <w:sz w:val="20"/>
                          <w:szCs w:val="18"/>
                        </w:rPr>
                      </w:pPr>
                      <w:r>
                        <w:rPr>
                          <w:rFonts w:ascii="Arial" w:hAnsi="Arial" w:cs="Arial"/>
                          <w:sz w:val="20"/>
                          <w:szCs w:val="18"/>
                        </w:rPr>
                        <w:t>Vorderseite</w:t>
                      </w:r>
                    </w:p>
                  </w:txbxContent>
                </v:textbox>
              </v:shape>
            </w:pict>
          </mc:Fallback>
        </mc:AlternateContent>
      </w:r>
      <w:r w:rsidRPr="004F5FB4">
        <w:rPr>
          <w:noProof/>
          <w:color w:val="000000"/>
        </w:rPr>
        <w:drawing>
          <wp:inline distT="0" distB="0" distL="0" distR="0" wp14:anchorId="178C2E49" wp14:editId="3885D154">
            <wp:extent cx="4829175" cy="230505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9175" cy="2305050"/>
                    </a:xfrm>
                    <a:prstGeom prst="rect">
                      <a:avLst/>
                    </a:prstGeom>
                    <a:noFill/>
                    <a:ln>
                      <a:noFill/>
                    </a:ln>
                  </pic:spPr>
                </pic:pic>
              </a:graphicData>
            </a:graphic>
          </wp:inline>
        </w:drawing>
      </w:r>
    </w:p>
    <w:p w14:paraId="3C04155D" w14:textId="77777777" w:rsidR="00A8620A" w:rsidRPr="004F5FB4" w:rsidRDefault="00A8620A" w:rsidP="00982118">
      <w:pPr>
        <w:autoSpaceDE w:val="0"/>
        <w:autoSpaceDN w:val="0"/>
        <w:adjustRightInd w:val="0"/>
        <w:jc w:val="center"/>
        <w:rPr>
          <w:color w:val="000000"/>
        </w:rPr>
      </w:pPr>
    </w:p>
    <w:p w14:paraId="03B462B0" w14:textId="77777777" w:rsidR="00A8620A" w:rsidRPr="004F5FB4" w:rsidRDefault="00A8620A" w:rsidP="00982118">
      <w:pPr>
        <w:autoSpaceDE w:val="0"/>
        <w:autoSpaceDN w:val="0"/>
        <w:adjustRightInd w:val="0"/>
        <w:rPr>
          <w:color w:val="000000"/>
          <w:lang w:val="en-GB"/>
        </w:rPr>
      </w:pPr>
    </w:p>
    <w:p w14:paraId="3A3A9B82"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lastRenderedPageBreak/>
        <w:t xml:space="preserve">Spritzen Sie </w:t>
      </w:r>
      <w:r w:rsidRPr="004F5FB4">
        <w:rPr>
          <w:b/>
          <w:bCs/>
          <w:color w:val="000000"/>
        </w:rPr>
        <w:t>NICHT</w:t>
      </w:r>
      <w:r w:rsidRPr="004F5FB4">
        <w:rPr>
          <w:color w:val="000000"/>
        </w:rPr>
        <w:t xml:space="preserve"> in Körperstellen, an denen die Haut gerötet oder hart ist oder an denen sich ein Bluterguss befindet. Dies kann bedeuten, dass eine Infektion vorliegt. Sie sollten daher </w:t>
      </w:r>
      <w:r w:rsidR="00C3787B" w:rsidRPr="004F5FB4">
        <w:rPr>
          <w:color w:val="000000"/>
        </w:rPr>
        <w:t xml:space="preserve">mit dem </w:t>
      </w:r>
      <w:r w:rsidRPr="004F5FB4">
        <w:rPr>
          <w:color w:val="000000"/>
        </w:rPr>
        <w:t xml:space="preserve">Arzt </w:t>
      </w:r>
      <w:r w:rsidR="00C3787B" w:rsidRPr="004F5FB4">
        <w:rPr>
          <w:color w:val="000000"/>
        </w:rPr>
        <w:t>Ihres Kindes sprechen</w:t>
      </w:r>
      <w:r w:rsidRPr="004F5FB4">
        <w:rPr>
          <w:color w:val="000000"/>
        </w:rPr>
        <w:t>, falls solche Stellen vorhanden sind.</w:t>
      </w:r>
    </w:p>
    <w:p w14:paraId="756C8C16" w14:textId="77777777" w:rsidR="007E4EAC" w:rsidRPr="004F5FB4" w:rsidRDefault="007E4EAC" w:rsidP="00982118">
      <w:pPr>
        <w:pStyle w:val="ListParagraph"/>
        <w:autoSpaceDE w:val="0"/>
        <w:autoSpaceDN w:val="0"/>
        <w:adjustRightInd w:val="0"/>
        <w:ind w:left="540"/>
        <w:contextualSpacing/>
        <w:rPr>
          <w:color w:val="000000"/>
        </w:rPr>
      </w:pPr>
    </w:p>
    <w:p w14:paraId="60471B3B" w14:textId="77777777" w:rsidR="007E4EAC" w:rsidRPr="004F5FB4" w:rsidRDefault="004174B0" w:rsidP="00982118">
      <w:pPr>
        <w:pStyle w:val="ListParagraph"/>
        <w:numPr>
          <w:ilvl w:val="1"/>
          <w:numId w:val="29"/>
        </w:numPr>
        <w:autoSpaceDE w:val="0"/>
        <w:autoSpaceDN w:val="0"/>
        <w:adjustRightInd w:val="0"/>
        <w:contextualSpacing/>
        <w:rPr>
          <w:color w:val="000000"/>
        </w:rPr>
      </w:pPr>
      <w:r w:rsidRPr="004F5FB4">
        <w:rPr>
          <w:color w:val="000000"/>
        </w:rPr>
        <w:t xml:space="preserve">Wenn Ihr Kind </w:t>
      </w:r>
      <w:r w:rsidR="007E4EAC" w:rsidRPr="004F5FB4">
        <w:rPr>
          <w:color w:val="000000"/>
        </w:rPr>
        <w:t>Psoriasis</w:t>
      </w:r>
      <w:r w:rsidRPr="004F5FB4">
        <w:rPr>
          <w:color w:val="000000"/>
        </w:rPr>
        <w:t xml:space="preserve"> hat, spritzen Sie</w:t>
      </w:r>
      <w:r w:rsidR="007E4EAC" w:rsidRPr="004F5FB4">
        <w:rPr>
          <w:color w:val="000000"/>
        </w:rPr>
        <w:t xml:space="preserve"> nicht unmittelbar in Stellen mit erhabener, verdickter, geröteter, schuppender oder wunder Haut.</w:t>
      </w:r>
    </w:p>
    <w:p w14:paraId="22EC8E5C" w14:textId="77777777" w:rsidR="007E4EAC" w:rsidRPr="004F5FB4" w:rsidRDefault="007E4EAC" w:rsidP="00982118">
      <w:pPr>
        <w:pStyle w:val="ListParagraph"/>
        <w:autoSpaceDE w:val="0"/>
        <w:autoSpaceDN w:val="0"/>
        <w:adjustRightInd w:val="0"/>
        <w:ind w:left="540"/>
        <w:contextualSpacing/>
        <w:rPr>
          <w:color w:val="000000"/>
        </w:rPr>
      </w:pPr>
    </w:p>
    <w:p w14:paraId="681E36C9"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Um die Möglichkeit für eine Infektion zu verringern, wischen Sie die Hautstelle, in die Sie spritzen möchten, mit dem anderen Alkoholtupfer ab. Berühren Sie diese Stelle vor der Injektion </w:t>
      </w:r>
      <w:r w:rsidRPr="004F5FB4">
        <w:rPr>
          <w:b/>
          <w:bCs/>
          <w:color w:val="000000"/>
        </w:rPr>
        <w:t>NICHT</w:t>
      </w:r>
      <w:r w:rsidRPr="004F5FB4">
        <w:rPr>
          <w:color w:val="000000"/>
        </w:rPr>
        <w:t xml:space="preserve"> mehr.</w:t>
      </w:r>
    </w:p>
    <w:p w14:paraId="6A28B547" w14:textId="77777777" w:rsidR="00A8620A" w:rsidRPr="004F5FB4" w:rsidRDefault="00A8620A" w:rsidP="00982118">
      <w:pPr>
        <w:autoSpaceDE w:val="0"/>
        <w:autoSpaceDN w:val="0"/>
        <w:adjustRightInd w:val="0"/>
        <w:rPr>
          <w:b/>
          <w:bCs/>
          <w:color w:val="000000"/>
          <w:lang w:val="en-GB"/>
        </w:rPr>
      </w:pPr>
    </w:p>
    <w:p w14:paraId="36BF5317" w14:textId="77777777" w:rsidR="00A8620A" w:rsidRPr="004F5FB4" w:rsidRDefault="00A8620A" w:rsidP="00982118">
      <w:pPr>
        <w:pStyle w:val="ListParagraph"/>
        <w:numPr>
          <w:ilvl w:val="0"/>
          <w:numId w:val="30"/>
        </w:numPr>
        <w:autoSpaceDE w:val="0"/>
        <w:autoSpaceDN w:val="0"/>
        <w:adjustRightInd w:val="0"/>
        <w:ind w:left="540" w:hanging="540"/>
        <w:contextualSpacing/>
        <w:rPr>
          <w:b/>
          <w:bCs/>
          <w:color w:val="000000"/>
        </w:rPr>
      </w:pPr>
      <w:r w:rsidRPr="004F5FB4">
        <w:rPr>
          <w:b/>
          <w:bCs/>
          <w:color w:val="000000"/>
        </w:rPr>
        <w:t>Vorbereitung der Dosierung</w:t>
      </w:r>
    </w:p>
    <w:p w14:paraId="64E35B37" w14:textId="77777777" w:rsidR="00A8620A" w:rsidRPr="004F5FB4" w:rsidRDefault="00A8620A" w:rsidP="00982118">
      <w:pPr>
        <w:autoSpaceDE w:val="0"/>
        <w:autoSpaceDN w:val="0"/>
        <w:adjustRightInd w:val="0"/>
        <w:rPr>
          <w:b/>
          <w:bCs/>
          <w:color w:val="000000"/>
          <w:lang w:val="en-GB"/>
        </w:rPr>
      </w:pPr>
    </w:p>
    <w:p w14:paraId="012F4039"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Nehmen Sie die Spritze so zur Hand, dass die Nadel nach oben zeigt.</w:t>
      </w:r>
    </w:p>
    <w:p w14:paraId="0CBF8C1F" w14:textId="77777777" w:rsidR="00A8620A" w:rsidRPr="004F5FB4" w:rsidRDefault="00A8620A" w:rsidP="00982118">
      <w:pPr>
        <w:pStyle w:val="ListParagraph"/>
        <w:autoSpaceDE w:val="0"/>
        <w:autoSpaceDN w:val="0"/>
        <w:adjustRightInd w:val="0"/>
        <w:rPr>
          <w:color w:val="000000"/>
        </w:rPr>
      </w:pPr>
    </w:p>
    <w:p w14:paraId="2B6F4AB2"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Benutzen Sie die andere Hand, um die pinkfarbene Nadelschutzkappe in Richtung Spritze umzuklappen.</w:t>
      </w:r>
    </w:p>
    <w:p w14:paraId="67914DF0" w14:textId="77777777" w:rsidR="00A8620A" w:rsidRPr="004F5FB4" w:rsidRDefault="00A8620A" w:rsidP="00982118">
      <w:pPr>
        <w:pStyle w:val="ListParagraph"/>
        <w:rPr>
          <w:color w:val="000000"/>
        </w:rPr>
      </w:pPr>
    </w:p>
    <w:p w14:paraId="4C67EC61" w14:textId="77777777" w:rsidR="00A8620A" w:rsidRPr="004F5FB4" w:rsidRDefault="00A8620A" w:rsidP="00982118">
      <w:pPr>
        <w:autoSpaceDE w:val="0"/>
        <w:autoSpaceDN w:val="0"/>
        <w:adjustRightInd w:val="0"/>
        <w:rPr>
          <w:color w:val="000000"/>
        </w:rPr>
      </w:pPr>
    </w:p>
    <w:p w14:paraId="49E434E2" w14:textId="34F2C61D"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77D85E57" wp14:editId="3682047B">
            <wp:extent cx="1962150" cy="2009775"/>
            <wp:effectExtent l="0" t="0" r="0" b="0"/>
            <wp:docPr id="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52CD8E4E" w14:textId="77777777" w:rsidR="00A8620A" w:rsidRPr="004F5FB4" w:rsidRDefault="00A8620A" w:rsidP="00982118">
      <w:pPr>
        <w:autoSpaceDE w:val="0"/>
        <w:autoSpaceDN w:val="0"/>
        <w:adjustRightInd w:val="0"/>
        <w:jc w:val="center"/>
        <w:rPr>
          <w:color w:val="000000"/>
          <w:lang w:val="en-GB"/>
        </w:rPr>
      </w:pPr>
    </w:p>
    <w:p w14:paraId="32D915C3" w14:textId="77777777" w:rsidR="00A8620A" w:rsidRPr="004F5FB4" w:rsidRDefault="00A8620A" w:rsidP="00982118">
      <w:pPr>
        <w:autoSpaceDE w:val="0"/>
        <w:autoSpaceDN w:val="0"/>
        <w:adjustRightInd w:val="0"/>
        <w:rPr>
          <w:color w:val="000000"/>
          <w:lang w:val="en-GB"/>
        </w:rPr>
      </w:pPr>
    </w:p>
    <w:p w14:paraId="4D24A1FF" w14:textId="77777777" w:rsidR="00A8620A" w:rsidRPr="004F5FB4" w:rsidRDefault="00A8620A" w:rsidP="00982118">
      <w:pPr>
        <w:pStyle w:val="ListParagraph"/>
        <w:keepNext/>
        <w:numPr>
          <w:ilvl w:val="0"/>
          <w:numId w:val="29"/>
        </w:numPr>
        <w:autoSpaceDE w:val="0"/>
        <w:autoSpaceDN w:val="0"/>
        <w:adjustRightInd w:val="0"/>
        <w:ind w:left="547" w:hanging="547"/>
        <w:contextualSpacing/>
        <w:rPr>
          <w:color w:val="000000"/>
        </w:rPr>
      </w:pPr>
      <w:r w:rsidRPr="004F5FB4">
        <w:rPr>
          <w:color w:val="000000"/>
        </w:rPr>
        <w:t>Entfernen Sie die durchsichtige Nadelhülse, indem Sie diese gerade nach oben mit der anderen Hand abziehen.</w:t>
      </w:r>
    </w:p>
    <w:p w14:paraId="11678A68" w14:textId="77777777" w:rsidR="00A8620A" w:rsidRPr="004F5FB4" w:rsidRDefault="00A8620A" w:rsidP="00982118">
      <w:pPr>
        <w:keepNext/>
        <w:autoSpaceDE w:val="0"/>
        <w:autoSpaceDN w:val="0"/>
        <w:adjustRightInd w:val="0"/>
        <w:rPr>
          <w:color w:val="000000"/>
        </w:rPr>
      </w:pPr>
    </w:p>
    <w:p w14:paraId="4C35784B" w14:textId="5B3A18C1"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42A815CF" wp14:editId="145D52B1">
            <wp:extent cx="1962150" cy="2009775"/>
            <wp:effectExtent l="0" t="0" r="0" b="0"/>
            <wp:docPr id="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3A54BE25" w14:textId="77777777" w:rsidR="00A8620A" w:rsidRPr="004F5FB4" w:rsidRDefault="00A8620A" w:rsidP="00982118">
      <w:pPr>
        <w:autoSpaceDE w:val="0"/>
        <w:autoSpaceDN w:val="0"/>
        <w:adjustRightInd w:val="0"/>
        <w:rPr>
          <w:color w:val="000000"/>
          <w:lang w:val="en-GB"/>
        </w:rPr>
      </w:pPr>
    </w:p>
    <w:p w14:paraId="600F76AB"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Die Nadel ist sauber.</w:t>
      </w:r>
    </w:p>
    <w:p w14:paraId="4C48672C"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Berühren Sie die Nadel </w:t>
      </w:r>
      <w:r w:rsidRPr="004F5FB4">
        <w:rPr>
          <w:b/>
          <w:bCs/>
          <w:color w:val="000000"/>
        </w:rPr>
        <w:t>NICHT</w:t>
      </w:r>
      <w:r w:rsidRPr="004F5FB4">
        <w:rPr>
          <w:color w:val="000000"/>
        </w:rPr>
        <w:t>.</w:t>
      </w:r>
    </w:p>
    <w:p w14:paraId="10AACFCA"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Legen Sie die Spritze zu </w:t>
      </w:r>
      <w:r w:rsidRPr="004F5FB4">
        <w:rPr>
          <w:b/>
          <w:bCs/>
          <w:color w:val="000000"/>
        </w:rPr>
        <w:t>KEINER</w:t>
      </w:r>
      <w:r w:rsidRPr="004F5FB4">
        <w:rPr>
          <w:color w:val="000000"/>
        </w:rPr>
        <w:t xml:space="preserve"> Zeit ab, nachdem die durchsichtige Nadelhülse abgezogen ist.</w:t>
      </w:r>
    </w:p>
    <w:p w14:paraId="03F232D5"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Versuchen Sie </w:t>
      </w:r>
      <w:r w:rsidRPr="004F5FB4">
        <w:rPr>
          <w:b/>
          <w:bCs/>
          <w:color w:val="000000"/>
        </w:rPr>
        <w:t>NICHT</w:t>
      </w:r>
      <w:r w:rsidRPr="004F5FB4">
        <w:rPr>
          <w:color w:val="000000"/>
        </w:rPr>
        <w:t>, die durchsichtige Nadelhülse auf die Nadel zurückzustecken.</w:t>
      </w:r>
    </w:p>
    <w:p w14:paraId="7D94BC90"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lastRenderedPageBreak/>
        <w:t>Halten Sie die Spritze mit nach oben zeigender Nadel in Augenhöhe, um deutlich die Menge zu sehen. Seien Sie vorsichtig, dass die Flüssigkeit nicht in Ihr Auge spritzt.</w:t>
      </w:r>
    </w:p>
    <w:p w14:paraId="4E12E070"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Prüfen Sie noch einmal die verschriebene Medikamentenmenge.</w:t>
      </w:r>
    </w:p>
    <w:p w14:paraId="453919E7"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Drücken Sie die weiße Kolbenstange behutsam in die Spritze, bis die Spritze die verschriebene Flüssigkeitsmenge enthält. Dabei kann überschüssige Flüssigkeit aus der Nadel austreten. Wischen Sie die Nadel oder die Spritze </w:t>
      </w:r>
      <w:r w:rsidRPr="004F5FB4">
        <w:rPr>
          <w:b/>
          <w:bCs/>
          <w:color w:val="000000"/>
        </w:rPr>
        <w:t>NICHT</w:t>
      </w:r>
      <w:r w:rsidRPr="004F5FB4">
        <w:rPr>
          <w:color w:val="000000"/>
        </w:rPr>
        <w:t xml:space="preserve"> ab.</w:t>
      </w:r>
    </w:p>
    <w:p w14:paraId="3AA39E5E" w14:textId="77777777" w:rsidR="00A8620A" w:rsidRPr="004F5FB4" w:rsidRDefault="00A8620A" w:rsidP="00982118">
      <w:pPr>
        <w:autoSpaceDE w:val="0"/>
        <w:autoSpaceDN w:val="0"/>
        <w:adjustRightInd w:val="0"/>
        <w:rPr>
          <w:b/>
          <w:bCs/>
          <w:color w:val="000000"/>
        </w:rPr>
      </w:pPr>
    </w:p>
    <w:p w14:paraId="31FF41C2" w14:textId="77777777" w:rsidR="00A8620A" w:rsidRPr="004F5FB4" w:rsidRDefault="00A8620A" w:rsidP="00982118">
      <w:pPr>
        <w:pStyle w:val="ListParagraph"/>
        <w:numPr>
          <w:ilvl w:val="0"/>
          <w:numId w:val="30"/>
        </w:numPr>
        <w:autoSpaceDE w:val="0"/>
        <w:autoSpaceDN w:val="0"/>
        <w:adjustRightInd w:val="0"/>
        <w:ind w:left="567" w:hanging="567"/>
        <w:contextualSpacing/>
        <w:rPr>
          <w:b/>
          <w:bCs/>
          <w:color w:val="000000"/>
        </w:rPr>
      </w:pPr>
      <w:r w:rsidRPr="004F5FB4">
        <w:rPr>
          <w:b/>
          <w:bCs/>
          <w:color w:val="000000"/>
        </w:rPr>
        <w:t>Injektion von Amsparity</w:t>
      </w:r>
    </w:p>
    <w:p w14:paraId="288A7F80" w14:textId="77777777" w:rsidR="00A8620A" w:rsidRPr="004F5FB4" w:rsidRDefault="00A8620A" w:rsidP="00982118">
      <w:pPr>
        <w:autoSpaceDE w:val="0"/>
        <w:autoSpaceDN w:val="0"/>
        <w:adjustRightInd w:val="0"/>
        <w:rPr>
          <w:b/>
          <w:bCs/>
          <w:color w:val="000000"/>
          <w:lang w:val="en-GB"/>
        </w:rPr>
      </w:pPr>
    </w:p>
    <w:p w14:paraId="644A2B0A"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Greifen Sie ein Stück der gereinigten Hautfläche mit der freien Hand und halten Sie es fest.</w:t>
      </w:r>
    </w:p>
    <w:p w14:paraId="0C61FACC"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Mit der anderen Hand halten Sie die Spritze in einem Winkel von etwa 45° zur Haut.</w:t>
      </w:r>
    </w:p>
    <w:p w14:paraId="25DF279F"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Stechen Sie die Nadel mit einer schnellen, kurzen Bewegung vollständig in die Haut.</w:t>
      </w:r>
    </w:p>
    <w:p w14:paraId="7CFFCB7C"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Lassen Sie die Hautfalte in Ihrer Hand wieder los.</w:t>
      </w:r>
    </w:p>
    <w:p w14:paraId="7C2E543F"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Drücken Sie die weiße Kolbenstange langsam und mit gleichbleibende</w:t>
      </w:r>
      <w:r w:rsidR="00525A22" w:rsidRPr="004F5FB4">
        <w:rPr>
          <w:color w:val="000000"/>
        </w:rPr>
        <w:t>m</w:t>
      </w:r>
      <w:r w:rsidRPr="004F5FB4">
        <w:rPr>
          <w:color w:val="000000"/>
        </w:rPr>
        <w:t xml:space="preserve"> Druck herunter, um das flüssige Medikament zu spritzen, bis die Spritze leer ist.</w:t>
      </w:r>
    </w:p>
    <w:p w14:paraId="1862ED00"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Wenn die Spritze leer ist, ziehen Sie die Nadel aus der Haut. Ziehen Sie die Nadel in demselben Winkel wieder heraus, in dem Sie sie eingestochen haben.</w:t>
      </w:r>
    </w:p>
    <w:p w14:paraId="262AD312" w14:textId="77777777" w:rsidR="007E4EAC" w:rsidRPr="004F5FB4" w:rsidRDefault="007E4EAC"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Vergewissern Sie sich, dass die </w:t>
      </w:r>
      <w:r w:rsidR="006A4773">
        <w:rPr>
          <w:color w:val="000000"/>
        </w:rPr>
        <w:t>S</w:t>
      </w:r>
      <w:r w:rsidRPr="004F5FB4">
        <w:rPr>
          <w:color w:val="000000"/>
        </w:rPr>
        <w:t xml:space="preserve">pritze </w:t>
      </w:r>
      <w:r w:rsidR="006A3D0E" w:rsidRPr="004F5FB4">
        <w:rPr>
          <w:color w:val="000000"/>
        </w:rPr>
        <w:t xml:space="preserve">Ihres Kindes </w:t>
      </w:r>
      <w:r w:rsidRPr="004F5FB4">
        <w:rPr>
          <w:color w:val="000000"/>
        </w:rPr>
        <w:t>vollständig leer ist.</w:t>
      </w:r>
    </w:p>
    <w:p w14:paraId="53F02A9C" w14:textId="77777777" w:rsidR="00A8620A" w:rsidRPr="004F5FB4" w:rsidRDefault="00A8620A" w:rsidP="00982118">
      <w:pPr>
        <w:autoSpaceDE w:val="0"/>
        <w:autoSpaceDN w:val="0"/>
        <w:adjustRightInd w:val="0"/>
        <w:jc w:val="center"/>
        <w:rPr>
          <w:color w:val="000000"/>
        </w:rPr>
      </w:pPr>
    </w:p>
    <w:p w14:paraId="3F9F910B" w14:textId="77777777" w:rsidR="00A8620A" w:rsidRPr="004F5FB4" w:rsidRDefault="00A8620A" w:rsidP="00982118">
      <w:pPr>
        <w:autoSpaceDE w:val="0"/>
        <w:autoSpaceDN w:val="0"/>
        <w:adjustRightInd w:val="0"/>
        <w:jc w:val="center"/>
        <w:rPr>
          <w:color w:val="000000"/>
        </w:rPr>
      </w:pPr>
    </w:p>
    <w:p w14:paraId="678C1BD3" w14:textId="15FBC634"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455976BF" wp14:editId="51C88DFB">
            <wp:extent cx="1962150" cy="2009775"/>
            <wp:effectExtent l="0" t="0" r="0" b="0"/>
            <wp:docPr id="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05145CC6" w14:textId="77777777" w:rsidR="00A8620A" w:rsidRPr="004F5FB4" w:rsidRDefault="00A8620A" w:rsidP="00982118">
      <w:pPr>
        <w:autoSpaceDE w:val="0"/>
        <w:autoSpaceDN w:val="0"/>
        <w:adjustRightInd w:val="0"/>
        <w:jc w:val="center"/>
        <w:rPr>
          <w:color w:val="000000"/>
          <w:lang w:val="en-GB"/>
        </w:rPr>
      </w:pPr>
    </w:p>
    <w:p w14:paraId="7937D9B7" w14:textId="77777777" w:rsidR="00A8620A" w:rsidRPr="004F5FB4" w:rsidRDefault="00A8620A" w:rsidP="00982118">
      <w:pPr>
        <w:autoSpaceDE w:val="0"/>
        <w:autoSpaceDN w:val="0"/>
        <w:adjustRightInd w:val="0"/>
        <w:rPr>
          <w:color w:val="000000"/>
          <w:lang w:val="en-GB"/>
        </w:rPr>
      </w:pPr>
    </w:p>
    <w:p w14:paraId="6EA82DC0"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Klappen Sie die pinkfarbene Nadelschutzkappe behutsam über die Nadel und lassen Sie sie einrasten; legen Sie die Spritze mit der Nadel auf die Arbeitsfläche. Stecken Sie die durchsichtige Nadelhülse </w:t>
      </w:r>
      <w:r w:rsidRPr="004F5FB4">
        <w:rPr>
          <w:b/>
          <w:bCs/>
          <w:color w:val="000000"/>
        </w:rPr>
        <w:t>NICHT</w:t>
      </w:r>
      <w:r w:rsidRPr="004F5FB4">
        <w:rPr>
          <w:color w:val="000000"/>
        </w:rPr>
        <w:t xml:space="preserve"> zurück auf die Nadel.</w:t>
      </w:r>
    </w:p>
    <w:p w14:paraId="44F00AB9" w14:textId="77777777" w:rsidR="00A8620A" w:rsidRPr="004F5FB4" w:rsidRDefault="00A8620A" w:rsidP="00982118">
      <w:pPr>
        <w:autoSpaceDE w:val="0"/>
        <w:autoSpaceDN w:val="0"/>
        <w:adjustRightInd w:val="0"/>
        <w:rPr>
          <w:color w:val="000000"/>
        </w:rPr>
      </w:pPr>
    </w:p>
    <w:p w14:paraId="47D82B4E" w14:textId="2291828F" w:rsidR="00A8620A" w:rsidRPr="004F5FB4" w:rsidRDefault="00032CD3" w:rsidP="00982118">
      <w:pPr>
        <w:autoSpaceDE w:val="0"/>
        <w:autoSpaceDN w:val="0"/>
        <w:adjustRightInd w:val="0"/>
        <w:jc w:val="center"/>
        <w:rPr>
          <w:color w:val="000000"/>
        </w:rPr>
      </w:pPr>
      <w:r w:rsidRPr="004F5FB4">
        <w:rPr>
          <w:noProof/>
          <w:color w:val="000000"/>
          <w:lang w:eastAsia="de-DE"/>
        </w:rPr>
        <w:drawing>
          <wp:inline distT="0" distB="0" distL="0" distR="0" wp14:anchorId="142D6158" wp14:editId="552C60FC">
            <wp:extent cx="1962150" cy="2009775"/>
            <wp:effectExtent l="0" t="0" r="0" b="0"/>
            <wp:docPr id="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r w:rsidRPr="004F5FB4">
        <w:rPr>
          <w:noProof/>
          <w:color w:val="000000"/>
          <w:lang w:eastAsia="de-DE"/>
        </w:rPr>
        <w:drawing>
          <wp:inline distT="0" distB="0" distL="0" distR="0" wp14:anchorId="2BFC2C49" wp14:editId="25E5E386">
            <wp:extent cx="1962150" cy="2009775"/>
            <wp:effectExtent l="0" t="0" r="0" b="0"/>
            <wp:docPr id="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4B022FD8" w14:textId="77777777" w:rsidR="00A8620A" w:rsidRPr="004F5FB4" w:rsidRDefault="00A8620A" w:rsidP="00982118">
      <w:pPr>
        <w:autoSpaceDE w:val="0"/>
        <w:autoSpaceDN w:val="0"/>
        <w:adjustRightInd w:val="0"/>
        <w:jc w:val="center"/>
        <w:rPr>
          <w:color w:val="000000"/>
          <w:lang w:val="en-GB"/>
        </w:rPr>
      </w:pPr>
    </w:p>
    <w:p w14:paraId="2DF24983" w14:textId="77777777" w:rsidR="00A8620A" w:rsidRPr="004F5FB4" w:rsidRDefault="00A8620A" w:rsidP="00982118">
      <w:pPr>
        <w:autoSpaceDE w:val="0"/>
        <w:autoSpaceDN w:val="0"/>
        <w:adjustRightInd w:val="0"/>
        <w:rPr>
          <w:color w:val="000000"/>
          <w:lang w:val="en-GB"/>
        </w:rPr>
      </w:pPr>
    </w:p>
    <w:p w14:paraId="42FAEA7A"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Drücken Sie ein Stück Verbandmull 10</w:t>
      </w:r>
      <w:r w:rsidR="00AE0035" w:rsidRPr="004F5FB4">
        <w:rPr>
          <w:color w:val="000000"/>
        </w:rPr>
        <w:t> </w:t>
      </w:r>
      <w:r w:rsidRPr="004F5FB4">
        <w:rPr>
          <w:color w:val="000000"/>
        </w:rPr>
        <w:t xml:space="preserve">Sekunden lang auf die Einstichstelle. Es kann eine leichte Blutung auftreten. Reiben Sie die Einstichstelle </w:t>
      </w:r>
      <w:r w:rsidRPr="004F5FB4">
        <w:rPr>
          <w:b/>
          <w:bCs/>
          <w:color w:val="000000"/>
        </w:rPr>
        <w:t>NICHT</w:t>
      </w:r>
      <w:r w:rsidRPr="004F5FB4">
        <w:rPr>
          <w:color w:val="000000"/>
        </w:rPr>
        <w:t>. Wenn Sie möchten, können Sie ein Pflaster benutzen.</w:t>
      </w:r>
    </w:p>
    <w:p w14:paraId="2F021387" w14:textId="77777777" w:rsidR="00A8620A" w:rsidRPr="00F577F5" w:rsidRDefault="00A8620A" w:rsidP="00982118">
      <w:pPr>
        <w:autoSpaceDE w:val="0"/>
        <w:autoSpaceDN w:val="0"/>
        <w:adjustRightInd w:val="0"/>
        <w:rPr>
          <w:color w:val="000000"/>
        </w:rPr>
      </w:pPr>
    </w:p>
    <w:p w14:paraId="7DB3E746" w14:textId="77777777" w:rsidR="00A8620A" w:rsidRPr="004F5FB4" w:rsidRDefault="00A8620A" w:rsidP="00982118">
      <w:pPr>
        <w:pStyle w:val="ListParagraph"/>
        <w:numPr>
          <w:ilvl w:val="0"/>
          <w:numId w:val="30"/>
        </w:numPr>
        <w:autoSpaceDE w:val="0"/>
        <w:autoSpaceDN w:val="0"/>
        <w:adjustRightInd w:val="0"/>
        <w:ind w:left="567" w:hanging="567"/>
        <w:contextualSpacing/>
        <w:rPr>
          <w:b/>
          <w:bCs/>
          <w:color w:val="000000"/>
        </w:rPr>
      </w:pPr>
      <w:r w:rsidRPr="004F5FB4">
        <w:rPr>
          <w:b/>
          <w:bCs/>
          <w:color w:val="000000"/>
        </w:rPr>
        <w:t>Entsorgung der Reste</w:t>
      </w:r>
    </w:p>
    <w:p w14:paraId="79BC6256" w14:textId="77777777" w:rsidR="00A8620A" w:rsidRPr="004F5FB4" w:rsidRDefault="00A8620A" w:rsidP="00982118">
      <w:pPr>
        <w:autoSpaceDE w:val="0"/>
        <w:autoSpaceDN w:val="0"/>
        <w:adjustRightInd w:val="0"/>
        <w:rPr>
          <w:b/>
          <w:bCs/>
          <w:color w:val="000000"/>
          <w:lang w:val="en-GB"/>
        </w:rPr>
      </w:pPr>
    </w:p>
    <w:p w14:paraId="4B156B76"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 xml:space="preserve">Sie benötigen einen speziellen Abfallbehälter (z. B. einen Behälter für spitze Gegenstände) entsprechend den Anweisungen </w:t>
      </w:r>
      <w:r w:rsidR="00C3787B" w:rsidRPr="004F5FB4">
        <w:rPr>
          <w:color w:val="000000"/>
        </w:rPr>
        <w:t>d</w:t>
      </w:r>
      <w:r w:rsidR="00E34A3F" w:rsidRPr="004F5FB4">
        <w:rPr>
          <w:color w:val="000000"/>
        </w:rPr>
        <w:t>es Arztes</w:t>
      </w:r>
      <w:r w:rsidR="00C3787B" w:rsidRPr="004F5FB4">
        <w:rPr>
          <w:color w:val="000000"/>
        </w:rPr>
        <w:t xml:space="preserve"> Ihres Kindes, des medizinischen Fachpersonals</w:t>
      </w:r>
      <w:r w:rsidRPr="004F5FB4">
        <w:rPr>
          <w:color w:val="000000"/>
        </w:rPr>
        <w:t xml:space="preserve"> oder Apotheker</w:t>
      </w:r>
      <w:r w:rsidR="00E34A3F" w:rsidRPr="004F5FB4">
        <w:rPr>
          <w:color w:val="000000"/>
        </w:rPr>
        <w:t>s</w:t>
      </w:r>
      <w:r w:rsidRPr="004F5FB4">
        <w:rPr>
          <w:color w:val="000000"/>
        </w:rPr>
        <w:t>.</w:t>
      </w:r>
    </w:p>
    <w:p w14:paraId="0FC86F34"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Legen Sie die Spritze mit Nadel, die Durchstechflasche und den Adapter in den speziellen Abfallbehälter. Werfen Sie diese Gegenstände NICHT in den gewöhnlichen Haushaltsmüll.</w:t>
      </w:r>
    </w:p>
    <w:p w14:paraId="175ECF7F"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Spritze, Nadel, Durchstechflasche und Adapter dürfen NIE wiederverwendet werden.</w:t>
      </w:r>
    </w:p>
    <w:p w14:paraId="2B4AF80E" w14:textId="77777777" w:rsidR="00A8620A" w:rsidRPr="004F5FB4" w:rsidRDefault="00A8620A" w:rsidP="00982118">
      <w:pPr>
        <w:pStyle w:val="ListParagraph"/>
        <w:numPr>
          <w:ilvl w:val="0"/>
          <w:numId w:val="29"/>
        </w:numPr>
        <w:autoSpaceDE w:val="0"/>
        <w:autoSpaceDN w:val="0"/>
        <w:adjustRightInd w:val="0"/>
        <w:ind w:left="540" w:hanging="540"/>
        <w:contextualSpacing/>
        <w:rPr>
          <w:color w:val="000000"/>
        </w:rPr>
      </w:pPr>
      <w:r w:rsidRPr="004F5FB4">
        <w:rPr>
          <w:color w:val="000000"/>
        </w:rPr>
        <w:t>Bewahren Sie den speziellen Abfallbehälter für Kinder jederzeit unzugänglich auf.</w:t>
      </w:r>
    </w:p>
    <w:p w14:paraId="761AFE69" w14:textId="77777777" w:rsidR="00A8620A" w:rsidRPr="00A65FE9" w:rsidRDefault="00A8620A" w:rsidP="005C6E32">
      <w:pPr>
        <w:pStyle w:val="ListParagraph"/>
        <w:numPr>
          <w:ilvl w:val="0"/>
          <w:numId w:val="29"/>
        </w:numPr>
        <w:tabs>
          <w:tab w:val="left" w:pos="562"/>
        </w:tabs>
        <w:autoSpaceDE w:val="0"/>
        <w:autoSpaceDN w:val="0"/>
        <w:adjustRightInd w:val="0"/>
        <w:ind w:left="540" w:hanging="540"/>
        <w:contextualSpacing/>
        <w:rPr>
          <w:b/>
          <w:bCs/>
          <w:color w:val="000000"/>
        </w:rPr>
      </w:pPr>
      <w:r w:rsidRPr="00A65FE9">
        <w:rPr>
          <w:color w:val="000000"/>
        </w:rPr>
        <w:t>Entsorgen Sie alle anderen verwendeten Gegenstände in Ihrem gewöhnlichen Haushaltsabfall.</w:t>
      </w:r>
    </w:p>
    <w:p w14:paraId="049EED5F" w14:textId="77777777" w:rsidR="00C46587" w:rsidRPr="004F5FB4" w:rsidRDefault="00C46587" w:rsidP="00982118">
      <w:pPr>
        <w:rPr>
          <w:color w:val="000000"/>
        </w:rPr>
      </w:pPr>
      <w:r w:rsidRPr="004F5FB4">
        <w:rPr>
          <w:color w:val="000000"/>
        </w:rPr>
        <w:br w:type="page"/>
      </w:r>
    </w:p>
    <w:p w14:paraId="6005064A" w14:textId="77777777" w:rsidR="00C46587" w:rsidRPr="004F5FB4" w:rsidRDefault="00C46587" w:rsidP="00982118">
      <w:pPr>
        <w:jc w:val="center"/>
        <w:rPr>
          <w:b/>
          <w:color w:val="000000"/>
        </w:rPr>
      </w:pPr>
      <w:r w:rsidRPr="004F5FB4">
        <w:rPr>
          <w:b/>
          <w:color w:val="000000"/>
        </w:rPr>
        <w:lastRenderedPageBreak/>
        <w:t>Gebrauchsinformation: Information für Patienten</w:t>
      </w:r>
    </w:p>
    <w:p w14:paraId="3BCF283D" w14:textId="77777777" w:rsidR="00C46587" w:rsidRPr="004F5FB4" w:rsidRDefault="00C46587" w:rsidP="00982118">
      <w:pPr>
        <w:jc w:val="center"/>
        <w:rPr>
          <w:b/>
          <w:color w:val="000000"/>
        </w:rPr>
      </w:pPr>
    </w:p>
    <w:p w14:paraId="15478075" w14:textId="77777777" w:rsidR="00C46587" w:rsidRPr="004F5FB4" w:rsidRDefault="006A1144" w:rsidP="00982118">
      <w:pPr>
        <w:jc w:val="center"/>
        <w:rPr>
          <w:b/>
          <w:color w:val="000000"/>
        </w:rPr>
      </w:pPr>
      <w:r w:rsidRPr="004F5FB4">
        <w:rPr>
          <w:b/>
          <w:color w:val="000000"/>
        </w:rPr>
        <w:t>Amsparity 40 mg Injektionslösung in einer Fertigspritze</w:t>
      </w:r>
    </w:p>
    <w:p w14:paraId="7317C93D" w14:textId="77777777" w:rsidR="00C46587" w:rsidRPr="004F5FB4" w:rsidRDefault="00C46587" w:rsidP="00982118">
      <w:pPr>
        <w:jc w:val="center"/>
        <w:rPr>
          <w:color w:val="000000"/>
        </w:rPr>
      </w:pPr>
      <w:r w:rsidRPr="004F5FB4">
        <w:rPr>
          <w:color w:val="000000"/>
        </w:rPr>
        <w:t>Adalimumab</w:t>
      </w:r>
    </w:p>
    <w:p w14:paraId="729026F6" w14:textId="77777777" w:rsidR="00C3787B" w:rsidRPr="004F5FB4" w:rsidRDefault="00C3787B" w:rsidP="00982118">
      <w:pPr>
        <w:jc w:val="center"/>
        <w:rPr>
          <w:color w:val="000000"/>
        </w:rPr>
      </w:pPr>
    </w:p>
    <w:p w14:paraId="1F33AAAC" w14:textId="3095EB00" w:rsidR="00C3787B" w:rsidRPr="004F5FB4" w:rsidRDefault="00032CD3" w:rsidP="00982118">
      <w:pPr>
        <w:jc w:val="center"/>
        <w:rPr>
          <w:color w:val="000000"/>
        </w:rPr>
      </w:pPr>
      <w:r w:rsidRPr="004F5FB4">
        <w:rPr>
          <w:noProof/>
          <w:color w:val="000000"/>
          <w:lang w:val="en-GB"/>
        </w:rPr>
        <w:drawing>
          <wp:inline distT="0" distB="0" distL="0" distR="0" wp14:anchorId="043BB2A8" wp14:editId="6260A48F">
            <wp:extent cx="4029075" cy="1219200"/>
            <wp:effectExtent l="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29075" cy="1219200"/>
                    </a:xfrm>
                    <a:prstGeom prst="rect">
                      <a:avLst/>
                    </a:prstGeom>
                    <a:noFill/>
                    <a:ln>
                      <a:noFill/>
                    </a:ln>
                  </pic:spPr>
                </pic:pic>
              </a:graphicData>
            </a:graphic>
          </wp:inline>
        </w:drawing>
      </w:r>
    </w:p>
    <w:p w14:paraId="1C275357" w14:textId="77777777" w:rsidR="00C46587" w:rsidRPr="004F5FB4" w:rsidRDefault="00C46587" w:rsidP="00982118">
      <w:pPr>
        <w:rPr>
          <w:color w:val="000000"/>
        </w:rPr>
      </w:pPr>
    </w:p>
    <w:p w14:paraId="58424CE8" w14:textId="77777777" w:rsidR="00934A4A" w:rsidRPr="004F5FB4" w:rsidRDefault="00934A4A" w:rsidP="00982118">
      <w:pPr>
        <w:rPr>
          <w:color w:val="000000"/>
        </w:rPr>
      </w:pPr>
    </w:p>
    <w:p w14:paraId="028D56AC" w14:textId="77777777" w:rsidR="00C46587" w:rsidRPr="004F5FB4" w:rsidRDefault="00C46587" w:rsidP="00982118">
      <w:pPr>
        <w:rPr>
          <w:b/>
          <w:color w:val="000000"/>
        </w:rPr>
      </w:pPr>
      <w:r w:rsidRPr="004F5FB4">
        <w:rPr>
          <w:b/>
          <w:color w:val="000000"/>
        </w:rPr>
        <w:t xml:space="preserve">Lesen Sie die gesamte Packungsbeilage sorgfältig durch, bevor Sie mit der Anwendung dieses Arzneimittels beginnen, denn sie enthält wichtige Informationen. </w:t>
      </w:r>
    </w:p>
    <w:p w14:paraId="0342B7AA" w14:textId="77777777" w:rsidR="00C46587" w:rsidRPr="004F5FB4" w:rsidRDefault="00C46587" w:rsidP="00982118">
      <w:pPr>
        <w:numPr>
          <w:ilvl w:val="0"/>
          <w:numId w:val="4"/>
        </w:numPr>
        <w:ind w:left="562" w:hanging="562"/>
        <w:rPr>
          <w:color w:val="000000"/>
        </w:rPr>
      </w:pPr>
      <w:r w:rsidRPr="004F5FB4">
        <w:rPr>
          <w:color w:val="000000"/>
        </w:rPr>
        <w:t xml:space="preserve">Heben Sie die Packungsbeilage auf. Vielleicht möchten Sie diese später nochmals lesen. </w:t>
      </w:r>
    </w:p>
    <w:p w14:paraId="318CAA8F" w14:textId="77777777" w:rsidR="00C46587" w:rsidRPr="004F5FB4" w:rsidRDefault="00C46587" w:rsidP="00982118">
      <w:pPr>
        <w:numPr>
          <w:ilvl w:val="0"/>
          <w:numId w:val="4"/>
        </w:numPr>
        <w:ind w:left="562" w:hanging="562"/>
        <w:rPr>
          <w:color w:val="000000"/>
        </w:rPr>
      </w:pPr>
      <w:r w:rsidRPr="004F5FB4">
        <w:rPr>
          <w:color w:val="000000"/>
        </w:rPr>
        <w:t xml:space="preserve">Ihr Arzt wird Ihnen auch einen Patientenpass aushändigen, der wichtige Informationen zur Sicherheit enthält, die Sie vor und während der Behandlung mit Amsparity beachten sollten. Führen Sie diesen Patientenpass mit sich. </w:t>
      </w:r>
    </w:p>
    <w:p w14:paraId="7C780A74" w14:textId="77777777" w:rsidR="00C46587" w:rsidRPr="004F5FB4" w:rsidRDefault="00C46587" w:rsidP="00982118">
      <w:pPr>
        <w:numPr>
          <w:ilvl w:val="0"/>
          <w:numId w:val="4"/>
        </w:numPr>
        <w:ind w:left="562" w:hanging="562"/>
        <w:rPr>
          <w:color w:val="000000"/>
        </w:rPr>
      </w:pPr>
      <w:r w:rsidRPr="004F5FB4">
        <w:rPr>
          <w:color w:val="000000"/>
        </w:rPr>
        <w:t>Wenn Sie weitere Fragen haben, wenden Sie sich an Ihren Arzt oder Apotheker.</w:t>
      </w:r>
    </w:p>
    <w:p w14:paraId="24360CE3" w14:textId="77777777" w:rsidR="00C46587" w:rsidRPr="004F5FB4" w:rsidRDefault="00C46587" w:rsidP="00982118">
      <w:pPr>
        <w:numPr>
          <w:ilvl w:val="0"/>
          <w:numId w:val="4"/>
        </w:numPr>
        <w:ind w:left="562" w:hanging="562"/>
        <w:rPr>
          <w:color w:val="000000"/>
        </w:rPr>
      </w:pPr>
      <w:r w:rsidRPr="004F5FB4">
        <w:rPr>
          <w:color w:val="000000"/>
        </w:rPr>
        <w:t>Dieses Arzneimittel wurde Ihnen persönlich verschrieben. Geben Sie es nicht an Dritte weiter. Es kann anderen Menschen schaden, auch wenn diese die gleichen Beschwerden haben wie Sie.</w:t>
      </w:r>
    </w:p>
    <w:p w14:paraId="489926F9" w14:textId="77777777" w:rsidR="00C46587" w:rsidRPr="004F5FB4" w:rsidRDefault="00C46587" w:rsidP="00982118">
      <w:pPr>
        <w:numPr>
          <w:ilvl w:val="0"/>
          <w:numId w:val="4"/>
        </w:numPr>
        <w:ind w:left="562" w:hanging="562"/>
        <w:rPr>
          <w:color w:val="000000"/>
        </w:rPr>
      </w:pPr>
      <w:r w:rsidRPr="004F5FB4">
        <w:rPr>
          <w:color w:val="000000"/>
        </w:rPr>
        <w:t>Wenn Sie Nebenwirkungen bemerken, wenden Sie sich an Ihren Arzt oder Apotheker. Dies gilt auch für Nebenwirkungen, die nicht in dieser Packungsbeilage angegeben sind. Siehe Abschnitt</w:t>
      </w:r>
      <w:r w:rsidR="00B45946" w:rsidRPr="004F5FB4">
        <w:rPr>
          <w:color w:val="000000"/>
        </w:rPr>
        <w:t> </w:t>
      </w:r>
      <w:r w:rsidRPr="004F5FB4">
        <w:rPr>
          <w:color w:val="000000"/>
        </w:rPr>
        <w:t xml:space="preserve">4. </w:t>
      </w:r>
    </w:p>
    <w:p w14:paraId="3678F560" w14:textId="77777777" w:rsidR="00C46587" w:rsidRPr="004F5FB4" w:rsidRDefault="00C46587" w:rsidP="00982118">
      <w:pPr>
        <w:rPr>
          <w:color w:val="000000"/>
          <w:lang w:val="en-GB"/>
        </w:rPr>
      </w:pPr>
    </w:p>
    <w:p w14:paraId="596A3253" w14:textId="77777777" w:rsidR="00C46587" w:rsidRPr="004F5FB4" w:rsidRDefault="00C46587" w:rsidP="00982118">
      <w:pPr>
        <w:rPr>
          <w:b/>
          <w:color w:val="000000"/>
        </w:rPr>
      </w:pPr>
      <w:r w:rsidRPr="004F5FB4">
        <w:rPr>
          <w:b/>
          <w:color w:val="000000"/>
        </w:rPr>
        <w:t>Was in dieser Packungsbeilage steht</w:t>
      </w:r>
    </w:p>
    <w:p w14:paraId="5A197ACF" w14:textId="77777777" w:rsidR="00B45946" w:rsidRPr="004F5FB4" w:rsidRDefault="00B45946" w:rsidP="00982118">
      <w:pPr>
        <w:rPr>
          <w:b/>
          <w:color w:val="000000"/>
        </w:rPr>
      </w:pPr>
    </w:p>
    <w:p w14:paraId="1E893D2E" w14:textId="77777777" w:rsidR="00C46587" w:rsidRPr="004F5FB4" w:rsidRDefault="00C46587" w:rsidP="003533D2">
      <w:pPr>
        <w:numPr>
          <w:ilvl w:val="0"/>
          <w:numId w:val="66"/>
        </w:numPr>
        <w:ind w:left="567" w:hanging="567"/>
        <w:rPr>
          <w:color w:val="000000"/>
        </w:rPr>
      </w:pPr>
      <w:r w:rsidRPr="004F5FB4">
        <w:rPr>
          <w:color w:val="000000"/>
        </w:rPr>
        <w:t xml:space="preserve">Was ist Amsparity und wofür wird es angewendet? </w:t>
      </w:r>
    </w:p>
    <w:p w14:paraId="11FCC95B" w14:textId="77777777" w:rsidR="00C46587" w:rsidRPr="004F5FB4" w:rsidRDefault="00C46587" w:rsidP="003533D2">
      <w:pPr>
        <w:numPr>
          <w:ilvl w:val="0"/>
          <w:numId w:val="66"/>
        </w:numPr>
        <w:ind w:left="567" w:hanging="567"/>
        <w:rPr>
          <w:color w:val="000000"/>
        </w:rPr>
      </w:pPr>
      <w:r w:rsidRPr="004F5FB4">
        <w:rPr>
          <w:color w:val="000000"/>
        </w:rPr>
        <w:t xml:space="preserve">Was sollten Sie vor der Anwendung von Amsparity beachten? </w:t>
      </w:r>
    </w:p>
    <w:p w14:paraId="29C57204" w14:textId="77777777" w:rsidR="00C46587" w:rsidRPr="004F5FB4" w:rsidRDefault="00C46587" w:rsidP="003533D2">
      <w:pPr>
        <w:numPr>
          <w:ilvl w:val="0"/>
          <w:numId w:val="66"/>
        </w:numPr>
        <w:ind w:left="567" w:hanging="567"/>
        <w:rPr>
          <w:color w:val="000000"/>
        </w:rPr>
      </w:pPr>
      <w:r w:rsidRPr="004F5FB4">
        <w:rPr>
          <w:color w:val="000000"/>
        </w:rPr>
        <w:t xml:space="preserve">Wie ist Amsparity anzuwenden? </w:t>
      </w:r>
    </w:p>
    <w:p w14:paraId="16B3C1A5" w14:textId="77777777" w:rsidR="00C46587" w:rsidRPr="004F5FB4" w:rsidRDefault="00C46587" w:rsidP="003533D2">
      <w:pPr>
        <w:numPr>
          <w:ilvl w:val="0"/>
          <w:numId w:val="66"/>
        </w:numPr>
        <w:ind w:left="567" w:hanging="567"/>
        <w:rPr>
          <w:color w:val="000000"/>
        </w:rPr>
      </w:pPr>
      <w:r w:rsidRPr="004F5FB4">
        <w:rPr>
          <w:color w:val="000000"/>
        </w:rPr>
        <w:t xml:space="preserve">Welche Nebenwirkungen sind möglich? </w:t>
      </w:r>
    </w:p>
    <w:p w14:paraId="0918A7A5" w14:textId="77777777" w:rsidR="00C46587" w:rsidRPr="004F5FB4" w:rsidRDefault="00C46587" w:rsidP="003533D2">
      <w:pPr>
        <w:numPr>
          <w:ilvl w:val="0"/>
          <w:numId w:val="66"/>
        </w:numPr>
        <w:ind w:left="567" w:hanging="567"/>
        <w:rPr>
          <w:color w:val="000000"/>
        </w:rPr>
      </w:pPr>
      <w:r w:rsidRPr="004F5FB4">
        <w:rPr>
          <w:color w:val="000000"/>
        </w:rPr>
        <w:t xml:space="preserve">Wie ist Amsparity aufzubewahren? </w:t>
      </w:r>
    </w:p>
    <w:p w14:paraId="11E40A1C" w14:textId="77777777" w:rsidR="00B85F8D" w:rsidRPr="004F5FB4" w:rsidRDefault="00C46587" w:rsidP="003533D2">
      <w:pPr>
        <w:numPr>
          <w:ilvl w:val="0"/>
          <w:numId w:val="66"/>
        </w:numPr>
        <w:ind w:left="567" w:hanging="567"/>
        <w:rPr>
          <w:color w:val="000000"/>
        </w:rPr>
      </w:pPr>
      <w:r w:rsidRPr="004F5FB4">
        <w:rPr>
          <w:color w:val="000000"/>
        </w:rPr>
        <w:t>Inhalt der Packung und weitere Informationen</w:t>
      </w:r>
    </w:p>
    <w:p w14:paraId="74648B3E" w14:textId="77777777" w:rsidR="00C46587" w:rsidRPr="004F5FB4" w:rsidRDefault="00C46587" w:rsidP="00982118">
      <w:pPr>
        <w:rPr>
          <w:color w:val="000000"/>
        </w:rPr>
      </w:pPr>
    </w:p>
    <w:p w14:paraId="503EB6C5" w14:textId="77777777" w:rsidR="00C46587" w:rsidRPr="004F5FB4" w:rsidRDefault="00C46587" w:rsidP="00982118">
      <w:pPr>
        <w:rPr>
          <w:color w:val="000000"/>
        </w:rPr>
      </w:pPr>
    </w:p>
    <w:p w14:paraId="10F6771D" w14:textId="77777777" w:rsidR="00C46587" w:rsidRPr="004F5FB4" w:rsidRDefault="00C46587" w:rsidP="00982118">
      <w:pPr>
        <w:tabs>
          <w:tab w:val="left" w:pos="562"/>
        </w:tabs>
        <w:rPr>
          <w:b/>
          <w:color w:val="000000"/>
        </w:rPr>
      </w:pPr>
      <w:r w:rsidRPr="004F5FB4">
        <w:rPr>
          <w:b/>
          <w:color w:val="000000"/>
        </w:rPr>
        <w:t>1</w:t>
      </w:r>
      <w:r w:rsidR="00B45946" w:rsidRPr="004F5FB4">
        <w:rPr>
          <w:b/>
          <w:color w:val="000000"/>
        </w:rPr>
        <w:t>.</w:t>
      </w:r>
      <w:r w:rsidRPr="004F5FB4">
        <w:rPr>
          <w:b/>
          <w:color w:val="000000"/>
        </w:rPr>
        <w:tab/>
        <w:t xml:space="preserve">Was ist Amsparity und wofür wird es angewendet? </w:t>
      </w:r>
    </w:p>
    <w:p w14:paraId="5A445B51" w14:textId="77777777" w:rsidR="00C46587" w:rsidRPr="004F5FB4" w:rsidRDefault="00C46587" w:rsidP="00982118">
      <w:pPr>
        <w:rPr>
          <w:color w:val="000000"/>
        </w:rPr>
      </w:pPr>
    </w:p>
    <w:p w14:paraId="0B700CB8" w14:textId="77777777" w:rsidR="00640D64" w:rsidRPr="004F5FB4" w:rsidRDefault="006A1144" w:rsidP="00982118">
      <w:pPr>
        <w:rPr>
          <w:color w:val="000000"/>
        </w:rPr>
      </w:pPr>
      <w:r w:rsidRPr="004F5FB4">
        <w:rPr>
          <w:color w:val="000000"/>
        </w:rPr>
        <w:t>Amsparity enthält den Wirkstoff Adalimumab, ein Arzneimittel, das auf das Abwehrsystem (Immunsystem) Ihres Körpers einwirkt.</w:t>
      </w:r>
    </w:p>
    <w:p w14:paraId="64A49D99" w14:textId="77777777" w:rsidR="00640D64" w:rsidRPr="004F5FB4" w:rsidRDefault="00640D64" w:rsidP="00982118">
      <w:pPr>
        <w:rPr>
          <w:color w:val="000000"/>
        </w:rPr>
      </w:pPr>
    </w:p>
    <w:p w14:paraId="1A3EDD9C" w14:textId="77777777" w:rsidR="00640D64" w:rsidRPr="004F5FB4" w:rsidRDefault="006A1144" w:rsidP="00982118">
      <w:pPr>
        <w:rPr>
          <w:color w:val="000000"/>
        </w:rPr>
      </w:pPr>
      <w:r w:rsidRPr="004F5FB4">
        <w:rPr>
          <w:color w:val="000000"/>
        </w:rPr>
        <w:t>Amsparity ist für die Behandlung folgender entzündlicher Erkrankungen vorgesehen:</w:t>
      </w:r>
    </w:p>
    <w:p w14:paraId="78C87A24" w14:textId="77777777" w:rsidR="00640D64" w:rsidRPr="004F5FB4" w:rsidRDefault="00E34A3F" w:rsidP="00982118">
      <w:pPr>
        <w:numPr>
          <w:ilvl w:val="0"/>
          <w:numId w:val="19"/>
        </w:numPr>
        <w:ind w:left="360"/>
        <w:rPr>
          <w:color w:val="000000"/>
        </w:rPr>
      </w:pPr>
      <w:r w:rsidRPr="004F5FB4">
        <w:rPr>
          <w:color w:val="000000"/>
        </w:rPr>
        <w:t>r</w:t>
      </w:r>
      <w:r w:rsidR="00C73765" w:rsidRPr="004F5FB4">
        <w:rPr>
          <w:color w:val="000000"/>
        </w:rPr>
        <w:t xml:space="preserve">heumatoide Arthritis, </w:t>
      </w:r>
    </w:p>
    <w:p w14:paraId="3E02BA6E" w14:textId="77777777" w:rsidR="00640D64" w:rsidRPr="004F5FB4" w:rsidRDefault="00E34A3F" w:rsidP="00982118">
      <w:pPr>
        <w:numPr>
          <w:ilvl w:val="0"/>
          <w:numId w:val="19"/>
        </w:numPr>
        <w:ind w:left="360"/>
        <w:rPr>
          <w:color w:val="000000"/>
        </w:rPr>
      </w:pPr>
      <w:r w:rsidRPr="004F5FB4">
        <w:rPr>
          <w:color w:val="000000"/>
        </w:rPr>
        <w:t>p</w:t>
      </w:r>
      <w:r w:rsidR="00C73765" w:rsidRPr="004F5FB4">
        <w:rPr>
          <w:color w:val="000000"/>
        </w:rPr>
        <w:t xml:space="preserve">olyartikuläre juvenile idiopathische Arthritis, </w:t>
      </w:r>
    </w:p>
    <w:p w14:paraId="09B6D17A" w14:textId="77777777" w:rsidR="00640D64" w:rsidRPr="004F5FB4" w:rsidRDefault="00792D7D" w:rsidP="00982118">
      <w:pPr>
        <w:numPr>
          <w:ilvl w:val="0"/>
          <w:numId w:val="19"/>
        </w:numPr>
        <w:ind w:left="360"/>
        <w:rPr>
          <w:color w:val="000000"/>
        </w:rPr>
      </w:pPr>
      <w:r w:rsidRPr="004F5FB4">
        <w:rPr>
          <w:color w:val="000000"/>
        </w:rPr>
        <w:t xml:space="preserve">Enthesitis-assoziierte Arthritis bei Kindern und Jugendlichen, </w:t>
      </w:r>
    </w:p>
    <w:p w14:paraId="458EDBAF" w14:textId="77777777" w:rsidR="00640D64" w:rsidRPr="004F5FB4" w:rsidRDefault="00E34A3F" w:rsidP="00982118">
      <w:pPr>
        <w:numPr>
          <w:ilvl w:val="0"/>
          <w:numId w:val="19"/>
        </w:numPr>
        <w:ind w:left="360"/>
        <w:rPr>
          <w:color w:val="000000"/>
        </w:rPr>
      </w:pPr>
      <w:r w:rsidRPr="004F5FB4">
        <w:rPr>
          <w:color w:val="000000"/>
        </w:rPr>
        <w:t>a</w:t>
      </w:r>
      <w:r w:rsidR="00C73765" w:rsidRPr="004F5FB4">
        <w:rPr>
          <w:color w:val="000000"/>
        </w:rPr>
        <w:t xml:space="preserve">nkylosierende Spondylitis, </w:t>
      </w:r>
    </w:p>
    <w:p w14:paraId="148EA26B" w14:textId="77777777" w:rsidR="00640D64" w:rsidRPr="004F5FB4" w:rsidRDefault="00E34A3F" w:rsidP="00982118">
      <w:pPr>
        <w:numPr>
          <w:ilvl w:val="0"/>
          <w:numId w:val="19"/>
        </w:numPr>
        <w:ind w:left="360"/>
        <w:rPr>
          <w:color w:val="000000"/>
        </w:rPr>
      </w:pPr>
      <w:r w:rsidRPr="004F5FB4">
        <w:rPr>
          <w:color w:val="000000"/>
        </w:rPr>
        <w:t>a</w:t>
      </w:r>
      <w:r w:rsidR="00C73765" w:rsidRPr="004F5FB4">
        <w:rPr>
          <w:color w:val="000000"/>
        </w:rPr>
        <w:t>xiale Spondyloarthritis, bei der im Röntgenbild noch keine Verknöcherung nachweisbar ist</w:t>
      </w:r>
      <w:r w:rsidR="00DF4170" w:rsidRPr="004F5FB4">
        <w:rPr>
          <w:color w:val="000000"/>
        </w:rPr>
        <w:t>,</w:t>
      </w:r>
      <w:r w:rsidR="00C73765" w:rsidRPr="004F5FB4">
        <w:rPr>
          <w:color w:val="000000"/>
        </w:rPr>
        <w:t xml:space="preserve"> </w:t>
      </w:r>
    </w:p>
    <w:p w14:paraId="3EF98E2E" w14:textId="77777777" w:rsidR="00640D64" w:rsidRPr="004F5FB4" w:rsidRDefault="00C73765" w:rsidP="00982118">
      <w:pPr>
        <w:numPr>
          <w:ilvl w:val="0"/>
          <w:numId w:val="19"/>
        </w:numPr>
        <w:ind w:left="360"/>
        <w:rPr>
          <w:color w:val="000000"/>
        </w:rPr>
      </w:pPr>
      <w:r w:rsidRPr="004F5FB4">
        <w:rPr>
          <w:color w:val="000000"/>
        </w:rPr>
        <w:t xml:space="preserve">Psoriasis-Arthritis, </w:t>
      </w:r>
    </w:p>
    <w:p w14:paraId="06D0541B" w14:textId="77777777" w:rsidR="00640D64" w:rsidRPr="004F5FB4" w:rsidRDefault="00C73765" w:rsidP="00982118">
      <w:pPr>
        <w:numPr>
          <w:ilvl w:val="0"/>
          <w:numId w:val="19"/>
        </w:numPr>
        <w:ind w:left="360"/>
        <w:rPr>
          <w:color w:val="000000"/>
        </w:rPr>
      </w:pPr>
      <w:r w:rsidRPr="004F5FB4">
        <w:rPr>
          <w:color w:val="000000"/>
        </w:rPr>
        <w:t xml:space="preserve">Psoriasis, </w:t>
      </w:r>
    </w:p>
    <w:p w14:paraId="013737AD" w14:textId="77777777" w:rsidR="00640D64" w:rsidRPr="004F5FB4" w:rsidRDefault="00C73765" w:rsidP="00982118">
      <w:pPr>
        <w:numPr>
          <w:ilvl w:val="0"/>
          <w:numId w:val="19"/>
        </w:numPr>
        <w:ind w:left="360"/>
        <w:rPr>
          <w:color w:val="000000"/>
        </w:rPr>
      </w:pPr>
      <w:r w:rsidRPr="004F5FB4">
        <w:rPr>
          <w:color w:val="000000"/>
        </w:rPr>
        <w:t xml:space="preserve">Hidradenitis suppurativa (Acne inversa), </w:t>
      </w:r>
    </w:p>
    <w:p w14:paraId="3E5F8D3D" w14:textId="77777777" w:rsidR="00640D64" w:rsidRPr="004F5FB4" w:rsidRDefault="00C73765" w:rsidP="00982118">
      <w:pPr>
        <w:numPr>
          <w:ilvl w:val="0"/>
          <w:numId w:val="19"/>
        </w:numPr>
        <w:ind w:left="360"/>
        <w:rPr>
          <w:color w:val="000000"/>
        </w:rPr>
      </w:pPr>
      <w:r w:rsidRPr="004F5FB4">
        <w:rPr>
          <w:color w:val="000000"/>
        </w:rPr>
        <w:t xml:space="preserve">Morbus Crohn, </w:t>
      </w:r>
    </w:p>
    <w:p w14:paraId="72BA2923" w14:textId="77777777" w:rsidR="00640D64" w:rsidRPr="004F5FB4" w:rsidRDefault="00C73765" w:rsidP="00982118">
      <w:pPr>
        <w:numPr>
          <w:ilvl w:val="0"/>
          <w:numId w:val="19"/>
        </w:numPr>
        <w:ind w:left="360"/>
        <w:rPr>
          <w:color w:val="000000"/>
        </w:rPr>
      </w:pPr>
      <w:r w:rsidRPr="004F5FB4">
        <w:rPr>
          <w:color w:val="000000"/>
        </w:rPr>
        <w:t xml:space="preserve">Colitis ulcerosa, </w:t>
      </w:r>
    </w:p>
    <w:p w14:paraId="6AC9100F" w14:textId="77777777" w:rsidR="00F30344" w:rsidRPr="004F5FB4" w:rsidRDefault="00E34A3F" w:rsidP="00982118">
      <w:pPr>
        <w:numPr>
          <w:ilvl w:val="0"/>
          <w:numId w:val="19"/>
        </w:numPr>
        <w:ind w:left="360"/>
        <w:rPr>
          <w:color w:val="000000"/>
        </w:rPr>
      </w:pPr>
      <w:r w:rsidRPr="004F5FB4">
        <w:rPr>
          <w:color w:val="000000"/>
        </w:rPr>
        <w:t>n</w:t>
      </w:r>
      <w:r w:rsidR="00C73765" w:rsidRPr="004F5FB4">
        <w:rPr>
          <w:color w:val="000000"/>
        </w:rPr>
        <w:t xml:space="preserve">icht infektiöse Uveitis. </w:t>
      </w:r>
    </w:p>
    <w:p w14:paraId="3E7A0277" w14:textId="77777777" w:rsidR="00F30344" w:rsidRPr="004F5FB4" w:rsidRDefault="00F30344" w:rsidP="00982118">
      <w:pPr>
        <w:rPr>
          <w:color w:val="000000"/>
          <w:lang w:val="en-GB"/>
        </w:rPr>
      </w:pPr>
    </w:p>
    <w:p w14:paraId="69BD622D" w14:textId="77777777" w:rsidR="00F30344" w:rsidRPr="004F5FB4" w:rsidRDefault="00C46587" w:rsidP="00982118">
      <w:pPr>
        <w:rPr>
          <w:color w:val="000000"/>
        </w:rPr>
      </w:pPr>
      <w:r w:rsidRPr="004F5FB4">
        <w:rPr>
          <w:color w:val="000000"/>
        </w:rPr>
        <w:lastRenderedPageBreak/>
        <w:t xml:space="preserve">Der Wirkstoff von Amsparity, Adalimumab, ist ein monoklonaler Antikörper. Monoklonale Antikörper sind Eiweiße, die sich an ein bestimmtes Ziel im Körper anheften. </w:t>
      </w:r>
    </w:p>
    <w:p w14:paraId="216C351C" w14:textId="77777777" w:rsidR="00F30344" w:rsidRPr="004F5FB4" w:rsidRDefault="00F30344" w:rsidP="00982118">
      <w:pPr>
        <w:rPr>
          <w:color w:val="000000"/>
        </w:rPr>
      </w:pPr>
    </w:p>
    <w:p w14:paraId="4F3E4811" w14:textId="77777777" w:rsidR="00C46587" w:rsidRPr="004F5FB4" w:rsidRDefault="0089352E" w:rsidP="00982118">
      <w:pPr>
        <w:rPr>
          <w:color w:val="000000"/>
        </w:rPr>
      </w:pPr>
      <w:r w:rsidRPr="004F5FB4">
        <w:rPr>
          <w:color w:val="000000"/>
        </w:rPr>
        <w:t xml:space="preserve">Das Ziel von Adalimumab ist das Eiweiß Tumornekrosefaktor-alpha (TNFα). TNFα ist beteiligt an Abwehrreaktionen des Körpers. Bei den oben genannten Erkrankungen ist die Menge an TNFα erhöht. Amsparity heftet sich an TNFα und verringert dadurch die entzündlichen Vorgänge bei diesen Erkrankungen. </w:t>
      </w:r>
    </w:p>
    <w:p w14:paraId="235F864D" w14:textId="77777777" w:rsidR="005F7C27" w:rsidRPr="004F5FB4" w:rsidRDefault="005F7C27" w:rsidP="00982118">
      <w:pPr>
        <w:rPr>
          <w:color w:val="000000"/>
        </w:rPr>
      </w:pPr>
    </w:p>
    <w:p w14:paraId="22AFEE73" w14:textId="77777777" w:rsidR="00C46587" w:rsidRPr="004F5FB4" w:rsidRDefault="00C46587" w:rsidP="00982118">
      <w:pPr>
        <w:keepNext/>
        <w:rPr>
          <w:color w:val="000000"/>
          <w:u w:val="single"/>
        </w:rPr>
      </w:pPr>
      <w:r w:rsidRPr="004F5FB4">
        <w:rPr>
          <w:color w:val="000000"/>
          <w:u w:val="single"/>
        </w:rPr>
        <w:t>Rheumatoide Arthritis</w:t>
      </w:r>
    </w:p>
    <w:p w14:paraId="525B6746" w14:textId="77777777" w:rsidR="00C46587" w:rsidRPr="004F5FB4" w:rsidRDefault="00C46587" w:rsidP="00982118">
      <w:pPr>
        <w:keepNext/>
        <w:rPr>
          <w:color w:val="000000"/>
        </w:rPr>
      </w:pPr>
    </w:p>
    <w:p w14:paraId="1795DCCC" w14:textId="77777777" w:rsidR="00C46587" w:rsidRPr="004F5FB4" w:rsidRDefault="00C46587" w:rsidP="00982118">
      <w:pPr>
        <w:rPr>
          <w:color w:val="000000"/>
        </w:rPr>
      </w:pPr>
      <w:r w:rsidRPr="004F5FB4">
        <w:rPr>
          <w:color w:val="000000"/>
        </w:rPr>
        <w:t xml:space="preserve">Die rheumatoide Arthritis ist eine entzündliche Erkrankung der Gelenke. </w:t>
      </w:r>
    </w:p>
    <w:p w14:paraId="6B4434F4" w14:textId="77777777" w:rsidR="00C46587" w:rsidRPr="004F5FB4" w:rsidRDefault="00C46587" w:rsidP="00982118">
      <w:pPr>
        <w:rPr>
          <w:color w:val="000000"/>
        </w:rPr>
      </w:pPr>
    </w:p>
    <w:p w14:paraId="32B07358" w14:textId="77777777" w:rsidR="00C46587" w:rsidRPr="004F5FB4" w:rsidRDefault="006A1144" w:rsidP="00982118">
      <w:pPr>
        <w:rPr>
          <w:color w:val="000000"/>
        </w:rPr>
      </w:pPr>
      <w:r w:rsidRPr="004F5FB4">
        <w:rPr>
          <w:color w:val="000000"/>
        </w:rPr>
        <w:t xml:space="preserve">Amsparity wird angewendet, um die rheumatoide Arthritis bei Erwachsenen zu behandeln. Wenn Sie eine mäßige bis schwere aktive rheumatoide Arthritis haben, werden Ihnen möglicherweise zunächst andere krankheitsmodifizierende Arzneimittel, wie z. B. Methotrexat, verabreicht. Wenn </w:t>
      </w:r>
      <w:r w:rsidR="0094470E" w:rsidRPr="004F5FB4">
        <w:rPr>
          <w:color w:val="000000"/>
        </w:rPr>
        <w:t xml:space="preserve">Sie nicht ausreichend auf </w:t>
      </w:r>
      <w:r w:rsidRPr="004F5FB4">
        <w:rPr>
          <w:color w:val="000000"/>
        </w:rPr>
        <w:t xml:space="preserve">diese Arzneimittel </w:t>
      </w:r>
      <w:r w:rsidR="0094470E" w:rsidRPr="004F5FB4">
        <w:rPr>
          <w:color w:val="000000"/>
        </w:rPr>
        <w:t>ansprechen</w:t>
      </w:r>
      <w:r w:rsidRPr="004F5FB4">
        <w:rPr>
          <w:color w:val="000000"/>
        </w:rPr>
        <w:t>, erhalten Sie Amsparity</w:t>
      </w:r>
      <w:r w:rsidR="0094470E" w:rsidRPr="004F5FB4">
        <w:rPr>
          <w:color w:val="000000"/>
        </w:rPr>
        <w:t>, um</w:t>
      </w:r>
      <w:r w:rsidRPr="004F5FB4">
        <w:rPr>
          <w:color w:val="000000"/>
        </w:rPr>
        <w:t xml:space="preserve"> Ihre rheumatoide Arthritis</w:t>
      </w:r>
      <w:r w:rsidR="0094470E" w:rsidRPr="004F5FB4">
        <w:rPr>
          <w:color w:val="000000"/>
        </w:rPr>
        <w:t xml:space="preserve"> zu behandeln</w:t>
      </w:r>
      <w:r w:rsidRPr="004F5FB4">
        <w:rPr>
          <w:color w:val="000000"/>
        </w:rPr>
        <w:t xml:space="preserve">. </w:t>
      </w:r>
    </w:p>
    <w:p w14:paraId="3645D6CE" w14:textId="77777777" w:rsidR="00C46587" w:rsidRPr="004F5FB4" w:rsidRDefault="00C46587" w:rsidP="00982118">
      <w:pPr>
        <w:rPr>
          <w:color w:val="000000"/>
        </w:rPr>
      </w:pPr>
    </w:p>
    <w:p w14:paraId="304E5C87" w14:textId="77777777" w:rsidR="00C46587" w:rsidRPr="004F5FB4" w:rsidRDefault="006A1144" w:rsidP="00982118">
      <w:pPr>
        <w:rPr>
          <w:color w:val="000000"/>
        </w:rPr>
      </w:pPr>
      <w:r w:rsidRPr="004F5FB4">
        <w:rPr>
          <w:color w:val="000000"/>
        </w:rPr>
        <w:t xml:space="preserve">Amsparity kann auch zur Behandlung einer schweren aktiven und fortschreitenden (progressiven) rheumatoiden Arthritis ohne vorherige Methotrexat-Behandlung eingesetzt werden. </w:t>
      </w:r>
    </w:p>
    <w:p w14:paraId="494069A7" w14:textId="77777777" w:rsidR="00C46587" w:rsidRPr="004F5FB4" w:rsidRDefault="00C46587" w:rsidP="00982118">
      <w:pPr>
        <w:rPr>
          <w:color w:val="000000"/>
        </w:rPr>
      </w:pPr>
    </w:p>
    <w:p w14:paraId="472217DD" w14:textId="77777777" w:rsidR="00C46587" w:rsidRPr="004F5FB4" w:rsidRDefault="006A1144" w:rsidP="00982118">
      <w:pPr>
        <w:rPr>
          <w:color w:val="000000"/>
        </w:rPr>
      </w:pPr>
      <w:r w:rsidRPr="004F5FB4">
        <w:rPr>
          <w:color w:val="000000"/>
        </w:rPr>
        <w:t xml:space="preserve">Amsparity kann das Fortschreiten der durch die Erkrankung verursachten Knorpel- und Knochenschädigungen der Gelenke verlangsamen und die körperliche Funktionsfähigkeit verbessern. </w:t>
      </w:r>
    </w:p>
    <w:p w14:paraId="01FA5E38" w14:textId="77777777" w:rsidR="00C46587" w:rsidRPr="004F5FB4" w:rsidRDefault="00C46587" w:rsidP="00982118">
      <w:pPr>
        <w:rPr>
          <w:color w:val="000000"/>
        </w:rPr>
      </w:pPr>
    </w:p>
    <w:p w14:paraId="7CFD3127" w14:textId="77777777" w:rsidR="00C46587" w:rsidRPr="004F5FB4" w:rsidRDefault="00C46587" w:rsidP="00982118">
      <w:pPr>
        <w:rPr>
          <w:color w:val="000000"/>
        </w:rPr>
      </w:pPr>
      <w:r w:rsidRPr="004F5FB4">
        <w:rPr>
          <w:color w:val="000000"/>
        </w:rPr>
        <w:t xml:space="preserve">Amsparity wird üblicherweise mit Methotrexat verwendet. Falls Ihr Arzt entscheidet, dass Methotrexat nicht für Sie geeignet ist, kann Amsparity auch alleine angewendet werden. </w:t>
      </w:r>
    </w:p>
    <w:p w14:paraId="1853A8D2" w14:textId="77777777" w:rsidR="00C46587" w:rsidRPr="004F5FB4" w:rsidRDefault="00C46587" w:rsidP="00982118">
      <w:pPr>
        <w:rPr>
          <w:color w:val="000000"/>
        </w:rPr>
      </w:pPr>
    </w:p>
    <w:p w14:paraId="5C80503C" w14:textId="77777777" w:rsidR="00056D0F" w:rsidRPr="004F5FB4" w:rsidRDefault="00056D0F" w:rsidP="00687087">
      <w:pPr>
        <w:keepNext/>
        <w:rPr>
          <w:color w:val="000000"/>
          <w:u w:val="single"/>
        </w:rPr>
      </w:pPr>
      <w:r w:rsidRPr="004F5FB4">
        <w:rPr>
          <w:color w:val="000000"/>
          <w:u w:val="single"/>
        </w:rPr>
        <w:t>Polyartikuläre juvenile idiopathische Arthritis</w:t>
      </w:r>
    </w:p>
    <w:p w14:paraId="419306BB" w14:textId="77777777" w:rsidR="00056D0F" w:rsidRPr="00986ED0" w:rsidRDefault="00056D0F" w:rsidP="00687087">
      <w:pPr>
        <w:keepNext/>
        <w:rPr>
          <w:color w:val="000000"/>
        </w:rPr>
      </w:pPr>
    </w:p>
    <w:p w14:paraId="40761437" w14:textId="77777777" w:rsidR="00056D0F" w:rsidRPr="00986ED0" w:rsidRDefault="00056D0F" w:rsidP="00056D0F">
      <w:pPr>
        <w:rPr>
          <w:color w:val="000000"/>
        </w:rPr>
      </w:pPr>
      <w:r w:rsidRPr="00986ED0">
        <w:rPr>
          <w:color w:val="000000"/>
        </w:rPr>
        <w:t>Die polyartikuläre juvenile idiopathische Arthritis ist eine entzündliche Erkrankung der Gelenke, die üblicherweise das erste Mal in der Kindheit auftritt.</w:t>
      </w:r>
    </w:p>
    <w:p w14:paraId="0CF26B7C" w14:textId="77777777" w:rsidR="00056D0F" w:rsidRPr="00986ED0" w:rsidRDefault="00056D0F" w:rsidP="00056D0F">
      <w:pPr>
        <w:rPr>
          <w:color w:val="000000"/>
        </w:rPr>
      </w:pPr>
    </w:p>
    <w:p w14:paraId="4B121DEE" w14:textId="77777777" w:rsidR="00056D0F" w:rsidRPr="00986ED0" w:rsidRDefault="00056D0F" w:rsidP="00056D0F">
      <w:pPr>
        <w:rPr>
          <w:color w:val="000000"/>
        </w:rPr>
      </w:pPr>
      <w:r w:rsidRPr="00986ED0">
        <w:rPr>
          <w:color w:val="000000"/>
        </w:rPr>
        <w:t>Amsparity wird angewendet, um die polyartikuläre idiopathische Arthritis bei Kindern und Jugendlichen im Alter von 2 bis 17 Jahren zu behandeln. Möglicherweise bekommt Ihr Kind zunächst andere Arzneimittel (Basistherapeutika wie Methotrexat). Wenn diese nicht ausreichend wirken, erhält Ihr Kind Amsparity, um die polyartikuläre juvenile idiopathische Arthritis zu behandeln.</w:t>
      </w:r>
    </w:p>
    <w:p w14:paraId="111321E9" w14:textId="77777777" w:rsidR="00056D0F" w:rsidRPr="00986ED0" w:rsidRDefault="00056D0F" w:rsidP="00056D0F">
      <w:pPr>
        <w:rPr>
          <w:color w:val="000000"/>
        </w:rPr>
      </w:pPr>
    </w:p>
    <w:p w14:paraId="26089115" w14:textId="77777777" w:rsidR="00056D0F" w:rsidRPr="004F5FB4" w:rsidRDefault="00056D0F" w:rsidP="00687087">
      <w:pPr>
        <w:keepNext/>
        <w:rPr>
          <w:color w:val="000000"/>
          <w:u w:val="single"/>
        </w:rPr>
      </w:pPr>
      <w:r w:rsidRPr="004F5FB4">
        <w:rPr>
          <w:color w:val="000000"/>
          <w:u w:val="single"/>
        </w:rPr>
        <w:t>Enthesitis-assoziierte Arthritis bei Kindern und Jugendlichen</w:t>
      </w:r>
    </w:p>
    <w:p w14:paraId="31B29744" w14:textId="77777777" w:rsidR="00056D0F" w:rsidRPr="00986ED0" w:rsidRDefault="00056D0F" w:rsidP="00687087">
      <w:pPr>
        <w:keepNext/>
        <w:rPr>
          <w:color w:val="000000"/>
        </w:rPr>
      </w:pPr>
    </w:p>
    <w:p w14:paraId="2B61CDDE" w14:textId="77777777" w:rsidR="00056D0F" w:rsidRPr="00986ED0" w:rsidRDefault="00056D0F" w:rsidP="00056D0F">
      <w:pPr>
        <w:rPr>
          <w:color w:val="000000"/>
        </w:rPr>
      </w:pPr>
      <w:r w:rsidRPr="00986ED0">
        <w:rPr>
          <w:color w:val="000000"/>
        </w:rPr>
        <w:t xml:space="preserve">Die Enthesitis-assoziierte Arthritis bei Kindern und Jugendlichen ist eine entzündliche Erkrankung der Gelenke und </w:t>
      </w:r>
      <w:r w:rsidR="008A10B4" w:rsidRPr="00986ED0">
        <w:rPr>
          <w:color w:val="000000"/>
        </w:rPr>
        <w:t xml:space="preserve">der </w:t>
      </w:r>
      <w:r w:rsidRPr="00986ED0">
        <w:rPr>
          <w:color w:val="000000"/>
        </w:rPr>
        <w:t>Übergänge von Sehnen auf Knochen.</w:t>
      </w:r>
    </w:p>
    <w:p w14:paraId="62238008" w14:textId="77777777" w:rsidR="00056D0F" w:rsidRPr="00986ED0" w:rsidRDefault="00056D0F" w:rsidP="00056D0F">
      <w:pPr>
        <w:rPr>
          <w:color w:val="000000"/>
        </w:rPr>
      </w:pPr>
    </w:p>
    <w:p w14:paraId="06F3B091" w14:textId="77777777" w:rsidR="00056D0F" w:rsidRPr="00986ED0" w:rsidRDefault="00056D0F" w:rsidP="00056D0F">
      <w:pPr>
        <w:rPr>
          <w:color w:val="000000"/>
        </w:rPr>
      </w:pPr>
      <w:r w:rsidRPr="00986ED0">
        <w:rPr>
          <w:color w:val="000000"/>
        </w:rPr>
        <w:t>Amsparity wird angewendet, um Enthesitis-assoziierte Arthritis bei Kindern und Jugendlichen im Alter von 6 bis 17 Jahren zu behandeln. Möglicherweise bekommt Ihr Kind zunächst andere Arzneimittel (Basistherapeutika wie</w:t>
      </w:r>
      <w:r w:rsidRPr="00986ED0" w:rsidDel="00183DF2">
        <w:rPr>
          <w:color w:val="000000"/>
        </w:rPr>
        <w:t xml:space="preserve"> </w:t>
      </w:r>
      <w:r w:rsidRPr="00986ED0">
        <w:rPr>
          <w:color w:val="000000"/>
        </w:rPr>
        <w:t>Methotrexat). Wenn diese nicht ausreichend wirken, erhält Ihr Kind Amsparity, um die Enthesitis-assoziierte Arthritis zu behandeln.</w:t>
      </w:r>
    </w:p>
    <w:p w14:paraId="4DC94F3E" w14:textId="77777777" w:rsidR="00C46587" w:rsidRPr="006A4773" w:rsidRDefault="00C46587" w:rsidP="00982118">
      <w:pPr>
        <w:rPr>
          <w:color w:val="000000"/>
        </w:rPr>
      </w:pPr>
    </w:p>
    <w:p w14:paraId="3EF1C993" w14:textId="77777777" w:rsidR="00C46587" w:rsidRPr="004F5FB4" w:rsidRDefault="00C46587" w:rsidP="00986ED0">
      <w:pPr>
        <w:keepNext/>
        <w:rPr>
          <w:color w:val="000000"/>
          <w:u w:val="single"/>
        </w:rPr>
      </w:pPr>
      <w:r w:rsidRPr="004F5FB4">
        <w:rPr>
          <w:color w:val="000000"/>
          <w:u w:val="single"/>
        </w:rPr>
        <w:t>Ankylosierende Spondylitis und axiale Spondyloarthritis, bei der im Röntgenbild noch keine Verknöcherung nachweisbar ist</w:t>
      </w:r>
    </w:p>
    <w:p w14:paraId="5CCEF440" w14:textId="77777777" w:rsidR="00C46587" w:rsidRPr="004F5FB4" w:rsidRDefault="00C46587" w:rsidP="00986ED0">
      <w:pPr>
        <w:keepNext/>
        <w:rPr>
          <w:color w:val="000000"/>
        </w:rPr>
      </w:pPr>
    </w:p>
    <w:p w14:paraId="0A7D3204" w14:textId="77777777" w:rsidR="00C46587" w:rsidRPr="004F5FB4" w:rsidRDefault="00C46587" w:rsidP="00982118">
      <w:pPr>
        <w:rPr>
          <w:color w:val="000000"/>
        </w:rPr>
      </w:pPr>
      <w:r w:rsidRPr="004F5FB4">
        <w:rPr>
          <w:color w:val="000000"/>
        </w:rPr>
        <w:t xml:space="preserve">Die ankylosierende Spondylitis und axiale Spondyloarthritis, bei der im Röntgenbild noch keine Verknöcherung nachweisbar ist, sind entzündliche Erkrankungen der Wirbelsäule. </w:t>
      </w:r>
    </w:p>
    <w:p w14:paraId="7FF4731B" w14:textId="77777777" w:rsidR="00C46587" w:rsidRPr="004F5FB4" w:rsidRDefault="00C46587" w:rsidP="00982118">
      <w:pPr>
        <w:rPr>
          <w:color w:val="000000"/>
        </w:rPr>
      </w:pPr>
    </w:p>
    <w:p w14:paraId="5FF0C0BA" w14:textId="77777777" w:rsidR="00C46587" w:rsidRPr="004F5FB4" w:rsidRDefault="00FA79CB" w:rsidP="00982118">
      <w:pPr>
        <w:rPr>
          <w:color w:val="000000"/>
        </w:rPr>
      </w:pPr>
      <w:r w:rsidRPr="004F5FB4">
        <w:rPr>
          <w:color w:val="000000"/>
        </w:rPr>
        <w:t>Amsparity wird bei Erwachsenen zur Behandlung dieser Krankheiten angewendet. Wenn Sie eine ankylosierende Spondylitis oder axiale Spondyloarthritis</w:t>
      </w:r>
      <w:r w:rsidR="00E34A3F" w:rsidRPr="004F5FB4">
        <w:rPr>
          <w:color w:val="000000"/>
        </w:rPr>
        <w:t xml:space="preserve"> haben</w:t>
      </w:r>
      <w:r w:rsidRPr="004F5FB4">
        <w:rPr>
          <w:color w:val="000000"/>
        </w:rPr>
        <w:t xml:space="preserve">, bei der im Röntgenbild noch keine Verknöcherung nachweisbar ist, werden Sie zunächst mit anderen Arzneimitteln behandelt. Wenn </w:t>
      </w:r>
      <w:r w:rsidRPr="004F5FB4">
        <w:rPr>
          <w:color w:val="000000"/>
        </w:rPr>
        <w:lastRenderedPageBreak/>
        <w:t xml:space="preserve">diese nicht ausreichend wirken, erhalten Sie Amsparity, um die Anzeichen und Beschwerden Ihrer Krankheit zu lindern. </w:t>
      </w:r>
    </w:p>
    <w:p w14:paraId="321E8B65" w14:textId="77777777" w:rsidR="00C46587" w:rsidRPr="004F5FB4" w:rsidRDefault="00C46587" w:rsidP="00982118">
      <w:pPr>
        <w:rPr>
          <w:color w:val="000000"/>
        </w:rPr>
      </w:pPr>
    </w:p>
    <w:p w14:paraId="58D663C7" w14:textId="77777777" w:rsidR="00C46587" w:rsidRPr="004F5FB4" w:rsidRDefault="00C46587" w:rsidP="00986ED0">
      <w:pPr>
        <w:keepNext/>
        <w:rPr>
          <w:color w:val="000000"/>
          <w:u w:val="single"/>
        </w:rPr>
      </w:pPr>
      <w:r w:rsidRPr="004F5FB4">
        <w:rPr>
          <w:color w:val="000000"/>
          <w:u w:val="single"/>
        </w:rPr>
        <w:t>Psoriasis-Arthritis</w:t>
      </w:r>
    </w:p>
    <w:p w14:paraId="33BEAB13" w14:textId="77777777" w:rsidR="00C46587" w:rsidRPr="004F5FB4" w:rsidRDefault="00C46587" w:rsidP="00986ED0">
      <w:pPr>
        <w:keepNext/>
        <w:rPr>
          <w:color w:val="000000"/>
        </w:rPr>
      </w:pPr>
    </w:p>
    <w:p w14:paraId="34B5D351" w14:textId="77777777" w:rsidR="00C46587" w:rsidRPr="004F5FB4" w:rsidRDefault="00C46587" w:rsidP="00982118">
      <w:pPr>
        <w:rPr>
          <w:color w:val="000000"/>
        </w:rPr>
      </w:pPr>
      <w:r w:rsidRPr="004F5FB4">
        <w:rPr>
          <w:color w:val="000000"/>
        </w:rPr>
        <w:t xml:space="preserve">Die Psoriasis-Arthritis ist eine Entzündung der Gelenke, die in Verbindung mit Schuppenflechte </w:t>
      </w:r>
      <w:r w:rsidRPr="004F5FB4">
        <w:rPr>
          <w:i/>
          <w:color w:val="000000"/>
        </w:rPr>
        <w:t>(Psoriasis)</w:t>
      </w:r>
      <w:r w:rsidRPr="004F5FB4">
        <w:rPr>
          <w:color w:val="000000"/>
        </w:rPr>
        <w:t xml:space="preserve"> auftritt. </w:t>
      </w:r>
    </w:p>
    <w:p w14:paraId="3E7894FB" w14:textId="77777777" w:rsidR="00C46587" w:rsidRPr="004F5FB4" w:rsidRDefault="00C46587" w:rsidP="00982118">
      <w:pPr>
        <w:rPr>
          <w:color w:val="000000"/>
        </w:rPr>
      </w:pPr>
    </w:p>
    <w:p w14:paraId="32F830C2" w14:textId="77777777" w:rsidR="00C46587" w:rsidRPr="004F5FB4" w:rsidRDefault="006A1144" w:rsidP="00982118">
      <w:pPr>
        <w:rPr>
          <w:color w:val="000000"/>
        </w:rPr>
      </w:pPr>
      <w:r w:rsidRPr="004F5FB4">
        <w:rPr>
          <w:color w:val="000000"/>
        </w:rPr>
        <w:t xml:space="preserve">Amsparity wird angewendet, um Psoriasis-Arthritis bei Erwachsenen zu behandeln. Amsparity kann das Fortschreiten der durch die Erkrankung verursachten Knorpel- und Knochenschädigungen der Gelenke verlangsamen und die körperliche Funktionsfähigkeit verbessern. </w:t>
      </w:r>
    </w:p>
    <w:p w14:paraId="76735891" w14:textId="77777777" w:rsidR="00C46587" w:rsidRPr="004F5FB4" w:rsidRDefault="00C46587" w:rsidP="00982118">
      <w:pPr>
        <w:rPr>
          <w:color w:val="000000"/>
        </w:rPr>
      </w:pPr>
    </w:p>
    <w:p w14:paraId="4219A790" w14:textId="77777777" w:rsidR="00C46587" w:rsidRPr="004F5FB4" w:rsidRDefault="00C46587" w:rsidP="00982118">
      <w:pPr>
        <w:keepNext/>
        <w:rPr>
          <w:color w:val="000000"/>
          <w:u w:val="single"/>
        </w:rPr>
      </w:pPr>
      <w:r w:rsidRPr="004F5FB4">
        <w:rPr>
          <w:color w:val="000000"/>
          <w:u w:val="single"/>
        </w:rPr>
        <w:t>Plaque-Psoriasis bei Erwachsenen, Kindern und Jugendlichen</w:t>
      </w:r>
    </w:p>
    <w:p w14:paraId="6D3E26F0" w14:textId="77777777" w:rsidR="00C46587" w:rsidRPr="004F5FB4" w:rsidRDefault="00C46587" w:rsidP="00982118">
      <w:pPr>
        <w:keepNext/>
        <w:rPr>
          <w:color w:val="000000"/>
        </w:rPr>
      </w:pPr>
    </w:p>
    <w:p w14:paraId="0468A70C" w14:textId="77777777" w:rsidR="00C46587" w:rsidRPr="004F5FB4" w:rsidRDefault="00C46587" w:rsidP="00986ED0">
      <w:pPr>
        <w:rPr>
          <w:color w:val="000000"/>
        </w:rPr>
      </w:pPr>
      <w:r w:rsidRPr="004F5FB4">
        <w:rPr>
          <w:color w:val="000000"/>
        </w:rPr>
        <w:t xml:space="preserve">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 </w:t>
      </w:r>
    </w:p>
    <w:p w14:paraId="3DDD3387" w14:textId="77777777" w:rsidR="00C46587" w:rsidRPr="004F5FB4" w:rsidRDefault="00C46587" w:rsidP="00982118">
      <w:pPr>
        <w:rPr>
          <w:color w:val="000000"/>
        </w:rPr>
      </w:pPr>
    </w:p>
    <w:p w14:paraId="6A0E9669" w14:textId="77777777" w:rsidR="00C46587" w:rsidRPr="004F5FB4" w:rsidRDefault="006A1144" w:rsidP="00982118">
      <w:pPr>
        <w:rPr>
          <w:color w:val="000000"/>
        </w:rPr>
      </w:pPr>
      <w:r w:rsidRPr="004F5FB4">
        <w:rPr>
          <w:color w:val="000000"/>
        </w:rPr>
        <w:t xml:space="preserve">Amsparity wird angewendet, um die mittelschwere bis schwere Plaque-Psoriasis bei Erwachsenen zu behandeln. Amsparity wird außerdem angewendet, um die schwere chronische Plaque-Psoriasis bei Kindern und Jugendlichen zwischen 4 und 17 Jahren zu behandeln, bei denen Medikamente, die auf die Haut aufgetragen werden, und Behandlungen mit UV-Licht entweder nicht sehr gut gewirkt haben oder nicht geeignet sind. </w:t>
      </w:r>
    </w:p>
    <w:p w14:paraId="4CAD2837" w14:textId="77777777" w:rsidR="00C46587" w:rsidRPr="004F5FB4" w:rsidRDefault="00C46587" w:rsidP="00982118">
      <w:pPr>
        <w:rPr>
          <w:color w:val="000000"/>
        </w:rPr>
      </w:pPr>
    </w:p>
    <w:p w14:paraId="29EC994D" w14:textId="77777777" w:rsidR="008E27D6" w:rsidRPr="004F5FB4" w:rsidRDefault="008E27D6" w:rsidP="00982118">
      <w:pPr>
        <w:keepNext/>
        <w:rPr>
          <w:color w:val="000000"/>
          <w:u w:val="single"/>
        </w:rPr>
      </w:pPr>
      <w:r w:rsidRPr="004F5FB4">
        <w:rPr>
          <w:color w:val="000000"/>
          <w:u w:val="single"/>
        </w:rPr>
        <w:t>Hidradenitis suppurativa (Acne inversa) bei Erwachsenen und Jugendlichen</w:t>
      </w:r>
    </w:p>
    <w:p w14:paraId="74C1F836" w14:textId="77777777" w:rsidR="008E27D6" w:rsidRPr="004F5FB4" w:rsidRDefault="008E27D6" w:rsidP="00982118">
      <w:pPr>
        <w:keepNext/>
        <w:rPr>
          <w:color w:val="000000"/>
        </w:rPr>
      </w:pPr>
    </w:p>
    <w:p w14:paraId="505C1645" w14:textId="77777777" w:rsidR="008E27D6" w:rsidRPr="004F5FB4" w:rsidRDefault="008E27D6" w:rsidP="00982118">
      <w:pPr>
        <w:rPr>
          <w:color w:val="000000"/>
        </w:rPr>
      </w:pPr>
      <w:r w:rsidRPr="004F5FB4">
        <w:rPr>
          <w:color w:val="000000"/>
        </w:rPr>
        <w:t>Hidradenitis suppurativa (manchmal auch als Acne inversa bezeichnet) ist eine chronische und oft schmerzhafte entzündliche Hauterkrankung. Zu den Beschwerden gehören unter anderem druckempfindliche Knötchen und Eiteransammlungen (Abszesse), aus denen Eiter austreten kann. Am häufigsten sind bestimmte Bereiche der Haut betroffen, wie z.</w:t>
      </w:r>
      <w:r w:rsidR="00AE0035" w:rsidRPr="004F5FB4">
        <w:rPr>
          <w:color w:val="000000"/>
        </w:rPr>
        <w:t> </w:t>
      </w:r>
      <w:r w:rsidRPr="004F5FB4">
        <w:rPr>
          <w:color w:val="000000"/>
        </w:rPr>
        <w:t xml:space="preserve">B. unter den Brüsten, unter den Achseln, an den Innenseiten der Oberschenkel, in der Leistengegend und am Gesäß. An den betroffenen Stellen kann es auch zu Vernarbungen kommen. </w:t>
      </w:r>
    </w:p>
    <w:p w14:paraId="77CF2935" w14:textId="77777777" w:rsidR="008E27D6" w:rsidRPr="004F5FB4" w:rsidRDefault="008E27D6" w:rsidP="00982118">
      <w:pPr>
        <w:rPr>
          <w:color w:val="000000"/>
        </w:rPr>
      </w:pPr>
    </w:p>
    <w:p w14:paraId="616CD5C8" w14:textId="77777777" w:rsidR="008E27D6" w:rsidRPr="004F5FB4" w:rsidRDefault="006A1144" w:rsidP="00982118">
      <w:pPr>
        <w:rPr>
          <w:color w:val="000000"/>
        </w:rPr>
      </w:pPr>
      <w:r w:rsidRPr="004F5FB4">
        <w:rPr>
          <w:color w:val="000000"/>
        </w:rPr>
        <w:t>Amsparity wird zur Behandlung der Hidradenitis suppurativa bei Erwachsenen und Jugendlichen ab einem Alter von 12</w:t>
      </w:r>
      <w:r w:rsidR="00AE0035" w:rsidRPr="004F5FB4">
        <w:rPr>
          <w:color w:val="000000"/>
        </w:rPr>
        <w:t> </w:t>
      </w:r>
      <w:r w:rsidRPr="004F5FB4">
        <w:rPr>
          <w:color w:val="000000"/>
        </w:rPr>
        <w:t xml:space="preserve">Jahren angewendet. Amsparity kann die Anzahl Ihrer Knötchen und Eiteransammlungen verringern und kann die Schmerzen, die oft mit dieser Erkrankung einhergehen, lindern. Möglicherweise bekommen Sie zunächst andere Arzneimittel. Wenn diese Arzneimittel nicht ausreichend gut wirken, erhalten Sie Amsparity. </w:t>
      </w:r>
    </w:p>
    <w:p w14:paraId="2752397E" w14:textId="77777777" w:rsidR="008E27D6" w:rsidRPr="004F5FB4" w:rsidRDefault="008E27D6" w:rsidP="00982118">
      <w:pPr>
        <w:rPr>
          <w:color w:val="000000"/>
        </w:rPr>
      </w:pPr>
    </w:p>
    <w:p w14:paraId="18745677" w14:textId="77777777" w:rsidR="008E27D6" w:rsidRPr="004F5FB4" w:rsidRDefault="008E27D6" w:rsidP="00986ED0">
      <w:pPr>
        <w:keepNext/>
        <w:rPr>
          <w:color w:val="000000"/>
          <w:u w:val="single"/>
        </w:rPr>
      </w:pPr>
      <w:r w:rsidRPr="004F5FB4">
        <w:rPr>
          <w:color w:val="000000"/>
          <w:u w:val="single"/>
        </w:rPr>
        <w:t>Morbus Crohn bei Erwachsenen, Kindern und Jugendlichen</w:t>
      </w:r>
    </w:p>
    <w:p w14:paraId="4225D5D8" w14:textId="77777777" w:rsidR="008E27D6" w:rsidRPr="004F5FB4" w:rsidRDefault="008E27D6" w:rsidP="00986ED0">
      <w:pPr>
        <w:keepNext/>
        <w:rPr>
          <w:color w:val="000000"/>
        </w:rPr>
      </w:pPr>
    </w:p>
    <w:p w14:paraId="4089854D" w14:textId="77777777" w:rsidR="008E27D6" w:rsidRPr="004F5FB4" w:rsidRDefault="008E27D6" w:rsidP="00982118">
      <w:pPr>
        <w:rPr>
          <w:color w:val="000000"/>
        </w:rPr>
      </w:pPr>
      <w:r w:rsidRPr="004F5FB4">
        <w:rPr>
          <w:color w:val="000000"/>
        </w:rPr>
        <w:t xml:space="preserve">Morbus Crohn ist eine entzündliche Erkrankung des Darms. </w:t>
      </w:r>
    </w:p>
    <w:p w14:paraId="76CBBFE6" w14:textId="77777777" w:rsidR="008E27D6" w:rsidRPr="004F5FB4" w:rsidRDefault="008E27D6" w:rsidP="00982118">
      <w:pPr>
        <w:rPr>
          <w:color w:val="000000"/>
        </w:rPr>
      </w:pPr>
    </w:p>
    <w:p w14:paraId="018DCE19" w14:textId="77777777" w:rsidR="00764B9A" w:rsidRPr="004F5FB4" w:rsidRDefault="006A1144" w:rsidP="00982118">
      <w:pPr>
        <w:rPr>
          <w:color w:val="000000"/>
        </w:rPr>
      </w:pPr>
      <w:r w:rsidRPr="004F5FB4">
        <w:rPr>
          <w:color w:val="000000"/>
        </w:rPr>
        <w:t>Amsparity wird angewendet zur Behandlung von Morbus Crohn bei Erwachsenen, Kindern und Jugendlichen zwischen 6 und 17</w:t>
      </w:r>
      <w:r w:rsidR="00AE0035" w:rsidRPr="004F5FB4">
        <w:rPr>
          <w:color w:val="000000"/>
        </w:rPr>
        <w:t> </w:t>
      </w:r>
      <w:r w:rsidRPr="004F5FB4">
        <w:rPr>
          <w:color w:val="000000"/>
        </w:rPr>
        <w:t xml:space="preserve">Jahren. </w:t>
      </w:r>
    </w:p>
    <w:p w14:paraId="38284C28" w14:textId="77777777" w:rsidR="00764B9A" w:rsidRPr="004F5FB4" w:rsidRDefault="00764B9A" w:rsidP="00982118">
      <w:pPr>
        <w:rPr>
          <w:color w:val="000000"/>
        </w:rPr>
      </w:pPr>
    </w:p>
    <w:p w14:paraId="7CFE6169" w14:textId="77777777" w:rsidR="008E27D6" w:rsidRPr="004F5FB4" w:rsidRDefault="008E27D6" w:rsidP="00982118">
      <w:pPr>
        <w:rPr>
          <w:color w:val="000000"/>
        </w:rPr>
      </w:pPr>
      <w:r w:rsidRPr="004F5FB4">
        <w:rPr>
          <w:color w:val="000000"/>
        </w:rPr>
        <w:t xml:space="preserve">Wenn Sie an Morbus Crohn erkrankt sind, werden Sie zunächst mit anderen Arzneimitteln behandelt. Wenn Sie nicht ausreichend auf diese Arzneimittel ansprechen, erhalten Sie Amsparity, um die Anzeichen und Beschwerden von Morbus Crohn zu vermindern. </w:t>
      </w:r>
    </w:p>
    <w:p w14:paraId="45EBFE5E" w14:textId="77777777" w:rsidR="008E27D6" w:rsidRPr="004F5FB4" w:rsidRDefault="008E27D6" w:rsidP="00982118">
      <w:pPr>
        <w:rPr>
          <w:color w:val="000000"/>
        </w:rPr>
      </w:pPr>
    </w:p>
    <w:p w14:paraId="098A347E" w14:textId="77777777" w:rsidR="008E27D6" w:rsidRPr="004F5FB4" w:rsidRDefault="008E27D6" w:rsidP="00986ED0">
      <w:pPr>
        <w:keepNext/>
        <w:rPr>
          <w:color w:val="000000"/>
        </w:rPr>
      </w:pPr>
      <w:r w:rsidRPr="004F5FB4">
        <w:rPr>
          <w:color w:val="000000"/>
          <w:u w:val="single"/>
        </w:rPr>
        <w:t>Colitis ulcerosa</w:t>
      </w:r>
      <w:r w:rsidR="00631149" w:rsidRPr="008419B6">
        <w:rPr>
          <w:color w:val="000000"/>
          <w:u w:val="single"/>
        </w:rPr>
        <w:t xml:space="preserve"> bei </w:t>
      </w:r>
      <w:r w:rsidR="00AA754E">
        <w:rPr>
          <w:color w:val="000000"/>
          <w:u w:val="single"/>
        </w:rPr>
        <w:t>Erwachsenen</w:t>
      </w:r>
      <w:r w:rsidR="00CE6758">
        <w:rPr>
          <w:color w:val="000000"/>
          <w:u w:val="single"/>
        </w:rPr>
        <w:t>,</w:t>
      </w:r>
      <w:r w:rsidR="00AA754E">
        <w:rPr>
          <w:color w:val="000000"/>
          <w:u w:val="single"/>
        </w:rPr>
        <w:t xml:space="preserve"> </w:t>
      </w:r>
      <w:r w:rsidR="00631149" w:rsidRPr="008419B6">
        <w:rPr>
          <w:color w:val="000000"/>
          <w:u w:val="single"/>
        </w:rPr>
        <w:t>Kindern und Jugendlichen</w:t>
      </w:r>
    </w:p>
    <w:p w14:paraId="160C7F2C" w14:textId="77777777" w:rsidR="008E27D6" w:rsidRPr="004F5FB4" w:rsidRDefault="008E27D6" w:rsidP="00986ED0">
      <w:pPr>
        <w:keepNext/>
        <w:rPr>
          <w:color w:val="000000"/>
        </w:rPr>
      </w:pPr>
    </w:p>
    <w:p w14:paraId="787773B4" w14:textId="77777777" w:rsidR="00F30344" w:rsidRPr="004F5FB4" w:rsidRDefault="008E27D6" w:rsidP="00982118">
      <w:pPr>
        <w:rPr>
          <w:color w:val="000000"/>
        </w:rPr>
      </w:pPr>
      <w:r w:rsidRPr="004F5FB4">
        <w:rPr>
          <w:color w:val="000000"/>
        </w:rPr>
        <w:t>Colitis ulcerosa ist eine entzündliche Erkrankung des D</w:t>
      </w:r>
      <w:r w:rsidR="00631149">
        <w:rPr>
          <w:color w:val="000000"/>
        </w:rPr>
        <w:t>ickd</w:t>
      </w:r>
      <w:r w:rsidRPr="004F5FB4">
        <w:rPr>
          <w:color w:val="000000"/>
        </w:rPr>
        <w:t xml:space="preserve">arms. </w:t>
      </w:r>
    </w:p>
    <w:p w14:paraId="199EAD7D" w14:textId="77777777" w:rsidR="00F30344" w:rsidRPr="004F5FB4" w:rsidRDefault="00F30344" w:rsidP="00982118">
      <w:pPr>
        <w:rPr>
          <w:color w:val="000000"/>
        </w:rPr>
      </w:pPr>
    </w:p>
    <w:p w14:paraId="777259DE" w14:textId="77777777" w:rsidR="008E27D6" w:rsidRPr="004F5FB4" w:rsidRDefault="006A1144" w:rsidP="00982118">
      <w:pPr>
        <w:rPr>
          <w:color w:val="000000"/>
        </w:rPr>
      </w:pPr>
      <w:r w:rsidRPr="004F5FB4">
        <w:rPr>
          <w:color w:val="000000"/>
        </w:rPr>
        <w:lastRenderedPageBreak/>
        <w:t xml:space="preserve">Amsparity wird angewendet, um </w:t>
      </w:r>
      <w:r w:rsidR="00631149">
        <w:rPr>
          <w:color w:val="000000"/>
        </w:rPr>
        <w:t xml:space="preserve">mittelschwere bis schwere </w:t>
      </w:r>
      <w:r w:rsidRPr="004F5FB4">
        <w:rPr>
          <w:color w:val="000000"/>
        </w:rPr>
        <w:t xml:space="preserve">Colitis ulcerosa bei Erwachsenen </w:t>
      </w:r>
      <w:r w:rsidR="00631149">
        <w:rPr>
          <w:color w:val="000000"/>
        </w:rPr>
        <w:t xml:space="preserve">und </w:t>
      </w:r>
      <w:r w:rsidR="00F44C46">
        <w:rPr>
          <w:color w:val="000000"/>
        </w:rPr>
        <w:t xml:space="preserve">bei </w:t>
      </w:r>
      <w:r w:rsidR="00631149">
        <w:rPr>
          <w:color w:val="000000"/>
        </w:rPr>
        <w:t xml:space="preserve">Kindern und Jugendlichen zwischen 6 und 17 Jahren </w:t>
      </w:r>
      <w:r w:rsidRPr="004F5FB4">
        <w:rPr>
          <w:color w:val="000000"/>
        </w:rPr>
        <w:t xml:space="preserve">zu behandeln. Wenn Sie an Colitis ulcerosa erkrankt sind, erhalten Sie </w:t>
      </w:r>
      <w:r w:rsidR="00631149">
        <w:rPr>
          <w:color w:val="000000"/>
        </w:rPr>
        <w:t xml:space="preserve">möglicherweise </w:t>
      </w:r>
      <w:r w:rsidRPr="004F5FB4">
        <w:rPr>
          <w:color w:val="000000"/>
        </w:rPr>
        <w:t xml:space="preserve">zuerst andere Arzneimittel. Wenn </w:t>
      </w:r>
      <w:r w:rsidR="00F44C46">
        <w:rPr>
          <w:color w:val="000000"/>
        </w:rPr>
        <w:t xml:space="preserve">Sie </w:t>
      </w:r>
      <w:r w:rsidRPr="004F5FB4">
        <w:rPr>
          <w:color w:val="000000"/>
        </w:rPr>
        <w:t xml:space="preserve">nicht ausreichend </w:t>
      </w:r>
      <w:r w:rsidR="00F44C46">
        <w:rPr>
          <w:color w:val="000000"/>
        </w:rPr>
        <w:t>auf diese Arzneimittel ansprechen</w:t>
      </w:r>
      <w:r w:rsidRPr="004F5FB4">
        <w:rPr>
          <w:color w:val="000000"/>
        </w:rPr>
        <w:t xml:space="preserve">, erhalten Sie Amsparity, um die Anzeichen und Beschwerden Ihrer </w:t>
      </w:r>
      <w:r w:rsidR="00F44C46">
        <w:rPr>
          <w:color w:val="000000"/>
        </w:rPr>
        <w:t>Erkrankung</w:t>
      </w:r>
      <w:r w:rsidRPr="004F5FB4">
        <w:rPr>
          <w:color w:val="000000"/>
        </w:rPr>
        <w:t xml:space="preserve"> zu </w:t>
      </w:r>
      <w:r w:rsidR="00F44C46">
        <w:rPr>
          <w:color w:val="000000"/>
        </w:rPr>
        <w:t>vermindern</w:t>
      </w:r>
      <w:r w:rsidRPr="004F5FB4">
        <w:rPr>
          <w:color w:val="000000"/>
        </w:rPr>
        <w:t xml:space="preserve">. </w:t>
      </w:r>
    </w:p>
    <w:p w14:paraId="78EE8218" w14:textId="77777777" w:rsidR="00C46587" w:rsidRPr="004F5FB4" w:rsidRDefault="00C46587" w:rsidP="00982118">
      <w:pPr>
        <w:rPr>
          <w:color w:val="000000"/>
        </w:rPr>
      </w:pPr>
    </w:p>
    <w:p w14:paraId="7101DB03" w14:textId="77777777" w:rsidR="00C46587" w:rsidRPr="004F5FB4" w:rsidRDefault="00C46587" w:rsidP="00986ED0">
      <w:pPr>
        <w:keepNext/>
        <w:rPr>
          <w:color w:val="000000"/>
          <w:u w:val="single"/>
        </w:rPr>
      </w:pPr>
      <w:r w:rsidRPr="004F5FB4">
        <w:rPr>
          <w:color w:val="000000"/>
          <w:u w:val="single"/>
        </w:rPr>
        <w:t>Nicht infektiöse Uveitis bei Erwachsenen, Kindern und Jugendlichen</w:t>
      </w:r>
    </w:p>
    <w:p w14:paraId="6F3BEB83" w14:textId="77777777" w:rsidR="00C46587" w:rsidRPr="004F5FB4" w:rsidRDefault="00C46587" w:rsidP="00986ED0">
      <w:pPr>
        <w:keepNext/>
        <w:rPr>
          <w:color w:val="000000"/>
        </w:rPr>
      </w:pPr>
    </w:p>
    <w:p w14:paraId="68C6F04E" w14:textId="77777777" w:rsidR="00C46587" w:rsidRPr="004F5FB4" w:rsidRDefault="00C46587" w:rsidP="00982118">
      <w:pPr>
        <w:rPr>
          <w:color w:val="000000"/>
        </w:rPr>
      </w:pPr>
      <w:r w:rsidRPr="004F5FB4">
        <w:rPr>
          <w:color w:val="000000"/>
        </w:rPr>
        <w:t>Die nicht infektiöse Uveitis ist eine entzündliche Erkrankung, die bestimmte Teile des Auges betrifft. Diese Entzündung kann dazu führen, dass man schlechter sieht und/</w:t>
      </w:r>
      <w:r w:rsidR="000A24A6" w:rsidRPr="004F5FB4">
        <w:rPr>
          <w:color w:val="000000"/>
        </w:rPr>
        <w:t xml:space="preserve"> </w:t>
      </w:r>
      <w:r w:rsidRPr="004F5FB4">
        <w:rPr>
          <w:color w:val="000000"/>
        </w:rPr>
        <w:t>oder dass man Schwebeteile sieht (schwarze Punkte oder Schlieren, die sich durch das Blickfeld bewegen). Amsparity wirkt, indem es diese Entzündung verringert.</w:t>
      </w:r>
    </w:p>
    <w:p w14:paraId="32FDD9F2" w14:textId="77777777" w:rsidR="00C46587" w:rsidRPr="004F5FB4" w:rsidRDefault="00C46587" w:rsidP="00982118">
      <w:pPr>
        <w:rPr>
          <w:color w:val="000000"/>
        </w:rPr>
      </w:pPr>
    </w:p>
    <w:p w14:paraId="4F9EEB2F" w14:textId="77777777" w:rsidR="004E421D" w:rsidRPr="004F5FB4" w:rsidRDefault="006A1144" w:rsidP="00982118">
      <w:pPr>
        <w:rPr>
          <w:color w:val="000000"/>
        </w:rPr>
      </w:pPr>
      <w:r w:rsidRPr="004F5FB4">
        <w:rPr>
          <w:color w:val="000000"/>
        </w:rPr>
        <w:t>Amsparity wird angewendet zur Behandlung von:</w:t>
      </w:r>
    </w:p>
    <w:p w14:paraId="1EB154D9" w14:textId="77777777" w:rsidR="004E421D" w:rsidRPr="004F5FB4" w:rsidRDefault="002A7141"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Erwachsenen mit nicht infektiöser Uveitis mit einer Entzündung im hinteren Bereich des Auges</w:t>
      </w:r>
    </w:p>
    <w:p w14:paraId="1410DC74" w14:textId="77777777" w:rsidR="004E421D" w:rsidRPr="004F5FB4" w:rsidRDefault="002A7141"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Kindern ab 2</w:t>
      </w:r>
      <w:r w:rsidR="00AE0035" w:rsidRPr="004F5FB4">
        <w:rPr>
          <w:color w:val="000000"/>
        </w:rPr>
        <w:t> </w:t>
      </w:r>
      <w:r w:rsidRPr="004F5FB4">
        <w:rPr>
          <w:color w:val="000000"/>
        </w:rPr>
        <w:t xml:space="preserve">Jahren mit chronischer nicht infektiöser Uveitis mit einer Entzündung im vorderen Bereich des Auges. </w:t>
      </w:r>
    </w:p>
    <w:p w14:paraId="65E61CE3" w14:textId="77777777" w:rsidR="004E421D" w:rsidRPr="004F5FB4" w:rsidRDefault="004E421D" w:rsidP="00982118">
      <w:pPr>
        <w:rPr>
          <w:color w:val="000000"/>
        </w:rPr>
      </w:pPr>
    </w:p>
    <w:p w14:paraId="47EF2CFF" w14:textId="77777777" w:rsidR="00130A4B" w:rsidRPr="004F5FB4" w:rsidRDefault="00130A4B" w:rsidP="00982118">
      <w:pPr>
        <w:pStyle w:val="BodyText"/>
        <w:widowControl/>
        <w:kinsoku w:val="0"/>
        <w:overflowPunct w:val="0"/>
        <w:ind w:left="0" w:right="354"/>
        <w:rPr>
          <w:color w:val="000000"/>
        </w:rPr>
      </w:pPr>
      <w:r w:rsidRPr="004F5FB4">
        <w:rPr>
          <w:color w:val="000000"/>
        </w:rPr>
        <w:t>Möglicherweise bekommen Sie zunächst andere Arzneimittel. Wenn diese nicht ausreichend wirken, erhalten Sie Amsparity, um die Anzeichen und Beschwerden Ihrer Krankheit zu lindern.</w:t>
      </w:r>
    </w:p>
    <w:p w14:paraId="3D9E0821" w14:textId="77777777" w:rsidR="00C46587" w:rsidRPr="004F5FB4" w:rsidRDefault="00C46587" w:rsidP="00982118">
      <w:pPr>
        <w:rPr>
          <w:color w:val="000000"/>
        </w:rPr>
      </w:pPr>
    </w:p>
    <w:p w14:paraId="72AABD7E" w14:textId="77777777" w:rsidR="00C46587" w:rsidRPr="004F5FB4" w:rsidRDefault="00C46587" w:rsidP="00982118">
      <w:pPr>
        <w:rPr>
          <w:color w:val="000000"/>
        </w:rPr>
      </w:pPr>
    </w:p>
    <w:p w14:paraId="1B346D02" w14:textId="77777777" w:rsidR="00C46587" w:rsidRPr="004F5FB4" w:rsidRDefault="00C46587" w:rsidP="00982118">
      <w:pPr>
        <w:tabs>
          <w:tab w:val="left" w:pos="562"/>
        </w:tabs>
        <w:rPr>
          <w:b/>
          <w:color w:val="000000"/>
        </w:rPr>
      </w:pPr>
      <w:r w:rsidRPr="004F5FB4">
        <w:rPr>
          <w:b/>
          <w:color w:val="000000"/>
        </w:rPr>
        <w:t>2.</w:t>
      </w:r>
      <w:r w:rsidRPr="004F5FB4">
        <w:rPr>
          <w:b/>
          <w:color w:val="000000"/>
        </w:rPr>
        <w:tab/>
        <w:t xml:space="preserve">Was sollten Sie vor der Anwendung von Amsparity beachten? </w:t>
      </w:r>
    </w:p>
    <w:p w14:paraId="45469E4C" w14:textId="77777777" w:rsidR="00C46587" w:rsidRPr="004F5FB4" w:rsidRDefault="00C46587" w:rsidP="00982118">
      <w:pPr>
        <w:rPr>
          <w:color w:val="000000"/>
        </w:rPr>
      </w:pPr>
    </w:p>
    <w:p w14:paraId="4133A8C5" w14:textId="77777777" w:rsidR="00C46587" w:rsidRPr="004F5FB4" w:rsidRDefault="00C46587" w:rsidP="00982118">
      <w:pPr>
        <w:rPr>
          <w:b/>
          <w:color w:val="000000"/>
        </w:rPr>
      </w:pPr>
      <w:r w:rsidRPr="004F5FB4">
        <w:rPr>
          <w:b/>
          <w:color w:val="000000"/>
        </w:rPr>
        <w:t>Amsparity darf nicht angewendet werden,</w:t>
      </w:r>
    </w:p>
    <w:p w14:paraId="75DE5B44" w14:textId="77777777" w:rsidR="00C46587" w:rsidRPr="004F5FB4" w:rsidRDefault="00C46587" w:rsidP="00982118">
      <w:pPr>
        <w:rPr>
          <w:color w:val="000000"/>
        </w:rPr>
      </w:pPr>
    </w:p>
    <w:p w14:paraId="6E602767" w14:textId="77777777" w:rsidR="00C46587" w:rsidRPr="004F5FB4" w:rsidRDefault="004D18B5"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wenn Sie allergisch gegen Adalimumab oder einen der in Abschnitt</w:t>
      </w:r>
      <w:r w:rsidR="00A87FE1" w:rsidRPr="004F5FB4">
        <w:rPr>
          <w:color w:val="000000"/>
        </w:rPr>
        <w:t> </w:t>
      </w:r>
      <w:r w:rsidRPr="004F5FB4">
        <w:rPr>
          <w:color w:val="000000"/>
        </w:rPr>
        <w:t>6. genannten sonstigen Bestandteile dieses Arzneimittels sind</w:t>
      </w:r>
      <w:r w:rsidR="00B45946" w:rsidRPr="004F5FB4">
        <w:rPr>
          <w:color w:val="000000"/>
        </w:rPr>
        <w:t>,</w:t>
      </w:r>
    </w:p>
    <w:p w14:paraId="79D4833D" w14:textId="77777777" w:rsidR="00C46587" w:rsidRPr="004F5FB4" w:rsidRDefault="00C46587" w:rsidP="00764B9A">
      <w:pPr>
        <w:pStyle w:val="BodyText"/>
        <w:widowControl/>
        <w:kinsoku w:val="0"/>
        <w:overflowPunct w:val="0"/>
        <w:autoSpaceDE w:val="0"/>
        <w:autoSpaceDN w:val="0"/>
        <w:adjustRightInd w:val="0"/>
        <w:ind w:left="562"/>
        <w:rPr>
          <w:color w:val="000000"/>
        </w:rPr>
      </w:pPr>
    </w:p>
    <w:p w14:paraId="68BBBFDB" w14:textId="77777777" w:rsidR="00C46587" w:rsidRPr="004F5FB4" w:rsidRDefault="004D18B5"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Sie an einer schweren Infektion erkrankt sind, einschließlich aktiver Tuberkulose, Blutvergiftung </w:t>
      </w:r>
      <w:r w:rsidRPr="004F5FB4">
        <w:rPr>
          <w:i/>
          <w:color w:val="000000"/>
        </w:rPr>
        <w:t>(Sepsis)</w:t>
      </w:r>
      <w:r w:rsidRPr="004F5FB4">
        <w:rPr>
          <w:color w:val="000000"/>
        </w:rPr>
        <w:t xml:space="preserve"> oder ungewöhnlicher Infektionen, die bei einem geschwächten Immunsystem entstehen </w:t>
      </w:r>
      <w:r w:rsidRPr="004F5FB4">
        <w:rPr>
          <w:i/>
          <w:color w:val="000000"/>
        </w:rPr>
        <w:t>(opportunistische Infektionen)</w:t>
      </w:r>
      <w:r w:rsidRPr="004F5FB4">
        <w:rPr>
          <w:color w:val="000000"/>
        </w:rPr>
        <w:t xml:space="preserve">. Es ist wichtig, dass Sie Ihren Arzt informieren, wenn bei Ihnen Anzeichen von Infektionen vorliegen, z. B. Fieber, Wunden, Abgeschlagenheit, Zahnprobleme (siehe „Warnhinweise und Vorsichtsmaßnahmen“). </w:t>
      </w:r>
    </w:p>
    <w:p w14:paraId="05BC28C7" w14:textId="77777777" w:rsidR="00C46587" w:rsidRPr="004F5FB4" w:rsidRDefault="00C46587" w:rsidP="00764B9A">
      <w:pPr>
        <w:pStyle w:val="BodyText"/>
        <w:widowControl/>
        <w:kinsoku w:val="0"/>
        <w:overflowPunct w:val="0"/>
        <w:autoSpaceDE w:val="0"/>
        <w:autoSpaceDN w:val="0"/>
        <w:adjustRightInd w:val="0"/>
        <w:ind w:left="562"/>
        <w:rPr>
          <w:color w:val="000000"/>
        </w:rPr>
      </w:pPr>
    </w:p>
    <w:p w14:paraId="1E750335" w14:textId="77777777" w:rsidR="00C46587" w:rsidRPr="004F5FB4" w:rsidRDefault="00B45946"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w:t>
      </w:r>
      <w:r w:rsidR="004D18B5" w:rsidRPr="004F5FB4">
        <w:rPr>
          <w:color w:val="000000"/>
        </w:rPr>
        <w:t xml:space="preserve">enn Sie an mäßiger bis schwerer Herzschwäche </w:t>
      </w:r>
      <w:r w:rsidR="004D18B5" w:rsidRPr="004F5FB4">
        <w:rPr>
          <w:i/>
          <w:color w:val="000000"/>
        </w:rPr>
        <w:t>(Herzinsuffizienz)</w:t>
      </w:r>
      <w:r w:rsidR="004D18B5" w:rsidRPr="004F5FB4">
        <w:rPr>
          <w:color w:val="000000"/>
        </w:rPr>
        <w:t xml:space="preserve"> erkrankt sind. Es ist wichtig, dass Sie Ihrem Arzt über zurückliegende oder bestehende ernsthafte Herzbeschwerden berichten (siehe „Warnhinweise und Vorsichtsmaßnahmen“). </w:t>
      </w:r>
    </w:p>
    <w:p w14:paraId="0A08C27A" w14:textId="77777777" w:rsidR="00C46587" w:rsidRPr="004F5FB4" w:rsidRDefault="00C46587" w:rsidP="00982118">
      <w:pPr>
        <w:rPr>
          <w:color w:val="000000"/>
        </w:rPr>
      </w:pPr>
    </w:p>
    <w:p w14:paraId="0D197AF8" w14:textId="77777777" w:rsidR="00C46587" w:rsidRPr="004F5FB4" w:rsidRDefault="00C46587" w:rsidP="00982118">
      <w:pPr>
        <w:rPr>
          <w:b/>
          <w:color w:val="000000"/>
        </w:rPr>
      </w:pPr>
      <w:r w:rsidRPr="004F5FB4">
        <w:rPr>
          <w:b/>
          <w:color w:val="000000"/>
        </w:rPr>
        <w:t xml:space="preserve">Warnhinweise und Vorsichtsmaßnahmen </w:t>
      </w:r>
    </w:p>
    <w:p w14:paraId="258F3BDC" w14:textId="77777777" w:rsidR="005123EE" w:rsidRPr="004F5FB4" w:rsidRDefault="00DD3836" w:rsidP="00982118">
      <w:pPr>
        <w:rPr>
          <w:color w:val="000000"/>
        </w:rPr>
      </w:pPr>
      <w:r w:rsidRPr="004F5FB4">
        <w:rPr>
          <w:color w:val="000000"/>
        </w:rPr>
        <w:t>Bitte sprechen Sie mit Ihrem Arzt oder Apotheker, bevor Sie Amsparity anwenden.</w:t>
      </w:r>
    </w:p>
    <w:p w14:paraId="02F83081" w14:textId="77777777" w:rsidR="005123EE" w:rsidRPr="004F5FB4" w:rsidRDefault="005123EE" w:rsidP="00982118">
      <w:pPr>
        <w:rPr>
          <w:color w:val="000000"/>
        </w:rPr>
      </w:pPr>
    </w:p>
    <w:p w14:paraId="06698694" w14:textId="77777777" w:rsidR="005123EE" w:rsidRPr="004F5FB4" w:rsidRDefault="005123EE" w:rsidP="00764B9A">
      <w:pPr>
        <w:pStyle w:val="BodyText"/>
        <w:widowControl/>
        <w:tabs>
          <w:tab w:val="left" w:pos="720"/>
        </w:tabs>
        <w:ind w:left="0" w:right="-3"/>
        <w:rPr>
          <w:color w:val="000000"/>
        </w:rPr>
      </w:pPr>
      <w:r w:rsidRPr="004F5FB4">
        <w:rPr>
          <w:color w:val="000000"/>
        </w:rPr>
        <w:t>Es ist wichtig, dass Sie und Ihr Arzt den Markennamen und die Chargenbezeichnung des Arzneimittels notieren.</w:t>
      </w:r>
    </w:p>
    <w:p w14:paraId="195C9AB6" w14:textId="77777777" w:rsidR="00C46587" w:rsidRPr="004F5FB4" w:rsidRDefault="00C46587" w:rsidP="00982118">
      <w:pPr>
        <w:rPr>
          <w:color w:val="000000"/>
        </w:rPr>
      </w:pPr>
    </w:p>
    <w:p w14:paraId="10A7F268" w14:textId="77777777" w:rsidR="009178B8" w:rsidRPr="004F5FB4" w:rsidRDefault="009178B8" w:rsidP="00982118">
      <w:pPr>
        <w:rPr>
          <w:color w:val="000000"/>
          <w:u w:val="single"/>
        </w:rPr>
      </w:pPr>
      <w:r w:rsidRPr="004F5FB4">
        <w:rPr>
          <w:color w:val="000000"/>
          <w:u w:val="single"/>
        </w:rPr>
        <w:t>Allergische Reaktionen</w:t>
      </w:r>
    </w:p>
    <w:p w14:paraId="160B3026" w14:textId="77777777" w:rsidR="009178B8" w:rsidRPr="00F577F5" w:rsidRDefault="009178B8" w:rsidP="00982118">
      <w:pPr>
        <w:rPr>
          <w:color w:val="000000"/>
        </w:rPr>
      </w:pPr>
    </w:p>
    <w:p w14:paraId="4642F204" w14:textId="77777777" w:rsidR="00C46587" w:rsidRPr="004F5FB4" w:rsidRDefault="00C46587"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Sollten Sie allergische Reaktionen bekommen mit Anzeichen wie Engegefühl in der Brust, pfeifende Atemgeräusche, Schwindel, Schwellungen oder Hautausschlag, spritzen Sie sich kein weiteres Amsparity mehr und setzen Sie sich unverzüglich mit Ihrem Arzt in Verbindung, da diese Reaktionen in seltenen Fällen lebensbedrohlich sein können. </w:t>
      </w:r>
    </w:p>
    <w:p w14:paraId="114B5B3C" w14:textId="77777777" w:rsidR="00C46587" w:rsidRPr="004F5FB4" w:rsidRDefault="00C46587" w:rsidP="00982118">
      <w:pPr>
        <w:rPr>
          <w:color w:val="000000"/>
        </w:rPr>
      </w:pPr>
    </w:p>
    <w:p w14:paraId="12F7CB71" w14:textId="77777777" w:rsidR="00460745" w:rsidRPr="004F5FB4" w:rsidRDefault="00460745" w:rsidP="00771BD7">
      <w:pPr>
        <w:keepNext/>
        <w:rPr>
          <w:color w:val="000000"/>
          <w:u w:val="single"/>
        </w:rPr>
      </w:pPr>
      <w:r w:rsidRPr="004F5FB4">
        <w:rPr>
          <w:color w:val="000000"/>
          <w:u w:val="single"/>
        </w:rPr>
        <w:t>Infektionen</w:t>
      </w:r>
    </w:p>
    <w:p w14:paraId="47445BD5" w14:textId="77777777" w:rsidR="00460745" w:rsidRPr="004F5FB4" w:rsidRDefault="00460745" w:rsidP="00771BD7">
      <w:pPr>
        <w:keepNext/>
        <w:rPr>
          <w:color w:val="000000"/>
          <w:lang w:val="en-GB"/>
        </w:rPr>
      </w:pPr>
    </w:p>
    <w:p w14:paraId="2483D38C" w14:textId="77777777" w:rsidR="00C46587" w:rsidRPr="004F5FB4" w:rsidRDefault="00C46587" w:rsidP="000B37D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Sie eine Infektion haben, sprechen Sie mit Ihrem Arzt, bevor Sie mit der Amsparity-Behandlung beginnen. Auch dann, wenn Sie die Infektion schon länger haben, oder die </w:t>
      </w:r>
      <w:r w:rsidRPr="004F5FB4">
        <w:rPr>
          <w:color w:val="000000"/>
        </w:rPr>
        <w:lastRenderedPageBreak/>
        <w:t>Infektion örtlich begrenzt ist (z.</w:t>
      </w:r>
      <w:r w:rsidR="008A28DD" w:rsidRPr="004F5FB4">
        <w:rPr>
          <w:color w:val="000000"/>
        </w:rPr>
        <w:t> </w:t>
      </w:r>
      <w:r w:rsidRPr="004F5FB4">
        <w:rPr>
          <w:color w:val="000000"/>
        </w:rPr>
        <w:t xml:space="preserve">B. ein Unterschenkelgeschwür). Wenn Sie unsicher sind, fragen Sie Ihren Arzt. </w:t>
      </w:r>
    </w:p>
    <w:p w14:paraId="70575B2D" w14:textId="77777777" w:rsidR="00C46587" w:rsidRPr="004F5FB4" w:rsidRDefault="00C46587" w:rsidP="000B37DD">
      <w:pPr>
        <w:pStyle w:val="BodyText"/>
        <w:widowControl/>
        <w:kinsoku w:val="0"/>
        <w:overflowPunct w:val="0"/>
        <w:autoSpaceDE w:val="0"/>
        <w:autoSpaceDN w:val="0"/>
        <w:adjustRightInd w:val="0"/>
        <w:ind w:left="0"/>
        <w:rPr>
          <w:color w:val="000000"/>
        </w:rPr>
      </w:pPr>
    </w:p>
    <w:p w14:paraId="6251CBD3" w14:textId="77777777" w:rsidR="00C46587" w:rsidRPr="004F5FB4" w:rsidRDefault="00C46587" w:rsidP="000B37D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Während der Behandlung mit Amsparity können Sie leichter an Infektionen erkranken. Dieses Risiko kann sich zusätzlich erhöhen, wenn Sie Probleme mit Ihrer Lunge haben. Diese Infektionen können schwerwiegend sein und umfassen Tuberkulose, Infektionen, die durch Viren, Pilze, Parasiten oder Bakterien verursacht werden, oder andere Infektionen, die auftreten, wenn die Widerstandskraft gegenüber Krankheiten vermindert ist (opportunistische Infektionen durch ungewöhnliche infektiöse Organismen), sowie Blutvergiftung </w:t>
      </w:r>
      <w:r w:rsidRPr="004F5FB4">
        <w:rPr>
          <w:i/>
          <w:color w:val="000000"/>
        </w:rPr>
        <w:t>(Sepsis)</w:t>
      </w:r>
      <w:r w:rsidRPr="004F5FB4">
        <w:rPr>
          <w:color w:val="000000"/>
        </w:rPr>
        <w:t xml:space="preserve">. Diese Infektionen können in seltenen Fällen lebensbedrohlich sein. Es ist wichtig, dass Sie Ihren Arzt informieren, wenn bei Ihnen Anzeichen wie Fieber, Wunden, Abgeschlagenheit oder Zahnprobleme auftreten. Ihr Arzt wird Ihnen möglicherweise empfehlen, die Anwendung von Amsparity für eine bestimmte Zeit zu unterbrechen. </w:t>
      </w:r>
    </w:p>
    <w:p w14:paraId="77054EDE" w14:textId="77777777" w:rsidR="00C46587" w:rsidRPr="004F5FB4" w:rsidRDefault="00C46587" w:rsidP="00982118">
      <w:pPr>
        <w:rPr>
          <w:color w:val="000000"/>
        </w:rPr>
      </w:pPr>
    </w:p>
    <w:p w14:paraId="21AF8619" w14:textId="77777777" w:rsidR="00F52CD4" w:rsidRPr="004F5FB4" w:rsidRDefault="00F52CD4" w:rsidP="007C4B2C">
      <w:pPr>
        <w:keepNext/>
        <w:rPr>
          <w:color w:val="000000"/>
          <w:u w:val="single"/>
        </w:rPr>
      </w:pPr>
      <w:r w:rsidRPr="004F5FB4">
        <w:rPr>
          <w:color w:val="000000"/>
          <w:u w:val="single"/>
        </w:rPr>
        <w:t>Tuberkulose</w:t>
      </w:r>
    </w:p>
    <w:p w14:paraId="65B832D7" w14:textId="77777777" w:rsidR="00F52CD4" w:rsidRPr="004F5FB4" w:rsidRDefault="00F52CD4" w:rsidP="007C4B2C">
      <w:pPr>
        <w:keepNext/>
        <w:rPr>
          <w:color w:val="000000"/>
          <w:u w:val="single"/>
          <w:lang w:val="en-GB"/>
        </w:rPr>
      </w:pPr>
    </w:p>
    <w:p w14:paraId="66834010" w14:textId="77777777" w:rsidR="00AA4681" w:rsidRPr="004F5FB4" w:rsidRDefault="00C46587" w:rsidP="007C4B2C">
      <w:pPr>
        <w:keepNext/>
        <w:numPr>
          <w:ilvl w:val="0"/>
          <w:numId w:val="5"/>
        </w:numPr>
        <w:kinsoku w:val="0"/>
        <w:overflowPunct w:val="0"/>
        <w:autoSpaceDE w:val="0"/>
        <w:autoSpaceDN w:val="0"/>
        <w:adjustRightInd w:val="0"/>
        <w:ind w:left="562" w:hanging="562"/>
        <w:rPr>
          <w:color w:val="000000"/>
        </w:rPr>
      </w:pPr>
      <w:r w:rsidRPr="004F5FB4">
        <w:rPr>
          <w:color w:val="000000"/>
        </w:rPr>
        <w:t>Ihr Arzt wird Sie vor Beginn der Behandlung mit Amsparity auf Anzeichen und Krankheitserscheinungen einer Tuberkulose untersuchen, da bei mit Adalimumab behandelten Patienten von Tuberkulosefällen berichtet wurde. Zu dieser gründlichen Untersuchung gehören die Aufnahme einer umfassenden medizinischen Vorgeschichte von Ihnen und geeignete Tests (z.</w:t>
      </w:r>
      <w:r w:rsidR="008A28DD" w:rsidRPr="004F5FB4">
        <w:rPr>
          <w:color w:val="000000"/>
        </w:rPr>
        <w:t> </w:t>
      </w:r>
      <w:r w:rsidRPr="004F5FB4">
        <w:rPr>
          <w:color w:val="000000"/>
        </w:rPr>
        <w:t>B. eine Röntgen</w:t>
      </w:r>
      <w:r w:rsidRPr="004F5FB4">
        <w:rPr>
          <w:color w:val="000000"/>
        </w:rPr>
        <w:noBreakHyphen/>
        <w:t xml:space="preserve">Aufnahme des Brustkorbs und ein Tuberkulintest). Die Durchführung und Ergebnisse dieser Tests sollten in Ihrem Patientenpass dokumentiert werden. </w:t>
      </w:r>
    </w:p>
    <w:p w14:paraId="543D9D79" w14:textId="77777777" w:rsidR="00AA4681" w:rsidRPr="004F5FB4" w:rsidRDefault="00AA4681" w:rsidP="00AA4681">
      <w:pPr>
        <w:kinsoku w:val="0"/>
        <w:overflowPunct w:val="0"/>
        <w:autoSpaceDE w:val="0"/>
        <w:autoSpaceDN w:val="0"/>
        <w:adjustRightInd w:val="0"/>
        <w:rPr>
          <w:color w:val="000000"/>
        </w:rPr>
      </w:pPr>
    </w:p>
    <w:p w14:paraId="5ACF07DE" w14:textId="77777777" w:rsidR="00AA4681" w:rsidRPr="004F5FB4" w:rsidRDefault="00C46587" w:rsidP="000B37DD">
      <w:pPr>
        <w:numPr>
          <w:ilvl w:val="0"/>
          <w:numId w:val="5"/>
        </w:numPr>
        <w:kinsoku w:val="0"/>
        <w:overflowPunct w:val="0"/>
        <w:autoSpaceDE w:val="0"/>
        <w:autoSpaceDN w:val="0"/>
        <w:adjustRightInd w:val="0"/>
        <w:ind w:left="562" w:hanging="562"/>
        <w:rPr>
          <w:color w:val="000000"/>
        </w:rPr>
      </w:pPr>
      <w:r w:rsidRPr="004F5FB4">
        <w:rPr>
          <w:color w:val="000000"/>
        </w:rPr>
        <w:t xml:space="preserve">Es ist sehr wichtig, dass Sie Ihren Arzt informieren, wenn Sie jemals Tuberkulose hatten oder in engem Kontakt mit jemandem waren, der Tuberkulose hatte. </w:t>
      </w:r>
    </w:p>
    <w:p w14:paraId="536DB27A" w14:textId="77777777" w:rsidR="00AA4681" w:rsidRPr="004F5FB4" w:rsidRDefault="00AA4681" w:rsidP="00AA4681">
      <w:pPr>
        <w:kinsoku w:val="0"/>
        <w:overflowPunct w:val="0"/>
        <w:autoSpaceDE w:val="0"/>
        <w:autoSpaceDN w:val="0"/>
        <w:adjustRightInd w:val="0"/>
        <w:rPr>
          <w:color w:val="000000"/>
        </w:rPr>
      </w:pPr>
    </w:p>
    <w:p w14:paraId="3264E290" w14:textId="77777777" w:rsidR="00AA4681" w:rsidRPr="004F5FB4" w:rsidRDefault="00C46587" w:rsidP="000B37DD">
      <w:pPr>
        <w:numPr>
          <w:ilvl w:val="0"/>
          <w:numId w:val="5"/>
        </w:numPr>
        <w:kinsoku w:val="0"/>
        <w:overflowPunct w:val="0"/>
        <w:autoSpaceDE w:val="0"/>
        <w:autoSpaceDN w:val="0"/>
        <w:adjustRightInd w:val="0"/>
        <w:ind w:left="562" w:hanging="562"/>
        <w:rPr>
          <w:color w:val="000000"/>
        </w:rPr>
      </w:pPr>
      <w:r w:rsidRPr="004F5FB4">
        <w:rPr>
          <w:color w:val="000000"/>
        </w:rPr>
        <w:t xml:space="preserve">Tuberkulose kann sich während der Behandlung entwickeln, sogar dann, wenn Sie eine vorbeugende Behandlung gegen Tuberkulose bekommen haben. </w:t>
      </w:r>
    </w:p>
    <w:p w14:paraId="63548BE5" w14:textId="77777777" w:rsidR="00AA4681" w:rsidRPr="004F5FB4" w:rsidRDefault="00AA4681" w:rsidP="00AA4681">
      <w:pPr>
        <w:kinsoku w:val="0"/>
        <w:overflowPunct w:val="0"/>
        <w:autoSpaceDE w:val="0"/>
        <w:autoSpaceDN w:val="0"/>
        <w:adjustRightInd w:val="0"/>
        <w:rPr>
          <w:color w:val="000000"/>
        </w:rPr>
      </w:pPr>
    </w:p>
    <w:p w14:paraId="3D87CB60" w14:textId="77777777" w:rsidR="00C46587" w:rsidRPr="004F5FB4" w:rsidRDefault="00C46587" w:rsidP="000B37DD">
      <w:pPr>
        <w:numPr>
          <w:ilvl w:val="0"/>
          <w:numId w:val="5"/>
        </w:numPr>
        <w:kinsoku w:val="0"/>
        <w:overflowPunct w:val="0"/>
        <w:autoSpaceDE w:val="0"/>
        <w:autoSpaceDN w:val="0"/>
        <w:adjustRightInd w:val="0"/>
        <w:ind w:left="562" w:hanging="562"/>
        <w:rPr>
          <w:color w:val="000000"/>
        </w:rPr>
      </w:pPr>
      <w:r w:rsidRPr="004F5FB4">
        <w:rPr>
          <w:color w:val="000000"/>
        </w:rPr>
        <w:t>Benachrichtigen Sie unverzüglich Ihren Arzt, wenn bei Ihnen Anzeichen einer Tuberkulose oder einer anderen Infektion während oder nach der Behandlung auftreten. Anzeichen einer Tuberkulose können z.</w:t>
      </w:r>
      <w:r w:rsidR="008A28DD" w:rsidRPr="004F5FB4">
        <w:rPr>
          <w:color w:val="000000"/>
        </w:rPr>
        <w:t> </w:t>
      </w:r>
      <w:r w:rsidRPr="004F5FB4">
        <w:rPr>
          <w:color w:val="000000"/>
        </w:rPr>
        <w:t xml:space="preserve">B. sein: anhaltender Husten, Gewichtsverlust, das Gefühl, keine Energie zu haben, leichtes Fieber. </w:t>
      </w:r>
    </w:p>
    <w:p w14:paraId="1D91ED08" w14:textId="77777777" w:rsidR="00C46587" w:rsidRPr="004F5FB4" w:rsidRDefault="00C46587" w:rsidP="00982118">
      <w:pPr>
        <w:rPr>
          <w:color w:val="000000"/>
        </w:rPr>
      </w:pPr>
    </w:p>
    <w:p w14:paraId="023F0681" w14:textId="77777777" w:rsidR="00F52CD4" w:rsidRPr="004F5FB4" w:rsidRDefault="00F52CD4" w:rsidP="00982118">
      <w:pPr>
        <w:rPr>
          <w:color w:val="000000"/>
          <w:u w:val="single"/>
        </w:rPr>
      </w:pPr>
      <w:r w:rsidRPr="004F5FB4">
        <w:rPr>
          <w:color w:val="000000"/>
          <w:u w:val="single"/>
        </w:rPr>
        <w:t>Reisen/</w:t>
      </w:r>
      <w:r w:rsidR="008A28DD" w:rsidRPr="004F5FB4">
        <w:rPr>
          <w:color w:val="000000"/>
          <w:u w:val="single"/>
        </w:rPr>
        <w:t xml:space="preserve"> </w:t>
      </w:r>
      <w:r w:rsidRPr="004F5FB4">
        <w:rPr>
          <w:color w:val="000000"/>
          <w:u w:val="single"/>
        </w:rPr>
        <w:t>wiederkehrende Infektionen</w:t>
      </w:r>
    </w:p>
    <w:p w14:paraId="46E937FD" w14:textId="77777777" w:rsidR="00F52CD4" w:rsidRPr="004F5FB4" w:rsidRDefault="00F52CD4" w:rsidP="00982118">
      <w:pPr>
        <w:rPr>
          <w:color w:val="000000"/>
          <w:lang w:val="en-GB"/>
        </w:rPr>
      </w:pPr>
    </w:p>
    <w:p w14:paraId="7C15B66E" w14:textId="77777777" w:rsidR="00C46587" w:rsidRPr="004F5FB4" w:rsidRDefault="00F52CD4" w:rsidP="00AA4681">
      <w:pPr>
        <w:numPr>
          <w:ilvl w:val="0"/>
          <w:numId w:val="5"/>
        </w:numPr>
        <w:ind w:left="562" w:hanging="562"/>
        <w:rPr>
          <w:color w:val="000000"/>
        </w:rPr>
      </w:pPr>
      <w:r w:rsidRPr="004F5FB4">
        <w:rPr>
          <w:color w:val="000000"/>
        </w:rPr>
        <w:t xml:space="preserve">Informieren Sie Ihren Arzt, wenn Sie in Regionen gelebt haben oder gereist sind, in denen Pilzinfektionen häufig vorkommen (z. B. </w:t>
      </w:r>
      <w:r w:rsidRPr="004F5FB4">
        <w:rPr>
          <w:i/>
          <w:color w:val="000000"/>
        </w:rPr>
        <w:t xml:space="preserve">Histoplasmose, Kokzidioidomykose </w:t>
      </w:r>
      <w:r w:rsidRPr="004F5FB4">
        <w:rPr>
          <w:color w:val="000000"/>
        </w:rPr>
        <w:t xml:space="preserve">oder </w:t>
      </w:r>
      <w:r w:rsidRPr="004F5FB4">
        <w:rPr>
          <w:i/>
          <w:color w:val="000000"/>
        </w:rPr>
        <w:t>Blastomykose</w:t>
      </w:r>
      <w:r w:rsidRPr="004F5FB4">
        <w:rPr>
          <w:color w:val="000000"/>
        </w:rPr>
        <w:t xml:space="preserve">). </w:t>
      </w:r>
    </w:p>
    <w:p w14:paraId="6804A2C7" w14:textId="77777777" w:rsidR="00C46587" w:rsidRPr="004F5FB4" w:rsidRDefault="00C46587" w:rsidP="00AA4681">
      <w:pPr>
        <w:ind w:left="562" w:hanging="562"/>
        <w:rPr>
          <w:color w:val="000000"/>
        </w:rPr>
      </w:pPr>
    </w:p>
    <w:p w14:paraId="14E5A036" w14:textId="77777777" w:rsidR="00C46587" w:rsidRPr="004F5FB4" w:rsidRDefault="000C69A6" w:rsidP="00AA4681">
      <w:pPr>
        <w:numPr>
          <w:ilvl w:val="0"/>
          <w:numId w:val="5"/>
        </w:numPr>
        <w:ind w:left="562" w:hanging="562"/>
        <w:rPr>
          <w:color w:val="000000"/>
        </w:rPr>
      </w:pPr>
      <w:r w:rsidRPr="004F5FB4">
        <w:rPr>
          <w:color w:val="000000"/>
        </w:rPr>
        <w:t xml:space="preserve">Informieren Sie Ihren Arzt, wenn Sie in der Vergangenheit Infektionen gehabt haben, die immer wieder aufgetreten sind, oder wenn Sie andere Krankheiten gehabt haben, die das Risiko einer Infektion erhöhen. </w:t>
      </w:r>
    </w:p>
    <w:p w14:paraId="483FEB05" w14:textId="77777777" w:rsidR="00C46587" w:rsidRPr="004F5FB4" w:rsidRDefault="00C46587" w:rsidP="00AA4681">
      <w:pPr>
        <w:ind w:left="562" w:hanging="562"/>
        <w:rPr>
          <w:color w:val="000000"/>
        </w:rPr>
      </w:pPr>
    </w:p>
    <w:p w14:paraId="5727E985" w14:textId="77777777" w:rsidR="0075367E" w:rsidRPr="004F5FB4" w:rsidRDefault="0075367E" w:rsidP="00AA4681">
      <w:pPr>
        <w:pStyle w:val="BodyText"/>
        <w:widowControl/>
        <w:numPr>
          <w:ilvl w:val="1"/>
          <w:numId w:val="22"/>
        </w:numPr>
        <w:ind w:left="562" w:hanging="562"/>
        <w:rPr>
          <w:color w:val="000000"/>
        </w:rPr>
      </w:pPr>
      <w:r w:rsidRPr="004F5FB4">
        <w:rPr>
          <w:color w:val="000000"/>
        </w:rPr>
        <w:t>Sie sollten daher besonders auf Anzeichen einer Infektion achten, während Sie mit Amsparity behandelt werden. Es ist wichtig, dass Sie Ihren Arzt informieren, wenn Sie Symptome von Infektionen bemerken wie Fieber, Wunden, Gefühl der Müdigkeit oder Zahnprobleme.</w:t>
      </w:r>
    </w:p>
    <w:p w14:paraId="313670D4" w14:textId="77777777" w:rsidR="0075367E" w:rsidRPr="004F5FB4" w:rsidRDefault="0075367E" w:rsidP="00AA4681">
      <w:pPr>
        <w:ind w:left="562" w:hanging="562"/>
        <w:rPr>
          <w:color w:val="000000"/>
        </w:rPr>
      </w:pPr>
    </w:p>
    <w:p w14:paraId="109342DF" w14:textId="77777777" w:rsidR="000C69A6" w:rsidRPr="004F5FB4" w:rsidRDefault="000C69A6" w:rsidP="00982118">
      <w:pPr>
        <w:keepNext/>
        <w:rPr>
          <w:color w:val="000000"/>
          <w:u w:val="single"/>
        </w:rPr>
      </w:pPr>
      <w:r w:rsidRPr="004F5FB4">
        <w:rPr>
          <w:color w:val="000000"/>
          <w:u w:val="single"/>
        </w:rPr>
        <w:t>Hepatitis-B-Virus</w:t>
      </w:r>
    </w:p>
    <w:p w14:paraId="7C790DEB" w14:textId="77777777" w:rsidR="000C69A6" w:rsidRPr="004F5FB4" w:rsidRDefault="000C69A6" w:rsidP="00982118">
      <w:pPr>
        <w:keepNext/>
        <w:rPr>
          <w:color w:val="000000"/>
          <w:lang w:val="en-GB"/>
        </w:rPr>
      </w:pPr>
    </w:p>
    <w:p w14:paraId="4B17F751" w14:textId="77777777" w:rsidR="00C46587" w:rsidRPr="004F5FB4" w:rsidRDefault="000C69A6" w:rsidP="00AA4681">
      <w:pPr>
        <w:numPr>
          <w:ilvl w:val="0"/>
          <w:numId w:val="5"/>
        </w:numPr>
        <w:ind w:left="562" w:hanging="562"/>
        <w:rPr>
          <w:color w:val="000000"/>
        </w:rPr>
      </w:pPr>
      <w:r w:rsidRPr="004F5FB4">
        <w:rPr>
          <w:color w:val="000000"/>
        </w:rPr>
        <w:t>Informieren Sie Ihren Arzt, wenn Sie Träger des Hepatitis-B-Virus (HBV) sind, wenn Sie eine aktive HBV-Infektion haben oder wenn Sie glauben, dass Sie ein erhöhtes Risiko für eine HBV-Infektion haben. Ihr Arzt sollte Sie auf HBV untersuchen. Adalimumab kann zu einem erneuten Ausbruch einer HBV-Infektion bei Personen führen, die dieses Virus tragen. In einigen seltenen Fällen, besonders bei der zusätzlichen Anwendung von weiteren Arzneimitteln, die das körpereigene Abwehrsystem unterdrücken, kann der erneute Ausbruch einer HBV</w:t>
      </w:r>
      <w:r w:rsidRPr="004F5FB4">
        <w:rPr>
          <w:color w:val="000000"/>
        </w:rPr>
        <w:noBreakHyphen/>
        <w:t xml:space="preserve">Infektion lebensbedrohend sein. </w:t>
      </w:r>
    </w:p>
    <w:p w14:paraId="7177BD82" w14:textId="77777777" w:rsidR="00C46587" w:rsidRPr="004F5FB4" w:rsidRDefault="00C46587" w:rsidP="00982118">
      <w:pPr>
        <w:rPr>
          <w:color w:val="000000"/>
        </w:rPr>
      </w:pPr>
    </w:p>
    <w:p w14:paraId="19AE1153" w14:textId="77777777" w:rsidR="000C69A6" w:rsidRPr="004F5FB4" w:rsidRDefault="000C69A6" w:rsidP="00982118">
      <w:pPr>
        <w:keepNext/>
        <w:rPr>
          <w:color w:val="000000"/>
          <w:u w:val="single"/>
        </w:rPr>
      </w:pPr>
      <w:r w:rsidRPr="004F5FB4">
        <w:rPr>
          <w:color w:val="000000"/>
          <w:u w:val="single"/>
        </w:rPr>
        <w:t>Alter über 65 Jahre</w:t>
      </w:r>
    </w:p>
    <w:p w14:paraId="45DB629C" w14:textId="77777777" w:rsidR="000C69A6" w:rsidRPr="004F5FB4" w:rsidRDefault="000C69A6" w:rsidP="00982118">
      <w:pPr>
        <w:keepNext/>
        <w:rPr>
          <w:color w:val="000000"/>
          <w:lang w:val="en-GB"/>
        </w:rPr>
      </w:pPr>
    </w:p>
    <w:p w14:paraId="0C62E320" w14:textId="77777777" w:rsidR="00C46587" w:rsidRPr="004F5FB4" w:rsidRDefault="00C46587" w:rsidP="00AA4681">
      <w:pPr>
        <w:numPr>
          <w:ilvl w:val="0"/>
          <w:numId w:val="5"/>
        </w:numPr>
        <w:ind w:left="562" w:hanging="562"/>
        <w:rPr>
          <w:color w:val="000000"/>
        </w:rPr>
      </w:pPr>
      <w:r w:rsidRPr="004F5FB4">
        <w:rPr>
          <w:color w:val="000000"/>
        </w:rPr>
        <w:t>Wenn Sie über 65</w:t>
      </w:r>
      <w:r w:rsidR="00AE0035" w:rsidRPr="004F5FB4">
        <w:rPr>
          <w:color w:val="000000"/>
        </w:rPr>
        <w:t> </w:t>
      </w:r>
      <w:r w:rsidRPr="004F5FB4">
        <w:rPr>
          <w:color w:val="000000"/>
        </w:rPr>
        <w:t xml:space="preserve">Jahre alt sind, können Sie für Infektionen anfälliger sein, während Sie Amsparity nehmen. Sie und Ihr Arzt sollten daher besonders auf Anzeichen einer Infektion achten, während Sie mit Amsparity behandelt werden. Es ist wichtig, dass Sie Ihren Arzt informieren, wenn Sie Symptome von Infektionen bemerken wie Fieber, Wunden, Gefühl der Müdigkeit oder Zahnprobleme. </w:t>
      </w:r>
    </w:p>
    <w:p w14:paraId="48AFFE0B" w14:textId="77777777" w:rsidR="00C46587" w:rsidRPr="004F5FB4" w:rsidRDefault="00C46587" w:rsidP="00982118">
      <w:pPr>
        <w:rPr>
          <w:color w:val="000000"/>
        </w:rPr>
      </w:pPr>
    </w:p>
    <w:p w14:paraId="22B1C769" w14:textId="77777777" w:rsidR="000C69A6" w:rsidRPr="004F5FB4" w:rsidRDefault="000C69A6" w:rsidP="00982118">
      <w:pPr>
        <w:keepNext/>
        <w:rPr>
          <w:color w:val="000000"/>
          <w:u w:val="single"/>
        </w:rPr>
      </w:pPr>
      <w:r w:rsidRPr="004F5FB4">
        <w:rPr>
          <w:color w:val="000000"/>
          <w:u w:val="single"/>
        </w:rPr>
        <w:t>Operationen oder Zahnbehandlungen</w:t>
      </w:r>
    </w:p>
    <w:p w14:paraId="193BD1B3" w14:textId="77777777" w:rsidR="000C69A6" w:rsidRPr="004F5FB4" w:rsidRDefault="000C69A6" w:rsidP="00982118">
      <w:pPr>
        <w:rPr>
          <w:color w:val="000000"/>
          <w:lang w:val="en-GB"/>
        </w:rPr>
      </w:pPr>
    </w:p>
    <w:p w14:paraId="26E88F9A" w14:textId="77777777" w:rsidR="00C46587" w:rsidRPr="004F5FB4" w:rsidRDefault="00C46587" w:rsidP="00AA4681">
      <w:pPr>
        <w:numPr>
          <w:ilvl w:val="0"/>
          <w:numId w:val="5"/>
        </w:numPr>
        <w:ind w:left="562" w:hanging="562"/>
        <w:rPr>
          <w:color w:val="000000"/>
        </w:rPr>
      </w:pPr>
      <w:r w:rsidRPr="004F5FB4">
        <w:rPr>
          <w:color w:val="000000"/>
        </w:rPr>
        <w:t xml:space="preserve">Informieren Sie bitte Ihren Arzt vor einer Operation oder einer Zahnbehandlung über Ihre Behandlung mit Amsparity. Ihr Arzt wird Ihnen möglicherweise empfehlen, die Anwendung von Amsparity für eine bestimmte Zeit zu unterbrechen. </w:t>
      </w:r>
    </w:p>
    <w:p w14:paraId="42D9DD0A" w14:textId="77777777" w:rsidR="00C46587" w:rsidRPr="004F5FB4" w:rsidRDefault="00C46587" w:rsidP="00982118">
      <w:pPr>
        <w:rPr>
          <w:color w:val="000000"/>
        </w:rPr>
      </w:pPr>
    </w:p>
    <w:p w14:paraId="3B019729" w14:textId="77777777" w:rsidR="00785DA4" w:rsidRPr="004F5FB4" w:rsidRDefault="00785DA4" w:rsidP="00982118">
      <w:pPr>
        <w:keepNext/>
        <w:rPr>
          <w:color w:val="000000"/>
          <w:u w:val="single"/>
        </w:rPr>
      </w:pPr>
      <w:r w:rsidRPr="004F5FB4">
        <w:rPr>
          <w:color w:val="000000"/>
          <w:u w:val="single"/>
        </w:rPr>
        <w:t>Demyelinisierende Erkrankungen</w:t>
      </w:r>
    </w:p>
    <w:p w14:paraId="4710C128" w14:textId="77777777" w:rsidR="00785DA4" w:rsidRPr="004F5FB4" w:rsidRDefault="00785DA4" w:rsidP="00982118">
      <w:pPr>
        <w:rPr>
          <w:color w:val="000000"/>
          <w:lang w:val="en-GB"/>
        </w:rPr>
      </w:pPr>
    </w:p>
    <w:p w14:paraId="68CEFD63" w14:textId="77777777" w:rsidR="00C46587" w:rsidRPr="004F5FB4" w:rsidRDefault="00C46587" w:rsidP="00AA4681">
      <w:pPr>
        <w:numPr>
          <w:ilvl w:val="0"/>
          <w:numId w:val="5"/>
        </w:numPr>
        <w:ind w:left="562" w:hanging="562"/>
        <w:rPr>
          <w:color w:val="000000"/>
        </w:rPr>
      </w:pPr>
      <w:r w:rsidRPr="004F5FB4">
        <w:rPr>
          <w:color w:val="000000"/>
        </w:rPr>
        <w:t>Wenn Sie gerade eine Erkrankung entwickeln oder bereits haben, die die isolierende Schicht um die Nervenzellen beeinflusst (wie z.</w:t>
      </w:r>
      <w:r w:rsidR="00AE0035" w:rsidRPr="004F5FB4">
        <w:rPr>
          <w:color w:val="000000"/>
        </w:rPr>
        <w:t> </w:t>
      </w:r>
      <w:r w:rsidRPr="004F5FB4">
        <w:rPr>
          <w:color w:val="000000"/>
        </w:rPr>
        <w:t xml:space="preserve">B. </w:t>
      </w:r>
      <w:r w:rsidR="00A63F9C" w:rsidRPr="004F5FB4">
        <w:rPr>
          <w:i/>
          <w:color w:val="000000"/>
        </w:rPr>
        <w:t>M</w:t>
      </w:r>
      <w:r w:rsidRPr="004F5FB4">
        <w:rPr>
          <w:i/>
          <w:color w:val="000000"/>
        </w:rPr>
        <w:t>ultiple Sklerose</w:t>
      </w:r>
      <w:r w:rsidRPr="004F5FB4">
        <w:rPr>
          <w:color w:val="000000"/>
        </w:rPr>
        <w:t xml:space="preserve">), wird Ihr Arzt entscheiden, ob Sie Amsparity anwenden bzw. weiter anwenden sollten. Informieren Sie sofort Ihren Arzt, wenn Sie schlechter sehen, wenn sich Ihre Arme oder Beine kraftlos anfühlen oder wenn sich Körperteile taub oder kribbelig anfühlen. </w:t>
      </w:r>
    </w:p>
    <w:p w14:paraId="67DBA158" w14:textId="77777777" w:rsidR="00C46587" w:rsidRPr="004F5FB4" w:rsidRDefault="00C46587" w:rsidP="00982118">
      <w:pPr>
        <w:rPr>
          <w:color w:val="000000"/>
        </w:rPr>
      </w:pPr>
    </w:p>
    <w:p w14:paraId="6FC999C3" w14:textId="77777777" w:rsidR="00761638" w:rsidRPr="004F5FB4" w:rsidRDefault="00761638" w:rsidP="00982118">
      <w:pPr>
        <w:keepNext/>
        <w:rPr>
          <w:color w:val="000000"/>
          <w:u w:val="single"/>
        </w:rPr>
      </w:pPr>
      <w:r w:rsidRPr="004F5FB4">
        <w:rPr>
          <w:color w:val="000000"/>
          <w:u w:val="single"/>
        </w:rPr>
        <w:t>Impfungen</w:t>
      </w:r>
    </w:p>
    <w:p w14:paraId="241CC427" w14:textId="77777777" w:rsidR="00761638" w:rsidRPr="004F5FB4" w:rsidRDefault="00761638" w:rsidP="00982118">
      <w:pPr>
        <w:rPr>
          <w:color w:val="000000"/>
          <w:lang w:val="en-GB"/>
        </w:rPr>
      </w:pPr>
    </w:p>
    <w:p w14:paraId="7E9DDECF" w14:textId="77777777" w:rsidR="00C46587" w:rsidRPr="004F5FB4" w:rsidRDefault="00C46587" w:rsidP="00AA4681">
      <w:pPr>
        <w:numPr>
          <w:ilvl w:val="0"/>
          <w:numId w:val="5"/>
        </w:numPr>
        <w:ind w:left="562" w:hanging="562"/>
        <w:rPr>
          <w:color w:val="000000"/>
        </w:rPr>
      </w:pPr>
      <w:r w:rsidRPr="004F5FB4">
        <w:rPr>
          <w:color w:val="000000"/>
        </w:rPr>
        <w:t xml:space="preserve">Gewisse Impfstoffe enthalten lebende, aber abgeschwächte Formen von Bakterien oder Viren, die Krankheiten verursachen können; diese Impfstoffe sollten während der Behandlung mit Amsparity nicht verwendet werden. Besprechen Sie jede Impfung vorher mit Ihrem Arzt. Bei Kindern und Jugendlichen wird empfohlen, nach Möglichkeit vor Behandlungsbeginn mit Amsparity alle für ihr Alter festgelegten Impfungen auf den aktuellen Stand zu bringen. Wenn Sie Amsparity während der Schwangerschaft erhalten, hat Ihr Säugling eventuell ein erhöhtes Risiko, während der ersten 5 Monate nach der letzten Amsparity-Dosis, die Sie während der Schwangerschaft erhalten, eine Infektion zu bekommen. Es ist wichtig, dass Sie den Ärzten des Kindes und anderem Fachpersonal im Gesundheitswesen mitteilen, dass Sie Amsparity während der Schwangerschaft bekommen haben, sodass diese darüber entscheiden können, ob Ihr Säugling eine Impfung erhalten sollte. </w:t>
      </w:r>
    </w:p>
    <w:p w14:paraId="0979B8D1" w14:textId="77777777" w:rsidR="005F7C27" w:rsidRPr="004F5FB4" w:rsidRDefault="005F7C27" w:rsidP="00982118">
      <w:pPr>
        <w:rPr>
          <w:color w:val="000000"/>
        </w:rPr>
      </w:pPr>
    </w:p>
    <w:p w14:paraId="1DB3E918" w14:textId="77777777" w:rsidR="002B5B8F" w:rsidRPr="004F5FB4" w:rsidRDefault="002B5B8F" w:rsidP="00982118">
      <w:pPr>
        <w:keepNext/>
        <w:rPr>
          <w:color w:val="000000"/>
          <w:u w:val="single"/>
        </w:rPr>
      </w:pPr>
      <w:r w:rsidRPr="004F5FB4">
        <w:rPr>
          <w:color w:val="000000"/>
          <w:u w:val="single"/>
        </w:rPr>
        <w:t>Herzschwäche</w:t>
      </w:r>
    </w:p>
    <w:p w14:paraId="1A01F5EB" w14:textId="77777777" w:rsidR="002B5B8F" w:rsidRPr="004F5FB4" w:rsidRDefault="002B5B8F" w:rsidP="00982118">
      <w:pPr>
        <w:rPr>
          <w:color w:val="000000"/>
          <w:lang w:val="en-GB"/>
        </w:rPr>
      </w:pPr>
    </w:p>
    <w:p w14:paraId="5843F4B0" w14:textId="77777777" w:rsidR="00C46587" w:rsidRPr="004F5FB4" w:rsidRDefault="002B5B8F" w:rsidP="00AA4681">
      <w:pPr>
        <w:numPr>
          <w:ilvl w:val="0"/>
          <w:numId w:val="5"/>
        </w:numPr>
        <w:ind w:left="562" w:hanging="562"/>
        <w:rPr>
          <w:color w:val="000000"/>
        </w:rPr>
      </w:pPr>
      <w:r w:rsidRPr="004F5FB4">
        <w:rPr>
          <w:color w:val="000000"/>
        </w:rPr>
        <w:t xml:space="preserve">Es ist wichtig, dass Sie Ihren Arzt darüber informieren, wenn Sie schwerwiegende Herzprobleme haben oder gehabt haben. Wenn Sie eine leichte Herzschwäche </w:t>
      </w:r>
      <w:r w:rsidRPr="004F5FB4">
        <w:rPr>
          <w:i/>
          <w:color w:val="000000"/>
        </w:rPr>
        <w:t>(Herzinsuffizienz)</w:t>
      </w:r>
      <w:r w:rsidRPr="004F5FB4">
        <w:rPr>
          <w:color w:val="000000"/>
        </w:rPr>
        <w:t xml:space="preserve"> haben und mit Amsparity behandelt werden, muss Ihre Herzschwäche sorgfältig durch Ihren Arzt überwacht werden. Entwickeln Sie neue oder sich verschlechternde Symptome einer Herzschwäche (z.</w:t>
      </w:r>
      <w:r w:rsidR="00AE0035" w:rsidRPr="004F5FB4">
        <w:rPr>
          <w:color w:val="000000"/>
        </w:rPr>
        <w:t> </w:t>
      </w:r>
      <w:r w:rsidRPr="004F5FB4">
        <w:rPr>
          <w:color w:val="000000"/>
        </w:rPr>
        <w:t xml:space="preserve">B. Kurzatmigkeit oder Anschwellen der Füße), müssen Sie sofort mit Ihrem Arzt sprechen. </w:t>
      </w:r>
    </w:p>
    <w:p w14:paraId="420EE63E" w14:textId="77777777" w:rsidR="002B5B8F" w:rsidRPr="004F5FB4" w:rsidRDefault="002B5B8F" w:rsidP="00982118">
      <w:pPr>
        <w:rPr>
          <w:color w:val="000000"/>
        </w:rPr>
      </w:pPr>
    </w:p>
    <w:p w14:paraId="50A3BE5A" w14:textId="77777777" w:rsidR="002B5B8F" w:rsidRPr="004F5FB4" w:rsidRDefault="002B5B8F" w:rsidP="00982118">
      <w:pPr>
        <w:keepNext/>
        <w:rPr>
          <w:color w:val="000000"/>
          <w:u w:val="single"/>
        </w:rPr>
      </w:pPr>
      <w:r w:rsidRPr="004F5FB4">
        <w:rPr>
          <w:color w:val="000000"/>
          <w:u w:val="single"/>
        </w:rPr>
        <w:t>Fieber, blaue Flecke, Blutungen, blasses Aussehen</w:t>
      </w:r>
    </w:p>
    <w:p w14:paraId="34CA56C4" w14:textId="77777777" w:rsidR="002B5B8F" w:rsidRPr="004F5FB4" w:rsidRDefault="002B5B8F" w:rsidP="00982118">
      <w:pPr>
        <w:rPr>
          <w:color w:val="000000"/>
        </w:rPr>
      </w:pPr>
    </w:p>
    <w:p w14:paraId="516F6F66" w14:textId="77777777" w:rsidR="00C46587" w:rsidRPr="004F5FB4" w:rsidRDefault="00C46587" w:rsidP="00AA4681">
      <w:pPr>
        <w:numPr>
          <w:ilvl w:val="0"/>
          <w:numId w:val="5"/>
        </w:numPr>
        <w:ind w:left="562" w:hanging="562"/>
        <w:rPr>
          <w:color w:val="000000"/>
        </w:rPr>
      </w:pPr>
      <w:r w:rsidRPr="004F5FB4">
        <w:rPr>
          <w:color w:val="000000"/>
        </w:rPr>
        <w:t xml:space="preserve">Bei einigen Patienten kann die körpereigene Produktion von bestimmten Blutzellen vermindert sein. Diese Blutzellen helfen bei der Bekämpfung von Infektionen oder beim Stoppen von Blutungen. Wenn Sie anhaltendes Fieber bekommen, sehr leicht blaue Flecken entwickeln oder bluten oder sehr blass aussehen, benachrichtigen Sie umgehend Ihren Arzt. Ihr Arzt wird möglicherweise entscheiden, die Behandlung zu beenden. </w:t>
      </w:r>
    </w:p>
    <w:p w14:paraId="3B117FDC" w14:textId="77777777" w:rsidR="00C46587" w:rsidRPr="004F5FB4" w:rsidRDefault="00C46587" w:rsidP="00982118">
      <w:pPr>
        <w:rPr>
          <w:color w:val="000000"/>
          <w:lang w:val="en-GB"/>
        </w:rPr>
      </w:pPr>
    </w:p>
    <w:p w14:paraId="2962F2AA" w14:textId="77777777" w:rsidR="00BF72C5" w:rsidRPr="004F5FB4" w:rsidRDefault="00BF72C5" w:rsidP="00982118">
      <w:pPr>
        <w:keepNext/>
        <w:rPr>
          <w:color w:val="000000"/>
          <w:u w:val="single"/>
        </w:rPr>
      </w:pPr>
      <w:r w:rsidRPr="004F5FB4">
        <w:rPr>
          <w:color w:val="000000"/>
          <w:u w:val="single"/>
        </w:rPr>
        <w:t>Krebs</w:t>
      </w:r>
    </w:p>
    <w:p w14:paraId="54043222" w14:textId="77777777" w:rsidR="00BF72C5" w:rsidRPr="004F5FB4" w:rsidRDefault="00BF72C5" w:rsidP="00982118">
      <w:pPr>
        <w:rPr>
          <w:color w:val="000000"/>
          <w:lang w:val="en-GB"/>
        </w:rPr>
      </w:pPr>
    </w:p>
    <w:p w14:paraId="40041C0B" w14:textId="77777777" w:rsidR="00B51885" w:rsidRPr="004F5FB4" w:rsidRDefault="00C46587" w:rsidP="00AA4681">
      <w:pPr>
        <w:numPr>
          <w:ilvl w:val="0"/>
          <w:numId w:val="5"/>
        </w:numPr>
        <w:ind w:left="562" w:hanging="562"/>
        <w:rPr>
          <w:color w:val="000000"/>
        </w:rPr>
      </w:pPr>
      <w:r w:rsidRPr="004F5FB4">
        <w:rPr>
          <w:color w:val="000000"/>
        </w:rPr>
        <w:lastRenderedPageBreak/>
        <w:t>Es gab sehr selten Fälle bestimmter Krebsarten bei Kindern und Erwachsenen, die Adalimumab oder andere TNFα-Hemmer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Wenn Sie Amsparity anwenden, kann sich Ihr Risiko, Lymphome, Leukämie oder andere Krebsformen zu entwickeln, möglicherweise erhöhen. In Ausnahmefällen wurde bei Patienten, die mit Adalimumab behandelt wurden, eine seltene und schwere Form des Lymphoms beobachtet. Einige dieser Patienten wurden gleichzeitig mit dem Wirkstoff Azathioprin oder Mercaptopurin behandelt. Informieren Sie Ihren Arzt, wenn Sie Azathioprin oder Mercaptopurin zusammen mit Amsparity einnehmen.</w:t>
      </w:r>
    </w:p>
    <w:p w14:paraId="78B495BA" w14:textId="77777777" w:rsidR="002254B3" w:rsidRPr="004F5FB4" w:rsidRDefault="00C46587" w:rsidP="00AA4681">
      <w:pPr>
        <w:ind w:left="562" w:hanging="562"/>
        <w:rPr>
          <w:color w:val="000000"/>
        </w:rPr>
      </w:pPr>
      <w:r w:rsidRPr="004F5FB4">
        <w:rPr>
          <w:color w:val="000000"/>
        </w:rPr>
        <w:t xml:space="preserve"> </w:t>
      </w:r>
    </w:p>
    <w:p w14:paraId="42E10891" w14:textId="77777777" w:rsidR="00C46587" w:rsidRPr="004F5FB4" w:rsidRDefault="002254B3" w:rsidP="00AA4681">
      <w:pPr>
        <w:numPr>
          <w:ilvl w:val="0"/>
          <w:numId w:val="5"/>
        </w:numPr>
        <w:ind w:left="562" w:hanging="562"/>
        <w:rPr>
          <w:color w:val="000000"/>
        </w:rPr>
      </w:pPr>
      <w:r w:rsidRPr="004F5FB4">
        <w:rPr>
          <w:color w:val="000000"/>
        </w:rPr>
        <w:t xml:space="preserve">Darüber hinaus wurden bei Patienten unter Adalimumab-Therapie Fälle mit Hauttumoren, die keine Melanome waren, beobachtet. Falls während oder nach der Behandlung neue Hautschädigungen auftreten oder sich das Aussehen bereits bestehender Hautschädigungen verändert, informieren Sie bitte Ihren Arzt. </w:t>
      </w:r>
    </w:p>
    <w:p w14:paraId="4E12703A" w14:textId="77777777" w:rsidR="00C46587" w:rsidRPr="004F5FB4" w:rsidRDefault="00C46587" w:rsidP="00AA4681">
      <w:pPr>
        <w:ind w:left="562" w:hanging="562"/>
        <w:rPr>
          <w:color w:val="000000"/>
        </w:rPr>
      </w:pPr>
    </w:p>
    <w:p w14:paraId="34683AD6" w14:textId="77777777" w:rsidR="00C46587" w:rsidRPr="004F5FB4" w:rsidRDefault="00C46587" w:rsidP="00AA4681">
      <w:pPr>
        <w:numPr>
          <w:ilvl w:val="0"/>
          <w:numId w:val="5"/>
        </w:numPr>
        <w:ind w:left="562" w:hanging="562"/>
        <w:rPr>
          <w:color w:val="000000"/>
        </w:rPr>
      </w:pPr>
      <w:r w:rsidRPr="004F5FB4">
        <w:rPr>
          <w:color w:val="000000"/>
        </w:rPr>
        <w:t xml:space="preserve">Bei Patienten mit einer besonderen Art von Lungenerkrankung, der chronischen obstruktiven Lungenerkrankung (COPD), sind unter Behandlung mit einem anderen TNFα-Hemmer Fälle von Krebs aufgetreten. Unter diesen Fällen waren keine Lymphome. Wenn Sie COPD haben oder wenn Sie stark rauchen, sollten Sie mit Ihrem Arzt besprechen, ob die Behandlung mit einem TNFα-Hemmer für Sie geeignet ist. </w:t>
      </w:r>
    </w:p>
    <w:p w14:paraId="1DA5EE73" w14:textId="77777777" w:rsidR="00F30344" w:rsidRPr="004F5FB4" w:rsidRDefault="00F30344" w:rsidP="00AA4681">
      <w:pPr>
        <w:ind w:left="562" w:hanging="562"/>
        <w:rPr>
          <w:color w:val="000000"/>
        </w:rPr>
      </w:pPr>
    </w:p>
    <w:p w14:paraId="01B968EE" w14:textId="77777777" w:rsidR="006D4658" w:rsidRPr="004F5FB4" w:rsidRDefault="006D4658" w:rsidP="00982118">
      <w:pPr>
        <w:pStyle w:val="BodyText"/>
        <w:widowControl/>
        <w:kinsoku w:val="0"/>
        <w:overflowPunct w:val="0"/>
        <w:ind w:left="110"/>
        <w:rPr>
          <w:color w:val="000000"/>
        </w:rPr>
      </w:pPr>
      <w:r w:rsidRPr="004F5FB4">
        <w:rPr>
          <w:color w:val="000000"/>
          <w:u w:val="single"/>
        </w:rPr>
        <w:t>Autoimmunerkrankung</w:t>
      </w:r>
    </w:p>
    <w:p w14:paraId="40FB19F3" w14:textId="77777777" w:rsidR="006D4658" w:rsidRPr="004F5FB4" w:rsidRDefault="006D4658" w:rsidP="00982118">
      <w:pPr>
        <w:rPr>
          <w:color w:val="000000"/>
          <w:lang w:val="en-GB"/>
        </w:rPr>
      </w:pPr>
    </w:p>
    <w:p w14:paraId="7C1F4E8D" w14:textId="77777777" w:rsidR="00F30344" w:rsidRPr="004F5FB4" w:rsidRDefault="00F30344" w:rsidP="00AA4681">
      <w:pPr>
        <w:numPr>
          <w:ilvl w:val="0"/>
          <w:numId w:val="5"/>
        </w:numPr>
        <w:ind w:left="562" w:hanging="562"/>
        <w:rPr>
          <w:color w:val="000000"/>
        </w:rPr>
      </w:pPr>
      <w:r w:rsidRPr="004F5FB4">
        <w:rPr>
          <w:color w:val="000000"/>
        </w:rPr>
        <w:t>In seltenen Fällen kann die Behandlung mit Amsparity ein lupusähnliches Syndrom auslösen. Kontaktieren Sie Ihren Arzt, falls Symptome wie ein anhaltender, nicht erklärbarer Hautausschlag, Fieber, Gelenkschmerzen oder Müdigkeit auftreten.</w:t>
      </w:r>
    </w:p>
    <w:p w14:paraId="58156ECF" w14:textId="77777777" w:rsidR="00E86ED7" w:rsidRPr="004F5FB4" w:rsidRDefault="00E86ED7" w:rsidP="00982118">
      <w:pPr>
        <w:rPr>
          <w:color w:val="000000"/>
        </w:rPr>
      </w:pPr>
    </w:p>
    <w:p w14:paraId="4948D124" w14:textId="77777777" w:rsidR="00C46587" w:rsidRPr="004F5FB4" w:rsidRDefault="00C46587" w:rsidP="00982118">
      <w:pPr>
        <w:rPr>
          <w:b/>
          <w:color w:val="000000"/>
        </w:rPr>
      </w:pPr>
      <w:r w:rsidRPr="004F5FB4">
        <w:rPr>
          <w:b/>
          <w:color w:val="000000"/>
        </w:rPr>
        <w:t xml:space="preserve">Anwendung von Amsparity zusammen mit anderen Arzneimitteln </w:t>
      </w:r>
    </w:p>
    <w:p w14:paraId="098C3909" w14:textId="77777777" w:rsidR="00C46587" w:rsidRPr="004F5FB4" w:rsidRDefault="00C46587" w:rsidP="00982118">
      <w:pPr>
        <w:rPr>
          <w:color w:val="000000"/>
        </w:rPr>
      </w:pPr>
    </w:p>
    <w:p w14:paraId="6374B169" w14:textId="77777777" w:rsidR="00C46587" w:rsidRPr="004F5FB4" w:rsidRDefault="00C46587" w:rsidP="00982118">
      <w:pPr>
        <w:rPr>
          <w:color w:val="000000"/>
        </w:rPr>
      </w:pPr>
      <w:r w:rsidRPr="004F5FB4">
        <w:rPr>
          <w:color w:val="000000"/>
        </w:rPr>
        <w:t xml:space="preserve">Informieren Sie Ihren Arzt oder Apotheker, wenn Sie andere Arzneimittel einnehmen, kürzlich andere Arzneimittel eingenommen haben oder wenn Sie beabsichtigen, andere Arzneimittel einzunehmen. </w:t>
      </w:r>
    </w:p>
    <w:p w14:paraId="0EC6EA41" w14:textId="77777777" w:rsidR="00C46587" w:rsidRPr="004F5FB4" w:rsidRDefault="00C46587" w:rsidP="00982118">
      <w:pPr>
        <w:rPr>
          <w:color w:val="000000"/>
        </w:rPr>
      </w:pPr>
    </w:p>
    <w:p w14:paraId="001582AE" w14:textId="77777777" w:rsidR="00C46587" w:rsidRPr="004F5FB4" w:rsidRDefault="006A1144" w:rsidP="00982118">
      <w:pPr>
        <w:rPr>
          <w:color w:val="000000"/>
        </w:rPr>
      </w:pPr>
      <w:r w:rsidRPr="004F5FB4">
        <w:rPr>
          <w:color w:val="000000"/>
        </w:rPr>
        <w:t xml:space="preserve">Amsparity kann zusammen mit Methotrexat oder bestimmten krankheitsmodifizierenden Antirheumatika (zum Beispiel Sulfasalazin, Hydroxychloroquin, Leflunomid und injizierbaren Goldzubereitungen), mit Kortikosteroiden oder Schmerzmitteln, einschließlich nicht steroidhaltiger entzündungshemmender Antirheumatika (NSAR), verwendet werden. </w:t>
      </w:r>
    </w:p>
    <w:p w14:paraId="5442F020" w14:textId="77777777" w:rsidR="00C46587" w:rsidRPr="004F5FB4" w:rsidRDefault="00C46587" w:rsidP="00982118">
      <w:pPr>
        <w:rPr>
          <w:color w:val="000000"/>
        </w:rPr>
      </w:pPr>
    </w:p>
    <w:p w14:paraId="2702EE32" w14:textId="77777777" w:rsidR="00C46587" w:rsidRPr="004F5FB4" w:rsidRDefault="00C46587" w:rsidP="00982118">
      <w:pPr>
        <w:rPr>
          <w:color w:val="000000"/>
        </w:rPr>
      </w:pPr>
      <w:r w:rsidRPr="004F5FB4">
        <w:rPr>
          <w:color w:val="000000"/>
        </w:rPr>
        <w:t>Sie dürfen Amsparity nicht zusammen mit Arzneimitteln verwenden, die als Wirkstoffe Anakinra oder Abatacept enthalten, da ein erhöhtes Risiko einer schwerwiegenden Infektion besteht. Die Kombination von Adalimumab und anderen TNF</w:t>
      </w:r>
      <w:r w:rsidRPr="004F5FB4">
        <w:rPr>
          <w:color w:val="000000"/>
        </w:rPr>
        <w:noBreakHyphen/>
        <w:t xml:space="preserve">Antagonisten mit Anakinra oder Abatacept wird aufgrund des möglicherweise erhöhten Risikos für Infektionen, einschließlich schwerwiegender Infektionen, und anderer möglicher Arzneimittelwechselwirkungen, nicht empfohlen. Sollten Sie Fragen haben, wenden Sie sich bitte an Ihren Arzt. </w:t>
      </w:r>
    </w:p>
    <w:p w14:paraId="3678AADD" w14:textId="77777777" w:rsidR="00C46587" w:rsidRPr="004F5FB4" w:rsidRDefault="00C46587" w:rsidP="00771BD7">
      <w:pPr>
        <w:rPr>
          <w:color w:val="000000"/>
        </w:rPr>
      </w:pPr>
    </w:p>
    <w:p w14:paraId="4E3FAAB0" w14:textId="77777777" w:rsidR="00C46587" w:rsidRPr="004F5FB4" w:rsidRDefault="00C46587" w:rsidP="00771BD7">
      <w:pPr>
        <w:rPr>
          <w:b/>
          <w:color w:val="000000"/>
        </w:rPr>
      </w:pPr>
      <w:r w:rsidRPr="004F5FB4">
        <w:rPr>
          <w:b/>
          <w:color w:val="000000"/>
        </w:rPr>
        <w:t xml:space="preserve">Schwangerschaft und Stillzeit </w:t>
      </w:r>
    </w:p>
    <w:p w14:paraId="7B8409EF" w14:textId="77777777" w:rsidR="00C46587" w:rsidRPr="004F5FB4" w:rsidRDefault="00C46587" w:rsidP="00771BD7">
      <w:pPr>
        <w:rPr>
          <w:color w:val="000000"/>
        </w:rPr>
      </w:pPr>
    </w:p>
    <w:p w14:paraId="137E1A86" w14:textId="77777777" w:rsidR="005F6129" w:rsidRPr="004F5FB4" w:rsidRDefault="005F6129" w:rsidP="00771BD7">
      <w:pPr>
        <w:autoSpaceDE w:val="0"/>
        <w:autoSpaceDN w:val="0"/>
        <w:adjustRightInd w:val="0"/>
        <w:rPr>
          <w:color w:val="000000"/>
        </w:rPr>
      </w:pPr>
      <w:r w:rsidRPr="004F5FB4">
        <w:rPr>
          <w:color w:val="000000"/>
        </w:rPr>
        <w:t>Sie sollten eine geeignete Verhütungsmethode in Erwägung ziehen, um nicht schwanger zu werden, und bis mindestens 5</w:t>
      </w:r>
      <w:r w:rsidR="00AE0035" w:rsidRPr="004F5FB4">
        <w:rPr>
          <w:color w:val="000000"/>
        </w:rPr>
        <w:t> </w:t>
      </w:r>
      <w:r w:rsidRPr="004F5FB4">
        <w:rPr>
          <w:color w:val="000000"/>
        </w:rPr>
        <w:t>Monate nach der letzten Dosis von Amsparity verhüten.</w:t>
      </w:r>
    </w:p>
    <w:p w14:paraId="67CC5487" w14:textId="77777777" w:rsidR="0065728E" w:rsidRPr="004F5FB4" w:rsidRDefault="0065728E" w:rsidP="00771BD7">
      <w:pPr>
        <w:autoSpaceDE w:val="0"/>
        <w:autoSpaceDN w:val="0"/>
        <w:adjustRightInd w:val="0"/>
        <w:rPr>
          <w:color w:val="000000"/>
        </w:rPr>
      </w:pPr>
    </w:p>
    <w:p w14:paraId="24D3B4AF" w14:textId="77777777" w:rsidR="005F6129" w:rsidRPr="004F5FB4" w:rsidRDefault="005F6129" w:rsidP="00771BD7">
      <w:pPr>
        <w:autoSpaceDE w:val="0"/>
        <w:autoSpaceDN w:val="0"/>
        <w:adjustRightInd w:val="0"/>
        <w:rPr>
          <w:color w:val="000000"/>
        </w:rPr>
      </w:pPr>
      <w:r w:rsidRPr="004F5FB4">
        <w:rPr>
          <w:color w:val="000000"/>
        </w:rPr>
        <w:t>Wenn Sie schwanger sind, vermuten, schwanger zu sein, oder beabsichtigen, schwanger zu werden, fragen Sie Ihren Arzt zur Anwendung dieses Arzneimittels um Rat.</w:t>
      </w:r>
    </w:p>
    <w:p w14:paraId="68C757CB" w14:textId="77777777" w:rsidR="00EB0424" w:rsidRPr="004F5FB4" w:rsidRDefault="00EB0424" w:rsidP="00D44D72">
      <w:pPr>
        <w:autoSpaceDE w:val="0"/>
        <w:autoSpaceDN w:val="0"/>
        <w:adjustRightInd w:val="0"/>
        <w:rPr>
          <w:color w:val="000000"/>
        </w:rPr>
      </w:pPr>
    </w:p>
    <w:p w14:paraId="427FE5C1" w14:textId="77777777" w:rsidR="005F6129" w:rsidRPr="004F5FB4" w:rsidRDefault="006A1144" w:rsidP="00D44D72">
      <w:pPr>
        <w:autoSpaceDE w:val="0"/>
        <w:autoSpaceDN w:val="0"/>
        <w:adjustRightInd w:val="0"/>
        <w:rPr>
          <w:color w:val="000000"/>
        </w:rPr>
      </w:pPr>
      <w:r w:rsidRPr="004F5FB4">
        <w:rPr>
          <w:color w:val="000000"/>
        </w:rPr>
        <w:t>Amsparity sollte während einer Schwangerschaft nur angewendet werden, wenn dies erforderlich ist.</w:t>
      </w:r>
    </w:p>
    <w:p w14:paraId="3F9E033E" w14:textId="77777777" w:rsidR="0065728E" w:rsidRPr="004F5FB4" w:rsidRDefault="0065728E" w:rsidP="00D44D72">
      <w:pPr>
        <w:autoSpaceDE w:val="0"/>
        <w:autoSpaceDN w:val="0"/>
        <w:adjustRightInd w:val="0"/>
        <w:rPr>
          <w:color w:val="000000"/>
        </w:rPr>
      </w:pPr>
    </w:p>
    <w:p w14:paraId="2BEF2B1B" w14:textId="77777777" w:rsidR="005F6129" w:rsidRPr="004F5FB4" w:rsidRDefault="005F6129" w:rsidP="00D44D72">
      <w:pPr>
        <w:autoSpaceDE w:val="0"/>
        <w:autoSpaceDN w:val="0"/>
        <w:adjustRightInd w:val="0"/>
        <w:rPr>
          <w:color w:val="000000"/>
        </w:rPr>
      </w:pPr>
      <w:r w:rsidRPr="004F5FB4">
        <w:rPr>
          <w:color w:val="000000"/>
        </w:rPr>
        <w:lastRenderedPageBreak/>
        <w:t>Laut einer Studie mit Schwangeren bestand bei Kindern von Müttern, die während der Schwangerschaft mit Adalimumab behandelt wurden, kein höheres Risiko für Geburtsfehler als bei Kindern von Müttern mit der gleichen Erkrankung, die nicht mit Adalimumab behandelt wurden.</w:t>
      </w:r>
    </w:p>
    <w:p w14:paraId="11556C86" w14:textId="77777777" w:rsidR="0065728E" w:rsidRPr="004F5FB4" w:rsidRDefault="0065728E" w:rsidP="00D44D72">
      <w:pPr>
        <w:autoSpaceDE w:val="0"/>
        <w:autoSpaceDN w:val="0"/>
        <w:adjustRightInd w:val="0"/>
        <w:rPr>
          <w:color w:val="000000"/>
        </w:rPr>
      </w:pPr>
    </w:p>
    <w:p w14:paraId="15310F9F" w14:textId="77777777" w:rsidR="005F6129" w:rsidRPr="004F5FB4" w:rsidRDefault="006A1144" w:rsidP="00D44D72">
      <w:pPr>
        <w:autoSpaceDE w:val="0"/>
        <w:autoSpaceDN w:val="0"/>
        <w:adjustRightInd w:val="0"/>
        <w:rPr>
          <w:color w:val="000000"/>
        </w:rPr>
      </w:pPr>
      <w:r w:rsidRPr="004F5FB4">
        <w:rPr>
          <w:color w:val="000000"/>
        </w:rPr>
        <w:t>Amsparity kann während der Stillzeit angewendet werden.</w:t>
      </w:r>
    </w:p>
    <w:p w14:paraId="1631106B" w14:textId="77777777" w:rsidR="0065728E" w:rsidRPr="004F5FB4" w:rsidRDefault="0065728E" w:rsidP="00D44D72">
      <w:pPr>
        <w:autoSpaceDE w:val="0"/>
        <w:autoSpaceDN w:val="0"/>
        <w:adjustRightInd w:val="0"/>
        <w:rPr>
          <w:color w:val="000000"/>
        </w:rPr>
      </w:pPr>
    </w:p>
    <w:p w14:paraId="734FA18C" w14:textId="77777777" w:rsidR="005F6129" w:rsidRPr="004F5FB4" w:rsidRDefault="005F6129" w:rsidP="00D44D72">
      <w:pPr>
        <w:autoSpaceDE w:val="0"/>
        <w:autoSpaceDN w:val="0"/>
        <w:adjustRightInd w:val="0"/>
        <w:rPr>
          <w:color w:val="000000"/>
        </w:rPr>
      </w:pPr>
      <w:r w:rsidRPr="004F5FB4">
        <w:rPr>
          <w:color w:val="000000"/>
        </w:rPr>
        <w:t>Wenn Sie Amsparity während einer Schwangerschaft erhalten, hat Ihr Säugling eventuell ein erhöhtes Risiko, eine Infektion zu bekommen. Es ist wichtig, dass Sie vor einer Impfung Ihres Säuglings die Ärzte des Kindes und anderes Fachpersonal im Gesundheitswesen darüber informieren, dass Sie Amsparity während der Schwangerschaft angewendet haben. Weitere Information siehe im Abschnitt zu Impfungen unter „Warnhinweise und Vorsichtsmaßnahmen“.</w:t>
      </w:r>
    </w:p>
    <w:p w14:paraId="50F57F67" w14:textId="77777777" w:rsidR="00C46587" w:rsidRPr="004F5FB4" w:rsidRDefault="00C46587" w:rsidP="00982118">
      <w:pPr>
        <w:rPr>
          <w:color w:val="000000"/>
        </w:rPr>
      </w:pPr>
    </w:p>
    <w:p w14:paraId="752582E2" w14:textId="77777777" w:rsidR="00C46587" w:rsidRPr="004F5FB4" w:rsidRDefault="00C46587" w:rsidP="00982118">
      <w:pPr>
        <w:rPr>
          <w:b/>
          <w:color w:val="000000"/>
        </w:rPr>
      </w:pPr>
      <w:r w:rsidRPr="004F5FB4">
        <w:rPr>
          <w:b/>
          <w:color w:val="000000"/>
        </w:rPr>
        <w:t xml:space="preserve">Verkehrstüchtigkeit und Fähigkeit zum Bedienen von Maschinen </w:t>
      </w:r>
    </w:p>
    <w:p w14:paraId="3B1B0A98" w14:textId="77777777" w:rsidR="00C46587" w:rsidRPr="004F5FB4" w:rsidRDefault="00C46587" w:rsidP="00982118">
      <w:pPr>
        <w:rPr>
          <w:color w:val="000000"/>
        </w:rPr>
      </w:pPr>
    </w:p>
    <w:p w14:paraId="177231AD" w14:textId="77777777" w:rsidR="00C46587" w:rsidRPr="004F5FB4" w:rsidRDefault="006A1144" w:rsidP="00982118">
      <w:pPr>
        <w:rPr>
          <w:color w:val="000000"/>
        </w:rPr>
      </w:pPr>
      <w:r w:rsidRPr="004F5FB4">
        <w:rPr>
          <w:color w:val="000000"/>
        </w:rPr>
        <w:t xml:space="preserve">Amsparity kann einen geringen Einfluss auf Ihre Verkehrstüchtigkeit und das Bedienen von Maschinen haben. Bei der Anwendung von Amsparity kann das Sehvermögen beeinträchtigt sein und es kann das Gefühl auftreten, dass sich der Raum dreht (Drehschwindel). </w:t>
      </w:r>
    </w:p>
    <w:p w14:paraId="12E88621" w14:textId="77777777" w:rsidR="00C46587" w:rsidRPr="004F5FB4" w:rsidRDefault="00C46587" w:rsidP="00982118">
      <w:pPr>
        <w:rPr>
          <w:color w:val="000000"/>
        </w:rPr>
      </w:pPr>
    </w:p>
    <w:p w14:paraId="06882C24" w14:textId="77777777" w:rsidR="00530C9E" w:rsidRPr="007F47A9" w:rsidRDefault="00530C9E" w:rsidP="00530C9E">
      <w:pPr>
        <w:keepNext/>
        <w:rPr>
          <w:b/>
        </w:rPr>
      </w:pPr>
      <w:r>
        <w:rPr>
          <w:b/>
        </w:rPr>
        <w:t>Amsparity enthält Polysorbat 80</w:t>
      </w:r>
    </w:p>
    <w:p w14:paraId="31121DFF" w14:textId="77777777" w:rsidR="00530C9E" w:rsidRPr="00272A84" w:rsidRDefault="00530C9E" w:rsidP="00530C9E">
      <w:pPr>
        <w:keepNext/>
        <w:rPr>
          <w:b/>
        </w:rPr>
      </w:pPr>
    </w:p>
    <w:p w14:paraId="1F158CF7" w14:textId="77777777" w:rsidR="00530C9E" w:rsidRPr="007F47A9" w:rsidRDefault="00530C9E" w:rsidP="00530C9E">
      <w:pPr>
        <w:keepNext/>
      </w:pPr>
      <w:r>
        <w:t>Dieses Arzneimittel enthält 0,16 mg Polysorbat 80 pro Einzeldosis-Fertigspritze mit 0,8 ml, entsprechend 0,2 mg/ml Polysorbat 80. Polysorbate können allergische Reaktionen hervorrufen. Informieren Sie Ihren Arzt, wenn Sie bekannte Allergien haben.</w:t>
      </w:r>
    </w:p>
    <w:p w14:paraId="18CDA498" w14:textId="77777777" w:rsidR="00530C9E" w:rsidRPr="00272A84" w:rsidRDefault="00530C9E" w:rsidP="00530C9E">
      <w:pPr>
        <w:keepNext/>
        <w:rPr>
          <w:b/>
        </w:rPr>
      </w:pPr>
    </w:p>
    <w:p w14:paraId="7D6E5004" w14:textId="77777777" w:rsidR="00F30344" w:rsidRPr="004F5FB4" w:rsidRDefault="006A1144" w:rsidP="00982118">
      <w:pPr>
        <w:rPr>
          <w:b/>
          <w:color w:val="000000"/>
        </w:rPr>
      </w:pPr>
      <w:r w:rsidRPr="004F5FB4">
        <w:rPr>
          <w:b/>
          <w:color w:val="000000"/>
        </w:rPr>
        <w:t>Amsparity enthält Natrium</w:t>
      </w:r>
    </w:p>
    <w:p w14:paraId="0C0093DB" w14:textId="77777777" w:rsidR="00F30344" w:rsidRPr="004F5FB4" w:rsidRDefault="00F30344" w:rsidP="00982118">
      <w:pPr>
        <w:rPr>
          <w:color w:val="000000"/>
        </w:rPr>
      </w:pPr>
    </w:p>
    <w:p w14:paraId="0D34E957" w14:textId="77777777" w:rsidR="00F30344" w:rsidRPr="004F5FB4" w:rsidRDefault="00F30344" w:rsidP="00982118">
      <w:pPr>
        <w:rPr>
          <w:color w:val="000000"/>
        </w:rPr>
      </w:pPr>
      <w:r w:rsidRPr="004F5FB4">
        <w:rPr>
          <w:color w:val="000000"/>
        </w:rPr>
        <w:t>Dieses Arzneimittel enthält weniger als 1 mmol Natrium (23 mg) pro 0,8</w:t>
      </w:r>
      <w:r w:rsidRPr="004F5FB4">
        <w:rPr>
          <w:color w:val="000000"/>
        </w:rPr>
        <w:noBreakHyphen/>
        <w:t>ml-Dosis, d</w:t>
      </w:r>
      <w:r w:rsidR="00B45946" w:rsidRPr="004F5FB4">
        <w:rPr>
          <w:color w:val="000000"/>
        </w:rPr>
        <w:t>. </w:t>
      </w:r>
      <w:r w:rsidRPr="004F5FB4">
        <w:rPr>
          <w:color w:val="000000"/>
        </w:rPr>
        <w:t>h</w:t>
      </w:r>
      <w:r w:rsidR="00B45946" w:rsidRPr="004F5FB4">
        <w:rPr>
          <w:color w:val="000000"/>
        </w:rPr>
        <w:t>.,</w:t>
      </w:r>
      <w:r w:rsidRPr="004F5FB4">
        <w:rPr>
          <w:color w:val="000000"/>
        </w:rPr>
        <w:t xml:space="preserve"> es ist nahezu „natriumfrei“.</w:t>
      </w:r>
    </w:p>
    <w:p w14:paraId="41E86B99" w14:textId="77777777" w:rsidR="00C46587" w:rsidRPr="004F5FB4" w:rsidRDefault="00C46587" w:rsidP="00982118">
      <w:pPr>
        <w:rPr>
          <w:color w:val="000000"/>
        </w:rPr>
      </w:pPr>
    </w:p>
    <w:p w14:paraId="0C74A0E1" w14:textId="77777777" w:rsidR="001D274E" w:rsidRPr="004F5FB4" w:rsidRDefault="001D274E" w:rsidP="00982118">
      <w:pPr>
        <w:rPr>
          <w:color w:val="000000"/>
        </w:rPr>
      </w:pPr>
    </w:p>
    <w:p w14:paraId="714C9879" w14:textId="77777777" w:rsidR="00C46587" w:rsidRPr="004F5FB4" w:rsidRDefault="00C46587" w:rsidP="00982118">
      <w:pPr>
        <w:tabs>
          <w:tab w:val="left" w:pos="562"/>
        </w:tabs>
        <w:rPr>
          <w:b/>
          <w:color w:val="000000"/>
        </w:rPr>
      </w:pPr>
      <w:r w:rsidRPr="004F5FB4">
        <w:rPr>
          <w:b/>
          <w:color w:val="000000"/>
        </w:rPr>
        <w:t>3.</w:t>
      </w:r>
      <w:r w:rsidRPr="004F5FB4">
        <w:rPr>
          <w:b/>
          <w:color w:val="000000"/>
        </w:rPr>
        <w:tab/>
        <w:t xml:space="preserve">Wie ist Amsparity anzuwenden? </w:t>
      </w:r>
    </w:p>
    <w:p w14:paraId="228257C4" w14:textId="77777777" w:rsidR="00C46587" w:rsidRPr="004F5FB4" w:rsidRDefault="00C46587" w:rsidP="00982118">
      <w:pPr>
        <w:rPr>
          <w:color w:val="000000"/>
        </w:rPr>
      </w:pPr>
    </w:p>
    <w:p w14:paraId="7D6DACC7" w14:textId="77777777" w:rsidR="00C46587" w:rsidRPr="004F5FB4" w:rsidRDefault="00C46587" w:rsidP="00982118">
      <w:pPr>
        <w:rPr>
          <w:color w:val="000000"/>
        </w:rPr>
      </w:pPr>
      <w:r w:rsidRPr="004F5FB4">
        <w:rPr>
          <w:color w:val="000000"/>
        </w:rPr>
        <w:t>Wenden Sie dieses Arzneimittel immer genau nach Absprache mit Ihrem Arzt oder Apotheker an. Fragen Sie bei Ihrem Arzt oder Apotheker nach, wenn Sie sich nicht sicher sind. Ihr Arzt kann Amsparity in einer anderen Stärke verschreiben, wenn Sie eine andere Dosierung benötigen.</w:t>
      </w:r>
    </w:p>
    <w:p w14:paraId="738A3F6F" w14:textId="77777777" w:rsidR="00D971F2" w:rsidRPr="004F5FB4" w:rsidRDefault="00D971F2" w:rsidP="00982118">
      <w:pPr>
        <w:rPr>
          <w:color w:val="000000"/>
        </w:rPr>
      </w:pPr>
    </w:p>
    <w:p w14:paraId="19B069F5" w14:textId="77777777" w:rsidR="00C46587" w:rsidRPr="004F5FB4" w:rsidRDefault="00D971F2" w:rsidP="00982118">
      <w:pPr>
        <w:rPr>
          <w:color w:val="000000"/>
        </w:rPr>
      </w:pPr>
      <w:r w:rsidRPr="004F5FB4">
        <w:rPr>
          <w:color w:val="000000"/>
        </w:rPr>
        <w:t>Amsparity wird unter die Haut gespritzt (subkutane Anwendung).</w:t>
      </w:r>
    </w:p>
    <w:p w14:paraId="1FDD8D62" w14:textId="77777777" w:rsidR="00D971F2" w:rsidRPr="004F5FB4" w:rsidRDefault="00D971F2" w:rsidP="00982118">
      <w:pPr>
        <w:rPr>
          <w:color w:val="000000"/>
        </w:rPr>
      </w:pPr>
    </w:p>
    <w:p w14:paraId="1185B6FB" w14:textId="77777777" w:rsidR="00C46587" w:rsidRPr="004F5FB4" w:rsidRDefault="00C46587" w:rsidP="00982118">
      <w:pPr>
        <w:rPr>
          <w:color w:val="000000"/>
          <w:u w:val="single"/>
        </w:rPr>
      </w:pPr>
      <w:r w:rsidRPr="004F5FB4">
        <w:rPr>
          <w:color w:val="000000"/>
          <w:u w:val="single"/>
        </w:rPr>
        <w:t>Erwachsene mit rheumatoider Arthritis, Psoriasis-Arthritis, ankylosierender Spondylitis oder axialer Spondyloarthritis, bei der im Röntgenbild noch keine Verknöcherung nachweisbar ist</w:t>
      </w:r>
    </w:p>
    <w:p w14:paraId="51C96E82" w14:textId="77777777" w:rsidR="00C46587" w:rsidRPr="004F5FB4" w:rsidRDefault="00C46587" w:rsidP="00982118">
      <w:pPr>
        <w:rPr>
          <w:color w:val="000000"/>
        </w:rPr>
      </w:pPr>
    </w:p>
    <w:p w14:paraId="37A15B53" w14:textId="77777777" w:rsidR="00C46587" w:rsidRPr="004F5FB4" w:rsidRDefault="00C46587" w:rsidP="00982118">
      <w:pPr>
        <w:rPr>
          <w:color w:val="000000"/>
        </w:rPr>
      </w:pPr>
      <w:r w:rsidRPr="004F5FB4">
        <w:rPr>
          <w:color w:val="000000"/>
        </w:rPr>
        <w:t xml:space="preserve">Die übliche Dosis für Erwachsene mit rheumatoider Arthritis, ankylosierender Spondylitis, axialer Spondyloarthritis, bei der im Röntgenbild noch keine Verknöcherung nachweisbar ist, und für Patienten mit Psoriasis-Arthritis beträgt 40 mg Adalimumab, die alle zwei Wochen als Einzeldosis verabreicht wird. </w:t>
      </w:r>
    </w:p>
    <w:p w14:paraId="443960C9" w14:textId="77777777" w:rsidR="00C46587" w:rsidRPr="004F5FB4" w:rsidRDefault="00C46587" w:rsidP="00982118">
      <w:pPr>
        <w:rPr>
          <w:color w:val="000000"/>
        </w:rPr>
      </w:pPr>
    </w:p>
    <w:p w14:paraId="6842CC7E" w14:textId="77777777" w:rsidR="00C46587" w:rsidRPr="004F5FB4" w:rsidRDefault="00C46587" w:rsidP="00982118">
      <w:pPr>
        <w:rPr>
          <w:color w:val="000000"/>
        </w:rPr>
      </w:pPr>
      <w:r w:rsidRPr="004F5FB4">
        <w:rPr>
          <w:color w:val="000000"/>
        </w:rPr>
        <w:t xml:space="preserve">Bei rheumatoider Arthritis wird die Gabe von Methotrexat während der Anwendung von Amsparity fortgesetzt. Sollte Ihr Arzt die Gabe von Methotrexat als nicht geeignet erachten, kann Amsparity auch alleine angewendet werden. </w:t>
      </w:r>
    </w:p>
    <w:p w14:paraId="65ABF6EE" w14:textId="77777777" w:rsidR="00C46587" w:rsidRPr="004F5FB4" w:rsidRDefault="00C46587" w:rsidP="00982118">
      <w:pPr>
        <w:rPr>
          <w:color w:val="000000"/>
        </w:rPr>
      </w:pPr>
    </w:p>
    <w:p w14:paraId="112CFDA7" w14:textId="77777777" w:rsidR="00C46587" w:rsidRPr="004F5FB4" w:rsidRDefault="00C46587" w:rsidP="00982118">
      <w:pPr>
        <w:rPr>
          <w:color w:val="000000"/>
        </w:rPr>
      </w:pPr>
      <w:r w:rsidRPr="004F5FB4">
        <w:rPr>
          <w:color w:val="000000"/>
        </w:rPr>
        <w:t>Falls Sie an rheumatoider Arthritis erkrankt sind und kein Methotrexat begleitend zu Ihrer Behandlung mit Amsparity erhalten, kann Ihr Arzt sich für eine Adalimumab-Gabe von 40 mg jede Woche oder 80</w:t>
      </w:r>
      <w:r w:rsidR="00CD6427" w:rsidRPr="004F5FB4">
        <w:rPr>
          <w:color w:val="000000"/>
        </w:rPr>
        <w:t> </w:t>
      </w:r>
      <w:r w:rsidRPr="004F5FB4">
        <w:rPr>
          <w:color w:val="000000"/>
        </w:rPr>
        <w:t xml:space="preserve">mg jede zweite Woche entscheiden. </w:t>
      </w:r>
    </w:p>
    <w:p w14:paraId="060BA672" w14:textId="77777777" w:rsidR="00C46587" w:rsidRPr="004F5FB4" w:rsidRDefault="00C46587" w:rsidP="00982118">
      <w:pPr>
        <w:rPr>
          <w:color w:val="000000"/>
        </w:rPr>
      </w:pPr>
    </w:p>
    <w:p w14:paraId="07FD0E6D" w14:textId="77777777" w:rsidR="00C46587" w:rsidRPr="004F5FB4" w:rsidRDefault="00C46587" w:rsidP="00982118">
      <w:pPr>
        <w:keepNext/>
        <w:rPr>
          <w:color w:val="000000"/>
          <w:u w:val="single"/>
        </w:rPr>
      </w:pPr>
      <w:r w:rsidRPr="004F5FB4">
        <w:rPr>
          <w:color w:val="000000"/>
          <w:u w:val="single"/>
        </w:rPr>
        <w:lastRenderedPageBreak/>
        <w:t>Kinder, Jugendliche und Erwachsene mit polyartikulärer juveniler idiopathischer Arthritis</w:t>
      </w:r>
    </w:p>
    <w:p w14:paraId="121F291E" w14:textId="77777777" w:rsidR="00C46587" w:rsidRPr="004F5FB4" w:rsidRDefault="00C46587" w:rsidP="00982118">
      <w:pPr>
        <w:keepNext/>
        <w:rPr>
          <w:color w:val="000000"/>
        </w:rPr>
      </w:pPr>
    </w:p>
    <w:p w14:paraId="50791C3E" w14:textId="77777777" w:rsidR="00E810EF" w:rsidRPr="004F5FB4" w:rsidRDefault="00E810EF" w:rsidP="00982118">
      <w:pPr>
        <w:keepNext/>
        <w:rPr>
          <w:i/>
          <w:color w:val="000000"/>
        </w:rPr>
      </w:pPr>
      <w:r w:rsidRPr="004F5FB4">
        <w:rPr>
          <w:i/>
          <w:color w:val="000000"/>
        </w:rPr>
        <w:t>Kinder ab 2</w:t>
      </w:r>
      <w:r w:rsidR="00AE0035" w:rsidRPr="004F5FB4">
        <w:rPr>
          <w:i/>
          <w:color w:val="000000"/>
        </w:rPr>
        <w:t> </w:t>
      </w:r>
      <w:r w:rsidRPr="004F5FB4">
        <w:rPr>
          <w:i/>
          <w:color w:val="000000"/>
        </w:rPr>
        <w:t>Jahren und Jugendliche mit einem Körpergewicht zwischen 10 kg und unter 30 kg</w:t>
      </w:r>
    </w:p>
    <w:p w14:paraId="513D6724" w14:textId="77777777" w:rsidR="00E810EF" w:rsidRPr="004F5FB4" w:rsidRDefault="00E810EF" w:rsidP="00982118">
      <w:pPr>
        <w:keepNext/>
        <w:rPr>
          <w:color w:val="000000"/>
        </w:rPr>
      </w:pPr>
    </w:p>
    <w:p w14:paraId="3BAAAA24" w14:textId="77777777" w:rsidR="00C46587" w:rsidRPr="004F5FB4" w:rsidRDefault="00C46587" w:rsidP="00982118">
      <w:pPr>
        <w:rPr>
          <w:color w:val="000000"/>
        </w:rPr>
      </w:pPr>
      <w:r w:rsidRPr="004F5FB4">
        <w:rPr>
          <w:color w:val="000000"/>
        </w:rPr>
        <w:t xml:space="preserve">Die empfohlene Dosierung von Amsparity beträgt 20 mg jede zweite Woche. </w:t>
      </w:r>
    </w:p>
    <w:p w14:paraId="1D4E0DA8" w14:textId="77777777" w:rsidR="00C46587" w:rsidRPr="004F5FB4" w:rsidRDefault="00C46587" w:rsidP="00982118">
      <w:pPr>
        <w:rPr>
          <w:color w:val="000000"/>
        </w:rPr>
      </w:pPr>
    </w:p>
    <w:p w14:paraId="566EB30E" w14:textId="77777777" w:rsidR="00E810EF" w:rsidRPr="004F5FB4" w:rsidRDefault="00E810EF" w:rsidP="00982118">
      <w:pPr>
        <w:rPr>
          <w:i/>
          <w:color w:val="000000"/>
        </w:rPr>
      </w:pPr>
      <w:r w:rsidRPr="004F5FB4">
        <w:rPr>
          <w:i/>
          <w:color w:val="000000"/>
        </w:rPr>
        <w:t>Kinder ab 2</w:t>
      </w:r>
      <w:r w:rsidR="00AE0035" w:rsidRPr="004F5FB4">
        <w:rPr>
          <w:i/>
          <w:color w:val="000000"/>
        </w:rPr>
        <w:t> </w:t>
      </w:r>
      <w:r w:rsidRPr="004F5FB4">
        <w:rPr>
          <w:i/>
          <w:color w:val="000000"/>
        </w:rPr>
        <w:t>Jahren, Jugendliche und Erwachsene mit einem Körpergewicht von 30 kg oder mehr</w:t>
      </w:r>
    </w:p>
    <w:p w14:paraId="6FD815CC" w14:textId="77777777" w:rsidR="00E810EF" w:rsidRPr="004F5FB4" w:rsidRDefault="00E810EF" w:rsidP="00982118">
      <w:pPr>
        <w:rPr>
          <w:color w:val="000000"/>
        </w:rPr>
      </w:pPr>
    </w:p>
    <w:p w14:paraId="4FC91AA9" w14:textId="77777777" w:rsidR="00C46587" w:rsidRPr="004F5FB4" w:rsidRDefault="00C46587" w:rsidP="00982118">
      <w:pPr>
        <w:rPr>
          <w:color w:val="000000"/>
        </w:rPr>
      </w:pPr>
      <w:r w:rsidRPr="004F5FB4">
        <w:rPr>
          <w:color w:val="000000"/>
        </w:rPr>
        <w:t xml:space="preserve">Die empfohlene Dosierung von Amsparity beträgt 40 mg jede zweite Woche. </w:t>
      </w:r>
    </w:p>
    <w:p w14:paraId="7110A06E" w14:textId="77777777" w:rsidR="00C46587" w:rsidRPr="004F5FB4" w:rsidRDefault="00C46587" w:rsidP="00982118">
      <w:pPr>
        <w:rPr>
          <w:color w:val="000000"/>
        </w:rPr>
      </w:pPr>
    </w:p>
    <w:p w14:paraId="25E79067" w14:textId="77777777" w:rsidR="00C46587" w:rsidRPr="004F5FB4" w:rsidRDefault="00C46587" w:rsidP="00982118">
      <w:pPr>
        <w:rPr>
          <w:color w:val="000000"/>
          <w:u w:val="single"/>
        </w:rPr>
      </w:pPr>
      <w:r w:rsidRPr="004F5FB4">
        <w:rPr>
          <w:color w:val="000000"/>
          <w:u w:val="single"/>
        </w:rPr>
        <w:t>Kinder, Jugendliche und Erwachsene mit Enthesitis-assoziierter Arthritis</w:t>
      </w:r>
    </w:p>
    <w:p w14:paraId="3F9B7D62" w14:textId="77777777" w:rsidR="00C46587" w:rsidRPr="004F5FB4" w:rsidRDefault="00C46587" w:rsidP="00982118">
      <w:pPr>
        <w:rPr>
          <w:color w:val="000000"/>
        </w:rPr>
      </w:pPr>
    </w:p>
    <w:p w14:paraId="4B25FAC2" w14:textId="77777777" w:rsidR="00E810EF" w:rsidRPr="004F5FB4" w:rsidRDefault="00E810EF" w:rsidP="00982118">
      <w:pPr>
        <w:rPr>
          <w:i/>
          <w:color w:val="000000"/>
        </w:rPr>
      </w:pPr>
      <w:r w:rsidRPr="004F5FB4">
        <w:rPr>
          <w:i/>
          <w:color w:val="000000"/>
        </w:rPr>
        <w:t>Kinder ab 6</w:t>
      </w:r>
      <w:r w:rsidR="00AE0035" w:rsidRPr="004F5FB4">
        <w:rPr>
          <w:i/>
          <w:color w:val="000000"/>
        </w:rPr>
        <w:t> </w:t>
      </w:r>
      <w:r w:rsidRPr="004F5FB4">
        <w:rPr>
          <w:i/>
          <w:color w:val="000000"/>
        </w:rPr>
        <w:t>Jahren und Jugendliche mit einem Körpergewicht zwischen 15 kg und unter 30 kg</w:t>
      </w:r>
    </w:p>
    <w:p w14:paraId="0B11BC5F" w14:textId="77777777" w:rsidR="00E810EF" w:rsidRPr="004F5FB4" w:rsidRDefault="00E810EF" w:rsidP="00982118">
      <w:pPr>
        <w:rPr>
          <w:color w:val="000000"/>
        </w:rPr>
      </w:pPr>
    </w:p>
    <w:p w14:paraId="42743E76" w14:textId="77777777" w:rsidR="00E810EF" w:rsidRPr="004F5FB4" w:rsidRDefault="00E810EF" w:rsidP="00982118">
      <w:pPr>
        <w:rPr>
          <w:color w:val="000000"/>
        </w:rPr>
      </w:pPr>
      <w:r w:rsidRPr="004F5FB4">
        <w:rPr>
          <w:color w:val="000000"/>
        </w:rPr>
        <w:t>Die empfohlene Dosierung von Amsparity beträgt 20 mg jede zweite Woche.</w:t>
      </w:r>
    </w:p>
    <w:p w14:paraId="008D0652" w14:textId="77777777" w:rsidR="00E810EF" w:rsidRPr="004F5FB4" w:rsidRDefault="00E810EF" w:rsidP="00982118">
      <w:pPr>
        <w:rPr>
          <w:color w:val="000000"/>
        </w:rPr>
      </w:pPr>
    </w:p>
    <w:p w14:paraId="3D3815E9" w14:textId="77777777" w:rsidR="00E810EF" w:rsidRPr="004F5FB4" w:rsidRDefault="00E810EF" w:rsidP="00982118">
      <w:pPr>
        <w:rPr>
          <w:i/>
          <w:color w:val="000000"/>
        </w:rPr>
      </w:pPr>
      <w:r w:rsidRPr="004F5FB4">
        <w:rPr>
          <w:i/>
          <w:color w:val="000000"/>
        </w:rPr>
        <w:t>Kinder ab 6</w:t>
      </w:r>
      <w:r w:rsidR="00AE0035" w:rsidRPr="004F5FB4">
        <w:rPr>
          <w:i/>
          <w:color w:val="000000"/>
        </w:rPr>
        <w:t> </w:t>
      </w:r>
      <w:r w:rsidRPr="004F5FB4">
        <w:rPr>
          <w:i/>
          <w:color w:val="000000"/>
        </w:rPr>
        <w:t>Jahren, Jugendliche und Erwachsene mit einem Körpergewicht von 30 kg oder mehr</w:t>
      </w:r>
    </w:p>
    <w:p w14:paraId="2BAD663C" w14:textId="77777777" w:rsidR="00E810EF" w:rsidRPr="004F5FB4" w:rsidRDefault="00E810EF" w:rsidP="00982118">
      <w:pPr>
        <w:rPr>
          <w:color w:val="000000"/>
        </w:rPr>
      </w:pPr>
    </w:p>
    <w:p w14:paraId="3637E1E4" w14:textId="77777777" w:rsidR="00C46587" w:rsidRPr="004F5FB4" w:rsidRDefault="00C46587" w:rsidP="00982118">
      <w:pPr>
        <w:rPr>
          <w:color w:val="000000"/>
        </w:rPr>
      </w:pPr>
      <w:r w:rsidRPr="004F5FB4">
        <w:rPr>
          <w:color w:val="000000"/>
        </w:rPr>
        <w:t xml:space="preserve">Die empfohlene Dosierung von Amsparity beträgt 40 mg jede zweite Woche. </w:t>
      </w:r>
    </w:p>
    <w:p w14:paraId="18E1B65B" w14:textId="77777777" w:rsidR="00C46587" w:rsidRPr="004F5FB4" w:rsidRDefault="00C46587" w:rsidP="00982118">
      <w:pPr>
        <w:rPr>
          <w:color w:val="000000"/>
        </w:rPr>
      </w:pPr>
    </w:p>
    <w:p w14:paraId="261D8253" w14:textId="77777777" w:rsidR="00C46587" w:rsidRPr="004F5FB4" w:rsidRDefault="00C46587" w:rsidP="00982118">
      <w:pPr>
        <w:rPr>
          <w:color w:val="000000"/>
          <w:u w:val="single"/>
        </w:rPr>
      </w:pPr>
      <w:r w:rsidRPr="004F5FB4">
        <w:rPr>
          <w:color w:val="000000"/>
          <w:u w:val="single"/>
        </w:rPr>
        <w:t>Erwachsene mit Psoriasis</w:t>
      </w:r>
    </w:p>
    <w:p w14:paraId="551D65A5" w14:textId="77777777" w:rsidR="00C46587" w:rsidRPr="004F5FB4" w:rsidRDefault="00C46587" w:rsidP="00982118">
      <w:pPr>
        <w:rPr>
          <w:color w:val="000000"/>
        </w:rPr>
      </w:pPr>
    </w:p>
    <w:p w14:paraId="63D14D52" w14:textId="77777777" w:rsidR="00C46587" w:rsidRPr="004F5FB4" w:rsidRDefault="00C46587" w:rsidP="00982118">
      <w:pPr>
        <w:rPr>
          <w:color w:val="000000"/>
        </w:rPr>
      </w:pPr>
      <w:r w:rsidRPr="004F5FB4">
        <w:rPr>
          <w:color w:val="000000"/>
        </w:rPr>
        <w:t xml:space="preserve">Die übliche Dosierung für erwachsene Psoriasispatienten </w:t>
      </w:r>
      <w:r w:rsidR="00327445" w:rsidRPr="004F5FB4">
        <w:rPr>
          <w:color w:val="000000"/>
        </w:rPr>
        <w:t>beträgt</w:t>
      </w:r>
      <w:r w:rsidRPr="004F5FB4">
        <w:rPr>
          <w:color w:val="000000"/>
        </w:rPr>
        <w:t xml:space="preserve"> 80 mg </w:t>
      </w:r>
      <w:r w:rsidR="00327445" w:rsidRPr="004F5FB4">
        <w:rPr>
          <w:color w:val="000000"/>
        </w:rPr>
        <w:t xml:space="preserve">als Anfangsdosis </w:t>
      </w:r>
      <w:r w:rsidRPr="004F5FB4">
        <w:rPr>
          <w:color w:val="000000"/>
        </w:rPr>
        <w:t>(als zwei Injektionen von 40</w:t>
      </w:r>
      <w:r w:rsidR="00AE0035" w:rsidRPr="004F5FB4">
        <w:rPr>
          <w:color w:val="000000"/>
        </w:rPr>
        <w:t> </w:t>
      </w:r>
      <w:r w:rsidRPr="004F5FB4">
        <w:rPr>
          <w:color w:val="000000"/>
        </w:rPr>
        <w:t>mg an einem Tag), gefolgt von 40</w:t>
      </w:r>
      <w:r w:rsidR="00AE0035" w:rsidRPr="004F5FB4">
        <w:rPr>
          <w:color w:val="000000"/>
        </w:rPr>
        <w:t> </w:t>
      </w:r>
      <w:r w:rsidRPr="004F5FB4">
        <w:rPr>
          <w:color w:val="000000"/>
        </w:rPr>
        <w:t xml:space="preserve">mg jede zweite Woche, beginnend eine Woche nach der Anfangsdosis. Sie sollten Amsparity so lange </w:t>
      </w:r>
      <w:r w:rsidR="005D39F2" w:rsidRPr="004F5FB4">
        <w:rPr>
          <w:color w:val="000000"/>
        </w:rPr>
        <w:t>spritzen</w:t>
      </w:r>
      <w:r w:rsidRPr="004F5FB4">
        <w:rPr>
          <w:color w:val="000000"/>
        </w:rPr>
        <w:t xml:space="preserve">, wie Ihr Arzt es Ihnen gesagt hat. Wenn die Dosis nicht ausreichend wirkt, kann Ihr Arzt die Dosierung auf 40 mg jede Woche oder 80 mg jede zweite Woche erhöhen. </w:t>
      </w:r>
    </w:p>
    <w:p w14:paraId="6F902F95" w14:textId="77777777" w:rsidR="00C46587" w:rsidRPr="004F5FB4" w:rsidRDefault="00C46587" w:rsidP="00982118">
      <w:pPr>
        <w:rPr>
          <w:color w:val="000000"/>
        </w:rPr>
      </w:pPr>
    </w:p>
    <w:p w14:paraId="097E5D72" w14:textId="77777777" w:rsidR="00C46587" w:rsidRPr="004F5FB4" w:rsidRDefault="00C46587" w:rsidP="00982118">
      <w:pPr>
        <w:rPr>
          <w:color w:val="000000"/>
          <w:u w:val="single"/>
        </w:rPr>
      </w:pPr>
      <w:r w:rsidRPr="004F5FB4">
        <w:rPr>
          <w:color w:val="000000"/>
          <w:u w:val="single"/>
        </w:rPr>
        <w:t xml:space="preserve">Kinder und Jugendliche mit Plaque-Psoriasis </w:t>
      </w:r>
    </w:p>
    <w:p w14:paraId="4FD38AB2" w14:textId="77777777" w:rsidR="00C46587" w:rsidRPr="004F5FB4" w:rsidRDefault="00C46587" w:rsidP="00982118">
      <w:pPr>
        <w:rPr>
          <w:color w:val="000000"/>
        </w:rPr>
      </w:pPr>
    </w:p>
    <w:p w14:paraId="017CB5EB" w14:textId="77777777" w:rsidR="00E810EF" w:rsidRPr="004F5FB4" w:rsidRDefault="00E810EF" w:rsidP="00982118">
      <w:pPr>
        <w:rPr>
          <w:i/>
          <w:color w:val="000000"/>
        </w:rPr>
      </w:pPr>
      <w:r w:rsidRPr="004F5FB4">
        <w:rPr>
          <w:i/>
          <w:color w:val="000000"/>
        </w:rPr>
        <w:t>Kinder und Jugendliche zwischen 4 und 17</w:t>
      </w:r>
      <w:r w:rsidR="00AE0035" w:rsidRPr="004F5FB4">
        <w:rPr>
          <w:i/>
          <w:color w:val="000000"/>
        </w:rPr>
        <w:t> </w:t>
      </w:r>
      <w:r w:rsidRPr="004F5FB4">
        <w:rPr>
          <w:i/>
          <w:color w:val="000000"/>
        </w:rPr>
        <w:t>Jahren mit einem Körpergewicht zwischen 15 kg und unter 30 kg</w:t>
      </w:r>
    </w:p>
    <w:p w14:paraId="285BB763" w14:textId="77777777" w:rsidR="00E810EF" w:rsidRPr="004F5FB4" w:rsidRDefault="00E810EF" w:rsidP="00982118">
      <w:pPr>
        <w:rPr>
          <w:color w:val="000000"/>
        </w:rPr>
      </w:pPr>
    </w:p>
    <w:p w14:paraId="61972196" w14:textId="77777777" w:rsidR="00E810EF" w:rsidRPr="004F5FB4" w:rsidRDefault="00C46587" w:rsidP="00982118">
      <w:pPr>
        <w:rPr>
          <w:color w:val="000000"/>
        </w:rPr>
      </w:pPr>
      <w:r w:rsidRPr="004F5FB4">
        <w:rPr>
          <w:color w:val="000000"/>
        </w:rPr>
        <w:t>Die empfohlene Anfangsdosis von Amsparity beträgt 20 mg, gefolgt von 20 mg eine Woche später. Danach beträgt die übliche Dosis 20 mg jede zweite Woche.</w:t>
      </w:r>
    </w:p>
    <w:p w14:paraId="7DF06DEA" w14:textId="77777777" w:rsidR="00E810EF" w:rsidRPr="004F5FB4" w:rsidRDefault="00E810EF" w:rsidP="00982118">
      <w:pPr>
        <w:rPr>
          <w:color w:val="000000"/>
        </w:rPr>
      </w:pPr>
    </w:p>
    <w:p w14:paraId="0BB59A41" w14:textId="77777777" w:rsidR="00355B9D" w:rsidRPr="004F5FB4" w:rsidRDefault="00355B9D" w:rsidP="00982118">
      <w:pPr>
        <w:rPr>
          <w:i/>
          <w:color w:val="000000"/>
        </w:rPr>
      </w:pPr>
      <w:r w:rsidRPr="004F5FB4">
        <w:rPr>
          <w:i/>
          <w:color w:val="000000"/>
        </w:rPr>
        <w:t>Kinder und Jugendliche zwischen 4 und 17</w:t>
      </w:r>
      <w:r w:rsidR="00AE0035" w:rsidRPr="004F5FB4">
        <w:rPr>
          <w:i/>
          <w:color w:val="000000"/>
        </w:rPr>
        <w:t> </w:t>
      </w:r>
      <w:r w:rsidRPr="004F5FB4">
        <w:rPr>
          <w:i/>
          <w:color w:val="000000"/>
        </w:rPr>
        <w:t>Jahren mit einem Körpergewicht von 30 kg oder mehr</w:t>
      </w:r>
    </w:p>
    <w:p w14:paraId="50EB66FC" w14:textId="77777777" w:rsidR="00355B9D" w:rsidRPr="004F5FB4" w:rsidRDefault="00355B9D" w:rsidP="00982118">
      <w:pPr>
        <w:rPr>
          <w:color w:val="000000"/>
        </w:rPr>
      </w:pPr>
    </w:p>
    <w:p w14:paraId="71DAB44D" w14:textId="77777777" w:rsidR="00355B9D" w:rsidRPr="004F5FB4" w:rsidRDefault="00355B9D" w:rsidP="00982118">
      <w:pPr>
        <w:rPr>
          <w:color w:val="000000"/>
        </w:rPr>
      </w:pPr>
      <w:r w:rsidRPr="004F5FB4">
        <w:rPr>
          <w:color w:val="000000"/>
        </w:rPr>
        <w:t>Die empfohlene Anfangsdosis von Amsparity beträgt 40 mg, gefolgt von 40 mg eine Woche später. Danach beträgt die übliche Dosis 40 mg jede zweite Woche.</w:t>
      </w:r>
    </w:p>
    <w:p w14:paraId="6E43D73F" w14:textId="77777777" w:rsidR="00C46587" w:rsidRPr="004F5FB4" w:rsidRDefault="00C46587" w:rsidP="00982118">
      <w:pPr>
        <w:rPr>
          <w:color w:val="000000"/>
        </w:rPr>
      </w:pPr>
    </w:p>
    <w:p w14:paraId="3BA56DAB" w14:textId="77777777" w:rsidR="00C46587" w:rsidRPr="004F5FB4" w:rsidRDefault="00C46587" w:rsidP="00982118">
      <w:pPr>
        <w:keepNext/>
        <w:rPr>
          <w:color w:val="000000"/>
          <w:u w:val="single"/>
        </w:rPr>
      </w:pPr>
      <w:r w:rsidRPr="004F5FB4">
        <w:rPr>
          <w:color w:val="000000"/>
          <w:u w:val="single"/>
        </w:rPr>
        <w:t>Erwachsene mit Hidradenitis suppurativa (Acne inversa)</w:t>
      </w:r>
    </w:p>
    <w:p w14:paraId="546D149C" w14:textId="77777777" w:rsidR="00C46587" w:rsidRPr="004F5FB4" w:rsidRDefault="00C46587" w:rsidP="00982118">
      <w:pPr>
        <w:rPr>
          <w:color w:val="000000"/>
        </w:rPr>
      </w:pPr>
    </w:p>
    <w:p w14:paraId="77BC7631" w14:textId="77777777" w:rsidR="00C46587" w:rsidRPr="004F5FB4" w:rsidRDefault="00C46587" w:rsidP="00982118">
      <w:pPr>
        <w:rPr>
          <w:color w:val="000000"/>
        </w:rPr>
      </w:pPr>
      <w:r w:rsidRPr="004F5FB4">
        <w:rPr>
          <w:color w:val="000000"/>
        </w:rPr>
        <w:t>Die übliche Dosierung für Hidradenitis suppurativa ist eine Anfangsdosis von 160 mg (als vier Injektionen von 40</w:t>
      </w:r>
      <w:r w:rsidR="00AE0035" w:rsidRPr="004F5FB4">
        <w:rPr>
          <w:color w:val="000000"/>
        </w:rPr>
        <w:t> </w:t>
      </w:r>
      <w:r w:rsidRPr="004F5FB4">
        <w:rPr>
          <w:color w:val="000000"/>
        </w:rPr>
        <w:t>mg an einem Tag oder als zwei Injektionen von 40</w:t>
      </w:r>
      <w:r w:rsidR="00AE0035" w:rsidRPr="004F5FB4">
        <w:rPr>
          <w:color w:val="000000"/>
        </w:rPr>
        <w:t> </w:t>
      </w:r>
      <w:r w:rsidRPr="004F5FB4">
        <w:rPr>
          <w:color w:val="000000"/>
        </w:rPr>
        <w:t>mg pro Tag an zwei aufeinanderfolgenden Tagen), gefolgt von einer Dosis von 80 mg (als zwei Injektionen von 40</w:t>
      </w:r>
      <w:r w:rsidR="00AE0035" w:rsidRPr="004F5FB4">
        <w:rPr>
          <w:color w:val="000000"/>
        </w:rPr>
        <w:t> </w:t>
      </w:r>
      <w:r w:rsidRPr="004F5FB4">
        <w:rPr>
          <w:color w:val="000000"/>
        </w:rPr>
        <w:t>mg an einem Tag) zwei Wochen später. Nach zwei weiteren Wochen wird die Behandlung mit einer Dosi</w:t>
      </w:r>
      <w:r w:rsidR="00FB2FDE" w:rsidRPr="004F5FB4">
        <w:rPr>
          <w:color w:val="000000"/>
        </w:rPr>
        <w:t>s</w:t>
      </w:r>
      <w:r w:rsidRPr="004F5FB4">
        <w:rPr>
          <w:color w:val="000000"/>
        </w:rPr>
        <w:t xml:space="preserve"> von 40 mg jede Woche oder 80</w:t>
      </w:r>
      <w:r w:rsidR="00AE0035" w:rsidRPr="004F5FB4">
        <w:rPr>
          <w:color w:val="000000"/>
        </w:rPr>
        <w:t> </w:t>
      </w:r>
      <w:r w:rsidRPr="004F5FB4">
        <w:rPr>
          <w:color w:val="000000"/>
        </w:rPr>
        <w:t xml:space="preserve">mg jede zweite Woche nach Anweisung Ihres Arztes fortgesetzt. Es wird empfohlen, dass Sie an den betroffenen Stellen täglich eine antiseptische Waschlösung anwenden. </w:t>
      </w:r>
    </w:p>
    <w:p w14:paraId="140F279F" w14:textId="77777777" w:rsidR="00C46587" w:rsidRPr="004F5FB4" w:rsidRDefault="00C46587" w:rsidP="00982118">
      <w:pPr>
        <w:rPr>
          <w:color w:val="000000"/>
        </w:rPr>
      </w:pPr>
    </w:p>
    <w:p w14:paraId="246FAEF1" w14:textId="77777777" w:rsidR="00C46587" w:rsidRPr="004F5FB4" w:rsidRDefault="00C46587" w:rsidP="00982118">
      <w:pPr>
        <w:rPr>
          <w:color w:val="000000"/>
          <w:u w:val="single"/>
        </w:rPr>
      </w:pPr>
      <w:r w:rsidRPr="004F5FB4">
        <w:rPr>
          <w:color w:val="000000"/>
          <w:u w:val="single"/>
        </w:rPr>
        <w:t>Jugendliche mit Hidradenitis suppurativa (Acne inversa) zwischen 12 und 17</w:t>
      </w:r>
      <w:r w:rsidR="00AE0035" w:rsidRPr="004F5FB4">
        <w:rPr>
          <w:color w:val="000000"/>
          <w:u w:val="single"/>
        </w:rPr>
        <w:t> </w:t>
      </w:r>
      <w:r w:rsidRPr="004F5FB4">
        <w:rPr>
          <w:color w:val="000000"/>
          <w:u w:val="single"/>
        </w:rPr>
        <w:t>Jahren mit einem Körpergewicht von 30 kg oder mehr</w:t>
      </w:r>
    </w:p>
    <w:p w14:paraId="6B972585" w14:textId="77777777" w:rsidR="00C46587" w:rsidRPr="004F5FB4" w:rsidRDefault="00C46587" w:rsidP="00982118">
      <w:pPr>
        <w:rPr>
          <w:color w:val="000000"/>
        </w:rPr>
      </w:pPr>
    </w:p>
    <w:p w14:paraId="20875495" w14:textId="77777777" w:rsidR="00C46587" w:rsidRPr="004F5FB4" w:rsidRDefault="00C46587" w:rsidP="00982118">
      <w:pPr>
        <w:rPr>
          <w:color w:val="000000"/>
        </w:rPr>
      </w:pPr>
      <w:r w:rsidRPr="004F5FB4">
        <w:rPr>
          <w:color w:val="000000"/>
        </w:rPr>
        <w:t>Die empfohlene Anfangsdosis von Amsparity beträgt 80 mg (als zwei Injektionen von 40</w:t>
      </w:r>
      <w:r w:rsidR="00AE0035" w:rsidRPr="004F5FB4">
        <w:rPr>
          <w:color w:val="000000"/>
        </w:rPr>
        <w:t> </w:t>
      </w:r>
      <w:r w:rsidRPr="004F5FB4">
        <w:rPr>
          <w:color w:val="000000"/>
        </w:rPr>
        <w:t>mg an einem Tag). Nach einer Woche werden 40</w:t>
      </w:r>
      <w:r w:rsidR="00AE0035" w:rsidRPr="004F5FB4">
        <w:rPr>
          <w:color w:val="000000"/>
        </w:rPr>
        <w:t> </w:t>
      </w:r>
      <w:r w:rsidRPr="004F5FB4">
        <w:rPr>
          <w:color w:val="000000"/>
        </w:rPr>
        <w:t xml:space="preserve">mg jede zweite Woche verabreicht. Wenn die Dosis nicht </w:t>
      </w:r>
      <w:r w:rsidRPr="004F5FB4">
        <w:rPr>
          <w:color w:val="000000"/>
        </w:rPr>
        <w:lastRenderedPageBreak/>
        <w:t xml:space="preserve">ausreichend wirkt, kann Ihr Arzt die Dosierung auf 40 mg jede Woche oder 80 mg jede zweite Woche erhöhen. </w:t>
      </w:r>
    </w:p>
    <w:p w14:paraId="02C495F3" w14:textId="77777777" w:rsidR="00C46587" w:rsidRPr="004F5FB4" w:rsidRDefault="00C46587" w:rsidP="00982118">
      <w:pPr>
        <w:rPr>
          <w:color w:val="000000"/>
        </w:rPr>
      </w:pPr>
    </w:p>
    <w:p w14:paraId="4AB93922" w14:textId="77777777" w:rsidR="00C46587" w:rsidRPr="004F5FB4" w:rsidRDefault="00C46587" w:rsidP="00982118">
      <w:pPr>
        <w:rPr>
          <w:color w:val="000000"/>
        </w:rPr>
      </w:pPr>
      <w:r w:rsidRPr="004F5FB4">
        <w:rPr>
          <w:color w:val="000000"/>
        </w:rPr>
        <w:t xml:space="preserve">Es wird empfohlen, dass Sie an den betroffenen Stellen täglich eine antiseptische Waschlösung anwenden. </w:t>
      </w:r>
    </w:p>
    <w:p w14:paraId="3ED1AD7D" w14:textId="77777777" w:rsidR="00C46587" w:rsidRPr="004F5FB4" w:rsidRDefault="00C46587" w:rsidP="00982118">
      <w:pPr>
        <w:rPr>
          <w:color w:val="000000"/>
        </w:rPr>
      </w:pPr>
    </w:p>
    <w:p w14:paraId="0CF9609E" w14:textId="77777777" w:rsidR="00C46587" w:rsidRPr="004F5FB4" w:rsidRDefault="00C46587" w:rsidP="00982118">
      <w:pPr>
        <w:keepNext/>
        <w:rPr>
          <w:color w:val="000000"/>
        </w:rPr>
      </w:pPr>
      <w:r w:rsidRPr="004F5FB4">
        <w:rPr>
          <w:color w:val="000000"/>
          <w:u w:val="single"/>
        </w:rPr>
        <w:t>Erwachsene mit Morbus Crohn</w:t>
      </w:r>
      <w:r w:rsidRPr="004F5FB4">
        <w:rPr>
          <w:color w:val="000000"/>
        </w:rPr>
        <w:t xml:space="preserve"> </w:t>
      </w:r>
    </w:p>
    <w:p w14:paraId="55FC3675" w14:textId="77777777" w:rsidR="00C46587" w:rsidRPr="004F5FB4" w:rsidRDefault="00C46587" w:rsidP="00982118">
      <w:pPr>
        <w:keepNext/>
        <w:rPr>
          <w:color w:val="000000"/>
        </w:rPr>
      </w:pPr>
    </w:p>
    <w:p w14:paraId="47C21506" w14:textId="77777777" w:rsidR="00C46587" w:rsidRPr="004F5FB4" w:rsidRDefault="00C46587" w:rsidP="00982118">
      <w:pPr>
        <w:rPr>
          <w:color w:val="000000"/>
        </w:rPr>
      </w:pPr>
      <w:r w:rsidRPr="004F5FB4">
        <w:rPr>
          <w:color w:val="000000"/>
        </w:rPr>
        <w:t>Die übliche Dosierung für Morbus Crohn ist zu Beginn 80 mg (als zwei Injektionen von 40</w:t>
      </w:r>
      <w:r w:rsidR="009166E7" w:rsidRPr="004F5FB4">
        <w:rPr>
          <w:color w:val="000000"/>
        </w:rPr>
        <w:t> </w:t>
      </w:r>
      <w:r w:rsidRPr="004F5FB4">
        <w:rPr>
          <w:color w:val="000000"/>
        </w:rPr>
        <w:t>mg an einem Tag), zwei Wochen später 40</w:t>
      </w:r>
      <w:r w:rsidR="00AE0035" w:rsidRPr="004F5FB4">
        <w:rPr>
          <w:color w:val="000000"/>
        </w:rPr>
        <w:t> </w:t>
      </w:r>
      <w:r w:rsidRPr="004F5FB4">
        <w:rPr>
          <w:color w:val="000000"/>
        </w:rPr>
        <w:t>mg und danach 40</w:t>
      </w:r>
      <w:r w:rsidR="00AE0035" w:rsidRPr="004F5FB4">
        <w:rPr>
          <w:color w:val="000000"/>
        </w:rPr>
        <w:t> </w:t>
      </w:r>
      <w:r w:rsidRPr="004F5FB4">
        <w:rPr>
          <w:color w:val="000000"/>
        </w:rPr>
        <w:t>mg alle zwei Wochen. Wenn ein schnelleres Eintreten der Wirkung erforderlich ist, kann Ihnen Ihr Arzt eine Anfangsdosis von 160 mg (als vier Injektionen von 40</w:t>
      </w:r>
      <w:r w:rsidR="00AE0035" w:rsidRPr="004F5FB4">
        <w:rPr>
          <w:color w:val="000000"/>
        </w:rPr>
        <w:t> </w:t>
      </w:r>
      <w:r w:rsidRPr="004F5FB4">
        <w:rPr>
          <w:color w:val="000000"/>
        </w:rPr>
        <w:t>mg an einem Tag oder zwei Injektionen von 40</w:t>
      </w:r>
      <w:r w:rsidR="00AE0035" w:rsidRPr="004F5FB4">
        <w:rPr>
          <w:color w:val="000000"/>
        </w:rPr>
        <w:t> </w:t>
      </w:r>
      <w:r w:rsidRPr="004F5FB4">
        <w:rPr>
          <w:color w:val="000000"/>
        </w:rPr>
        <w:t>mg pro Tag an zwei aufeinanderfolgenden Tagen) verschreiben, gefolgt von 80 mg (als zwei Injektionen von 40</w:t>
      </w:r>
      <w:r w:rsidR="00AE0035" w:rsidRPr="004F5FB4">
        <w:rPr>
          <w:color w:val="000000"/>
        </w:rPr>
        <w:t> </w:t>
      </w:r>
      <w:r w:rsidRPr="004F5FB4">
        <w:rPr>
          <w:color w:val="000000"/>
        </w:rPr>
        <w:t>mg an einem Tag) zwei Wochen später und danach 40</w:t>
      </w:r>
      <w:r w:rsidR="00AE0035" w:rsidRPr="004F5FB4">
        <w:rPr>
          <w:color w:val="000000"/>
        </w:rPr>
        <w:t> </w:t>
      </w:r>
      <w:r w:rsidRPr="004F5FB4">
        <w:rPr>
          <w:color w:val="000000"/>
        </w:rPr>
        <w:t xml:space="preserve">mg jede zweite Woche. Wenn die Dosis nicht ausreichend wirkt, kann Ihr Arzt die Dosierung auf 40 mg jede Woche oder 80 mg jede zweite Woche erhöhen. </w:t>
      </w:r>
    </w:p>
    <w:p w14:paraId="7BAD5DF1" w14:textId="77777777" w:rsidR="00C46587" w:rsidRPr="004F5FB4" w:rsidRDefault="00C46587" w:rsidP="00982118">
      <w:pPr>
        <w:rPr>
          <w:color w:val="000000"/>
        </w:rPr>
      </w:pPr>
    </w:p>
    <w:p w14:paraId="44F9F3CA" w14:textId="77777777" w:rsidR="00C46587" w:rsidRPr="004F5FB4" w:rsidRDefault="00C46587" w:rsidP="00982118">
      <w:pPr>
        <w:rPr>
          <w:color w:val="000000"/>
        </w:rPr>
      </w:pPr>
      <w:r w:rsidRPr="004F5FB4">
        <w:rPr>
          <w:color w:val="000000"/>
          <w:u w:val="single"/>
        </w:rPr>
        <w:t>Kinder und Jugendliche mit Morbus Crohn</w:t>
      </w:r>
      <w:r w:rsidRPr="004F5FB4">
        <w:rPr>
          <w:color w:val="000000"/>
        </w:rPr>
        <w:t xml:space="preserve"> </w:t>
      </w:r>
    </w:p>
    <w:p w14:paraId="440A755C" w14:textId="77777777" w:rsidR="00C46587" w:rsidRPr="004F5FB4" w:rsidRDefault="00C46587" w:rsidP="00982118">
      <w:pPr>
        <w:rPr>
          <w:color w:val="000000"/>
        </w:rPr>
      </w:pPr>
    </w:p>
    <w:p w14:paraId="60451041" w14:textId="77777777" w:rsidR="00C46587" w:rsidRPr="004F5FB4" w:rsidRDefault="00C46587" w:rsidP="00982118">
      <w:pPr>
        <w:rPr>
          <w:i/>
          <w:color w:val="000000"/>
        </w:rPr>
      </w:pPr>
      <w:r w:rsidRPr="004F5FB4">
        <w:rPr>
          <w:i/>
          <w:color w:val="000000"/>
        </w:rPr>
        <w:t xml:space="preserve">Kinder und Jugendliche zwischen 6 und 17 Jahren mit einem Körpergewicht unter 40 kg </w:t>
      </w:r>
    </w:p>
    <w:p w14:paraId="548D728A" w14:textId="77777777" w:rsidR="00C46587" w:rsidRPr="004F5FB4" w:rsidRDefault="00C46587" w:rsidP="00982118">
      <w:pPr>
        <w:rPr>
          <w:color w:val="000000"/>
        </w:rPr>
      </w:pPr>
    </w:p>
    <w:p w14:paraId="51700BAC" w14:textId="77777777" w:rsidR="00355B9D" w:rsidRPr="004F5FB4" w:rsidRDefault="00C46587" w:rsidP="00982118">
      <w:pPr>
        <w:rPr>
          <w:color w:val="000000"/>
        </w:rPr>
      </w:pPr>
      <w:r w:rsidRPr="004F5FB4">
        <w:rPr>
          <w:color w:val="000000"/>
        </w:rPr>
        <w:t>Die übliche Dosierung beträgt zu Beginn 40 mg, gefolgt von 20 mg zwei Wochen später. Wenn ein schnelleres Eintreten der Wirkung erforderlich ist, kann der Arzt des Kindes eine Anfangsdosis von 80 mg (als zwei Injektionen von 40</w:t>
      </w:r>
      <w:r w:rsidR="00AE0035" w:rsidRPr="004F5FB4">
        <w:rPr>
          <w:color w:val="000000"/>
        </w:rPr>
        <w:t> </w:t>
      </w:r>
      <w:r w:rsidRPr="004F5FB4">
        <w:rPr>
          <w:color w:val="000000"/>
        </w:rPr>
        <w:t>mg an einem Tag) verschreiben, gefolgt von 40</w:t>
      </w:r>
      <w:r w:rsidR="00AE0035" w:rsidRPr="004F5FB4">
        <w:rPr>
          <w:color w:val="000000"/>
        </w:rPr>
        <w:t> </w:t>
      </w:r>
      <w:r w:rsidRPr="004F5FB4">
        <w:rPr>
          <w:color w:val="000000"/>
        </w:rPr>
        <w:t xml:space="preserve">mg zwei Wochen später. </w:t>
      </w:r>
    </w:p>
    <w:p w14:paraId="527CA2C5" w14:textId="77777777" w:rsidR="00355B9D" w:rsidRPr="004F5FB4" w:rsidRDefault="00355B9D" w:rsidP="00982118">
      <w:pPr>
        <w:rPr>
          <w:color w:val="000000"/>
        </w:rPr>
      </w:pPr>
    </w:p>
    <w:p w14:paraId="127D3EE1" w14:textId="77777777" w:rsidR="00C46587" w:rsidRPr="004F5FB4" w:rsidRDefault="00C46587" w:rsidP="00982118">
      <w:pPr>
        <w:rPr>
          <w:color w:val="000000"/>
        </w:rPr>
      </w:pPr>
      <w:r w:rsidRPr="004F5FB4">
        <w:rPr>
          <w:color w:val="000000"/>
        </w:rPr>
        <w:t xml:space="preserve">Danach beträgt die übliche Dosis 20 mg jede zweite Woche. Wenn die Dosis nicht ausreichend wirkt, kann der Arzt Ihres Kindes die Dosishäufigkeit auf 20 mg jede Woche erhöhen. </w:t>
      </w:r>
    </w:p>
    <w:p w14:paraId="69E1F303" w14:textId="77777777" w:rsidR="00C46587" w:rsidRPr="004F5FB4" w:rsidRDefault="00C46587" w:rsidP="00982118">
      <w:pPr>
        <w:rPr>
          <w:color w:val="000000"/>
        </w:rPr>
      </w:pPr>
    </w:p>
    <w:p w14:paraId="1C34998D" w14:textId="77777777" w:rsidR="00C46587" w:rsidRPr="004F5FB4" w:rsidRDefault="00C46587" w:rsidP="00982118">
      <w:pPr>
        <w:rPr>
          <w:i/>
          <w:color w:val="000000"/>
        </w:rPr>
      </w:pPr>
      <w:r w:rsidRPr="004F5FB4">
        <w:rPr>
          <w:i/>
          <w:color w:val="000000"/>
        </w:rPr>
        <w:t>Kinder und Jugendliche zwischen 6 und 17</w:t>
      </w:r>
      <w:r w:rsidR="00AE0035" w:rsidRPr="004F5FB4">
        <w:rPr>
          <w:i/>
          <w:color w:val="000000"/>
        </w:rPr>
        <w:t> </w:t>
      </w:r>
      <w:r w:rsidRPr="004F5FB4">
        <w:rPr>
          <w:i/>
          <w:color w:val="000000"/>
        </w:rPr>
        <w:t>Jahren mit einem Körpergewicht von 40 kg oder mehr</w:t>
      </w:r>
    </w:p>
    <w:p w14:paraId="28F3796F" w14:textId="77777777" w:rsidR="00C46587" w:rsidRPr="004F5FB4" w:rsidRDefault="00C46587" w:rsidP="00982118">
      <w:pPr>
        <w:rPr>
          <w:color w:val="000000"/>
        </w:rPr>
      </w:pPr>
    </w:p>
    <w:p w14:paraId="1F866E8B" w14:textId="77777777" w:rsidR="00C46587" w:rsidRPr="004F5FB4" w:rsidRDefault="00C46587" w:rsidP="00982118">
      <w:pPr>
        <w:rPr>
          <w:color w:val="000000"/>
        </w:rPr>
      </w:pPr>
      <w:r w:rsidRPr="004F5FB4">
        <w:rPr>
          <w:color w:val="000000"/>
        </w:rPr>
        <w:t>Die übliche Dosierung beträgt zu Beginn 80 mg (als zwei Injektionen von 40</w:t>
      </w:r>
      <w:r w:rsidR="00AE0035" w:rsidRPr="004F5FB4">
        <w:rPr>
          <w:color w:val="000000"/>
        </w:rPr>
        <w:t> </w:t>
      </w:r>
      <w:r w:rsidRPr="004F5FB4">
        <w:rPr>
          <w:color w:val="000000"/>
        </w:rPr>
        <w:t>mg an einem Tag), gefolgt von 40</w:t>
      </w:r>
      <w:r w:rsidR="00AE0035" w:rsidRPr="004F5FB4">
        <w:rPr>
          <w:color w:val="000000"/>
        </w:rPr>
        <w:t> </w:t>
      </w:r>
      <w:r w:rsidRPr="004F5FB4">
        <w:rPr>
          <w:color w:val="000000"/>
        </w:rPr>
        <w:t>mg zwei Wochen später. Wenn ein schnelleres Eintreten der Wirkung erforderlich ist, kann der Arzt des Kindes eine Anfangsdosis von 160 mg (als vier Injektionen von 40</w:t>
      </w:r>
      <w:r w:rsidR="00AE0035" w:rsidRPr="004F5FB4">
        <w:rPr>
          <w:color w:val="000000"/>
        </w:rPr>
        <w:t> </w:t>
      </w:r>
      <w:r w:rsidRPr="004F5FB4">
        <w:rPr>
          <w:color w:val="000000"/>
        </w:rPr>
        <w:t>mg an einem Tag oder als zwei Injektionen von 40</w:t>
      </w:r>
      <w:r w:rsidR="00AE0035" w:rsidRPr="004F5FB4">
        <w:rPr>
          <w:color w:val="000000"/>
        </w:rPr>
        <w:t> </w:t>
      </w:r>
      <w:r w:rsidRPr="004F5FB4">
        <w:rPr>
          <w:color w:val="000000"/>
        </w:rPr>
        <w:t>mg pro Tag an zwei aufeinanderfolgenden Tagen) verschreiben, gefolgt von 80 mg (als zwei Injektionen von 40</w:t>
      </w:r>
      <w:r w:rsidR="00AE0035" w:rsidRPr="004F5FB4">
        <w:rPr>
          <w:color w:val="000000"/>
        </w:rPr>
        <w:t> </w:t>
      </w:r>
      <w:r w:rsidRPr="004F5FB4">
        <w:rPr>
          <w:color w:val="000000"/>
        </w:rPr>
        <w:t xml:space="preserve">mg an einem Tag) zwei Wochen später. </w:t>
      </w:r>
    </w:p>
    <w:p w14:paraId="034B8E76" w14:textId="77777777" w:rsidR="00C46587" w:rsidRPr="004F5FB4" w:rsidRDefault="00C46587" w:rsidP="00982118">
      <w:pPr>
        <w:rPr>
          <w:color w:val="000000"/>
        </w:rPr>
      </w:pPr>
    </w:p>
    <w:p w14:paraId="04A4EEAE" w14:textId="77777777" w:rsidR="00C46587" w:rsidRPr="004F5FB4" w:rsidRDefault="00C46587" w:rsidP="00982118">
      <w:pPr>
        <w:rPr>
          <w:color w:val="000000"/>
        </w:rPr>
      </w:pPr>
      <w:r w:rsidRPr="004F5FB4">
        <w:rPr>
          <w:color w:val="000000"/>
        </w:rPr>
        <w:t xml:space="preserve">Danach beträgt die übliche Dosis 40 mg jede zweite Woche. Wenn die Dosis nicht ausreichend wirkt, kann Ihr Arzt die Dosierung auf 40 mg jede Woche oder 80 mg jede zweite Woche erhöhen. </w:t>
      </w:r>
    </w:p>
    <w:p w14:paraId="46654A53" w14:textId="77777777" w:rsidR="00C46587" w:rsidRPr="004F5FB4" w:rsidRDefault="00C46587" w:rsidP="00982118">
      <w:pPr>
        <w:rPr>
          <w:color w:val="000000"/>
        </w:rPr>
      </w:pPr>
    </w:p>
    <w:p w14:paraId="36E13D11" w14:textId="77777777" w:rsidR="00C46587" w:rsidRPr="004F5FB4" w:rsidRDefault="00C46587" w:rsidP="00982118">
      <w:pPr>
        <w:rPr>
          <w:color w:val="000000"/>
          <w:u w:val="single"/>
        </w:rPr>
      </w:pPr>
      <w:r w:rsidRPr="004F5FB4">
        <w:rPr>
          <w:color w:val="000000"/>
          <w:u w:val="single"/>
        </w:rPr>
        <w:t xml:space="preserve">Erwachsene mit Colitis ulcerosa </w:t>
      </w:r>
    </w:p>
    <w:p w14:paraId="79F08772" w14:textId="77777777" w:rsidR="00C46587" w:rsidRPr="004F5FB4" w:rsidRDefault="00C46587" w:rsidP="00982118">
      <w:pPr>
        <w:rPr>
          <w:color w:val="000000"/>
        </w:rPr>
      </w:pPr>
    </w:p>
    <w:p w14:paraId="1B890B30" w14:textId="77777777" w:rsidR="00C46587" w:rsidRPr="004F5FB4" w:rsidRDefault="00C46587" w:rsidP="00982118">
      <w:pPr>
        <w:rPr>
          <w:color w:val="000000"/>
        </w:rPr>
      </w:pPr>
      <w:r w:rsidRPr="004F5FB4">
        <w:rPr>
          <w:color w:val="000000"/>
        </w:rPr>
        <w:t xml:space="preserve">Die übliche Dosis von Amsparity beträgt für Erwachsene mit Colitis ulcerosa zu Beginn 160 mg (als vier Injektionen von 40 mg an einem Tag oder als zwei Injektionen von 40 mg pro Tag an zwei aufeinanderfolgenden Tagen), gefolgt von 80 mg (als zwei Injektionen von 40 mg an einem Tag) zwei Wochen später und danach 40 mg jede zweite Woche. Wenn die Dosis nicht ausreichend wirkt, kann Ihr Arzt die Dosierung auf 40 mg jede Woche oder 80 mg jede zweite Woche erhöhen. </w:t>
      </w:r>
    </w:p>
    <w:p w14:paraId="737F0421" w14:textId="77777777" w:rsidR="00C46587" w:rsidRDefault="00C46587" w:rsidP="00982118">
      <w:pPr>
        <w:rPr>
          <w:color w:val="000000"/>
        </w:rPr>
      </w:pPr>
    </w:p>
    <w:p w14:paraId="6ACE6211" w14:textId="77777777" w:rsidR="00631149" w:rsidRPr="00C8359A" w:rsidRDefault="00631149" w:rsidP="00631149">
      <w:pPr>
        <w:keepNext/>
        <w:rPr>
          <w:color w:val="000000"/>
          <w:u w:val="single"/>
        </w:rPr>
      </w:pPr>
      <w:r w:rsidRPr="00C8359A">
        <w:rPr>
          <w:color w:val="000000"/>
          <w:u w:val="single"/>
        </w:rPr>
        <w:lastRenderedPageBreak/>
        <w:t>Kinder und Jugendliche mit Colitis ulcerosa</w:t>
      </w:r>
    </w:p>
    <w:p w14:paraId="0A951E97" w14:textId="77777777" w:rsidR="00631149" w:rsidRDefault="00631149" w:rsidP="00631149">
      <w:pPr>
        <w:keepNext/>
        <w:rPr>
          <w:i/>
          <w:iCs/>
          <w:color w:val="000000"/>
        </w:rPr>
      </w:pPr>
    </w:p>
    <w:p w14:paraId="15C33670" w14:textId="77777777" w:rsidR="00631149" w:rsidRPr="00A46DB5" w:rsidRDefault="00631149" w:rsidP="00631149">
      <w:pPr>
        <w:keepNext/>
        <w:rPr>
          <w:i/>
          <w:iCs/>
          <w:color w:val="000000"/>
        </w:rPr>
      </w:pPr>
      <w:r w:rsidRPr="00A46DB5">
        <w:rPr>
          <w:i/>
          <w:iCs/>
          <w:color w:val="000000"/>
        </w:rPr>
        <w:t>Kinder und Jugendliche ab 6</w:t>
      </w:r>
      <w:r>
        <w:rPr>
          <w:i/>
          <w:iCs/>
          <w:color w:val="000000"/>
        </w:rPr>
        <w:t> </w:t>
      </w:r>
      <w:r w:rsidRPr="00A46DB5">
        <w:rPr>
          <w:i/>
          <w:iCs/>
          <w:color w:val="000000"/>
        </w:rPr>
        <w:t>Jahren mit einem Körpergewicht unter 40</w:t>
      </w:r>
      <w:r>
        <w:rPr>
          <w:i/>
          <w:iCs/>
          <w:color w:val="000000"/>
        </w:rPr>
        <w:t> </w:t>
      </w:r>
      <w:r w:rsidRPr="00A46DB5">
        <w:rPr>
          <w:i/>
          <w:iCs/>
          <w:color w:val="000000"/>
        </w:rPr>
        <w:t>kg</w:t>
      </w:r>
    </w:p>
    <w:p w14:paraId="7D0C2746" w14:textId="77777777" w:rsidR="00631149" w:rsidRDefault="00631149" w:rsidP="00631149">
      <w:pPr>
        <w:keepNext/>
        <w:rPr>
          <w:color w:val="000000"/>
        </w:rPr>
      </w:pPr>
    </w:p>
    <w:p w14:paraId="564B984C" w14:textId="77777777" w:rsidR="00631149" w:rsidRDefault="00631149" w:rsidP="00631149">
      <w:pPr>
        <w:keepNext/>
        <w:rPr>
          <w:color w:val="000000"/>
        </w:rPr>
      </w:pPr>
      <w:r w:rsidRPr="00A46DB5">
        <w:rPr>
          <w:color w:val="000000"/>
        </w:rPr>
        <w:t xml:space="preserve">Die </w:t>
      </w:r>
      <w:r w:rsidRPr="00A46DB5">
        <w:rPr>
          <w:rFonts w:hint="eastAsia"/>
          <w:color w:val="000000"/>
        </w:rPr>
        <w:t>ü</w:t>
      </w:r>
      <w:r w:rsidRPr="00A46DB5">
        <w:rPr>
          <w:color w:val="000000"/>
        </w:rPr>
        <w:t xml:space="preserve">bliche Dosierung von </w:t>
      </w:r>
      <w:r>
        <w:rPr>
          <w:color w:val="000000"/>
        </w:rPr>
        <w:t>Amsparity</w:t>
      </w:r>
      <w:r w:rsidRPr="00A46DB5">
        <w:rPr>
          <w:color w:val="000000"/>
        </w:rPr>
        <w:t xml:space="preserve"> betr</w:t>
      </w:r>
      <w:r w:rsidRPr="00A46DB5">
        <w:rPr>
          <w:rFonts w:hint="eastAsia"/>
          <w:color w:val="000000"/>
        </w:rPr>
        <w:t>ä</w:t>
      </w:r>
      <w:r w:rsidRPr="00A46DB5">
        <w:rPr>
          <w:color w:val="000000"/>
        </w:rPr>
        <w:t>gt zu Beginn 80</w:t>
      </w:r>
      <w:r>
        <w:rPr>
          <w:color w:val="000000"/>
        </w:rPr>
        <w:t> </w:t>
      </w:r>
      <w:r w:rsidRPr="00A46DB5">
        <w:rPr>
          <w:color w:val="000000"/>
        </w:rPr>
        <w:t>mg (als zwei Injektionen von 40</w:t>
      </w:r>
      <w:r>
        <w:rPr>
          <w:color w:val="000000"/>
        </w:rPr>
        <w:t> </w:t>
      </w:r>
      <w:r w:rsidRPr="00A46DB5">
        <w:rPr>
          <w:color w:val="000000"/>
        </w:rPr>
        <w:t>mg an</w:t>
      </w:r>
      <w:r>
        <w:rPr>
          <w:color w:val="000000"/>
        </w:rPr>
        <w:t xml:space="preserve"> </w:t>
      </w:r>
      <w:r w:rsidRPr="00A46DB5">
        <w:rPr>
          <w:color w:val="000000"/>
        </w:rPr>
        <w:t>einem Tag), gefolgt von 40</w:t>
      </w:r>
      <w:r>
        <w:rPr>
          <w:color w:val="000000"/>
        </w:rPr>
        <w:t> </w:t>
      </w:r>
      <w:r w:rsidRPr="00A46DB5">
        <w:rPr>
          <w:color w:val="000000"/>
        </w:rPr>
        <w:t>mg (als eine Injektion von 40</w:t>
      </w:r>
      <w:r>
        <w:rPr>
          <w:color w:val="000000"/>
        </w:rPr>
        <w:t> </w:t>
      </w:r>
      <w:r w:rsidRPr="00A46DB5">
        <w:rPr>
          <w:color w:val="000000"/>
        </w:rPr>
        <w:t>mg) zwei Wochen sp</w:t>
      </w:r>
      <w:r w:rsidRPr="00A46DB5">
        <w:rPr>
          <w:rFonts w:hint="eastAsia"/>
          <w:color w:val="000000"/>
        </w:rPr>
        <w:t>ä</w:t>
      </w:r>
      <w:r w:rsidRPr="00A46DB5">
        <w:rPr>
          <w:color w:val="000000"/>
        </w:rPr>
        <w:t>ter. Danach betr</w:t>
      </w:r>
      <w:r w:rsidRPr="00A46DB5">
        <w:rPr>
          <w:rFonts w:hint="eastAsia"/>
          <w:color w:val="000000"/>
        </w:rPr>
        <w:t>ä</w:t>
      </w:r>
      <w:r w:rsidRPr="00A46DB5">
        <w:rPr>
          <w:color w:val="000000"/>
        </w:rPr>
        <w:t>gt</w:t>
      </w:r>
      <w:r>
        <w:rPr>
          <w:color w:val="000000"/>
        </w:rPr>
        <w:t xml:space="preserve"> </w:t>
      </w:r>
      <w:r w:rsidRPr="00A46DB5">
        <w:rPr>
          <w:color w:val="000000"/>
        </w:rPr>
        <w:t xml:space="preserve">die </w:t>
      </w:r>
      <w:r w:rsidRPr="00A46DB5">
        <w:rPr>
          <w:rFonts w:hint="eastAsia"/>
          <w:color w:val="000000"/>
        </w:rPr>
        <w:t>ü</w:t>
      </w:r>
      <w:r w:rsidRPr="00A46DB5">
        <w:rPr>
          <w:color w:val="000000"/>
        </w:rPr>
        <w:t>bliche Dosierung 40</w:t>
      </w:r>
      <w:r>
        <w:rPr>
          <w:color w:val="000000"/>
        </w:rPr>
        <w:t> </w:t>
      </w:r>
      <w:r w:rsidRPr="00A46DB5">
        <w:rPr>
          <w:color w:val="000000"/>
        </w:rPr>
        <w:t>mg jede zweite Woche.</w:t>
      </w:r>
    </w:p>
    <w:p w14:paraId="2D1E7CCB" w14:textId="77777777" w:rsidR="00631149" w:rsidRPr="00A46DB5" w:rsidRDefault="00631149" w:rsidP="00631149">
      <w:pPr>
        <w:keepNext/>
        <w:rPr>
          <w:color w:val="000000"/>
        </w:rPr>
      </w:pPr>
    </w:p>
    <w:p w14:paraId="05A641C7" w14:textId="77777777" w:rsidR="00631149" w:rsidRDefault="00631149" w:rsidP="00631149">
      <w:pPr>
        <w:keepNext/>
        <w:rPr>
          <w:color w:val="000000"/>
        </w:rPr>
      </w:pPr>
      <w:r w:rsidRPr="00A46DB5">
        <w:rPr>
          <w:color w:val="000000"/>
        </w:rPr>
        <w:t>Patienten, die 18</w:t>
      </w:r>
      <w:r>
        <w:rPr>
          <w:color w:val="000000"/>
        </w:rPr>
        <w:t> </w:t>
      </w:r>
      <w:r w:rsidRPr="00A46DB5">
        <w:rPr>
          <w:color w:val="000000"/>
        </w:rPr>
        <w:t>Jahre alt werden, w</w:t>
      </w:r>
      <w:r w:rsidRPr="00A46DB5">
        <w:rPr>
          <w:rFonts w:hint="eastAsia"/>
          <w:color w:val="000000"/>
        </w:rPr>
        <w:t>ä</w:t>
      </w:r>
      <w:r w:rsidRPr="00A46DB5">
        <w:rPr>
          <w:color w:val="000000"/>
        </w:rPr>
        <w:t>hrend sie jede zweite Woche 40</w:t>
      </w:r>
      <w:r>
        <w:rPr>
          <w:color w:val="000000"/>
        </w:rPr>
        <w:t> </w:t>
      </w:r>
      <w:r w:rsidRPr="00A46DB5">
        <w:rPr>
          <w:color w:val="000000"/>
        </w:rPr>
        <w:t>mg erhalten, sollten die</w:t>
      </w:r>
      <w:r>
        <w:rPr>
          <w:color w:val="000000"/>
        </w:rPr>
        <w:t xml:space="preserve"> </w:t>
      </w:r>
      <w:r w:rsidRPr="00A46DB5">
        <w:rPr>
          <w:color w:val="000000"/>
        </w:rPr>
        <w:t>verschriebene Dosis weiterhin spritzen.</w:t>
      </w:r>
    </w:p>
    <w:p w14:paraId="56363473" w14:textId="77777777" w:rsidR="00631149" w:rsidRPr="00A46DB5" w:rsidRDefault="00631149" w:rsidP="00631149">
      <w:pPr>
        <w:keepNext/>
        <w:rPr>
          <w:color w:val="000000"/>
        </w:rPr>
      </w:pPr>
    </w:p>
    <w:p w14:paraId="788712B7" w14:textId="77777777" w:rsidR="00631149" w:rsidRPr="00A46DB5" w:rsidRDefault="00631149" w:rsidP="00631149">
      <w:pPr>
        <w:rPr>
          <w:i/>
          <w:iCs/>
          <w:color w:val="000000"/>
        </w:rPr>
      </w:pPr>
      <w:r w:rsidRPr="00A46DB5">
        <w:rPr>
          <w:i/>
          <w:iCs/>
          <w:color w:val="000000"/>
        </w:rPr>
        <w:t>Kinder und Jugendliche ab 6</w:t>
      </w:r>
      <w:r>
        <w:rPr>
          <w:i/>
          <w:iCs/>
          <w:color w:val="000000"/>
        </w:rPr>
        <w:t> </w:t>
      </w:r>
      <w:r w:rsidRPr="00A46DB5">
        <w:rPr>
          <w:i/>
          <w:iCs/>
          <w:color w:val="000000"/>
        </w:rPr>
        <w:t>Jahren mit einem Körpergewicht von 40</w:t>
      </w:r>
      <w:r>
        <w:rPr>
          <w:i/>
          <w:iCs/>
          <w:color w:val="000000"/>
        </w:rPr>
        <w:t> </w:t>
      </w:r>
      <w:r w:rsidRPr="00A46DB5">
        <w:rPr>
          <w:i/>
          <w:iCs/>
          <w:color w:val="000000"/>
        </w:rPr>
        <w:t>kg oder mehr</w:t>
      </w:r>
    </w:p>
    <w:p w14:paraId="70E5E8BE" w14:textId="77777777" w:rsidR="00631149" w:rsidRDefault="00631149" w:rsidP="00631149">
      <w:pPr>
        <w:rPr>
          <w:color w:val="000000"/>
        </w:rPr>
      </w:pPr>
    </w:p>
    <w:p w14:paraId="3F1EC160" w14:textId="77777777" w:rsidR="00631149" w:rsidRPr="00A46DB5" w:rsidRDefault="00631149" w:rsidP="00631149">
      <w:pPr>
        <w:rPr>
          <w:color w:val="000000"/>
        </w:rPr>
      </w:pPr>
      <w:r w:rsidRPr="00A46DB5">
        <w:rPr>
          <w:color w:val="000000"/>
        </w:rPr>
        <w:t xml:space="preserve">Die </w:t>
      </w:r>
      <w:r w:rsidRPr="00A46DB5">
        <w:rPr>
          <w:rFonts w:hint="eastAsia"/>
          <w:color w:val="000000"/>
        </w:rPr>
        <w:t>ü</w:t>
      </w:r>
      <w:r w:rsidRPr="00A46DB5">
        <w:rPr>
          <w:color w:val="000000"/>
        </w:rPr>
        <w:t xml:space="preserve">bliche Dosierung von </w:t>
      </w:r>
      <w:r>
        <w:rPr>
          <w:color w:val="000000"/>
        </w:rPr>
        <w:t>Amsparity</w:t>
      </w:r>
      <w:r w:rsidRPr="00A46DB5">
        <w:rPr>
          <w:color w:val="000000"/>
        </w:rPr>
        <w:t xml:space="preserve"> betr</w:t>
      </w:r>
      <w:r w:rsidRPr="00A46DB5">
        <w:rPr>
          <w:rFonts w:hint="eastAsia"/>
          <w:color w:val="000000"/>
        </w:rPr>
        <w:t>ä</w:t>
      </w:r>
      <w:r w:rsidRPr="00A46DB5">
        <w:rPr>
          <w:color w:val="000000"/>
        </w:rPr>
        <w:t>gt zu Beginn 160</w:t>
      </w:r>
      <w:r>
        <w:rPr>
          <w:color w:val="000000"/>
        </w:rPr>
        <w:t> </w:t>
      </w:r>
      <w:r w:rsidRPr="00A46DB5">
        <w:rPr>
          <w:color w:val="000000"/>
        </w:rPr>
        <w:t>mg (als vier Injektionen von 40</w:t>
      </w:r>
      <w:r>
        <w:rPr>
          <w:color w:val="000000"/>
        </w:rPr>
        <w:t> </w:t>
      </w:r>
      <w:r w:rsidRPr="00A46DB5">
        <w:rPr>
          <w:color w:val="000000"/>
        </w:rPr>
        <w:t>mg an</w:t>
      </w:r>
      <w:r>
        <w:rPr>
          <w:color w:val="000000"/>
        </w:rPr>
        <w:t xml:space="preserve"> </w:t>
      </w:r>
      <w:r w:rsidRPr="00A46DB5">
        <w:rPr>
          <w:color w:val="000000"/>
        </w:rPr>
        <w:t>einem Tag oder als zwei Injektionen von 40</w:t>
      </w:r>
      <w:r>
        <w:rPr>
          <w:color w:val="000000"/>
        </w:rPr>
        <w:t> </w:t>
      </w:r>
      <w:r w:rsidRPr="00A46DB5">
        <w:rPr>
          <w:color w:val="000000"/>
        </w:rPr>
        <w:t>mg pro Tag an zwei aufeinanderfolgenden Tagen),</w:t>
      </w:r>
      <w:r>
        <w:rPr>
          <w:color w:val="000000"/>
        </w:rPr>
        <w:t xml:space="preserve"> </w:t>
      </w:r>
      <w:r w:rsidRPr="00A46DB5">
        <w:rPr>
          <w:color w:val="000000"/>
        </w:rPr>
        <w:t>gefolgt von 80</w:t>
      </w:r>
      <w:r>
        <w:rPr>
          <w:color w:val="000000"/>
        </w:rPr>
        <w:t> </w:t>
      </w:r>
      <w:r w:rsidRPr="00A46DB5">
        <w:rPr>
          <w:color w:val="000000"/>
        </w:rPr>
        <w:t>mg (als zwei Injektionen von 40</w:t>
      </w:r>
      <w:r>
        <w:rPr>
          <w:color w:val="000000"/>
        </w:rPr>
        <w:t> </w:t>
      </w:r>
      <w:r w:rsidRPr="00A46DB5">
        <w:rPr>
          <w:color w:val="000000"/>
        </w:rPr>
        <w:t>mg an einem Tag) zwei Wochen sp</w:t>
      </w:r>
      <w:r w:rsidRPr="00A46DB5">
        <w:rPr>
          <w:rFonts w:hint="eastAsia"/>
          <w:color w:val="000000"/>
        </w:rPr>
        <w:t>ä</w:t>
      </w:r>
      <w:r w:rsidRPr="00A46DB5">
        <w:rPr>
          <w:color w:val="000000"/>
        </w:rPr>
        <w:t>ter. Danach</w:t>
      </w:r>
      <w:r>
        <w:rPr>
          <w:color w:val="000000"/>
        </w:rPr>
        <w:t xml:space="preserve"> </w:t>
      </w:r>
      <w:r w:rsidRPr="00A46DB5">
        <w:rPr>
          <w:color w:val="000000"/>
        </w:rPr>
        <w:t>betr</w:t>
      </w:r>
      <w:r w:rsidRPr="00A46DB5">
        <w:rPr>
          <w:rFonts w:hint="eastAsia"/>
          <w:color w:val="000000"/>
        </w:rPr>
        <w:t>ä</w:t>
      </w:r>
      <w:r w:rsidRPr="00A46DB5">
        <w:rPr>
          <w:color w:val="000000"/>
        </w:rPr>
        <w:t xml:space="preserve">gt die </w:t>
      </w:r>
      <w:r w:rsidRPr="00A46DB5">
        <w:rPr>
          <w:rFonts w:hint="eastAsia"/>
          <w:color w:val="000000"/>
        </w:rPr>
        <w:t>ü</w:t>
      </w:r>
      <w:r w:rsidRPr="00A46DB5">
        <w:rPr>
          <w:color w:val="000000"/>
        </w:rPr>
        <w:t>bliche Dosierung 80</w:t>
      </w:r>
      <w:r>
        <w:rPr>
          <w:color w:val="000000"/>
        </w:rPr>
        <w:t> </w:t>
      </w:r>
      <w:r w:rsidRPr="00A46DB5">
        <w:rPr>
          <w:color w:val="000000"/>
        </w:rPr>
        <w:t>mg jede zweite Woche.</w:t>
      </w:r>
    </w:p>
    <w:p w14:paraId="19ED5F90" w14:textId="77777777" w:rsidR="00631149" w:rsidRPr="00A46DB5" w:rsidRDefault="00631149" w:rsidP="00631149">
      <w:pPr>
        <w:rPr>
          <w:color w:val="000000"/>
        </w:rPr>
      </w:pPr>
    </w:p>
    <w:p w14:paraId="4277C911" w14:textId="77777777" w:rsidR="00631149" w:rsidRDefault="00631149" w:rsidP="00982118">
      <w:pPr>
        <w:rPr>
          <w:color w:val="000000"/>
        </w:rPr>
      </w:pPr>
      <w:r w:rsidRPr="00A46DB5">
        <w:rPr>
          <w:color w:val="000000"/>
        </w:rPr>
        <w:t>Patienten, die 18</w:t>
      </w:r>
      <w:r>
        <w:rPr>
          <w:color w:val="000000"/>
        </w:rPr>
        <w:t> </w:t>
      </w:r>
      <w:r w:rsidRPr="00A46DB5">
        <w:rPr>
          <w:color w:val="000000"/>
        </w:rPr>
        <w:t>Jahre alt werden, w</w:t>
      </w:r>
      <w:r w:rsidRPr="00A46DB5">
        <w:rPr>
          <w:rFonts w:hint="eastAsia"/>
          <w:color w:val="000000"/>
        </w:rPr>
        <w:t>ä</w:t>
      </w:r>
      <w:r w:rsidRPr="00A46DB5">
        <w:rPr>
          <w:color w:val="000000"/>
        </w:rPr>
        <w:t>hrend sie jede zweite Woche 80</w:t>
      </w:r>
      <w:r>
        <w:rPr>
          <w:color w:val="000000"/>
        </w:rPr>
        <w:t> </w:t>
      </w:r>
      <w:r w:rsidRPr="00A46DB5">
        <w:rPr>
          <w:color w:val="000000"/>
        </w:rPr>
        <w:t>mg erhalten, sollten die</w:t>
      </w:r>
      <w:r>
        <w:rPr>
          <w:color w:val="000000"/>
        </w:rPr>
        <w:t xml:space="preserve"> </w:t>
      </w:r>
      <w:r w:rsidRPr="00A46DB5">
        <w:rPr>
          <w:color w:val="000000"/>
        </w:rPr>
        <w:t>verschriebene Dosis weiterhin spritzen.</w:t>
      </w:r>
    </w:p>
    <w:p w14:paraId="08695C08" w14:textId="77777777" w:rsidR="00631149" w:rsidRPr="004F5FB4" w:rsidRDefault="00631149" w:rsidP="00982118">
      <w:pPr>
        <w:rPr>
          <w:color w:val="000000"/>
        </w:rPr>
      </w:pPr>
    </w:p>
    <w:p w14:paraId="4CFC63FD" w14:textId="77777777" w:rsidR="00C46587" w:rsidRPr="004F5FB4" w:rsidRDefault="00C46587" w:rsidP="00982118">
      <w:pPr>
        <w:keepNext/>
        <w:rPr>
          <w:color w:val="000000"/>
          <w:u w:val="single"/>
        </w:rPr>
      </w:pPr>
      <w:r w:rsidRPr="004F5FB4">
        <w:rPr>
          <w:color w:val="000000"/>
          <w:u w:val="single"/>
        </w:rPr>
        <w:t>Erwachsene mit nicht infektiöser Uveitis</w:t>
      </w:r>
    </w:p>
    <w:p w14:paraId="0994CCE3" w14:textId="77777777" w:rsidR="00C46587" w:rsidRPr="004F5FB4" w:rsidRDefault="00C46587" w:rsidP="00982118">
      <w:pPr>
        <w:keepNext/>
        <w:rPr>
          <w:color w:val="000000"/>
        </w:rPr>
      </w:pPr>
    </w:p>
    <w:p w14:paraId="2C84CA20" w14:textId="77777777" w:rsidR="00C46587" w:rsidRPr="004F5FB4" w:rsidRDefault="00C46587" w:rsidP="00982118">
      <w:pPr>
        <w:rPr>
          <w:color w:val="000000"/>
        </w:rPr>
      </w:pPr>
      <w:r w:rsidRPr="004F5FB4">
        <w:rPr>
          <w:color w:val="000000"/>
        </w:rPr>
        <w:t>Die übliche Dosierung von Amsparity für Erwachsene mit nicht infektiöser Uveitis beträgt 80 mg (als zwei Injektionen von 40 mg an einem Tag) als Anfangsdosis, gefolgt von 40 mg eine Woche später und danach 40</w:t>
      </w:r>
      <w:r w:rsidR="006211D2" w:rsidRPr="004F5FB4">
        <w:rPr>
          <w:color w:val="000000"/>
        </w:rPr>
        <w:t> </w:t>
      </w:r>
      <w:r w:rsidRPr="004F5FB4">
        <w:rPr>
          <w:color w:val="000000"/>
        </w:rPr>
        <w:t xml:space="preserve">mg alle zwei Wochen. Sie sollten Amsparity so lange anwenden, wie Ihr Arzt es Ihnen gesagt hat. </w:t>
      </w:r>
    </w:p>
    <w:p w14:paraId="7D4B0729" w14:textId="77777777" w:rsidR="00C46587" w:rsidRPr="004F5FB4" w:rsidRDefault="00C46587" w:rsidP="00982118">
      <w:pPr>
        <w:rPr>
          <w:color w:val="000000"/>
        </w:rPr>
      </w:pPr>
    </w:p>
    <w:p w14:paraId="425EB26B" w14:textId="77777777" w:rsidR="00C46587" w:rsidRPr="004F5FB4" w:rsidRDefault="00C46587" w:rsidP="00982118">
      <w:pPr>
        <w:rPr>
          <w:color w:val="000000"/>
        </w:rPr>
      </w:pPr>
      <w:r w:rsidRPr="004F5FB4">
        <w:rPr>
          <w:color w:val="000000"/>
        </w:rPr>
        <w:t xml:space="preserve">Bei nicht infektiöser Uveitis können Kortikosteroide oder andere Arzneimittel, die das körpereigene Abwehrsystem beeinflussen, während der Behandlung mit Amsparity weiter angewendet werden. Amsparity kann auch alleine angewendet werden. </w:t>
      </w:r>
    </w:p>
    <w:p w14:paraId="45EF9CE5" w14:textId="77777777" w:rsidR="00C46587" w:rsidRPr="004F5FB4" w:rsidRDefault="00C46587" w:rsidP="00982118">
      <w:pPr>
        <w:rPr>
          <w:color w:val="000000"/>
        </w:rPr>
      </w:pPr>
    </w:p>
    <w:p w14:paraId="1462D7DC" w14:textId="77777777" w:rsidR="00D97493" w:rsidRPr="004F5FB4" w:rsidRDefault="00D97493" w:rsidP="00982118">
      <w:pPr>
        <w:rPr>
          <w:color w:val="000000"/>
          <w:u w:val="single"/>
        </w:rPr>
      </w:pPr>
      <w:r w:rsidRPr="004F5FB4">
        <w:rPr>
          <w:color w:val="000000"/>
          <w:u w:val="single"/>
        </w:rPr>
        <w:t>Kinder ab 2</w:t>
      </w:r>
      <w:r w:rsidR="006211D2" w:rsidRPr="004F5FB4">
        <w:rPr>
          <w:color w:val="000000"/>
          <w:u w:val="single"/>
        </w:rPr>
        <w:t> </w:t>
      </w:r>
      <w:r w:rsidRPr="004F5FB4">
        <w:rPr>
          <w:color w:val="000000"/>
          <w:u w:val="single"/>
        </w:rPr>
        <w:t>Jahren und Jugendliche mit chronischer nicht infektiöser Uveitis</w:t>
      </w:r>
    </w:p>
    <w:p w14:paraId="2EFFBE28" w14:textId="77777777" w:rsidR="00D97493" w:rsidRPr="004F5FB4" w:rsidRDefault="00D97493" w:rsidP="00982118">
      <w:pPr>
        <w:rPr>
          <w:color w:val="000000"/>
          <w:u w:val="single"/>
        </w:rPr>
      </w:pPr>
    </w:p>
    <w:p w14:paraId="242ED6F4" w14:textId="77777777" w:rsidR="00D97493" w:rsidRPr="004F5FB4" w:rsidRDefault="00D97493" w:rsidP="00982118">
      <w:pPr>
        <w:rPr>
          <w:i/>
          <w:color w:val="000000"/>
        </w:rPr>
      </w:pPr>
      <w:r w:rsidRPr="004F5FB4">
        <w:rPr>
          <w:i/>
          <w:color w:val="000000"/>
        </w:rPr>
        <w:t>Kinder ab 2</w:t>
      </w:r>
      <w:r w:rsidR="006211D2" w:rsidRPr="004F5FB4">
        <w:rPr>
          <w:i/>
          <w:color w:val="000000"/>
        </w:rPr>
        <w:t> </w:t>
      </w:r>
      <w:r w:rsidRPr="004F5FB4">
        <w:rPr>
          <w:i/>
          <w:color w:val="000000"/>
        </w:rPr>
        <w:t>Jahren und Jugendliche mit einem Körpergewicht unter 30</w:t>
      </w:r>
      <w:r w:rsidR="006211D2" w:rsidRPr="004F5FB4">
        <w:rPr>
          <w:i/>
          <w:color w:val="000000"/>
        </w:rPr>
        <w:t> </w:t>
      </w:r>
      <w:r w:rsidRPr="004F5FB4">
        <w:rPr>
          <w:i/>
          <w:color w:val="000000"/>
        </w:rPr>
        <w:t>kg</w:t>
      </w:r>
    </w:p>
    <w:p w14:paraId="33F920FD" w14:textId="77777777" w:rsidR="00D97493" w:rsidRPr="004F5FB4" w:rsidRDefault="00D97493" w:rsidP="00982118">
      <w:pPr>
        <w:rPr>
          <w:color w:val="000000"/>
        </w:rPr>
      </w:pPr>
    </w:p>
    <w:p w14:paraId="77735549" w14:textId="77777777" w:rsidR="00D97493" w:rsidRPr="004F5FB4" w:rsidRDefault="00D97493" w:rsidP="00982118">
      <w:pPr>
        <w:rPr>
          <w:color w:val="000000"/>
        </w:rPr>
      </w:pPr>
      <w:r w:rsidRPr="004F5FB4">
        <w:rPr>
          <w:color w:val="000000"/>
        </w:rPr>
        <w:t>Die übliche Dosierung von Amsparity beträgt 20</w:t>
      </w:r>
      <w:r w:rsidR="006211D2" w:rsidRPr="004F5FB4">
        <w:rPr>
          <w:color w:val="000000"/>
        </w:rPr>
        <w:t> </w:t>
      </w:r>
      <w:r w:rsidRPr="004F5FB4">
        <w:rPr>
          <w:color w:val="000000"/>
        </w:rPr>
        <w:t>mg alle 2</w:t>
      </w:r>
      <w:r w:rsidR="006211D2" w:rsidRPr="004F5FB4">
        <w:rPr>
          <w:color w:val="000000"/>
        </w:rPr>
        <w:t> </w:t>
      </w:r>
      <w:r w:rsidRPr="004F5FB4">
        <w:rPr>
          <w:color w:val="000000"/>
        </w:rPr>
        <w:t>Wochen gemeinsam mit Methotrexat.</w:t>
      </w:r>
    </w:p>
    <w:p w14:paraId="1E9BC762" w14:textId="77777777" w:rsidR="00D97493" w:rsidRPr="004F5FB4" w:rsidRDefault="00D97493" w:rsidP="00982118">
      <w:pPr>
        <w:rPr>
          <w:color w:val="000000"/>
        </w:rPr>
      </w:pPr>
    </w:p>
    <w:p w14:paraId="593CC9CD" w14:textId="77777777" w:rsidR="00D97493" w:rsidRPr="004F5FB4" w:rsidRDefault="00D97493" w:rsidP="00982118">
      <w:pPr>
        <w:rPr>
          <w:color w:val="000000"/>
        </w:rPr>
      </w:pPr>
      <w:r w:rsidRPr="004F5FB4">
        <w:rPr>
          <w:color w:val="000000"/>
        </w:rPr>
        <w:t>Der Arzt Ihres Kindes kann auch eine Anfangsdosis von 40</w:t>
      </w:r>
      <w:r w:rsidR="006211D2" w:rsidRPr="004F5FB4">
        <w:rPr>
          <w:color w:val="000000"/>
        </w:rPr>
        <w:t> </w:t>
      </w:r>
      <w:r w:rsidRPr="004F5FB4">
        <w:rPr>
          <w:color w:val="000000"/>
        </w:rPr>
        <w:t>mg verschreiben, die eine Woche vor Beginn der üblichen Dosis verabreicht werden kann.</w:t>
      </w:r>
    </w:p>
    <w:p w14:paraId="0C169717" w14:textId="77777777" w:rsidR="00D97493" w:rsidRPr="004F5FB4" w:rsidRDefault="00D97493" w:rsidP="00982118">
      <w:pPr>
        <w:rPr>
          <w:color w:val="000000"/>
          <w:u w:val="single"/>
        </w:rPr>
      </w:pPr>
    </w:p>
    <w:p w14:paraId="59AF0A1F" w14:textId="77777777" w:rsidR="00D97493" w:rsidRPr="004F5FB4" w:rsidRDefault="00D97493" w:rsidP="00982118">
      <w:pPr>
        <w:keepNext/>
        <w:rPr>
          <w:i/>
          <w:color w:val="000000"/>
        </w:rPr>
      </w:pPr>
      <w:r w:rsidRPr="004F5FB4">
        <w:rPr>
          <w:i/>
          <w:color w:val="000000"/>
        </w:rPr>
        <w:t>Kinder ab 2</w:t>
      </w:r>
      <w:r w:rsidR="006211D2" w:rsidRPr="004F5FB4">
        <w:rPr>
          <w:i/>
          <w:color w:val="000000"/>
        </w:rPr>
        <w:t> </w:t>
      </w:r>
      <w:r w:rsidRPr="004F5FB4">
        <w:rPr>
          <w:i/>
          <w:color w:val="000000"/>
        </w:rPr>
        <w:t>Jahren und Jugendliche mit einem Gewicht von 30</w:t>
      </w:r>
      <w:r w:rsidR="006211D2" w:rsidRPr="004F5FB4">
        <w:rPr>
          <w:i/>
          <w:color w:val="000000"/>
        </w:rPr>
        <w:t> </w:t>
      </w:r>
      <w:r w:rsidRPr="004F5FB4">
        <w:rPr>
          <w:i/>
          <w:color w:val="000000"/>
        </w:rPr>
        <w:t>kg oder mehr</w:t>
      </w:r>
    </w:p>
    <w:p w14:paraId="2B242D04" w14:textId="77777777" w:rsidR="00D97493" w:rsidRPr="004F5FB4" w:rsidRDefault="00D97493" w:rsidP="00982118">
      <w:pPr>
        <w:keepNext/>
        <w:rPr>
          <w:color w:val="000000"/>
        </w:rPr>
      </w:pPr>
    </w:p>
    <w:p w14:paraId="25DFBF8E" w14:textId="77777777" w:rsidR="00D97493" w:rsidRPr="004F5FB4" w:rsidRDefault="00D97493" w:rsidP="00982118">
      <w:pPr>
        <w:rPr>
          <w:color w:val="000000"/>
        </w:rPr>
      </w:pPr>
      <w:r w:rsidRPr="004F5FB4">
        <w:rPr>
          <w:color w:val="000000"/>
        </w:rPr>
        <w:t>Die übliche Dosierung von Amsparity beträgt 40</w:t>
      </w:r>
      <w:r w:rsidR="006211D2" w:rsidRPr="004F5FB4">
        <w:rPr>
          <w:color w:val="000000"/>
        </w:rPr>
        <w:t> </w:t>
      </w:r>
      <w:r w:rsidRPr="004F5FB4">
        <w:rPr>
          <w:color w:val="000000"/>
        </w:rPr>
        <w:t>mg alle 2</w:t>
      </w:r>
      <w:r w:rsidR="006211D2" w:rsidRPr="004F5FB4">
        <w:rPr>
          <w:color w:val="000000"/>
        </w:rPr>
        <w:t> </w:t>
      </w:r>
      <w:r w:rsidRPr="004F5FB4">
        <w:rPr>
          <w:color w:val="000000"/>
        </w:rPr>
        <w:t>Wochen gemeinsam mit Methotrexat.</w:t>
      </w:r>
    </w:p>
    <w:p w14:paraId="13C480E8" w14:textId="77777777" w:rsidR="00D97493" w:rsidRPr="004F5FB4" w:rsidRDefault="00D97493" w:rsidP="00982118">
      <w:pPr>
        <w:rPr>
          <w:color w:val="000000"/>
        </w:rPr>
      </w:pPr>
    </w:p>
    <w:p w14:paraId="74920158" w14:textId="77777777" w:rsidR="00D97493" w:rsidRPr="004F5FB4" w:rsidRDefault="00D97493" w:rsidP="00982118">
      <w:pPr>
        <w:rPr>
          <w:color w:val="000000"/>
        </w:rPr>
      </w:pPr>
      <w:r w:rsidRPr="004F5FB4">
        <w:rPr>
          <w:color w:val="000000"/>
        </w:rPr>
        <w:t>Der Arzt Ihres Kindes kann auch eine Anfangsdosis von 80</w:t>
      </w:r>
      <w:r w:rsidR="006211D2" w:rsidRPr="004F5FB4">
        <w:rPr>
          <w:color w:val="000000"/>
        </w:rPr>
        <w:t> </w:t>
      </w:r>
      <w:r w:rsidRPr="004F5FB4">
        <w:rPr>
          <w:color w:val="000000"/>
        </w:rPr>
        <w:t>mg verschreiben, die eine Woche vor Beginn der üblichen Dosis verabreicht werden kann.</w:t>
      </w:r>
    </w:p>
    <w:p w14:paraId="204A8E99" w14:textId="77777777" w:rsidR="00C46587" w:rsidRPr="004F5FB4" w:rsidRDefault="00C46587" w:rsidP="00982118">
      <w:pPr>
        <w:rPr>
          <w:color w:val="000000"/>
        </w:rPr>
      </w:pPr>
    </w:p>
    <w:p w14:paraId="674D4059" w14:textId="77777777" w:rsidR="00C46587" w:rsidRPr="004F5FB4" w:rsidRDefault="00C46587" w:rsidP="00982118">
      <w:pPr>
        <w:rPr>
          <w:b/>
          <w:color w:val="000000"/>
        </w:rPr>
      </w:pPr>
      <w:r w:rsidRPr="004F5FB4">
        <w:rPr>
          <w:b/>
          <w:color w:val="000000"/>
        </w:rPr>
        <w:t xml:space="preserve">Art der Anwendung </w:t>
      </w:r>
    </w:p>
    <w:p w14:paraId="19AA7C16" w14:textId="77777777" w:rsidR="00C46587" w:rsidRPr="004F5FB4" w:rsidRDefault="00C46587" w:rsidP="00982118">
      <w:pPr>
        <w:rPr>
          <w:color w:val="000000"/>
        </w:rPr>
      </w:pPr>
    </w:p>
    <w:p w14:paraId="3C672518" w14:textId="77777777" w:rsidR="00C46587" w:rsidRPr="004F5FB4" w:rsidRDefault="006A1144" w:rsidP="00982118">
      <w:pPr>
        <w:rPr>
          <w:color w:val="000000"/>
        </w:rPr>
      </w:pPr>
      <w:r w:rsidRPr="004F5FB4">
        <w:rPr>
          <w:color w:val="000000"/>
        </w:rPr>
        <w:t xml:space="preserve">Amsparity wird unter die Haut gespritzt (subkutane Injektion). </w:t>
      </w:r>
    </w:p>
    <w:p w14:paraId="5C06E009" w14:textId="77777777" w:rsidR="00C46587" w:rsidRPr="004F5FB4" w:rsidRDefault="00C46587" w:rsidP="00982118">
      <w:pPr>
        <w:rPr>
          <w:color w:val="000000"/>
        </w:rPr>
      </w:pPr>
    </w:p>
    <w:p w14:paraId="0ECD9CB4" w14:textId="77777777" w:rsidR="005D12B7" w:rsidRPr="00F60620" w:rsidRDefault="005D12B7" w:rsidP="004E7002">
      <w:pPr>
        <w:keepNext/>
        <w:keepLines/>
        <w:rPr>
          <w:b/>
          <w:color w:val="000000"/>
        </w:rPr>
      </w:pPr>
      <w:r w:rsidRPr="00F60620">
        <w:rPr>
          <w:b/>
          <w:color w:val="000000"/>
        </w:rPr>
        <w:lastRenderedPageBreak/>
        <w:t xml:space="preserve">Eine genaue Anleitung, wie Amsparity gespritzt wird, finden Sie in den Anweisungen für die Anwendung am Ende dieser Packungsbeilage. </w:t>
      </w:r>
    </w:p>
    <w:p w14:paraId="01015A4B" w14:textId="77777777" w:rsidR="00DE4467" w:rsidRPr="004F5FB4" w:rsidRDefault="00DE4467" w:rsidP="004E7002">
      <w:pPr>
        <w:keepNext/>
        <w:keepLines/>
        <w:rPr>
          <w:b/>
          <w:color w:val="000000"/>
        </w:rPr>
      </w:pPr>
    </w:p>
    <w:p w14:paraId="2BF1ABDD" w14:textId="77777777" w:rsidR="00C46587" w:rsidRPr="004F5FB4" w:rsidRDefault="00C46587" w:rsidP="004E7002">
      <w:pPr>
        <w:keepNext/>
        <w:keepLines/>
        <w:rPr>
          <w:b/>
          <w:color w:val="000000"/>
        </w:rPr>
      </w:pPr>
      <w:r w:rsidRPr="004F5FB4">
        <w:rPr>
          <w:b/>
          <w:color w:val="000000"/>
        </w:rPr>
        <w:t xml:space="preserve">Wenn Sie eine größere Menge von Amsparity angewendet haben, als Sie sollten </w:t>
      </w:r>
    </w:p>
    <w:p w14:paraId="715B1519" w14:textId="77777777" w:rsidR="00C46587" w:rsidRPr="004F5FB4" w:rsidRDefault="00C46587" w:rsidP="004E7002">
      <w:pPr>
        <w:keepNext/>
        <w:keepLines/>
        <w:rPr>
          <w:color w:val="000000"/>
        </w:rPr>
      </w:pPr>
    </w:p>
    <w:p w14:paraId="4E45674A" w14:textId="77777777" w:rsidR="00C46587" w:rsidRPr="004F5FB4" w:rsidRDefault="00C46587" w:rsidP="00982118">
      <w:pPr>
        <w:rPr>
          <w:color w:val="000000"/>
        </w:rPr>
      </w:pPr>
      <w:r w:rsidRPr="004F5FB4">
        <w:rPr>
          <w:color w:val="000000"/>
        </w:rPr>
        <w:t xml:space="preserve">Wenn Sie Amsparity versehentlich häufiger </w:t>
      </w:r>
      <w:r w:rsidR="000E58B6" w:rsidRPr="004F5FB4">
        <w:rPr>
          <w:color w:val="000000"/>
        </w:rPr>
        <w:t>ge</w:t>
      </w:r>
      <w:r w:rsidRPr="004F5FB4">
        <w:rPr>
          <w:color w:val="000000"/>
        </w:rPr>
        <w:t>spritz</w:t>
      </w:r>
      <w:r w:rsidR="000E58B6" w:rsidRPr="004F5FB4">
        <w:rPr>
          <w:color w:val="000000"/>
        </w:rPr>
        <w:t>t haben,</w:t>
      </w:r>
      <w:r w:rsidRPr="004F5FB4">
        <w:rPr>
          <w:color w:val="000000"/>
        </w:rPr>
        <w:t xml:space="preserve"> als Sie sollten, informieren Sie Ihren Arzt oder Apotheker darüber, dass Sie eine größere Menge angewendet haben als erforderlich. Nehmen Sie immer den Umkarton des Arzneimittels mit, auch wenn er leer ist. </w:t>
      </w:r>
    </w:p>
    <w:p w14:paraId="57986636" w14:textId="77777777" w:rsidR="00C46587" w:rsidRPr="004F5FB4" w:rsidRDefault="00C46587" w:rsidP="00982118">
      <w:pPr>
        <w:rPr>
          <w:color w:val="000000"/>
        </w:rPr>
      </w:pPr>
    </w:p>
    <w:p w14:paraId="0C9607C7" w14:textId="77777777" w:rsidR="00C46587" w:rsidRPr="004F5FB4" w:rsidRDefault="00C46587" w:rsidP="00982118">
      <w:pPr>
        <w:rPr>
          <w:b/>
          <w:color w:val="000000"/>
        </w:rPr>
      </w:pPr>
      <w:r w:rsidRPr="004F5FB4">
        <w:rPr>
          <w:b/>
          <w:color w:val="000000"/>
        </w:rPr>
        <w:t>Wenn Sie die Anwendung von Amsparity vergessen haben</w:t>
      </w:r>
    </w:p>
    <w:p w14:paraId="72B50ED1" w14:textId="77777777" w:rsidR="00C46587" w:rsidRPr="004F5FB4" w:rsidRDefault="00C46587" w:rsidP="00982118">
      <w:pPr>
        <w:rPr>
          <w:color w:val="000000"/>
        </w:rPr>
      </w:pPr>
    </w:p>
    <w:p w14:paraId="27066A9A" w14:textId="77777777" w:rsidR="00C46587" w:rsidRPr="004F5FB4" w:rsidRDefault="00C46587" w:rsidP="00982118">
      <w:pPr>
        <w:rPr>
          <w:color w:val="000000"/>
        </w:rPr>
      </w:pPr>
      <w:r w:rsidRPr="004F5FB4">
        <w:rPr>
          <w:color w:val="000000"/>
        </w:rPr>
        <w:t xml:space="preserve">Wenn Sie einmal eine Injektion vergessen haben, sollten Sie die nächste Amsparity-Dosis spritzen, sobald Ihnen dies auffällt. Spritzen Sie Ihre darauffolgende Dosis an dem ursprünglich vorgesehenen Tag, wie Sie es getan hätten, wenn Sie die Injektion nicht vergessen hätten. </w:t>
      </w:r>
    </w:p>
    <w:p w14:paraId="3C346765" w14:textId="77777777" w:rsidR="00C46587" w:rsidRPr="004F5FB4" w:rsidRDefault="00C46587" w:rsidP="00982118">
      <w:pPr>
        <w:rPr>
          <w:color w:val="000000"/>
        </w:rPr>
      </w:pPr>
    </w:p>
    <w:p w14:paraId="416F522D" w14:textId="77777777" w:rsidR="00C46587" w:rsidRPr="004F5FB4" w:rsidRDefault="00C46587" w:rsidP="00982118">
      <w:pPr>
        <w:keepNext/>
        <w:rPr>
          <w:b/>
          <w:color w:val="000000"/>
        </w:rPr>
      </w:pPr>
      <w:r w:rsidRPr="004F5FB4">
        <w:rPr>
          <w:b/>
          <w:color w:val="000000"/>
        </w:rPr>
        <w:t>Wenn Sie die Anwendung von Amsparity abbrechen</w:t>
      </w:r>
    </w:p>
    <w:p w14:paraId="66B062EF" w14:textId="77777777" w:rsidR="00C46587" w:rsidRPr="004F5FB4" w:rsidRDefault="00C46587" w:rsidP="00982118">
      <w:pPr>
        <w:rPr>
          <w:color w:val="000000"/>
        </w:rPr>
      </w:pPr>
    </w:p>
    <w:p w14:paraId="17D05BD2" w14:textId="77777777" w:rsidR="00C46587" w:rsidRPr="004F5FB4" w:rsidRDefault="00C46587" w:rsidP="00982118">
      <w:pPr>
        <w:rPr>
          <w:color w:val="000000"/>
        </w:rPr>
      </w:pPr>
      <w:r w:rsidRPr="004F5FB4">
        <w:rPr>
          <w:color w:val="000000"/>
        </w:rPr>
        <w:t xml:space="preserve">Die Entscheidung, die Anwendung von Amsparity abzubrechen, müssen Sie mit Ihrem Arzt besprechen. Die Symptome Ihrer Erkrankung können nach Abbruch der Behandlung zurückkehren. </w:t>
      </w:r>
    </w:p>
    <w:p w14:paraId="2F5F3778" w14:textId="77777777" w:rsidR="00C46587" w:rsidRPr="004F5FB4" w:rsidRDefault="00C46587" w:rsidP="00982118">
      <w:pPr>
        <w:rPr>
          <w:color w:val="000000"/>
        </w:rPr>
      </w:pPr>
    </w:p>
    <w:p w14:paraId="72DFC890" w14:textId="77777777" w:rsidR="00C46587" w:rsidRPr="004F5FB4" w:rsidRDefault="000E7C79" w:rsidP="00982118">
      <w:pPr>
        <w:rPr>
          <w:color w:val="000000"/>
        </w:rPr>
      </w:pPr>
      <w:r w:rsidRPr="004F5FB4">
        <w:rPr>
          <w:color w:val="000000"/>
        </w:rPr>
        <w:t>Wenn Sie weitere Fragen zur Anwendung dieses Arzneimittels haben, wenden Sie sich an Ihren Arzt oder Apotheker</w:t>
      </w:r>
      <w:r w:rsidR="00C46587" w:rsidRPr="004F5FB4">
        <w:rPr>
          <w:color w:val="000000"/>
        </w:rPr>
        <w:t xml:space="preserve">. </w:t>
      </w:r>
    </w:p>
    <w:p w14:paraId="0E1E3194" w14:textId="77777777" w:rsidR="00C46587" w:rsidRPr="004F5FB4" w:rsidRDefault="00C46587" w:rsidP="00982118">
      <w:pPr>
        <w:rPr>
          <w:color w:val="000000"/>
        </w:rPr>
      </w:pPr>
    </w:p>
    <w:p w14:paraId="3760B895" w14:textId="77777777" w:rsidR="00C46587" w:rsidRPr="004F5FB4" w:rsidRDefault="00C46587" w:rsidP="00982118">
      <w:pPr>
        <w:rPr>
          <w:color w:val="000000"/>
        </w:rPr>
      </w:pPr>
    </w:p>
    <w:p w14:paraId="1496005A" w14:textId="77777777" w:rsidR="00C46587" w:rsidRPr="004F5FB4" w:rsidRDefault="00C46587" w:rsidP="00982118">
      <w:pPr>
        <w:keepNext/>
        <w:tabs>
          <w:tab w:val="left" w:pos="562"/>
        </w:tabs>
        <w:rPr>
          <w:b/>
          <w:color w:val="000000"/>
        </w:rPr>
      </w:pPr>
      <w:r w:rsidRPr="004F5FB4">
        <w:rPr>
          <w:b/>
          <w:color w:val="000000"/>
        </w:rPr>
        <w:t>4.</w:t>
      </w:r>
      <w:r w:rsidRPr="004F5FB4">
        <w:rPr>
          <w:b/>
          <w:color w:val="000000"/>
        </w:rPr>
        <w:tab/>
        <w:t xml:space="preserve">Welche Nebenwirkungen sind möglich? </w:t>
      </w:r>
    </w:p>
    <w:p w14:paraId="59983677" w14:textId="77777777" w:rsidR="00C46587" w:rsidRPr="004F5FB4" w:rsidRDefault="00C46587" w:rsidP="00982118">
      <w:pPr>
        <w:keepNext/>
        <w:rPr>
          <w:color w:val="000000"/>
        </w:rPr>
      </w:pPr>
    </w:p>
    <w:p w14:paraId="3F6E4ECB" w14:textId="77777777" w:rsidR="00C46587" w:rsidRPr="004F5FB4" w:rsidRDefault="00C46587" w:rsidP="00982118">
      <w:pPr>
        <w:rPr>
          <w:color w:val="000000"/>
        </w:rPr>
      </w:pPr>
      <w:r w:rsidRPr="004F5FB4">
        <w:rPr>
          <w:color w:val="000000"/>
        </w:rPr>
        <w:t xml:space="preserve">Wie alle Arzneimittel kann auch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Amsparity auftreten. </w:t>
      </w:r>
    </w:p>
    <w:p w14:paraId="05D19A3E" w14:textId="77777777" w:rsidR="00C46587" w:rsidRPr="004F5FB4" w:rsidRDefault="00C46587" w:rsidP="00982118">
      <w:pPr>
        <w:rPr>
          <w:color w:val="000000"/>
        </w:rPr>
      </w:pPr>
    </w:p>
    <w:p w14:paraId="5516DD7E" w14:textId="77777777" w:rsidR="00C46587" w:rsidRPr="004F5FB4" w:rsidRDefault="00057706" w:rsidP="00A65FE9">
      <w:pPr>
        <w:keepNext/>
        <w:keepLines/>
        <w:rPr>
          <w:color w:val="000000"/>
        </w:rPr>
      </w:pPr>
      <w:r w:rsidRPr="004F5FB4">
        <w:rPr>
          <w:b/>
          <w:color w:val="000000"/>
        </w:rPr>
        <w:t>Nehmen Sie unverzüglich ärztliche Hilfe in Anspruch</w:t>
      </w:r>
      <w:r w:rsidRPr="004F5FB4">
        <w:rPr>
          <w:color w:val="000000"/>
        </w:rPr>
        <w:t>, wenn Sie eines der folgenden Anzeichen bemerken:</w:t>
      </w:r>
    </w:p>
    <w:p w14:paraId="693C019D" w14:textId="77777777" w:rsidR="00194625" w:rsidRPr="004F5FB4" w:rsidRDefault="00194625" w:rsidP="00982118">
      <w:pPr>
        <w:rPr>
          <w:color w:val="000000"/>
        </w:rPr>
      </w:pPr>
    </w:p>
    <w:p w14:paraId="3E16D1E1" w14:textId="77777777" w:rsidR="00C46587" w:rsidRPr="004F5FB4" w:rsidRDefault="00FB2FDE" w:rsidP="00982118">
      <w:pPr>
        <w:numPr>
          <w:ilvl w:val="0"/>
          <w:numId w:val="7"/>
        </w:numPr>
        <w:ind w:left="562" w:hanging="562"/>
        <w:rPr>
          <w:color w:val="000000"/>
        </w:rPr>
      </w:pPr>
      <w:r w:rsidRPr="004F5FB4">
        <w:rPr>
          <w:color w:val="000000"/>
        </w:rPr>
        <w:t>s</w:t>
      </w:r>
      <w:r w:rsidR="003B2330" w:rsidRPr="004F5FB4">
        <w:rPr>
          <w:color w:val="000000"/>
        </w:rPr>
        <w:t>tarker Hautausschlag, Nesselsucht oder andere Anzeichen einer allergischen Reaktion</w:t>
      </w:r>
      <w:r w:rsidRPr="004F5FB4">
        <w:rPr>
          <w:color w:val="000000"/>
        </w:rPr>
        <w:t>,</w:t>
      </w:r>
    </w:p>
    <w:p w14:paraId="0C7E8985" w14:textId="77777777" w:rsidR="00C46587" w:rsidRPr="004F5FB4" w:rsidRDefault="003B2330" w:rsidP="00982118">
      <w:pPr>
        <w:numPr>
          <w:ilvl w:val="0"/>
          <w:numId w:val="7"/>
        </w:numPr>
        <w:ind w:left="562" w:hanging="562"/>
        <w:rPr>
          <w:color w:val="000000"/>
        </w:rPr>
      </w:pPr>
      <w:r w:rsidRPr="004F5FB4">
        <w:rPr>
          <w:color w:val="000000"/>
        </w:rPr>
        <w:t>Schwellung im Gesicht, an Händen oder Füßen</w:t>
      </w:r>
      <w:r w:rsidR="00FB2FDE" w:rsidRPr="004F5FB4">
        <w:rPr>
          <w:color w:val="000000"/>
        </w:rPr>
        <w:t>,</w:t>
      </w:r>
    </w:p>
    <w:p w14:paraId="6D6E728E" w14:textId="77777777" w:rsidR="00C46587" w:rsidRPr="004F5FB4" w:rsidRDefault="003B2330" w:rsidP="00982118">
      <w:pPr>
        <w:numPr>
          <w:ilvl w:val="0"/>
          <w:numId w:val="7"/>
        </w:numPr>
        <w:ind w:left="562" w:hanging="562"/>
        <w:rPr>
          <w:color w:val="000000"/>
        </w:rPr>
      </w:pPr>
      <w:r w:rsidRPr="004F5FB4">
        <w:rPr>
          <w:color w:val="000000"/>
        </w:rPr>
        <w:t>Schwierigkeiten beim Atmen oder Schlucken</w:t>
      </w:r>
      <w:r w:rsidR="00FB2FDE" w:rsidRPr="004F5FB4">
        <w:rPr>
          <w:color w:val="000000"/>
        </w:rPr>
        <w:t>,</w:t>
      </w:r>
    </w:p>
    <w:p w14:paraId="412D971D" w14:textId="77777777" w:rsidR="00C46587" w:rsidRPr="004F5FB4" w:rsidRDefault="003B2330" w:rsidP="00982118">
      <w:pPr>
        <w:numPr>
          <w:ilvl w:val="0"/>
          <w:numId w:val="7"/>
        </w:numPr>
        <w:ind w:left="562" w:hanging="562"/>
        <w:rPr>
          <w:color w:val="000000"/>
        </w:rPr>
      </w:pPr>
      <w:r w:rsidRPr="004F5FB4">
        <w:rPr>
          <w:color w:val="000000"/>
        </w:rPr>
        <w:t xml:space="preserve">Kurzatmigkeit bei Belastung oder im Liegen oder Schwellung der Füße. </w:t>
      </w:r>
    </w:p>
    <w:p w14:paraId="0D0B122C" w14:textId="77777777" w:rsidR="00032527" w:rsidRPr="004F5FB4" w:rsidRDefault="00032527" w:rsidP="00982118">
      <w:pPr>
        <w:rPr>
          <w:color w:val="000000"/>
        </w:rPr>
      </w:pPr>
    </w:p>
    <w:p w14:paraId="7CC4E544" w14:textId="77777777" w:rsidR="00C46587" w:rsidRPr="004F5FB4" w:rsidRDefault="00C46587" w:rsidP="00982118">
      <w:pPr>
        <w:rPr>
          <w:color w:val="000000"/>
        </w:rPr>
      </w:pPr>
      <w:r w:rsidRPr="004F5FB4">
        <w:rPr>
          <w:b/>
          <w:bCs/>
          <w:color w:val="000000"/>
        </w:rPr>
        <w:t>Benachrichtigen Sie so bald wie möglich Ihren Arzt</w:t>
      </w:r>
      <w:r w:rsidRPr="004F5FB4">
        <w:rPr>
          <w:color w:val="000000"/>
        </w:rPr>
        <w:t>, wenn Sie eines der folgenden Anzeichen bemerken:</w:t>
      </w:r>
    </w:p>
    <w:p w14:paraId="289C6641" w14:textId="77777777" w:rsidR="00194625" w:rsidRPr="004F5FB4" w:rsidRDefault="00194625" w:rsidP="00982118">
      <w:pPr>
        <w:rPr>
          <w:color w:val="000000"/>
        </w:rPr>
      </w:pPr>
    </w:p>
    <w:p w14:paraId="130B8B88" w14:textId="77777777" w:rsidR="00C46587" w:rsidRPr="004F5FB4" w:rsidRDefault="003B2330" w:rsidP="00982118">
      <w:pPr>
        <w:numPr>
          <w:ilvl w:val="0"/>
          <w:numId w:val="7"/>
        </w:numPr>
        <w:ind w:left="562" w:hanging="562"/>
        <w:rPr>
          <w:color w:val="000000"/>
        </w:rPr>
      </w:pPr>
      <w:r w:rsidRPr="004F5FB4">
        <w:rPr>
          <w:color w:val="000000"/>
        </w:rPr>
        <w:t>Anzeichen und Symptome einer Infektion wie Fieber, Krankheitsgefühl, Wunden, Zahnprobleme, Brennen beim Wasserlassen, Gefühl der Schwäche oder Müdigkeit oder Husten</w:t>
      </w:r>
      <w:r w:rsidR="00A81574" w:rsidRPr="004F5FB4">
        <w:rPr>
          <w:color w:val="000000"/>
        </w:rPr>
        <w:t>,</w:t>
      </w:r>
    </w:p>
    <w:p w14:paraId="3CF4918F" w14:textId="77777777" w:rsidR="00C46587" w:rsidRPr="004F5FB4" w:rsidRDefault="00560B5D" w:rsidP="00982118">
      <w:pPr>
        <w:numPr>
          <w:ilvl w:val="0"/>
          <w:numId w:val="7"/>
        </w:numPr>
        <w:ind w:left="562" w:hanging="562"/>
        <w:rPr>
          <w:color w:val="000000"/>
        </w:rPr>
      </w:pPr>
      <w:r w:rsidRPr="004F5FB4">
        <w:rPr>
          <w:color w:val="000000"/>
        </w:rPr>
        <w:t>Symptome von Nervenproblemen wie Kribbeln, Taubheit, Doppeltsehen oder Schwäche in Armen oder Beinen</w:t>
      </w:r>
      <w:r w:rsidR="00A81574" w:rsidRPr="004F5FB4">
        <w:rPr>
          <w:color w:val="000000"/>
        </w:rPr>
        <w:t>,</w:t>
      </w:r>
    </w:p>
    <w:p w14:paraId="0D80FAC9" w14:textId="77777777" w:rsidR="00C46587" w:rsidRPr="004F5FB4" w:rsidRDefault="009423DD" w:rsidP="00982118">
      <w:pPr>
        <w:numPr>
          <w:ilvl w:val="0"/>
          <w:numId w:val="7"/>
        </w:numPr>
        <w:ind w:left="562" w:hanging="562"/>
        <w:rPr>
          <w:color w:val="000000"/>
        </w:rPr>
      </w:pPr>
      <w:r w:rsidRPr="004F5FB4">
        <w:rPr>
          <w:color w:val="000000"/>
        </w:rPr>
        <w:t>Zeichen von Hautkrebs wie eine Beule oder offene Wunden, die nicht abheilen</w:t>
      </w:r>
      <w:r w:rsidR="00A81574" w:rsidRPr="004F5FB4">
        <w:rPr>
          <w:color w:val="000000"/>
        </w:rPr>
        <w:t>,</w:t>
      </w:r>
    </w:p>
    <w:p w14:paraId="2821B0B6" w14:textId="77777777" w:rsidR="00C46587" w:rsidRPr="004F5FB4" w:rsidRDefault="003B2330" w:rsidP="00982118">
      <w:pPr>
        <w:numPr>
          <w:ilvl w:val="0"/>
          <w:numId w:val="7"/>
        </w:numPr>
        <w:ind w:left="562" w:hanging="562"/>
        <w:rPr>
          <w:color w:val="000000"/>
        </w:rPr>
      </w:pPr>
      <w:r w:rsidRPr="004F5FB4">
        <w:rPr>
          <w:color w:val="000000"/>
        </w:rPr>
        <w:t xml:space="preserve">Anzeichen und Krankheitserscheinungen, die auf eine mögliche Erkrankung des blutbildenden Systems hinweisen, wie anhaltendes Fieber, Blutergüsse, Blutungen, Blässe. </w:t>
      </w:r>
    </w:p>
    <w:p w14:paraId="2F84F8BB" w14:textId="77777777" w:rsidR="00C46587" w:rsidRPr="004F5FB4" w:rsidRDefault="00C46587" w:rsidP="00982118">
      <w:pPr>
        <w:rPr>
          <w:color w:val="000000"/>
        </w:rPr>
      </w:pPr>
    </w:p>
    <w:p w14:paraId="1B46E3C5" w14:textId="77777777" w:rsidR="00C46587" w:rsidRPr="004F5FB4" w:rsidRDefault="005500A5" w:rsidP="00982118">
      <w:pPr>
        <w:rPr>
          <w:color w:val="000000"/>
        </w:rPr>
      </w:pPr>
      <w:r w:rsidRPr="004F5FB4">
        <w:rPr>
          <w:color w:val="000000"/>
        </w:rPr>
        <w:t xml:space="preserve">Die oben beschriebenen Anzeichen </w:t>
      </w:r>
      <w:r w:rsidR="008D5B23" w:rsidRPr="004F5FB4">
        <w:rPr>
          <w:color w:val="000000"/>
        </w:rPr>
        <w:t xml:space="preserve">und Symptome </w:t>
      </w:r>
      <w:r w:rsidRPr="004F5FB4">
        <w:rPr>
          <w:color w:val="000000"/>
        </w:rPr>
        <w:t>können ein Hinweis sein auf die nachfolgend aufgelisteten Nebenwirkungen, die mit Adalimumab beobachtet wurden.</w:t>
      </w:r>
    </w:p>
    <w:p w14:paraId="099CBB23" w14:textId="77777777" w:rsidR="005500A5" w:rsidRPr="004F5FB4" w:rsidRDefault="005500A5" w:rsidP="00982118">
      <w:pPr>
        <w:rPr>
          <w:color w:val="000000"/>
        </w:rPr>
      </w:pPr>
    </w:p>
    <w:p w14:paraId="5CC3D487" w14:textId="77777777" w:rsidR="00C46587" w:rsidRPr="004F5FB4" w:rsidRDefault="00C46587" w:rsidP="00982118">
      <w:pPr>
        <w:rPr>
          <w:color w:val="000000"/>
        </w:rPr>
      </w:pPr>
      <w:r w:rsidRPr="004F5FB4">
        <w:rPr>
          <w:b/>
          <w:bCs/>
          <w:color w:val="000000"/>
        </w:rPr>
        <w:t>Sehr häufig</w:t>
      </w:r>
      <w:r w:rsidRPr="004F5FB4">
        <w:rPr>
          <w:color w:val="000000"/>
        </w:rPr>
        <w:t xml:space="preserve"> (kann mehr als 1 von 10</w:t>
      </w:r>
      <w:r w:rsidR="00A81574" w:rsidRPr="004F5FB4">
        <w:rPr>
          <w:color w:val="000000"/>
        </w:rPr>
        <w:t> </w:t>
      </w:r>
      <w:r w:rsidR="00116420" w:rsidRPr="004F5FB4">
        <w:rPr>
          <w:color w:val="000000"/>
        </w:rPr>
        <w:t xml:space="preserve">Behandelten </w:t>
      </w:r>
      <w:r w:rsidRPr="004F5FB4">
        <w:rPr>
          <w:color w:val="000000"/>
        </w:rPr>
        <w:t>betreffen)</w:t>
      </w:r>
    </w:p>
    <w:p w14:paraId="5FBD1C54" w14:textId="77777777" w:rsidR="00C46587" w:rsidRPr="004F5FB4" w:rsidRDefault="00C46587" w:rsidP="00982118">
      <w:pPr>
        <w:rPr>
          <w:color w:val="000000"/>
        </w:rPr>
      </w:pPr>
    </w:p>
    <w:p w14:paraId="74F4A1D2" w14:textId="77777777" w:rsidR="00C46587" w:rsidRPr="004F5FB4" w:rsidRDefault="00C46587" w:rsidP="00982118">
      <w:pPr>
        <w:numPr>
          <w:ilvl w:val="0"/>
          <w:numId w:val="7"/>
        </w:numPr>
        <w:ind w:left="562" w:hanging="562"/>
        <w:rPr>
          <w:color w:val="000000"/>
        </w:rPr>
      </w:pPr>
      <w:r w:rsidRPr="004F5FB4">
        <w:rPr>
          <w:color w:val="000000"/>
        </w:rPr>
        <w:t>Reaktionen an der Injektionsstelle (einschließlich Schmerz, Schwellung, Rötung oder Juckreiz)</w:t>
      </w:r>
      <w:r w:rsidR="00A81574" w:rsidRPr="004F5FB4">
        <w:rPr>
          <w:color w:val="000000"/>
        </w:rPr>
        <w:t>,</w:t>
      </w:r>
    </w:p>
    <w:p w14:paraId="67F0F74A" w14:textId="77777777" w:rsidR="00C46587" w:rsidRPr="004F5FB4" w:rsidRDefault="00C46587" w:rsidP="00982118">
      <w:pPr>
        <w:numPr>
          <w:ilvl w:val="0"/>
          <w:numId w:val="7"/>
        </w:numPr>
        <w:ind w:left="562" w:hanging="562"/>
        <w:rPr>
          <w:color w:val="000000"/>
        </w:rPr>
      </w:pPr>
      <w:r w:rsidRPr="004F5FB4">
        <w:rPr>
          <w:color w:val="000000"/>
        </w:rPr>
        <w:lastRenderedPageBreak/>
        <w:t>Infektionen der Atemwege (einschließlich Erkältung, Fließschnupfen, Infektion der Nasennebenhöhlen, Lungenentzündung)</w:t>
      </w:r>
      <w:r w:rsidR="00A81574" w:rsidRPr="004F5FB4">
        <w:rPr>
          <w:color w:val="000000"/>
        </w:rPr>
        <w:t>,</w:t>
      </w:r>
    </w:p>
    <w:p w14:paraId="224BB16B" w14:textId="77777777" w:rsidR="00C46587" w:rsidRPr="004F5FB4" w:rsidRDefault="00C46587" w:rsidP="00982118">
      <w:pPr>
        <w:numPr>
          <w:ilvl w:val="0"/>
          <w:numId w:val="7"/>
        </w:numPr>
        <w:ind w:left="562" w:hanging="562"/>
        <w:rPr>
          <w:color w:val="000000"/>
        </w:rPr>
      </w:pPr>
      <w:r w:rsidRPr="004F5FB4">
        <w:rPr>
          <w:color w:val="000000"/>
        </w:rPr>
        <w:t>Kopfschmerzen</w:t>
      </w:r>
      <w:r w:rsidR="00A81574" w:rsidRPr="004F5FB4">
        <w:rPr>
          <w:color w:val="000000"/>
        </w:rPr>
        <w:t>,</w:t>
      </w:r>
    </w:p>
    <w:p w14:paraId="4CE2200D" w14:textId="77777777" w:rsidR="00C46587" w:rsidRPr="004F5FB4" w:rsidRDefault="00C46587" w:rsidP="00982118">
      <w:pPr>
        <w:numPr>
          <w:ilvl w:val="0"/>
          <w:numId w:val="7"/>
        </w:numPr>
        <w:ind w:left="562" w:hanging="562"/>
        <w:rPr>
          <w:color w:val="000000"/>
        </w:rPr>
      </w:pPr>
      <w:r w:rsidRPr="004F5FB4">
        <w:rPr>
          <w:color w:val="000000"/>
        </w:rPr>
        <w:t>Bauchschmerzen</w:t>
      </w:r>
      <w:r w:rsidR="00A81574" w:rsidRPr="004F5FB4">
        <w:rPr>
          <w:color w:val="000000"/>
        </w:rPr>
        <w:t>,</w:t>
      </w:r>
    </w:p>
    <w:p w14:paraId="19F465D2" w14:textId="77777777" w:rsidR="00C46587" w:rsidRPr="004F5FB4" w:rsidRDefault="00C46587" w:rsidP="00982118">
      <w:pPr>
        <w:numPr>
          <w:ilvl w:val="0"/>
          <w:numId w:val="7"/>
        </w:numPr>
        <w:ind w:left="562" w:hanging="562"/>
        <w:rPr>
          <w:color w:val="000000"/>
        </w:rPr>
      </w:pPr>
      <w:r w:rsidRPr="004F5FB4">
        <w:rPr>
          <w:color w:val="000000"/>
        </w:rPr>
        <w:t>Übelkeit und Erbrechen</w:t>
      </w:r>
      <w:r w:rsidR="00A81574" w:rsidRPr="004F5FB4">
        <w:rPr>
          <w:color w:val="000000"/>
        </w:rPr>
        <w:t>,</w:t>
      </w:r>
    </w:p>
    <w:p w14:paraId="4FF2ED9F" w14:textId="77777777" w:rsidR="00C46587" w:rsidRPr="004F5FB4" w:rsidRDefault="00C46587" w:rsidP="00982118">
      <w:pPr>
        <w:numPr>
          <w:ilvl w:val="0"/>
          <w:numId w:val="7"/>
        </w:numPr>
        <w:ind w:left="562" w:hanging="562"/>
        <w:rPr>
          <w:color w:val="000000"/>
        </w:rPr>
      </w:pPr>
      <w:r w:rsidRPr="004F5FB4">
        <w:rPr>
          <w:color w:val="000000"/>
        </w:rPr>
        <w:t>Hautausschlag</w:t>
      </w:r>
      <w:r w:rsidR="00A81574" w:rsidRPr="004F5FB4">
        <w:rPr>
          <w:color w:val="000000"/>
        </w:rPr>
        <w:t>,</w:t>
      </w:r>
    </w:p>
    <w:p w14:paraId="3592DFC7" w14:textId="77777777" w:rsidR="00C46587" w:rsidRPr="004F5FB4" w:rsidRDefault="00C46587" w:rsidP="00982118">
      <w:pPr>
        <w:numPr>
          <w:ilvl w:val="0"/>
          <w:numId w:val="7"/>
        </w:numPr>
        <w:ind w:left="562" w:hanging="562"/>
        <w:rPr>
          <w:color w:val="000000"/>
        </w:rPr>
      </w:pPr>
      <w:r w:rsidRPr="004F5FB4">
        <w:rPr>
          <w:color w:val="000000"/>
        </w:rPr>
        <w:t xml:space="preserve">Schmerzen in Muskeln und </w:t>
      </w:r>
      <w:r w:rsidR="005D39F2" w:rsidRPr="004F5FB4">
        <w:rPr>
          <w:color w:val="000000"/>
        </w:rPr>
        <w:t>Gelenken</w:t>
      </w:r>
      <w:r w:rsidR="00E05197" w:rsidRPr="004F5FB4">
        <w:rPr>
          <w:color w:val="000000"/>
        </w:rPr>
        <w:t>.</w:t>
      </w:r>
      <w:r w:rsidRPr="004F5FB4">
        <w:rPr>
          <w:color w:val="000000"/>
        </w:rPr>
        <w:t xml:space="preserve"> </w:t>
      </w:r>
    </w:p>
    <w:p w14:paraId="5E9FA82A" w14:textId="77777777" w:rsidR="00C46587" w:rsidRPr="004F5FB4" w:rsidRDefault="00C46587" w:rsidP="00982118">
      <w:pPr>
        <w:rPr>
          <w:color w:val="000000"/>
        </w:rPr>
      </w:pPr>
    </w:p>
    <w:p w14:paraId="2E03290D" w14:textId="77777777" w:rsidR="00C46587" w:rsidRPr="004F5FB4" w:rsidRDefault="00C46587" w:rsidP="00982118">
      <w:pPr>
        <w:rPr>
          <w:color w:val="000000"/>
        </w:rPr>
      </w:pPr>
      <w:r w:rsidRPr="004F5FB4">
        <w:rPr>
          <w:b/>
          <w:bCs/>
          <w:color w:val="000000"/>
        </w:rPr>
        <w:t>Häufig</w:t>
      </w:r>
      <w:r w:rsidRPr="004F5FB4">
        <w:rPr>
          <w:color w:val="000000"/>
        </w:rPr>
        <w:t xml:space="preserve"> (kann bis zu 1 von 10</w:t>
      </w:r>
      <w:r w:rsidR="00A81574" w:rsidRPr="004F5FB4">
        <w:rPr>
          <w:color w:val="000000"/>
        </w:rPr>
        <w:t> </w:t>
      </w:r>
      <w:r w:rsidR="00116420" w:rsidRPr="004F5FB4">
        <w:rPr>
          <w:color w:val="000000"/>
        </w:rPr>
        <w:t xml:space="preserve">Behandelten </w:t>
      </w:r>
      <w:r w:rsidRPr="004F5FB4">
        <w:rPr>
          <w:color w:val="000000"/>
        </w:rPr>
        <w:t>betreffen)</w:t>
      </w:r>
    </w:p>
    <w:p w14:paraId="4A4AB0BD" w14:textId="77777777" w:rsidR="00C46587" w:rsidRPr="004F5FB4" w:rsidRDefault="00C46587" w:rsidP="00982118">
      <w:pPr>
        <w:rPr>
          <w:color w:val="000000"/>
        </w:rPr>
      </w:pPr>
    </w:p>
    <w:p w14:paraId="2E6B1469" w14:textId="77777777" w:rsidR="00C46587" w:rsidRPr="004F5FB4" w:rsidRDefault="00A81574" w:rsidP="00982118">
      <w:pPr>
        <w:numPr>
          <w:ilvl w:val="0"/>
          <w:numId w:val="7"/>
        </w:numPr>
        <w:ind w:left="562" w:hanging="562"/>
        <w:rPr>
          <w:color w:val="000000"/>
        </w:rPr>
      </w:pPr>
      <w:r w:rsidRPr="004F5FB4">
        <w:rPr>
          <w:color w:val="000000"/>
        </w:rPr>
        <w:t>s</w:t>
      </w:r>
      <w:r w:rsidR="00C11533" w:rsidRPr="004F5FB4">
        <w:rPr>
          <w:color w:val="000000"/>
        </w:rPr>
        <w:t>chwere Infektionen (einschließlich Blutvergiftung und Virusgrippe)</w:t>
      </w:r>
      <w:r w:rsidRPr="004F5FB4">
        <w:rPr>
          <w:color w:val="000000"/>
        </w:rPr>
        <w:t>,</w:t>
      </w:r>
    </w:p>
    <w:p w14:paraId="5CFABA23" w14:textId="77777777" w:rsidR="003B2330" w:rsidRPr="004F5FB4" w:rsidRDefault="003B2330" w:rsidP="00982118">
      <w:pPr>
        <w:numPr>
          <w:ilvl w:val="0"/>
          <w:numId w:val="7"/>
        </w:numPr>
        <w:ind w:left="562" w:hanging="562"/>
        <w:rPr>
          <w:color w:val="000000"/>
        </w:rPr>
      </w:pPr>
      <w:r w:rsidRPr="004F5FB4">
        <w:rPr>
          <w:color w:val="000000"/>
        </w:rPr>
        <w:t>Darminfektionen (einschließlich Magen-Darm-Grippe)</w:t>
      </w:r>
      <w:r w:rsidR="00A81574" w:rsidRPr="004F5FB4">
        <w:rPr>
          <w:color w:val="000000"/>
        </w:rPr>
        <w:t>,</w:t>
      </w:r>
    </w:p>
    <w:p w14:paraId="19C3C12F" w14:textId="77777777" w:rsidR="00C46587" w:rsidRPr="004F5FB4" w:rsidRDefault="00C46587" w:rsidP="00982118">
      <w:pPr>
        <w:numPr>
          <w:ilvl w:val="0"/>
          <w:numId w:val="7"/>
        </w:numPr>
        <w:ind w:left="562" w:hanging="562"/>
        <w:rPr>
          <w:color w:val="000000"/>
        </w:rPr>
      </w:pPr>
      <w:r w:rsidRPr="004F5FB4">
        <w:rPr>
          <w:color w:val="000000"/>
        </w:rPr>
        <w:t>Infektionen der Haut (einschließlich Entzündung des Unterhautzellgewebes und Gürtelrose)</w:t>
      </w:r>
      <w:r w:rsidR="00A81574" w:rsidRPr="004F5FB4">
        <w:rPr>
          <w:color w:val="000000"/>
        </w:rPr>
        <w:t>,</w:t>
      </w:r>
    </w:p>
    <w:p w14:paraId="05D6F435" w14:textId="77777777" w:rsidR="00594865" w:rsidRPr="004F5FB4" w:rsidRDefault="00C46587" w:rsidP="00982118">
      <w:pPr>
        <w:numPr>
          <w:ilvl w:val="0"/>
          <w:numId w:val="7"/>
        </w:numPr>
        <w:ind w:left="562" w:hanging="562"/>
        <w:rPr>
          <w:color w:val="000000"/>
        </w:rPr>
      </w:pPr>
      <w:r w:rsidRPr="004F5FB4">
        <w:rPr>
          <w:color w:val="000000"/>
        </w:rPr>
        <w:t>Infektionen des Ohres</w:t>
      </w:r>
      <w:r w:rsidR="00A81574" w:rsidRPr="004F5FB4">
        <w:rPr>
          <w:color w:val="000000"/>
        </w:rPr>
        <w:t>,</w:t>
      </w:r>
    </w:p>
    <w:p w14:paraId="22633759" w14:textId="77777777" w:rsidR="00C46587" w:rsidRPr="004F5FB4" w:rsidRDefault="00CD1576" w:rsidP="00982118">
      <w:pPr>
        <w:numPr>
          <w:ilvl w:val="0"/>
          <w:numId w:val="7"/>
        </w:numPr>
        <w:ind w:left="562" w:hanging="562"/>
        <w:rPr>
          <w:color w:val="000000"/>
        </w:rPr>
      </w:pPr>
      <w:r w:rsidRPr="004F5FB4">
        <w:rPr>
          <w:color w:val="000000"/>
        </w:rPr>
        <w:t>Infektionen des Mundes (einschließlich Zahninfektionen und Fieberbläschen)</w:t>
      </w:r>
      <w:r w:rsidR="00A81574" w:rsidRPr="004F5FB4">
        <w:rPr>
          <w:color w:val="000000"/>
        </w:rPr>
        <w:t>,</w:t>
      </w:r>
    </w:p>
    <w:p w14:paraId="534F1D9C" w14:textId="77777777" w:rsidR="00C46587" w:rsidRPr="004F5FB4" w:rsidRDefault="00C46587" w:rsidP="00982118">
      <w:pPr>
        <w:numPr>
          <w:ilvl w:val="0"/>
          <w:numId w:val="7"/>
        </w:numPr>
        <w:ind w:left="562" w:hanging="562"/>
        <w:rPr>
          <w:color w:val="000000"/>
        </w:rPr>
      </w:pPr>
      <w:r w:rsidRPr="004F5FB4">
        <w:rPr>
          <w:color w:val="000000"/>
        </w:rPr>
        <w:t>Infektionen der Fortpflanzungsorgane</w:t>
      </w:r>
      <w:r w:rsidR="00A81574" w:rsidRPr="004F5FB4">
        <w:rPr>
          <w:color w:val="000000"/>
        </w:rPr>
        <w:t>,</w:t>
      </w:r>
    </w:p>
    <w:p w14:paraId="1D2FC011" w14:textId="77777777" w:rsidR="00C46587" w:rsidRPr="004F5FB4" w:rsidRDefault="00C46587" w:rsidP="00982118">
      <w:pPr>
        <w:numPr>
          <w:ilvl w:val="0"/>
          <w:numId w:val="7"/>
        </w:numPr>
        <w:ind w:left="562" w:hanging="562"/>
        <w:rPr>
          <w:color w:val="000000"/>
        </w:rPr>
      </w:pPr>
      <w:r w:rsidRPr="004F5FB4">
        <w:rPr>
          <w:color w:val="000000"/>
        </w:rPr>
        <w:t>Harnwegsinfektion</w:t>
      </w:r>
      <w:r w:rsidR="00A81574" w:rsidRPr="004F5FB4">
        <w:rPr>
          <w:color w:val="000000"/>
        </w:rPr>
        <w:t>,</w:t>
      </w:r>
    </w:p>
    <w:p w14:paraId="4BE81036" w14:textId="77777777" w:rsidR="00C46587" w:rsidRPr="004F5FB4" w:rsidRDefault="00C46587" w:rsidP="00982118">
      <w:pPr>
        <w:numPr>
          <w:ilvl w:val="0"/>
          <w:numId w:val="7"/>
        </w:numPr>
        <w:ind w:left="562" w:hanging="562"/>
        <w:rPr>
          <w:color w:val="000000"/>
        </w:rPr>
      </w:pPr>
      <w:r w:rsidRPr="004F5FB4">
        <w:rPr>
          <w:color w:val="000000"/>
        </w:rPr>
        <w:t>Pilzinfektionen</w:t>
      </w:r>
      <w:r w:rsidR="00A81574" w:rsidRPr="004F5FB4">
        <w:rPr>
          <w:color w:val="000000"/>
        </w:rPr>
        <w:t>,</w:t>
      </w:r>
    </w:p>
    <w:p w14:paraId="20C2BEC3" w14:textId="77777777" w:rsidR="00C46587" w:rsidRPr="004F5FB4" w:rsidRDefault="00C46587" w:rsidP="00982118">
      <w:pPr>
        <w:numPr>
          <w:ilvl w:val="0"/>
          <w:numId w:val="7"/>
        </w:numPr>
        <w:ind w:left="562" w:hanging="562"/>
        <w:rPr>
          <w:color w:val="000000"/>
        </w:rPr>
      </w:pPr>
      <w:r w:rsidRPr="004F5FB4">
        <w:rPr>
          <w:color w:val="000000"/>
        </w:rPr>
        <w:t>Gelenkinfektionen</w:t>
      </w:r>
      <w:r w:rsidR="00A81574" w:rsidRPr="004F5FB4">
        <w:rPr>
          <w:color w:val="000000"/>
        </w:rPr>
        <w:t>,</w:t>
      </w:r>
    </w:p>
    <w:p w14:paraId="6A1CFBD4" w14:textId="77777777" w:rsidR="00C46587" w:rsidRPr="004F5FB4" w:rsidRDefault="00A81574" w:rsidP="00982118">
      <w:pPr>
        <w:numPr>
          <w:ilvl w:val="0"/>
          <w:numId w:val="7"/>
        </w:numPr>
        <w:ind w:left="562" w:hanging="562"/>
        <w:rPr>
          <w:color w:val="000000"/>
        </w:rPr>
      </w:pPr>
      <w:r w:rsidRPr="004F5FB4">
        <w:rPr>
          <w:color w:val="000000"/>
        </w:rPr>
        <w:t>g</w:t>
      </w:r>
      <w:r w:rsidR="00C46587" w:rsidRPr="004F5FB4">
        <w:rPr>
          <w:color w:val="000000"/>
        </w:rPr>
        <w:t>utartige Tumoren</w:t>
      </w:r>
      <w:r w:rsidRPr="004F5FB4">
        <w:rPr>
          <w:color w:val="000000"/>
        </w:rPr>
        <w:t>,</w:t>
      </w:r>
    </w:p>
    <w:p w14:paraId="74F5EEAC" w14:textId="77777777" w:rsidR="00C46587" w:rsidRPr="004F5FB4" w:rsidRDefault="00C46587" w:rsidP="00982118">
      <w:pPr>
        <w:numPr>
          <w:ilvl w:val="0"/>
          <w:numId w:val="7"/>
        </w:numPr>
        <w:ind w:left="562" w:hanging="562"/>
        <w:rPr>
          <w:color w:val="000000"/>
        </w:rPr>
      </w:pPr>
      <w:r w:rsidRPr="004F5FB4">
        <w:rPr>
          <w:color w:val="000000"/>
        </w:rPr>
        <w:t>Hautkrebs</w:t>
      </w:r>
      <w:r w:rsidR="00A81574" w:rsidRPr="004F5FB4">
        <w:rPr>
          <w:color w:val="000000"/>
        </w:rPr>
        <w:t>,</w:t>
      </w:r>
    </w:p>
    <w:p w14:paraId="19D22397" w14:textId="77777777" w:rsidR="00C46587" w:rsidRPr="004F5FB4" w:rsidRDefault="00A81574" w:rsidP="00982118">
      <w:pPr>
        <w:numPr>
          <w:ilvl w:val="0"/>
          <w:numId w:val="7"/>
        </w:numPr>
        <w:ind w:left="562" w:hanging="562"/>
        <w:rPr>
          <w:color w:val="000000"/>
        </w:rPr>
      </w:pPr>
      <w:r w:rsidRPr="004F5FB4">
        <w:rPr>
          <w:color w:val="000000"/>
        </w:rPr>
        <w:t>a</w:t>
      </w:r>
      <w:r w:rsidR="00C46587" w:rsidRPr="004F5FB4">
        <w:rPr>
          <w:color w:val="000000"/>
        </w:rPr>
        <w:t>llergische Reaktionen (einschließlich durch Jahreszeiten bedingter Allergie)</w:t>
      </w:r>
      <w:r w:rsidRPr="004F5FB4">
        <w:rPr>
          <w:color w:val="000000"/>
        </w:rPr>
        <w:t>,</w:t>
      </w:r>
    </w:p>
    <w:p w14:paraId="2DAC08EF" w14:textId="77777777" w:rsidR="00C46587" w:rsidRPr="004F5FB4" w:rsidRDefault="00C46587" w:rsidP="00982118">
      <w:pPr>
        <w:numPr>
          <w:ilvl w:val="0"/>
          <w:numId w:val="7"/>
        </w:numPr>
        <w:ind w:left="562" w:hanging="562"/>
        <w:rPr>
          <w:color w:val="000000"/>
        </w:rPr>
      </w:pPr>
      <w:r w:rsidRPr="004F5FB4">
        <w:rPr>
          <w:color w:val="000000"/>
        </w:rPr>
        <w:t xml:space="preserve">Flüssigkeitsverlust </w:t>
      </w:r>
      <w:r w:rsidRPr="004F5FB4">
        <w:rPr>
          <w:i/>
          <w:color w:val="000000"/>
        </w:rPr>
        <w:t>(Dehydratation)</w:t>
      </w:r>
      <w:r w:rsidR="00A81574" w:rsidRPr="004F5FB4">
        <w:rPr>
          <w:color w:val="000000"/>
        </w:rPr>
        <w:t>,</w:t>
      </w:r>
    </w:p>
    <w:p w14:paraId="3BDF91B1" w14:textId="77777777" w:rsidR="00C46587" w:rsidRPr="004F5FB4" w:rsidRDefault="00C46587" w:rsidP="00982118">
      <w:pPr>
        <w:numPr>
          <w:ilvl w:val="0"/>
          <w:numId w:val="7"/>
        </w:numPr>
        <w:ind w:left="562" w:hanging="562"/>
        <w:rPr>
          <w:color w:val="000000"/>
        </w:rPr>
      </w:pPr>
      <w:r w:rsidRPr="004F5FB4">
        <w:rPr>
          <w:color w:val="000000"/>
        </w:rPr>
        <w:t>Stimmungsschwankungen (einschließlich Depression)</w:t>
      </w:r>
      <w:r w:rsidR="00A81574" w:rsidRPr="004F5FB4">
        <w:rPr>
          <w:color w:val="000000"/>
        </w:rPr>
        <w:t>,</w:t>
      </w:r>
    </w:p>
    <w:p w14:paraId="0AE4F71D" w14:textId="77777777" w:rsidR="00C46587" w:rsidRPr="004F5FB4" w:rsidRDefault="00C46587" w:rsidP="00982118">
      <w:pPr>
        <w:numPr>
          <w:ilvl w:val="0"/>
          <w:numId w:val="7"/>
        </w:numPr>
        <w:ind w:left="562" w:hanging="562"/>
        <w:rPr>
          <w:color w:val="000000"/>
        </w:rPr>
      </w:pPr>
      <w:r w:rsidRPr="004F5FB4">
        <w:rPr>
          <w:color w:val="000000"/>
        </w:rPr>
        <w:t>Angstgefühl</w:t>
      </w:r>
      <w:r w:rsidR="00A81574" w:rsidRPr="004F5FB4">
        <w:rPr>
          <w:color w:val="000000"/>
        </w:rPr>
        <w:t>,</w:t>
      </w:r>
    </w:p>
    <w:p w14:paraId="0CE8D5C6" w14:textId="77777777" w:rsidR="00C46587" w:rsidRPr="004F5FB4" w:rsidRDefault="00C46587" w:rsidP="00982118">
      <w:pPr>
        <w:numPr>
          <w:ilvl w:val="0"/>
          <w:numId w:val="7"/>
        </w:numPr>
        <w:ind w:left="562" w:hanging="562"/>
        <w:rPr>
          <w:color w:val="000000"/>
        </w:rPr>
      </w:pPr>
      <w:r w:rsidRPr="004F5FB4">
        <w:rPr>
          <w:color w:val="000000"/>
        </w:rPr>
        <w:t>Schlafstörungen</w:t>
      </w:r>
      <w:r w:rsidR="00A81574" w:rsidRPr="004F5FB4">
        <w:rPr>
          <w:color w:val="000000"/>
        </w:rPr>
        <w:t>,</w:t>
      </w:r>
    </w:p>
    <w:p w14:paraId="5B5DD648" w14:textId="77777777" w:rsidR="00C46587" w:rsidRPr="004F5FB4" w:rsidRDefault="00C46587" w:rsidP="00982118">
      <w:pPr>
        <w:numPr>
          <w:ilvl w:val="0"/>
          <w:numId w:val="7"/>
        </w:numPr>
        <w:ind w:left="562" w:hanging="562"/>
        <w:rPr>
          <w:color w:val="000000"/>
        </w:rPr>
      </w:pPr>
      <w:r w:rsidRPr="004F5FB4">
        <w:rPr>
          <w:color w:val="000000"/>
        </w:rPr>
        <w:t>Empfindungsstörungen (einschließlich Kribbeln, Prickeln oder Taubheitsgefühl)</w:t>
      </w:r>
      <w:r w:rsidR="00A81574" w:rsidRPr="004F5FB4">
        <w:rPr>
          <w:color w:val="000000"/>
        </w:rPr>
        <w:t>,</w:t>
      </w:r>
    </w:p>
    <w:p w14:paraId="39F281B1" w14:textId="77777777" w:rsidR="00C46587" w:rsidRPr="004F5FB4" w:rsidRDefault="00C46587" w:rsidP="00982118">
      <w:pPr>
        <w:numPr>
          <w:ilvl w:val="0"/>
          <w:numId w:val="7"/>
        </w:numPr>
        <w:ind w:left="562" w:hanging="562"/>
        <w:rPr>
          <w:color w:val="000000"/>
        </w:rPr>
      </w:pPr>
      <w:r w:rsidRPr="004F5FB4">
        <w:rPr>
          <w:color w:val="000000"/>
        </w:rPr>
        <w:t>Migräne</w:t>
      </w:r>
      <w:r w:rsidR="00A81574" w:rsidRPr="004F5FB4">
        <w:rPr>
          <w:color w:val="000000"/>
        </w:rPr>
        <w:t>,</w:t>
      </w:r>
    </w:p>
    <w:p w14:paraId="27662E9B" w14:textId="77777777" w:rsidR="00C46587" w:rsidRPr="004F5FB4" w:rsidRDefault="00CD1576" w:rsidP="00982118">
      <w:pPr>
        <w:numPr>
          <w:ilvl w:val="0"/>
          <w:numId w:val="7"/>
        </w:numPr>
        <w:ind w:left="562" w:hanging="562"/>
        <w:rPr>
          <w:color w:val="000000"/>
        </w:rPr>
      </w:pPr>
      <w:r w:rsidRPr="004F5FB4">
        <w:rPr>
          <w:color w:val="000000"/>
        </w:rPr>
        <w:t>Symptome einer Nervenwurzelkompression (Hexenschuss, einschließlich Rückenschmerzen und Beinschmerzen)</w:t>
      </w:r>
      <w:r w:rsidR="00A81574" w:rsidRPr="004F5FB4">
        <w:rPr>
          <w:color w:val="000000"/>
        </w:rPr>
        <w:t>,</w:t>
      </w:r>
    </w:p>
    <w:p w14:paraId="1616B8D8" w14:textId="77777777" w:rsidR="00C46587" w:rsidRPr="004F5FB4" w:rsidRDefault="00C46587" w:rsidP="00982118">
      <w:pPr>
        <w:numPr>
          <w:ilvl w:val="0"/>
          <w:numId w:val="7"/>
        </w:numPr>
        <w:ind w:left="562" w:hanging="562"/>
        <w:rPr>
          <w:color w:val="000000"/>
        </w:rPr>
      </w:pPr>
      <w:r w:rsidRPr="004F5FB4">
        <w:rPr>
          <w:color w:val="000000"/>
        </w:rPr>
        <w:t>Sehstörungen</w:t>
      </w:r>
      <w:r w:rsidR="00A81574" w:rsidRPr="004F5FB4">
        <w:rPr>
          <w:color w:val="000000"/>
        </w:rPr>
        <w:t>,</w:t>
      </w:r>
    </w:p>
    <w:p w14:paraId="00BDE35B" w14:textId="77777777" w:rsidR="00C46587" w:rsidRPr="004F5FB4" w:rsidRDefault="00C46587" w:rsidP="00982118">
      <w:pPr>
        <w:numPr>
          <w:ilvl w:val="0"/>
          <w:numId w:val="7"/>
        </w:numPr>
        <w:ind w:left="562" w:hanging="562"/>
        <w:rPr>
          <w:color w:val="000000"/>
        </w:rPr>
      </w:pPr>
      <w:r w:rsidRPr="004F5FB4">
        <w:rPr>
          <w:color w:val="000000"/>
        </w:rPr>
        <w:t>Augenentzündung</w:t>
      </w:r>
      <w:r w:rsidR="00A81574" w:rsidRPr="004F5FB4">
        <w:rPr>
          <w:color w:val="000000"/>
        </w:rPr>
        <w:t>,</w:t>
      </w:r>
    </w:p>
    <w:p w14:paraId="0FC7C5F8" w14:textId="77777777" w:rsidR="00C46587" w:rsidRPr="004F5FB4" w:rsidRDefault="00C46587" w:rsidP="00982118">
      <w:pPr>
        <w:numPr>
          <w:ilvl w:val="0"/>
          <w:numId w:val="7"/>
        </w:numPr>
        <w:ind w:left="562" w:hanging="562"/>
        <w:rPr>
          <w:color w:val="000000"/>
        </w:rPr>
      </w:pPr>
      <w:r w:rsidRPr="004F5FB4">
        <w:rPr>
          <w:color w:val="000000"/>
        </w:rPr>
        <w:t>Entzündung des Augenlides und Anschwellen des Auges</w:t>
      </w:r>
      <w:r w:rsidR="00A81574" w:rsidRPr="004F5FB4">
        <w:rPr>
          <w:color w:val="000000"/>
        </w:rPr>
        <w:t>,</w:t>
      </w:r>
    </w:p>
    <w:p w14:paraId="7E027F80" w14:textId="77777777" w:rsidR="00C46587" w:rsidRPr="004F5FB4" w:rsidRDefault="00C46587" w:rsidP="00982118">
      <w:pPr>
        <w:numPr>
          <w:ilvl w:val="0"/>
          <w:numId w:val="7"/>
        </w:numPr>
        <w:ind w:left="562" w:hanging="562"/>
        <w:rPr>
          <w:color w:val="000000"/>
        </w:rPr>
      </w:pPr>
      <w:r w:rsidRPr="004F5FB4">
        <w:rPr>
          <w:color w:val="000000"/>
        </w:rPr>
        <w:t>Schwindel (Gefühl, dass sich der Raum dreht)</w:t>
      </w:r>
      <w:r w:rsidR="00A81574" w:rsidRPr="004F5FB4">
        <w:rPr>
          <w:color w:val="000000"/>
        </w:rPr>
        <w:t>,</w:t>
      </w:r>
    </w:p>
    <w:p w14:paraId="40E256FC" w14:textId="77777777" w:rsidR="00C46587" w:rsidRPr="004F5FB4" w:rsidRDefault="00C46587" w:rsidP="00982118">
      <w:pPr>
        <w:numPr>
          <w:ilvl w:val="0"/>
          <w:numId w:val="7"/>
        </w:numPr>
        <w:ind w:left="562" w:hanging="562"/>
        <w:rPr>
          <w:color w:val="000000"/>
        </w:rPr>
      </w:pPr>
      <w:r w:rsidRPr="004F5FB4">
        <w:rPr>
          <w:color w:val="000000"/>
        </w:rPr>
        <w:t>Herzrasen</w:t>
      </w:r>
      <w:r w:rsidR="00A81574" w:rsidRPr="004F5FB4">
        <w:rPr>
          <w:color w:val="000000"/>
        </w:rPr>
        <w:t>,</w:t>
      </w:r>
    </w:p>
    <w:p w14:paraId="462FDEFB" w14:textId="77777777" w:rsidR="00C46587" w:rsidRPr="004F5FB4" w:rsidRDefault="00A81574" w:rsidP="00982118">
      <w:pPr>
        <w:numPr>
          <w:ilvl w:val="0"/>
          <w:numId w:val="7"/>
        </w:numPr>
        <w:ind w:left="562" w:hanging="562"/>
        <w:rPr>
          <w:color w:val="000000"/>
        </w:rPr>
      </w:pPr>
      <w:r w:rsidRPr="004F5FB4">
        <w:rPr>
          <w:color w:val="000000"/>
        </w:rPr>
        <w:t>h</w:t>
      </w:r>
      <w:r w:rsidR="00C46587" w:rsidRPr="004F5FB4">
        <w:rPr>
          <w:color w:val="000000"/>
        </w:rPr>
        <w:t>oher Blutdruck</w:t>
      </w:r>
      <w:r w:rsidRPr="004F5FB4">
        <w:rPr>
          <w:color w:val="000000"/>
        </w:rPr>
        <w:t>,</w:t>
      </w:r>
    </w:p>
    <w:p w14:paraId="358A306E" w14:textId="77777777" w:rsidR="00C46587" w:rsidRPr="004F5FB4" w:rsidRDefault="00C46587" w:rsidP="00982118">
      <w:pPr>
        <w:numPr>
          <w:ilvl w:val="0"/>
          <w:numId w:val="7"/>
        </w:numPr>
        <w:ind w:left="562" w:hanging="562"/>
        <w:rPr>
          <w:color w:val="000000"/>
        </w:rPr>
      </w:pPr>
      <w:r w:rsidRPr="004F5FB4">
        <w:rPr>
          <w:color w:val="000000"/>
        </w:rPr>
        <w:t>Hitzegefühl</w:t>
      </w:r>
      <w:r w:rsidR="00A81574" w:rsidRPr="004F5FB4">
        <w:rPr>
          <w:color w:val="000000"/>
        </w:rPr>
        <w:t>,</w:t>
      </w:r>
    </w:p>
    <w:p w14:paraId="1170BF5C" w14:textId="77777777" w:rsidR="00C46587" w:rsidRPr="004F5FB4" w:rsidRDefault="00C46587" w:rsidP="00982118">
      <w:pPr>
        <w:numPr>
          <w:ilvl w:val="0"/>
          <w:numId w:val="7"/>
        </w:numPr>
        <w:ind w:left="562" w:hanging="562"/>
        <w:rPr>
          <w:color w:val="000000"/>
        </w:rPr>
      </w:pPr>
      <w:r w:rsidRPr="004F5FB4">
        <w:rPr>
          <w:color w:val="000000"/>
        </w:rPr>
        <w:t>Bluterguss (feste Schwellung mit Blutgerinnsel)</w:t>
      </w:r>
      <w:r w:rsidR="00A81574" w:rsidRPr="004F5FB4">
        <w:rPr>
          <w:color w:val="000000"/>
        </w:rPr>
        <w:t>,</w:t>
      </w:r>
    </w:p>
    <w:p w14:paraId="2D69E645" w14:textId="77777777" w:rsidR="00C46587" w:rsidRPr="004F5FB4" w:rsidRDefault="00C46587" w:rsidP="00982118">
      <w:pPr>
        <w:numPr>
          <w:ilvl w:val="0"/>
          <w:numId w:val="7"/>
        </w:numPr>
        <w:ind w:left="562" w:hanging="562"/>
        <w:rPr>
          <w:color w:val="000000"/>
        </w:rPr>
      </w:pPr>
      <w:r w:rsidRPr="004F5FB4">
        <w:rPr>
          <w:color w:val="000000"/>
        </w:rPr>
        <w:t>Husten</w:t>
      </w:r>
      <w:r w:rsidR="00A81574" w:rsidRPr="004F5FB4">
        <w:rPr>
          <w:color w:val="000000"/>
        </w:rPr>
        <w:t>,</w:t>
      </w:r>
    </w:p>
    <w:p w14:paraId="52B3A13C" w14:textId="77777777" w:rsidR="00C46587" w:rsidRPr="004F5FB4" w:rsidRDefault="00C46587" w:rsidP="00982118">
      <w:pPr>
        <w:numPr>
          <w:ilvl w:val="0"/>
          <w:numId w:val="7"/>
        </w:numPr>
        <w:ind w:left="562" w:hanging="562"/>
        <w:rPr>
          <w:color w:val="000000"/>
        </w:rPr>
      </w:pPr>
      <w:r w:rsidRPr="004F5FB4">
        <w:rPr>
          <w:color w:val="000000"/>
        </w:rPr>
        <w:t>Asthma</w:t>
      </w:r>
      <w:r w:rsidR="00A81574" w:rsidRPr="004F5FB4">
        <w:rPr>
          <w:color w:val="000000"/>
        </w:rPr>
        <w:t>,</w:t>
      </w:r>
    </w:p>
    <w:p w14:paraId="503D4F2A" w14:textId="77777777" w:rsidR="00C46587" w:rsidRPr="004F5FB4" w:rsidRDefault="00C46587" w:rsidP="00982118">
      <w:pPr>
        <w:numPr>
          <w:ilvl w:val="0"/>
          <w:numId w:val="7"/>
        </w:numPr>
        <w:ind w:left="562" w:hanging="562"/>
        <w:rPr>
          <w:color w:val="000000"/>
        </w:rPr>
      </w:pPr>
      <w:r w:rsidRPr="004F5FB4">
        <w:rPr>
          <w:color w:val="000000"/>
        </w:rPr>
        <w:t>Kurzatmigkeit</w:t>
      </w:r>
      <w:r w:rsidR="00A81574" w:rsidRPr="004F5FB4">
        <w:rPr>
          <w:color w:val="000000"/>
        </w:rPr>
        <w:t>,</w:t>
      </w:r>
    </w:p>
    <w:p w14:paraId="5B12EC53" w14:textId="77777777" w:rsidR="00C46587" w:rsidRPr="004F5FB4" w:rsidRDefault="00C46587" w:rsidP="00982118">
      <w:pPr>
        <w:numPr>
          <w:ilvl w:val="0"/>
          <w:numId w:val="7"/>
        </w:numPr>
        <w:ind w:left="562" w:hanging="562"/>
        <w:rPr>
          <w:color w:val="000000"/>
        </w:rPr>
      </w:pPr>
      <w:r w:rsidRPr="004F5FB4">
        <w:rPr>
          <w:color w:val="000000"/>
        </w:rPr>
        <w:t>Magen-Darm-Blutungen</w:t>
      </w:r>
      <w:r w:rsidR="00A81574" w:rsidRPr="004F5FB4">
        <w:rPr>
          <w:color w:val="000000"/>
        </w:rPr>
        <w:t>,</w:t>
      </w:r>
    </w:p>
    <w:p w14:paraId="000125D7" w14:textId="77777777" w:rsidR="00C46587" w:rsidRPr="004F5FB4" w:rsidRDefault="00C46587" w:rsidP="00982118">
      <w:pPr>
        <w:numPr>
          <w:ilvl w:val="0"/>
          <w:numId w:val="7"/>
        </w:numPr>
        <w:ind w:left="562" w:hanging="562"/>
        <w:rPr>
          <w:color w:val="000000"/>
        </w:rPr>
      </w:pPr>
      <w:r w:rsidRPr="004F5FB4">
        <w:rPr>
          <w:color w:val="000000"/>
        </w:rPr>
        <w:t>Verdauungsstörung (Magenverstimmung, Blähungen, Sodbrennen)</w:t>
      </w:r>
      <w:r w:rsidR="00A81574" w:rsidRPr="004F5FB4">
        <w:rPr>
          <w:color w:val="000000"/>
        </w:rPr>
        <w:t>,</w:t>
      </w:r>
    </w:p>
    <w:p w14:paraId="47155BFB" w14:textId="77777777" w:rsidR="00C46587" w:rsidRPr="004F5FB4" w:rsidRDefault="00A81574" w:rsidP="00982118">
      <w:pPr>
        <w:numPr>
          <w:ilvl w:val="0"/>
          <w:numId w:val="7"/>
        </w:numPr>
        <w:ind w:left="562" w:hanging="562"/>
        <w:rPr>
          <w:color w:val="000000"/>
        </w:rPr>
      </w:pPr>
      <w:r w:rsidRPr="004F5FB4">
        <w:rPr>
          <w:color w:val="000000"/>
        </w:rPr>
        <w:t>s</w:t>
      </w:r>
      <w:r w:rsidR="00C46587" w:rsidRPr="004F5FB4">
        <w:rPr>
          <w:color w:val="000000"/>
        </w:rPr>
        <w:t>aures Aufstoßen</w:t>
      </w:r>
      <w:r w:rsidRPr="004F5FB4">
        <w:rPr>
          <w:color w:val="000000"/>
        </w:rPr>
        <w:t>,</w:t>
      </w:r>
    </w:p>
    <w:p w14:paraId="197692D7" w14:textId="77777777" w:rsidR="00C46587" w:rsidRPr="004F5FB4" w:rsidRDefault="00C46587" w:rsidP="00982118">
      <w:pPr>
        <w:numPr>
          <w:ilvl w:val="0"/>
          <w:numId w:val="7"/>
        </w:numPr>
        <w:ind w:left="562" w:hanging="562"/>
        <w:rPr>
          <w:color w:val="000000"/>
        </w:rPr>
      </w:pPr>
      <w:r w:rsidRPr="004F5FB4">
        <w:rPr>
          <w:color w:val="000000"/>
        </w:rPr>
        <w:t>Sicca-Syndrom (einschließlich trockener Augen und trockenem Mund)</w:t>
      </w:r>
      <w:r w:rsidR="00A81574" w:rsidRPr="004F5FB4">
        <w:rPr>
          <w:color w:val="000000"/>
        </w:rPr>
        <w:t>,</w:t>
      </w:r>
    </w:p>
    <w:p w14:paraId="74EBFD98" w14:textId="77777777" w:rsidR="00C46587" w:rsidRPr="004F5FB4" w:rsidRDefault="00C46587" w:rsidP="00982118">
      <w:pPr>
        <w:numPr>
          <w:ilvl w:val="0"/>
          <w:numId w:val="7"/>
        </w:numPr>
        <w:ind w:left="562" w:hanging="562"/>
        <w:rPr>
          <w:color w:val="000000"/>
        </w:rPr>
      </w:pPr>
      <w:r w:rsidRPr="004F5FB4">
        <w:rPr>
          <w:color w:val="000000"/>
        </w:rPr>
        <w:t>Juckreiz</w:t>
      </w:r>
      <w:r w:rsidR="00A81574" w:rsidRPr="004F5FB4">
        <w:rPr>
          <w:color w:val="000000"/>
        </w:rPr>
        <w:t>,</w:t>
      </w:r>
    </w:p>
    <w:p w14:paraId="1C6CB8F7" w14:textId="77777777" w:rsidR="00C46587" w:rsidRPr="004F5FB4" w:rsidRDefault="00A81574" w:rsidP="00982118">
      <w:pPr>
        <w:numPr>
          <w:ilvl w:val="0"/>
          <w:numId w:val="7"/>
        </w:numPr>
        <w:ind w:left="562" w:hanging="562"/>
        <w:rPr>
          <w:color w:val="000000"/>
        </w:rPr>
      </w:pPr>
      <w:r w:rsidRPr="004F5FB4">
        <w:rPr>
          <w:color w:val="000000"/>
        </w:rPr>
        <w:t>j</w:t>
      </w:r>
      <w:r w:rsidR="00C46587" w:rsidRPr="004F5FB4">
        <w:rPr>
          <w:color w:val="000000"/>
        </w:rPr>
        <w:t>uckender Hautausschlag</w:t>
      </w:r>
      <w:r w:rsidRPr="004F5FB4">
        <w:rPr>
          <w:color w:val="000000"/>
        </w:rPr>
        <w:t>,</w:t>
      </w:r>
    </w:p>
    <w:p w14:paraId="1200A23E" w14:textId="77777777" w:rsidR="00C46587" w:rsidRPr="004F5FB4" w:rsidRDefault="00A81574" w:rsidP="00982118">
      <w:pPr>
        <w:numPr>
          <w:ilvl w:val="0"/>
          <w:numId w:val="7"/>
        </w:numPr>
        <w:ind w:left="562" w:hanging="562"/>
        <w:rPr>
          <w:color w:val="000000"/>
        </w:rPr>
      </w:pPr>
      <w:r w:rsidRPr="004F5FB4">
        <w:rPr>
          <w:color w:val="000000"/>
        </w:rPr>
        <w:t>b</w:t>
      </w:r>
      <w:r w:rsidR="00C46587" w:rsidRPr="004F5FB4">
        <w:rPr>
          <w:color w:val="000000"/>
        </w:rPr>
        <w:t>laue Flecken</w:t>
      </w:r>
      <w:r w:rsidRPr="004F5FB4">
        <w:rPr>
          <w:color w:val="000000"/>
        </w:rPr>
        <w:t>,</w:t>
      </w:r>
    </w:p>
    <w:p w14:paraId="3D5CD514" w14:textId="77777777" w:rsidR="00C46587" w:rsidRPr="004F5FB4" w:rsidRDefault="00C46587" w:rsidP="00982118">
      <w:pPr>
        <w:numPr>
          <w:ilvl w:val="0"/>
          <w:numId w:val="7"/>
        </w:numPr>
        <w:ind w:left="562" w:hanging="562"/>
        <w:rPr>
          <w:color w:val="000000"/>
        </w:rPr>
      </w:pPr>
      <w:r w:rsidRPr="004F5FB4">
        <w:rPr>
          <w:color w:val="000000"/>
        </w:rPr>
        <w:t>Entzündung der Haut (wie z.</w:t>
      </w:r>
      <w:r w:rsidR="006211D2" w:rsidRPr="004F5FB4">
        <w:rPr>
          <w:color w:val="000000"/>
        </w:rPr>
        <w:t> </w:t>
      </w:r>
      <w:r w:rsidRPr="004F5FB4">
        <w:rPr>
          <w:color w:val="000000"/>
        </w:rPr>
        <w:t>B. Ekzeme)</w:t>
      </w:r>
      <w:r w:rsidR="00A81574" w:rsidRPr="004F5FB4">
        <w:rPr>
          <w:color w:val="000000"/>
        </w:rPr>
        <w:t>,</w:t>
      </w:r>
    </w:p>
    <w:p w14:paraId="2D672EB8" w14:textId="77777777" w:rsidR="00C46587" w:rsidRPr="004F5FB4" w:rsidRDefault="00A81574" w:rsidP="00982118">
      <w:pPr>
        <w:numPr>
          <w:ilvl w:val="0"/>
          <w:numId w:val="7"/>
        </w:numPr>
        <w:ind w:left="562" w:hanging="562"/>
        <w:rPr>
          <w:color w:val="000000"/>
        </w:rPr>
      </w:pPr>
      <w:r w:rsidRPr="004F5FB4">
        <w:rPr>
          <w:color w:val="000000"/>
        </w:rPr>
        <w:t>b</w:t>
      </w:r>
      <w:r w:rsidR="00C46587" w:rsidRPr="004F5FB4">
        <w:rPr>
          <w:color w:val="000000"/>
        </w:rPr>
        <w:t>rüchige Finger- und Fußnägel</w:t>
      </w:r>
      <w:r w:rsidRPr="004F5FB4">
        <w:rPr>
          <w:color w:val="000000"/>
        </w:rPr>
        <w:t>,</w:t>
      </w:r>
    </w:p>
    <w:p w14:paraId="6A780323" w14:textId="77777777" w:rsidR="00C46587" w:rsidRPr="004F5FB4" w:rsidRDefault="00A81574" w:rsidP="00982118">
      <w:pPr>
        <w:numPr>
          <w:ilvl w:val="0"/>
          <w:numId w:val="7"/>
        </w:numPr>
        <w:ind w:left="562" w:hanging="562"/>
        <w:rPr>
          <w:color w:val="000000"/>
        </w:rPr>
      </w:pPr>
      <w:r w:rsidRPr="004F5FB4">
        <w:rPr>
          <w:color w:val="000000"/>
        </w:rPr>
        <w:t>v</w:t>
      </w:r>
      <w:r w:rsidR="00C46587" w:rsidRPr="004F5FB4">
        <w:rPr>
          <w:color w:val="000000"/>
        </w:rPr>
        <w:t>ermehrtes Schwitzen</w:t>
      </w:r>
      <w:r w:rsidRPr="004F5FB4">
        <w:rPr>
          <w:color w:val="000000"/>
        </w:rPr>
        <w:t>,</w:t>
      </w:r>
    </w:p>
    <w:p w14:paraId="191D3BB2" w14:textId="77777777" w:rsidR="00C46587" w:rsidRPr="004F5FB4" w:rsidRDefault="00C46587" w:rsidP="00982118">
      <w:pPr>
        <w:numPr>
          <w:ilvl w:val="0"/>
          <w:numId w:val="7"/>
        </w:numPr>
        <w:ind w:left="562" w:hanging="562"/>
        <w:rPr>
          <w:color w:val="000000"/>
        </w:rPr>
      </w:pPr>
      <w:r w:rsidRPr="004F5FB4">
        <w:rPr>
          <w:color w:val="000000"/>
        </w:rPr>
        <w:t>Haarausfall</w:t>
      </w:r>
      <w:r w:rsidR="00A81574" w:rsidRPr="004F5FB4">
        <w:rPr>
          <w:color w:val="000000"/>
        </w:rPr>
        <w:t>,</w:t>
      </w:r>
    </w:p>
    <w:p w14:paraId="1187D74F" w14:textId="77777777" w:rsidR="00C46587" w:rsidRPr="004F5FB4" w:rsidRDefault="00A81574" w:rsidP="00982118">
      <w:pPr>
        <w:numPr>
          <w:ilvl w:val="0"/>
          <w:numId w:val="7"/>
        </w:numPr>
        <w:ind w:left="562" w:hanging="562"/>
        <w:rPr>
          <w:color w:val="000000"/>
        </w:rPr>
      </w:pPr>
      <w:r w:rsidRPr="004F5FB4">
        <w:rPr>
          <w:color w:val="000000"/>
        </w:rPr>
        <w:t>n</w:t>
      </w:r>
      <w:r w:rsidR="00C46587" w:rsidRPr="004F5FB4">
        <w:rPr>
          <w:color w:val="000000"/>
        </w:rPr>
        <w:t xml:space="preserve">euer Ausbruch oder Verschlechterung von Schuppenflechte </w:t>
      </w:r>
      <w:r w:rsidR="00C46587" w:rsidRPr="004F5FB4">
        <w:rPr>
          <w:i/>
          <w:color w:val="000000"/>
        </w:rPr>
        <w:t>(Psoriasis)</w:t>
      </w:r>
      <w:r w:rsidRPr="004F5FB4">
        <w:rPr>
          <w:color w:val="000000"/>
        </w:rPr>
        <w:t>,</w:t>
      </w:r>
    </w:p>
    <w:p w14:paraId="235BBBA8" w14:textId="77777777" w:rsidR="00C46587" w:rsidRPr="004F5FB4" w:rsidRDefault="00C46587" w:rsidP="00982118">
      <w:pPr>
        <w:numPr>
          <w:ilvl w:val="0"/>
          <w:numId w:val="7"/>
        </w:numPr>
        <w:ind w:left="562" w:hanging="562"/>
        <w:rPr>
          <w:color w:val="000000"/>
        </w:rPr>
      </w:pPr>
      <w:r w:rsidRPr="004F5FB4">
        <w:rPr>
          <w:color w:val="000000"/>
        </w:rPr>
        <w:t>Muskelkrämpfe</w:t>
      </w:r>
      <w:r w:rsidR="00A81574" w:rsidRPr="004F5FB4">
        <w:rPr>
          <w:color w:val="000000"/>
        </w:rPr>
        <w:t>,</w:t>
      </w:r>
    </w:p>
    <w:p w14:paraId="113ADA3A" w14:textId="77777777" w:rsidR="00C46587" w:rsidRPr="004F5FB4" w:rsidRDefault="00C46587" w:rsidP="00982118">
      <w:pPr>
        <w:numPr>
          <w:ilvl w:val="0"/>
          <w:numId w:val="7"/>
        </w:numPr>
        <w:ind w:left="562" w:hanging="562"/>
        <w:rPr>
          <w:color w:val="000000"/>
        </w:rPr>
      </w:pPr>
      <w:r w:rsidRPr="004F5FB4">
        <w:rPr>
          <w:color w:val="000000"/>
        </w:rPr>
        <w:lastRenderedPageBreak/>
        <w:t>Blut im Urin</w:t>
      </w:r>
      <w:r w:rsidR="00A81574" w:rsidRPr="004F5FB4">
        <w:rPr>
          <w:color w:val="000000"/>
        </w:rPr>
        <w:t>,</w:t>
      </w:r>
    </w:p>
    <w:p w14:paraId="19D28D68" w14:textId="77777777" w:rsidR="00C46587" w:rsidRPr="004F5FB4" w:rsidRDefault="00C46587" w:rsidP="00982118">
      <w:pPr>
        <w:numPr>
          <w:ilvl w:val="0"/>
          <w:numId w:val="7"/>
        </w:numPr>
        <w:ind w:left="562" w:hanging="562"/>
        <w:rPr>
          <w:color w:val="000000"/>
        </w:rPr>
      </w:pPr>
      <w:r w:rsidRPr="004F5FB4">
        <w:rPr>
          <w:color w:val="000000"/>
        </w:rPr>
        <w:t>Nierenprobleme</w:t>
      </w:r>
      <w:r w:rsidR="00A81574" w:rsidRPr="004F5FB4">
        <w:rPr>
          <w:color w:val="000000"/>
        </w:rPr>
        <w:t>,</w:t>
      </w:r>
    </w:p>
    <w:p w14:paraId="3D879A4F" w14:textId="77777777" w:rsidR="00C46587" w:rsidRPr="004F5FB4" w:rsidRDefault="00C46587" w:rsidP="00982118">
      <w:pPr>
        <w:numPr>
          <w:ilvl w:val="0"/>
          <w:numId w:val="7"/>
        </w:numPr>
        <w:ind w:left="562" w:hanging="562"/>
        <w:rPr>
          <w:color w:val="000000"/>
        </w:rPr>
      </w:pPr>
      <w:r w:rsidRPr="004F5FB4">
        <w:rPr>
          <w:color w:val="000000"/>
        </w:rPr>
        <w:t>Schmerzen im Brustraum</w:t>
      </w:r>
      <w:r w:rsidR="00A81574" w:rsidRPr="004F5FB4">
        <w:rPr>
          <w:color w:val="000000"/>
        </w:rPr>
        <w:t>,</w:t>
      </w:r>
    </w:p>
    <w:p w14:paraId="1637A623" w14:textId="77777777" w:rsidR="00C46587" w:rsidRPr="004F5FB4" w:rsidRDefault="00C46587" w:rsidP="00982118">
      <w:pPr>
        <w:numPr>
          <w:ilvl w:val="0"/>
          <w:numId w:val="7"/>
        </w:numPr>
        <w:ind w:left="562" w:hanging="562"/>
        <w:rPr>
          <w:color w:val="000000"/>
        </w:rPr>
      </w:pPr>
      <w:r w:rsidRPr="004F5FB4">
        <w:rPr>
          <w:color w:val="000000"/>
        </w:rPr>
        <w:t xml:space="preserve">Wasseransammlung im Körper mit Schwellung des betroffenen Gewebes </w:t>
      </w:r>
      <w:r w:rsidRPr="004F5FB4">
        <w:rPr>
          <w:i/>
          <w:color w:val="000000"/>
        </w:rPr>
        <w:t>(Ödem)</w:t>
      </w:r>
      <w:r w:rsidR="00A81574" w:rsidRPr="004F5FB4">
        <w:rPr>
          <w:color w:val="000000"/>
        </w:rPr>
        <w:t>,</w:t>
      </w:r>
    </w:p>
    <w:p w14:paraId="6FED5398" w14:textId="77777777" w:rsidR="00C46587" w:rsidRPr="004F5FB4" w:rsidRDefault="00C46587" w:rsidP="00982118">
      <w:pPr>
        <w:numPr>
          <w:ilvl w:val="0"/>
          <w:numId w:val="7"/>
        </w:numPr>
        <w:ind w:left="562" w:hanging="562"/>
        <w:rPr>
          <w:color w:val="000000"/>
        </w:rPr>
      </w:pPr>
      <w:r w:rsidRPr="004F5FB4">
        <w:rPr>
          <w:color w:val="000000"/>
        </w:rPr>
        <w:t>Fieber</w:t>
      </w:r>
      <w:r w:rsidR="00A81574" w:rsidRPr="004F5FB4">
        <w:rPr>
          <w:color w:val="000000"/>
        </w:rPr>
        <w:t>,</w:t>
      </w:r>
    </w:p>
    <w:p w14:paraId="7EACE7F9" w14:textId="77777777" w:rsidR="00C46587" w:rsidRPr="004F5FB4" w:rsidRDefault="00C46587" w:rsidP="00982118">
      <w:pPr>
        <w:numPr>
          <w:ilvl w:val="0"/>
          <w:numId w:val="7"/>
        </w:numPr>
        <w:ind w:left="562" w:hanging="562"/>
        <w:rPr>
          <w:color w:val="000000"/>
        </w:rPr>
      </w:pPr>
      <w:r w:rsidRPr="004F5FB4">
        <w:rPr>
          <w:color w:val="000000"/>
        </w:rPr>
        <w:t>Verringerung der Blutplättchen, dadurch erhöhtes Risiko für Blutungen oder blaue Flecken</w:t>
      </w:r>
      <w:r w:rsidR="00A81574" w:rsidRPr="004F5FB4">
        <w:rPr>
          <w:color w:val="000000"/>
        </w:rPr>
        <w:t>,</w:t>
      </w:r>
    </w:p>
    <w:p w14:paraId="4A4C421A" w14:textId="77777777" w:rsidR="00C46587" w:rsidRPr="004F5FB4" w:rsidRDefault="00A81574" w:rsidP="00982118">
      <w:pPr>
        <w:numPr>
          <w:ilvl w:val="0"/>
          <w:numId w:val="7"/>
        </w:numPr>
        <w:ind w:left="562" w:hanging="562"/>
        <w:rPr>
          <w:color w:val="000000"/>
        </w:rPr>
      </w:pPr>
      <w:r w:rsidRPr="004F5FB4">
        <w:rPr>
          <w:color w:val="000000"/>
        </w:rPr>
        <w:t>v</w:t>
      </w:r>
      <w:r w:rsidR="00C46587" w:rsidRPr="004F5FB4">
        <w:rPr>
          <w:color w:val="000000"/>
        </w:rPr>
        <w:t xml:space="preserve">erzögerte Wundheilung. </w:t>
      </w:r>
    </w:p>
    <w:p w14:paraId="6A90C904" w14:textId="77777777" w:rsidR="00C46587" w:rsidRPr="004F5FB4" w:rsidRDefault="00C46587" w:rsidP="00982118">
      <w:pPr>
        <w:rPr>
          <w:color w:val="000000"/>
          <w:lang w:val="en-GB"/>
        </w:rPr>
      </w:pPr>
    </w:p>
    <w:p w14:paraId="4F7C9C08" w14:textId="77777777" w:rsidR="00C46587" w:rsidRPr="004F5FB4" w:rsidRDefault="00C46587" w:rsidP="00982118">
      <w:pPr>
        <w:rPr>
          <w:color w:val="000000"/>
        </w:rPr>
      </w:pPr>
      <w:r w:rsidRPr="004F5FB4">
        <w:rPr>
          <w:b/>
          <w:bCs/>
          <w:color w:val="000000"/>
        </w:rPr>
        <w:t>Gelegentlich</w:t>
      </w:r>
      <w:r w:rsidRPr="004F5FB4">
        <w:rPr>
          <w:color w:val="000000"/>
        </w:rPr>
        <w:t xml:space="preserve"> (kann bis zu 1 von 100</w:t>
      </w:r>
      <w:r w:rsidR="00A81574" w:rsidRPr="004F5FB4">
        <w:rPr>
          <w:color w:val="000000"/>
        </w:rPr>
        <w:t> </w:t>
      </w:r>
      <w:r w:rsidR="00116420" w:rsidRPr="004F5FB4">
        <w:rPr>
          <w:color w:val="000000"/>
        </w:rPr>
        <w:t xml:space="preserve">Behandelten </w:t>
      </w:r>
      <w:r w:rsidRPr="004F5FB4">
        <w:rPr>
          <w:color w:val="000000"/>
        </w:rPr>
        <w:t>betreffen)</w:t>
      </w:r>
    </w:p>
    <w:p w14:paraId="7A7AC93A" w14:textId="77777777" w:rsidR="00C46587" w:rsidRPr="004F5FB4" w:rsidRDefault="00C46587" w:rsidP="00982118">
      <w:pPr>
        <w:rPr>
          <w:color w:val="000000"/>
        </w:rPr>
      </w:pPr>
    </w:p>
    <w:p w14:paraId="5386AC9B" w14:textId="77777777" w:rsidR="00C46587" w:rsidRPr="004F5FB4" w:rsidRDefault="00C46587" w:rsidP="00982118">
      <w:pPr>
        <w:numPr>
          <w:ilvl w:val="0"/>
          <w:numId w:val="7"/>
        </w:numPr>
        <w:ind w:left="562" w:hanging="562"/>
        <w:rPr>
          <w:color w:val="000000"/>
        </w:rPr>
      </w:pPr>
      <w:r w:rsidRPr="004F5FB4">
        <w:rPr>
          <w:color w:val="000000"/>
        </w:rPr>
        <w:t>Tuberkulose und andere Infektionen, die auftreten, wenn die Widerstandskraft gegenüber Krankheiten vermindert ist (opportunistische [ungewöhnliche] Infektionen)</w:t>
      </w:r>
      <w:r w:rsidR="00950B55" w:rsidRPr="004F5FB4">
        <w:rPr>
          <w:color w:val="000000"/>
        </w:rPr>
        <w:t>,</w:t>
      </w:r>
    </w:p>
    <w:p w14:paraId="70989DEF" w14:textId="77777777" w:rsidR="00C46587" w:rsidRPr="004F5FB4" w:rsidRDefault="00950B55" w:rsidP="00982118">
      <w:pPr>
        <w:numPr>
          <w:ilvl w:val="0"/>
          <w:numId w:val="7"/>
        </w:numPr>
        <w:ind w:left="562" w:hanging="562"/>
        <w:rPr>
          <w:color w:val="000000"/>
        </w:rPr>
      </w:pPr>
      <w:r w:rsidRPr="004F5FB4">
        <w:rPr>
          <w:color w:val="000000"/>
        </w:rPr>
        <w:t>n</w:t>
      </w:r>
      <w:r w:rsidR="00C46587" w:rsidRPr="004F5FB4">
        <w:rPr>
          <w:color w:val="000000"/>
        </w:rPr>
        <w:t>eurologische Infekte (einschließlich viraler Hirnhautentzündung)</w:t>
      </w:r>
      <w:r w:rsidRPr="004F5FB4">
        <w:rPr>
          <w:color w:val="000000"/>
        </w:rPr>
        <w:t>,</w:t>
      </w:r>
    </w:p>
    <w:p w14:paraId="29EFBBAF" w14:textId="77777777" w:rsidR="00C46587" w:rsidRPr="004F5FB4" w:rsidRDefault="00C46587" w:rsidP="00982118">
      <w:pPr>
        <w:numPr>
          <w:ilvl w:val="0"/>
          <w:numId w:val="7"/>
        </w:numPr>
        <w:ind w:left="562" w:hanging="562"/>
        <w:rPr>
          <w:color w:val="000000"/>
        </w:rPr>
      </w:pPr>
      <w:r w:rsidRPr="004F5FB4">
        <w:rPr>
          <w:color w:val="000000"/>
        </w:rPr>
        <w:t>Augeninfektionen</w:t>
      </w:r>
      <w:r w:rsidR="00950B55" w:rsidRPr="004F5FB4">
        <w:rPr>
          <w:color w:val="000000"/>
        </w:rPr>
        <w:t>,</w:t>
      </w:r>
    </w:p>
    <w:p w14:paraId="6CFFE4BD" w14:textId="77777777" w:rsidR="00C46587" w:rsidRPr="004F5FB4" w:rsidRDefault="00950B55" w:rsidP="00982118">
      <w:pPr>
        <w:numPr>
          <w:ilvl w:val="0"/>
          <w:numId w:val="7"/>
        </w:numPr>
        <w:ind w:left="562" w:hanging="562"/>
        <w:rPr>
          <w:color w:val="000000"/>
        </w:rPr>
      </w:pPr>
      <w:r w:rsidRPr="004F5FB4">
        <w:rPr>
          <w:color w:val="000000"/>
        </w:rPr>
        <w:t>b</w:t>
      </w:r>
      <w:r w:rsidR="00C46587" w:rsidRPr="004F5FB4">
        <w:rPr>
          <w:color w:val="000000"/>
        </w:rPr>
        <w:t>akterielle Infektionen</w:t>
      </w:r>
      <w:r w:rsidRPr="004F5FB4">
        <w:rPr>
          <w:color w:val="000000"/>
        </w:rPr>
        <w:t>,</w:t>
      </w:r>
    </w:p>
    <w:p w14:paraId="2FF72165" w14:textId="77777777" w:rsidR="00C46587" w:rsidRPr="004F5FB4" w:rsidRDefault="00C46587" w:rsidP="00982118">
      <w:pPr>
        <w:numPr>
          <w:ilvl w:val="0"/>
          <w:numId w:val="7"/>
        </w:numPr>
        <w:ind w:left="562" w:hanging="562"/>
        <w:rPr>
          <w:color w:val="000000"/>
        </w:rPr>
      </w:pPr>
      <w:r w:rsidRPr="004F5FB4">
        <w:rPr>
          <w:color w:val="000000"/>
        </w:rPr>
        <w:t xml:space="preserve">Entzündung und Infektion des Dickdarms </w:t>
      </w:r>
      <w:r w:rsidRPr="004F5FB4">
        <w:rPr>
          <w:i/>
          <w:color w:val="000000"/>
        </w:rPr>
        <w:t>(Divertikulitis)</w:t>
      </w:r>
      <w:r w:rsidR="00950B55" w:rsidRPr="004F5FB4">
        <w:rPr>
          <w:color w:val="000000"/>
        </w:rPr>
        <w:t>,</w:t>
      </w:r>
    </w:p>
    <w:p w14:paraId="36C8E78C" w14:textId="77777777" w:rsidR="00C46587" w:rsidRPr="004F5FB4" w:rsidRDefault="00C46587" w:rsidP="00982118">
      <w:pPr>
        <w:numPr>
          <w:ilvl w:val="0"/>
          <w:numId w:val="7"/>
        </w:numPr>
        <w:ind w:left="562" w:hanging="562"/>
        <w:rPr>
          <w:color w:val="000000"/>
        </w:rPr>
      </w:pPr>
      <w:r w:rsidRPr="004F5FB4">
        <w:rPr>
          <w:color w:val="000000"/>
        </w:rPr>
        <w:t xml:space="preserve">Krebserkrankungen, einschließlich Krebs, der das Lymphsystem betrifft </w:t>
      </w:r>
      <w:r w:rsidRPr="004F5FB4">
        <w:rPr>
          <w:i/>
          <w:color w:val="000000"/>
        </w:rPr>
        <w:t>(Lymphom)</w:t>
      </w:r>
      <w:r w:rsidRPr="004F5FB4">
        <w:rPr>
          <w:color w:val="000000"/>
        </w:rPr>
        <w:t xml:space="preserve">, und Hautkrebs </w:t>
      </w:r>
      <w:r w:rsidRPr="004F5FB4">
        <w:rPr>
          <w:i/>
          <w:color w:val="000000"/>
        </w:rPr>
        <w:t>(Melanom)</w:t>
      </w:r>
      <w:r w:rsidR="00950B55" w:rsidRPr="004F5FB4">
        <w:rPr>
          <w:color w:val="000000"/>
        </w:rPr>
        <w:t>,</w:t>
      </w:r>
    </w:p>
    <w:p w14:paraId="5467C71E" w14:textId="77777777" w:rsidR="00C46587" w:rsidRPr="004F5FB4" w:rsidRDefault="00C46587" w:rsidP="00982118">
      <w:pPr>
        <w:numPr>
          <w:ilvl w:val="0"/>
          <w:numId w:val="7"/>
        </w:numPr>
        <w:ind w:left="562" w:hanging="562"/>
        <w:rPr>
          <w:color w:val="000000"/>
        </w:rPr>
      </w:pPr>
      <w:r w:rsidRPr="004F5FB4">
        <w:rPr>
          <w:color w:val="000000"/>
        </w:rPr>
        <w:t>Immunstörungen, welche die Lunge, Haut und Lymphknoten betreffen können (kommen am häufigsten als eine Krankheit vor, die als Sarkoidose bezeichnet wird)</w:t>
      </w:r>
      <w:r w:rsidR="00950B55" w:rsidRPr="004F5FB4">
        <w:rPr>
          <w:color w:val="000000"/>
        </w:rPr>
        <w:t>,</w:t>
      </w:r>
    </w:p>
    <w:p w14:paraId="2C4E9AE6" w14:textId="77777777" w:rsidR="00C46587" w:rsidRPr="004F5FB4" w:rsidRDefault="00C46587" w:rsidP="00982118">
      <w:pPr>
        <w:numPr>
          <w:ilvl w:val="0"/>
          <w:numId w:val="7"/>
        </w:numPr>
        <w:ind w:left="562" w:hanging="562"/>
        <w:rPr>
          <w:color w:val="000000"/>
        </w:rPr>
      </w:pPr>
      <w:r w:rsidRPr="004F5FB4">
        <w:rPr>
          <w:i/>
          <w:color w:val="000000"/>
        </w:rPr>
        <w:t>Vaskulitis</w:t>
      </w:r>
      <w:r w:rsidRPr="004F5FB4">
        <w:rPr>
          <w:color w:val="000000"/>
        </w:rPr>
        <w:t xml:space="preserve"> (Entzündung der Blutgefäße)</w:t>
      </w:r>
      <w:r w:rsidR="00950B55" w:rsidRPr="004F5FB4">
        <w:rPr>
          <w:color w:val="000000"/>
        </w:rPr>
        <w:t>,</w:t>
      </w:r>
    </w:p>
    <w:p w14:paraId="5E992A97" w14:textId="77777777" w:rsidR="00C46587" w:rsidRPr="004F5FB4" w:rsidRDefault="00C46587" w:rsidP="00982118">
      <w:pPr>
        <w:numPr>
          <w:ilvl w:val="0"/>
          <w:numId w:val="7"/>
        </w:numPr>
        <w:ind w:left="562" w:hanging="562"/>
        <w:rPr>
          <w:color w:val="000000"/>
        </w:rPr>
      </w:pPr>
      <w:r w:rsidRPr="004F5FB4">
        <w:rPr>
          <w:color w:val="000000"/>
        </w:rPr>
        <w:t xml:space="preserve">Zittern </w:t>
      </w:r>
      <w:r w:rsidRPr="004F5FB4">
        <w:rPr>
          <w:i/>
          <w:color w:val="000000"/>
        </w:rPr>
        <w:t>(Tremor)</w:t>
      </w:r>
      <w:r w:rsidR="00950B55" w:rsidRPr="004F5FB4">
        <w:rPr>
          <w:color w:val="000000"/>
        </w:rPr>
        <w:t>,</w:t>
      </w:r>
    </w:p>
    <w:p w14:paraId="3503D62C" w14:textId="77777777" w:rsidR="00C46587" w:rsidRPr="004F5FB4" w:rsidRDefault="00C46587" w:rsidP="00982118">
      <w:pPr>
        <w:numPr>
          <w:ilvl w:val="0"/>
          <w:numId w:val="7"/>
        </w:numPr>
        <w:ind w:left="562" w:hanging="562"/>
        <w:rPr>
          <w:color w:val="000000"/>
        </w:rPr>
      </w:pPr>
      <w:r w:rsidRPr="004F5FB4">
        <w:rPr>
          <w:color w:val="000000"/>
        </w:rPr>
        <w:t xml:space="preserve">Nervenschädigung </w:t>
      </w:r>
      <w:r w:rsidRPr="004F5FB4">
        <w:rPr>
          <w:i/>
          <w:color w:val="000000"/>
        </w:rPr>
        <w:t>(Neuropathie)</w:t>
      </w:r>
      <w:r w:rsidR="00950B55" w:rsidRPr="004F5FB4">
        <w:rPr>
          <w:color w:val="000000"/>
        </w:rPr>
        <w:t>,</w:t>
      </w:r>
    </w:p>
    <w:p w14:paraId="6F3C1E5D" w14:textId="77777777" w:rsidR="00357572" w:rsidRPr="004F5FB4" w:rsidRDefault="00C46587" w:rsidP="00982118">
      <w:pPr>
        <w:numPr>
          <w:ilvl w:val="0"/>
          <w:numId w:val="7"/>
        </w:numPr>
        <w:ind w:left="562" w:hanging="562"/>
        <w:rPr>
          <w:color w:val="000000"/>
        </w:rPr>
      </w:pPr>
      <w:r w:rsidRPr="004F5FB4">
        <w:rPr>
          <w:color w:val="000000"/>
        </w:rPr>
        <w:t>Schlaganfall</w:t>
      </w:r>
      <w:r w:rsidR="00950B55" w:rsidRPr="004F5FB4">
        <w:rPr>
          <w:color w:val="000000"/>
        </w:rPr>
        <w:t>,</w:t>
      </w:r>
    </w:p>
    <w:p w14:paraId="7065C174" w14:textId="77777777" w:rsidR="00C46587" w:rsidRPr="004F5FB4" w:rsidRDefault="00357572" w:rsidP="00982118">
      <w:pPr>
        <w:numPr>
          <w:ilvl w:val="0"/>
          <w:numId w:val="7"/>
        </w:numPr>
        <w:ind w:left="562" w:hanging="562"/>
        <w:rPr>
          <w:color w:val="000000"/>
        </w:rPr>
      </w:pPr>
      <w:r w:rsidRPr="004F5FB4">
        <w:rPr>
          <w:color w:val="000000"/>
        </w:rPr>
        <w:t>Doppeltsehen</w:t>
      </w:r>
      <w:r w:rsidR="00950B55" w:rsidRPr="004F5FB4">
        <w:rPr>
          <w:color w:val="000000"/>
        </w:rPr>
        <w:t>,</w:t>
      </w:r>
    </w:p>
    <w:p w14:paraId="0ABB8019" w14:textId="77777777" w:rsidR="00C46587" w:rsidRPr="004F5FB4" w:rsidRDefault="00C46587" w:rsidP="00982118">
      <w:pPr>
        <w:numPr>
          <w:ilvl w:val="0"/>
          <w:numId w:val="7"/>
        </w:numPr>
        <w:ind w:left="562" w:hanging="562"/>
        <w:rPr>
          <w:color w:val="000000"/>
        </w:rPr>
      </w:pPr>
      <w:r w:rsidRPr="004F5FB4">
        <w:rPr>
          <w:color w:val="000000"/>
        </w:rPr>
        <w:t>Hörverlust, Ohrensausen</w:t>
      </w:r>
      <w:r w:rsidR="00950B55" w:rsidRPr="004F5FB4">
        <w:rPr>
          <w:color w:val="000000"/>
        </w:rPr>
        <w:t>,</w:t>
      </w:r>
    </w:p>
    <w:p w14:paraId="562DE36C" w14:textId="77777777" w:rsidR="00C46587" w:rsidRPr="004F5FB4" w:rsidRDefault="00950B55" w:rsidP="00982118">
      <w:pPr>
        <w:numPr>
          <w:ilvl w:val="0"/>
          <w:numId w:val="7"/>
        </w:numPr>
        <w:ind w:left="562" w:hanging="562"/>
        <w:rPr>
          <w:color w:val="000000"/>
        </w:rPr>
      </w:pPr>
      <w:r w:rsidRPr="004F5FB4">
        <w:rPr>
          <w:color w:val="000000"/>
        </w:rPr>
        <w:t>u</w:t>
      </w:r>
      <w:r w:rsidR="00C46587" w:rsidRPr="004F5FB4">
        <w:rPr>
          <w:color w:val="000000"/>
        </w:rPr>
        <w:t>nregelmäßiger Herzschlag, wie z. B. übersprungene Schläge</w:t>
      </w:r>
      <w:r w:rsidRPr="004F5FB4">
        <w:rPr>
          <w:color w:val="000000"/>
        </w:rPr>
        <w:t>,</w:t>
      </w:r>
    </w:p>
    <w:p w14:paraId="397A83BF" w14:textId="77777777" w:rsidR="00C46587" w:rsidRPr="004F5FB4" w:rsidRDefault="00C46587" w:rsidP="00982118">
      <w:pPr>
        <w:numPr>
          <w:ilvl w:val="0"/>
          <w:numId w:val="7"/>
        </w:numPr>
        <w:ind w:left="562" w:hanging="562"/>
        <w:rPr>
          <w:color w:val="000000"/>
        </w:rPr>
      </w:pPr>
      <w:r w:rsidRPr="004F5FB4">
        <w:rPr>
          <w:color w:val="000000"/>
        </w:rPr>
        <w:t>Herzprobleme, die zu Kurzatmigkeit und Anschwellen der Fußknöchel führen können</w:t>
      </w:r>
      <w:r w:rsidR="00950B55" w:rsidRPr="004F5FB4">
        <w:rPr>
          <w:color w:val="000000"/>
        </w:rPr>
        <w:t>,</w:t>
      </w:r>
    </w:p>
    <w:p w14:paraId="2C1D043D" w14:textId="01B7FD58" w:rsidR="00C46587" w:rsidRPr="004F5FB4" w:rsidRDefault="00C46587" w:rsidP="00982118">
      <w:pPr>
        <w:numPr>
          <w:ilvl w:val="0"/>
          <w:numId w:val="7"/>
        </w:numPr>
        <w:ind w:left="562" w:hanging="562"/>
        <w:rPr>
          <w:color w:val="000000"/>
        </w:rPr>
      </w:pPr>
      <w:r w:rsidRPr="004F5FB4">
        <w:rPr>
          <w:color w:val="000000"/>
        </w:rPr>
        <w:t>Herzinfarkt</w:t>
      </w:r>
      <w:r w:rsidR="009A703A">
        <w:rPr>
          <w:color w:val="000000"/>
        </w:rPr>
        <w:t>,</w:t>
      </w:r>
      <w:r w:rsidRPr="004F5FB4">
        <w:rPr>
          <w:color w:val="000000"/>
        </w:rPr>
        <w:t xml:space="preserve"> </w:t>
      </w:r>
    </w:p>
    <w:p w14:paraId="7038676F" w14:textId="77777777" w:rsidR="00C46587" w:rsidRPr="004F5FB4" w:rsidRDefault="00950B55" w:rsidP="00982118">
      <w:pPr>
        <w:numPr>
          <w:ilvl w:val="0"/>
          <w:numId w:val="7"/>
        </w:numPr>
        <w:ind w:left="562" w:hanging="562"/>
        <w:rPr>
          <w:color w:val="000000"/>
        </w:rPr>
      </w:pPr>
      <w:r w:rsidRPr="004F5FB4">
        <w:rPr>
          <w:color w:val="000000"/>
        </w:rPr>
        <w:t>e</w:t>
      </w:r>
      <w:r w:rsidR="00C46587" w:rsidRPr="004F5FB4">
        <w:rPr>
          <w:color w:val="000000"/>
        </w:rPr>
        <w:t>ine Ausbuchtung in der Wand einer Hauptarterie, Entzündung und Blutgerinnsel in einer Vene, Verstopfung eines Blutgefäßes</w:t>
      </w:r>
      <w:r w:rsidRPr="004F5FB4">
        <w:rPr>
          <w:color w:val="000000"/>
        </w:rPr>
        <w:t>,</w:t>
      </w:r>
    </w:p>
    <w:p w14:paraId="3EE4EDE8" w14:textId="77777777" w:rsidR="00C46587" w:rsidRPr="004F5FB4" w:rsidRDefault="00C46587" w:rsidP="00982118">
      <w:pPr>
        <w:numPr>
          <w:ilvl w:val="0"/>
          <w:numId w:val="7"/>
        </w:numPr>
        <w:ind w:left="562" w:hanging="562"/>
        <w:rPr>
          <w:color w:val="000000"/>
        </w:rPr>
      </w:pPr>
      <w:r w:rsidRPr="004F5FB4">
        <w:rPr>
          <w:color w:val="000000"/>
        </w:rPr>
        <w:t>Lungenerkrankungen, die sich in Kurzatmigkeit äußern (einschließlich Entzündung)</w:t>
      </w:r>
      <w:r w:rsidR="00950B55" w:rsidRPr="004F5FB4">
        <w:rPr>
          <w:color w:val="000000"/>
        </w:rPr>
        <w:t>,</w:t>
      </w:r>
    </w:p>
    <w:p w14:paraId="6F87BC5D" w14:textId="77777777" w:rsidR="00C46587" w:rsidRPr="004F5FB4" w:rsidRDefault="00C46587" w:rsidP="00982118">
      <w:pPr>
        <w:numPr>
          <w:ilvl w:val="0"/>
          <w:numId w:val="7"/>
        </w:numPr>
        <w:ind w:left="562" w:hanging="562"/>
        <w:rPr>
          <w:color w:val="000000"/>
        </w:rPr>
      </w:pPr>
      <w:r w:rsidRPr="004F5FB4">
        <w:rPr>
          <w:color w:val="000000"/>
        </w:rPr>
        <w:t>Lungenembolie (Verschluss in einer Lungenarterie)</w:t>
      </w:r>
      <w:r w:rsidR="00950B55" w:rsidRPr="004F5FB4">
        <w:rPr>
          <w:color w:val="000000"/>
        </w:rPr>
        <w:t>,</w:t>
      </w:r>
    </w:p>
    <w:p w14:paraId="455228E1" w14:textId="77777777" w:rsidR="00C46587" w:rsidRPr="004F5FB4" w:rsidRDefault="00950B55" w:rsidP="00982118">
      <w:pPr>
        <w:numPr>
          <w:ilvl w:val="0"/>
          <w:numId w:val="7"/>
        </w:numPr>
        <w:ind w:left="562" w:hanging="562"/>
        <w:rPr>
          <w:color w:val="000000"/>
        </w:rPr>
      </w:pPr>
      <w:r w:rsidRPr="004F5FB4">
        <w:rPr>
          <w:color w:val="000000"/>
        </w:rPr>
        <w:t>n</w:t>
      </w:r>
      <w:r w:rsidR="00C46587" w:rsidRPr="004F5FB4">
        <w:rPr>
          <w:color w:val="000000"/>
        </w:rPr>
        <w:t xml:space="preserve">icht normale Ansammlung von Flüssigkeit in der Umgebung der Lunge </w:t>
      </w:r>
      <w:r w:rsidR="00C46587" w:rsidRPr="004F5FB4">
        <w:rPr>
          <w:i/>
          <w:color w:val="000000"/>
        </w:rPr>
        <w:t>(Pleuraerguss)</w:t>
      </w:r>
      <w:r w:rsidRPr="004F5FB4">
        <w:rPr>
          <w:color w:val="000000"/>
        </w:rPr>
        <w:t>,</w:t>
      </w:r>
    </w:p>
    <w:p w14:paraId="7BF72B8F" w14:textId="77777777" w:rsidR="00C46587" w:rsidRPr="004F5FB4" w:rsidRDefault="00C46587" w:rsidP="00982118">
      <w:pPr>
        <w:numPr>
          <w:ilvl w:val="0"/>
          <w:numId w:val="7"/>
        </w:numPr>
        <w:ind w:left="562" w:hanging="562"/>
        <w:rPr>
          <w:color w:val="000000"/>
        </w:rPr>
      </w:pPr>
      <w:r w:rsidRPr="004F5FB4">
        <w:rPr>
          <w:color w:val="000000"/>
        </w:rPr>
        <w:t>Entzündung der Bauchspeicheldrüse, die starke Schmerzen im Bauchraum und Rücken verursacht</w:t>
      </w:r>
      <w:r w:rsidR="00950B55" w:rsidRPr="004F5FB4">
        <w:rPr>
          <w:color w:val="000000"/>
        </w:rPr>
        <w:t>,</w:t>
      </w:r>
    </w:p>
    <w:p w14:paraId="544EF566" w14:textId="77777777" w:rsidR="00C46587" w:rsidRPr="004F5FB4" w:rsidRDefault="00C46587" w:rsidP="00982118">
      <w:pPr>
        <w:numPr>
          <w:ilvl w:val="0"/>
          <w:numId w:val="7"/>
        </w:numPr>
        <w:ind w:left="562" w:hanging="562"/>
        <w:rPr>
          <w:color w:val="000000"/>
        </w:rPr>
      </w:pPr>
      <w:r w:rsidRPr="004F5FB4">
        <w:rPr>
          <w:color w:val="000000"/>
        </w:rPr>
        <w:t>Schluckstörungen</w:t>
      </w:r>
      <w:r w:rsidR="00950B55" w:rsidRPr="004F5FB4">
        <w:rPr>
          <w:color w:val="000000"/>
        </w:rPr>
        <w:t>,</w:t>
      </w:r>
    </w:p>
    <w:p w14:paraId="74292BFC" w14:textId="77777777" w:rsidR="00C46587" w:rsidRPr="004F5FB4" w:rsidRDefault="00C46587" w:rsidP="00982118">
      <w:pPr>
        <w:numPr>
          <w:ilvl w:val="0"/>
          <w:numId w:val="7"/>
        </w:numPr>
        <w:ind w:left="562" w:hanging="562"/>
        <w:rPr>
          <w:color w:val="000000"/>
        </w:rPr>
      </w:pPr>
      <w:r w:rsidRPr="004F5FB4">
        <w:rPr>
          <w:color w:val="000000"/>
        </w:rPr>
        <w:t xml:space="preserve">Gesichtsschwellung </w:t>
      </w:r>
      <w:r w:rsidRPr="004F5FB4">
        <w:rPr>
          <w:i/>
          <w:color w:val="000000"/>
        </w:rPr>
        <w:t>(Gesichtsödem)</w:t>
      </w:r>
      <w:r w:rsidR="00950B55" w:rsidRPr="004F5FB4">
        <w:rPr>
          <w:color w:val="000000"/>
        </w:rPr>
        <w:t>,</w:t>
      </w:r>
    </w:p>
    <w:p w14:paraId="6A894BE5" w14:textId="77777777" w:rsidR="00C46587" w:rsidRPr="004F5FB4" w:rsidRDefault="00C46587" w:rsidP="00982118">
      <w:pPr>
        <w:numPr>
          <w:ilvl w:val="0"/>
          <w:numId w:val="7"/>
        </w:numPr>
        <w:ind w:left="562" w:hanging="562"/>
        <w:rPr>
          <w:color w:val="000000"/>
        </w:rPr>
      </w:pPr>
      <w:r w:rsidRPr="004F5FB4">
        <w:rPr>
          <w:color w:val="000000"/>
        </w:rPr>
        <w:t>Gallenblasenentzündung, Gallensteine</w:t>
      </w:r>
      <w:r w:rsidR="00950B55" w:rsidRPr="004F5FB4">
        <w:rPr>
          <w:color w:val="000000"/>
        </w:rPr>
        <w:t>,</w:t>
      </w:r>
    </w:p>
    <w:p w14:paraId="30317904" w14:textId="77777777" w:rsidR="00C46587" w:rsidRPr="004F5FB4" w:rsidRDefault="00C46587" w:rsidP="00982118">
      <w:pPr>
        <w:numPr>
          <w:ilvl w:val="0"/>
          <w:numId w:val="7"/>
        </w:numPr>
        <w:ind w:left="562" w:hanging="562"/>
        <w:rPr>
          <w:color w:val="000000"/>
        </w:rPr>
      </w:pPr>
      <w:r w:rsidRPr="004F5FB4">
        <w:rPr>
          <w:color w:val="000000"/>
        </w:rPr>
        <w:t>Fettleber (Einlagerung von Fett in die Leberzellen)</w:t>
      </w:r>
      <w:r w:rsidR="00950B55" w:rsidRPr="004F5FB4">
        <w:rPr>
          <w:color w:val="000000"/>
        </w:rPr>
        <w:t>,</w:t>
      </w:r>
    </w:p>
    <w:p w14:paraId="74FC6CB6" w14:textId="77777777" w:rsidR="00C46587" w:rsidRPr="004F5FB4" w:rsidRDefault="00950B55" w:rsidP="00982118">
      <w:pPr>
        <w:numPr>
          <w:ilvl w:val="0"/>
          <w:numId w:val="7"/>
        </w:numPr>
        <w:ind w:left="562" w:hanging="562"/>
        <w:rPr>
          <w:color w:val="000000"/>
        </w:rPr>
      </w:pPr>
      <w:r w:rsidRPr="004F5FB4">
        <w:rPr>
          <w:color w:val="000000"/>
        </w:rPr>
        <w:t>n</w:t>
      </w:r>
      <w:r w:rsidR="00C46587" w:rsidRPr="004F5FB4">
        <w:rPr>
          <w:color w:val="000000"/>
        </w:rPr>
        <w:t>ächtliches Schwitzen</w:t>
      </w:r>
      <w:r w:rsidRPr="004F5FB4">
        <w:rPr>
          <w:color w:val="000000"/>
        </w:rPr>
        <w:t>,</w:t>
      </w:r>
    </w:p>
    <w:p w14:paraId="12E36F4A" w14:textId="77777777" w:rsidR="00C46587" w:rsidRPr="004F5FB4" w:rsidRDefault="00C46587" w:rsidP="00982118">
      <w:pPr>
        <w:numPr>
          <w:ilvl w:val="0"/>
          <w:numId w:val="7"/>
        </w:numPr>
        <w:ind w:left="562" w:hanging="562"/>
        <w:rPr>
          <w:color w:val="000000"/>
        </w:rPr>
      </w:pPr>
      <w:r w:rsidRPr="004F5FB4">
        <w:rPr>
          <w:color w:val="000000"/>
        </w:rPr>
        <w:t>Narbenbildung</w:t>
      </w:r>
      <w:r w:rsidR="00950B55" w:rsidRPr="004F5FB4">
        <w:rPr>
          <w:color w:val="000000"/>
        </w:rPr>
        <w:t>,</w:t>
      </w:r>
    </w:p>
    <w:p w14:paraId="3A313663" w14:textId="77777777" w:rsidR="00C46587" w:rsidRPr="004F5FB4" w:rsidRDefault="00950B55" w:rsidP="00982118">
      <w:pPr>
        <w:numPr>
          <w:ilvl w:val="0"/>
          <w:numId w:val="7"/>
        </w:numPr>
        <w:ind w:left="562" w:hanging="562"/>
        <w:rPr>
          <w:color w:val="000000"/>
        </w:rPr>
      </w:pPr>
      <w:r w:rsidRPr="004F5FB4">
        <w:rPr>
          <w:color w:val="000000"/>
        </w:rPr>
        <w:t>a</w:t>
      </w:r>
      <w:r w:rsidR="00C46587" w:rsidRPr="004F5FB4">
        <w:rPr>
          <w:color w:val="000000"/>
        </w:rPr>
        <w:t>bnormaler Muskelabbau</w:t>
      </w:r>
      <w:r w:rsidRPr="004F5FB4">
        <w:rPr>
          <w:color w:val="000000"/>
        </w:rPr>
        <w:t>,</w:t>
      </w:r>
    </w:p>
    <w:p w14:paraId="0D0038E7" w14:textId="77777777" w:rsidR="00C46587" w:rsidRPr="004F5FB4" w:rsidRDefault="00950B55" w:rsidP="00982118">
      <w:pPr>
        <w:numPr>
          <w:ilvl w:val="0"/>
          <w:numId w:val="7"/>
        </w:numPr>
        <w:ind w:left="562" w:hanging="562"/>
        <w:rPr>
          <w:color w:val="000000"/>
        </w:rPr>
      </w:pPr>
      <w:r w:rsidRPr="004F5FB4">
        <w:rPr>
          <w:color w:val="000000"/>
        </w:rPr>
        <w:t>s</w:t>
      </w:r>
      <w:r w:rsidR="00C46587" w:rsidRPr="004F5FB4">
        <w:rPr>
          <w:color w:val="000000"/>
        </w:rPr>
        <w:t xml:space="preserve">ystemischer </w:t>
      </w:r>
      <w:r w:rsidR="00C46587" w:rsidRPr="004F5FB4">
        <w:rPr>
          <w:i/>
          <w:color w:val="000000"/>
        </w:rPr>
        <w:t>Lupus erythematodes</w:t>
      </w:r>
      <w:r w:rsidR="00C46587" w:rsidRPr="004F5FB4">
        <w:rPr>
          <w:color w:val="000000"/>
        </w:rPr>
        <w:t xml:space="preserve"> (eine Immunstörung mit Entzündung von Haut, Herz, Lunge, Gelenken und anderen Organsystemen)</w:t>
      </w:r>
      <w:r w:rsidRPr="004F5FB4">
        <w:rPr>
          <w:color w:val="000000"/>
        </w:rPr>
        <w:t>,</w:t>
      </w:r>
    </w:p>
    <w:p w14:paraId="5C93AD97" w14:textId="77777777" w:rsidR="00C46587" w:rsidRPr="004F5FB4" w:rsidRDefault="00C46587" w:rsidP="00982118">
      <w:pPr>
        <w:numPr>
          <w:ilvl w:val="0"/>
          <w:numId w:val="7"/>
        </w:numPr>
        <w:ind w:left="562" w:hanging="562"/>
        <w:rPr>
          <w:color w:val="000000"/>
        </w:rPr>
      </w:pPr>
      <w:r w:rsidRPr="004F5FB4">
        <w:rPr>
          <w:color w:val="000000"/>
        </w:rPr>
        <w:t>Schlafstörungen</w:t>
      </w:r>
      <w:r w:rsidR="00950B55" w:rsidRPr="004F5FB4">
        <w:rPr>
          <w:color w:val="000000"/>
        </w:rPr>
        <w:t>,</w:t>
      </w:r>
    </w:p>
    <w:p w14:paraId="2877521F" w14:textId="77777777" w:rsidR="00C46587" w:rsidRPr="004F5FB4" w:rsidRDefault="00C46587" w:rsidP="00982118">
      <w:pPr>
        <w:numPr>
          <w:ilvl w:val="0"/>
          <w:numId w:val="7"/>
        </w:numPr>
        <w:ind w:left="562" w:hanging="562"/>
        <w:rPr>
          <w:color w:val="000000"/>
        </w:rPr>
      </w:pPr>
      <w:r w:rsidRPr="004F5FB4">
        <w:rPr>
          <w:color w:val="000000"/>
        </w:rPr>
        <w:t>Impotenz</w:t>
      </w:r>
      <w:r w:rsidR="00950B55" w:rsidRPr="004F5FB4">
        <w:rPr>
          <w:color w:val="000000"/>
        </w:rPr>
        <w:t>,</w:t>
      </w:r>
    </w:p>
    <w:p w14:paraId="0496480E" w14:textId="77777777" w:rsidR="00C46587" w:rsidRPr="004F5FB4" w:rsidRDefault="00C46587" w:rsidP="00982118">
      <w:pPr>
        <w:numPr>
          <w:ilvl w:val="0"/>
          <w:numId w:val="7"/>
        </w:numPr>
        <w:ind w:left="562" w:hanging="562"/>
        <w:rPr>
          <w:color w:val="000000"/>
        </w:rPr>
      </w:pPr>
      <w:r w:rsidRPr="004F5FB4">
        <w:rPr>
          <w:color w:val="000000"/>
        </w:rPr>
        <w:t xml:space="preserve">Entzündungen. </w:t>
      </w:r>
    </w:p>
    <w:p w14:paraId="1456FDEE" w14:textId="77777777" w:rsidR="00C46587" w:rsidRPr="004F5FB4" w:rsidRDefault="00C46587" w:rsidP="00982118">
      <w:pPr>
        <w:rPr>
          <w:color w:val="000000"/>
          <w:lang w:val="en-GB"/>
        </w:rPr>
      </w:pPr>
    </w:p>
    <w:p w14:paraId="685859D1" w14:textId="77777777" w:rsidR="00C46587" w:rsidRPr="004F5FB4" w:rsidRDefault="00C46587" w:rsidP="00800BA5">
      <w:pPr>
        <w:keepNext/>
        <w:rPr>
          <w:color w:val="000000"/>
        </w:rPr>
      </w:pPr>
      <w:r w:rsidRPr="004F5FB4">
        <w:rPr>
          <w:b/>
          <w:bCs/>
          <w:color w:val="000000"/>
        </w:rPr>
        <w:t>Selten</w:t>
      </w:r>
      <w:r w:rsidRPr="004F5FB4">
        <w:rPr>
          <w:color w:val="000000"/>
        </w:rPr>
        <w:t xml:space="preserve"> (kann bis zu 1 von 1.000</w:t>
      </w:r>
      <w:r w:rsidR="00950B55" w:rsidRPr="004F5FB4">
        <w:rPr>
          <w:color w:val="000000"/>
        </w:rPr>
        <w:t> </w:t>
      </w:r>
      <w:r w:rsidR="00116420" w:rsidRPr="004F5FB4">
        <w:rPr>
          <w:color w:val="000000"/>
        </w:rPr>
        <w:t xml:space="preserve">Behandelten </w:t>
      </w:r>
      <w:r w:rsidRPr="004F5FB4">
        <w:rPr>
          <w:color w:val="000000"/>
        </w:rPr>
        <w:t>betreffen)</w:t>
      </w:r>
    </w:p>
    <w:p w14:paraId="207A9645" w14:textId="77777777" w:rsidR="00C46587" w:rsidRPr="004F5FB4" w:rsidRDefault="00C46587" w:rsidP="00800BA5">
      <w:pPr>
        <w:keepNext/>
        <w:rPr>
          <w:color w:val="000000"/>
        </w:rPr>
      </w:pPr>
    </w:p>
    <w:p w14:paraId="19E3ABC3" w14:textId="77777777" w:rsidR="00C46587" w:rsidRPr="004F5FB4" w:rsidRDefault="00C46587" w:rsidP="00800BA5">
      <w:pPr>
        <w:keepNext/>
        <w:numPr>
          <w:ilvl w:val="0"/>
          <w:numId w:val="7"/>
        </w:numPr>
        <w:ind w:left="562" w:hanging="562"/>
        <w:rPr>
          <w:color w:val="000000"/>
        </w:rPr>
      </w:pPr>
      <w:r w:rsidRPr="004F5FB4">
        <w:rPr>
          <w:color w:val="000000"/>
        </w:rPr>
        <w:t>Leukämie (Krebs, der das Blut und das Knochenmark betrifft)</w:t>
      </w:r>
      <w:r w:rsidR="00950B55" w:rsidRPr="004F5FB4">
        <w:rPr>
          <w:color w:val="000000"/>
        </w:rPr>
        <w:t>,</w:t>
      </w:r>
    </w:p>
    <w:p w14:paraId="4E411162" w14:textId="77777777" w:rsidR="00C46587" w:rsidRPr="004F5FB4" w:rsidRDefault="00950B55" w:rsidP="00982118">
      <w:pPr>
        <w:numPr>
          <w:ilvl w:val="0"/>
          <w:numId w:val="7"/>
        </w:numPr>
        <w:ind w:left="562" w:hanging="562"/>
        <w:rPr>
          <w:color w:val="000000"/>
        </w:rPr>
      </w:pPr>
      <w:r w:rsidRPr="004F5FB4">
        <w:rPr>
          <w:color w:val="000000"/>
        </w:rPr>
        <w:t>s</w:t>
      </w:r>
      <w:r w:rsidR="00A31C65" w:rsidRPr="004F5FB4">
        <w:rPr>
          <w:color w:val="000000"/>
        </w:rPr>
        <w:t>chwere allergische Reaktionen mit Schock</w:t>
      </w:r>
      <w:r w:rsidRPr="004F5FB4">
        <w:rPr>
          <w:color w:val="000000"/>
        </w:rPr>
        <w:t>,</w:t>
      </w:r>
    </w:p>
    <w:p w14:paraId="3144C9A0" w14:textId="77777777" w:rsidR="00C46587" w:rsidRPr="004F5FB4" w:rsidRDefault="00A63F9C" w:rsidP="00982118">
      <w:pPr>
        <w:numPr>
          <w:ilvl w:val="0"/>
          <w:numId w:val="7"/>
        </w:numPr>
        <w:ind w:left="562" w:hanging="562"/>
        <w:rPr>
          <w:color w:val="000000"/>
        </w:rPr>
      </w:pPr>
      <w:r w:rsidRPr="004F5FB4">
        <w:rPr>
          <w:i/>
          <w:color w:val="000000"/>
        </w:rPr>
        <w:t>M</w:t>
      </w:r>
      <w:r w:rsidR="00C46587" w:rsidRPr="004F5FB4">
        <w:rPr>
          <w:i/>
          <w:color w:val="000000"/>
        </w:rPr>
        <w:t>ultiple Sklerose</w:t>
      </w:r>
      <w:r w:rsidR="00950B55" w:rsidRPr="004F5FB4">
        <w:rPr>
          <w:color w:val="000000"/>
        </w:rPr>
        <w:t>,</w:t>
      </w:r>
    </w:p>
    <w:p w14:paraId="36F7BD9E" w14:textId="77777777" w:rsidR="00C46587" w:rsidRPr="004F5FB4" w:rsidRDefault="00C46587" w:rsidP="00982118">
      <w:pPr>
        <w:numPr>
          <w:ilvl w:val="0"/>
          <w:numId w:val="7"/>
        </w:numPr>
        <w:ind w:left="562" w:hanging="562"/>
        <w:rPr>
          <w:color w:val="000000"/>
        </w:rPr>
      </w:pPr>
      <w:r w:rsidRPr="004F5FB4">
        <w:rPr>
          <w:color w:val="000000"/>
        </w:rPr>
        <w:lastRenderedPageBreak/>
        <w:t>Nervenerkrankungen (z. B. Entzündung des Augennervs und Guillain-Barré-Syndrom, eine Krankheit, die zu Muskelschwäche, gestörten Sinnesempfindungen, Kribbeln in Armen und Oberkörper führen kann)</w:t>
      </w:r>
      <w:r w:rsidR="00950B55" w:rsidRPr="004F5FB4">
        <w:rPr>
          <w:color w:val="000000"/>
        </w:rPr>
        <w:t>,</w:t>
      </w:r>
    </w:p>
    <w:p w14:paraId="59321C9B" w14:textId="77777777" w:rsidR="00C46587" w:rsidRPr="004F5FB4" w:rsidRDefault="00C46587" w:rsidP="00982118">
      <w:pPr>
        <w:numPr>
          <w:ilvl w:val="0"/>
          <w:numId w:val="7"/>
        </w:numPr>
        <w:ind w:left="562" w:hanging="562"/>
        <w:rPr>
          <w:color w:val="000000"/>
        </w:rPr>
      </w:pPr>
      <w:r w:rsidRPr="004F5FB4">
        <w:rPr>
          <w:color w:val="000000"/>
        </w:rPr>
        <w:t>Herzstillstand</w:t>
      </w:r>
      <w:r w:rsidR="00950B55" w:rsidRPr="004F5FB4">
        <w:rPr>
          <w:color w:val="000000"/>
        </w:rPr>
        <w:t>,</w:t>
      </w:r>
    </w:p>
    <w:p w14:paraId="728047B6" w14:textId="77777777" w:rsidR="00C46587" w:rsidRPr="004F5FB4" w:rsidRDefault="00C46587" w:rsidP="00982118">
      <w:pPr>
        <w:numPr>
          <w:ilvl w:val="0"/>
          <w:numId w:val="7"/>
        </w:numPr>
        <w:ind w:left="562" w:hanging="562"/>
        <w:rPr>
          <w:color w:val="000000"/>
        </w:rPr>
      </w:pPr>
      <w:r w:rsidRPr="004F5FB4">
        <w:rPr>
          <w:i/>
          <w:color w:val="000000"/>
        </w:rPr>
        <w:t>Lungenfibrose</w:t>
      </w:r>
      <w:r w:rsidRPr="004F5FB4">
        <w:rPr>
          <w:color w:val="000000"/>
        </w:rPr>
        <w:t xml:space="preserve"> (Narbenbildung in der Lunge)</w:t>
      </w:r>
      <w:r w:rsidR="00950B55" w:rsidRPr="004F5FB4">
        <w:rPr>
          <w:color w:val="000000"/>
        </w:rPr>
        <w:t>,</w:t>
      </w:r>
    </w:p>
    <w:p w14:paraId="3E4C166A" w14:textId="77777777" w:rsidR="00C46587" w:rsidRPr="004F5FB4" w:rsidRDefault="00C46587" w:rsidP="00982118">
      <w:pPr>
        <w:numPr>
          <w:ilvl w:val="0"/>
          <w:numId w:val="7"/>
        </w:numPr>
        <w:ind w:left="562" w:hanging="562"/>
        <w:rPr>
          <w:color w:val="000000"/>
        </w:rPr>
      </w:pPr>
      <w:r w:rsidRPr="004F5FB4">
        <w:rPr>
          <w:color w:val="000000"/>
        </w:rPr>
        <w:t>Darmwanddurchbruch (Loch in der Darmwand)</w:t>
      </w:r>
      <w:r w:rsidR="00950B55" w:rsidRPr="004F5FB4">
        <w:rPr>
          <w:color w:val="000000"/>
        </w:rPr>
        <w:t>,</w:t>
      </w:r>
    </w:p>
    <w:p w14:paraId="0804BFBF" w14:textId="77777777" w:rsidR="00C46587" w:rsidRPr="004F5FB4" w:rsidRDefault="00C46587" w:rsidP="00982118">
      <w:pPr>
        <w:numPr>
          <w:ilvl w:val="0"/>
          <w:numId w:val="7"/>
        </w:numPr>
        <w:ind w:left="562" w:hanging="562"/>
        <w:rPr>
          <w:color w:val="000000"/>
        </w:rPr>
      </w:pPr>
      <w:r w:rsidRPr="004F5FB4">
        <w:rPr>
          <w:i/>
          <w:color w:val="000000"/>
        </w:rPr>
        <w:t>Hepatitis</w:t>
      </w:r>
      <w:r w:rsidRPr="004F5FB4">
        <w:rPr>
          <w:color w:val="000000"/>
        </w:rPr>
        <w:t xml:space="preserve"> (Leberentzündung)</w:t>
      </w:r>
      <w:r w:rsidR="00950B55" w:rsidRPr="004F5FB4">
        <w:rPr>
          <w:color w:val="000000"/>
        </w:rPr>
        <w:t>,</w:t>
      </w:r>
    </w:p>
    <w:p w14:paraId="393CB0B1" w14:textId="77777777" w:rsidR="00C46587" w:rsidRPr="004F5FB4" w:rsidRDefault="00950B55" w:rsidP="00982118">
      <w:pPr>
        <w:numPr>
          <w:ilvl w:val="0"/>
          <w:numId w:val="7"/>
        </w:numPr>
        <w:ind w:left="562" w:hanging="562"/>
        <w:rPr>
          <w:color w:val="000000"/>
        </w:rPr>
      </w:pPr>
      <w:r w:rsidRPr="004F5FB4">
        <w:rPr>
          <w:color w:val="000000"/>
        </w:rPr>
        <w:t>e</w:t>
      </w:r>
      <w:r w:rsidR="00C46587" w:rsidRPr="004F5FB4">
        <w:rPr>
          <w:color w:val="000000"/>
        </w:rPr>
        <w:t>rneuter Ausbruch einer Hepatitis-B-Infektion</w:t>
      </w:r>
      <w:r w:rsidRPr="004F5FB4">
        <w:rPr>
          <w:color w:val="000000"/>
        </w:rPr>
        <w:t>,</w:t>
      </w:r>
    </w:p>
    <w:p w14:paraId="685359E1" w14:textId="77777777" w:rsidR="00C46587" w:rsidRPr="004F5FB4" w:rsidRDefault="00C46587" w:rsidP="00982118">
      <w:pPr>
        <w:numPr>
          <w:ilvl w:val="0"/>
          <w:numId w:val="7"/>
        </w:numPr>
        <w:ind w:left="562" w:hanging="562"/>
        <w:rPr>
          <w:color w:val="000000"/>
        </w:rPr>
      </w:pPr>
      <w:r w:rsidRPr="004F5FB4">
        <w:rPr>
          <w:color w:val="000000"/>
        </w:rPr>
        <w:t xml:space="preserve">Entzündung der Leber, die durch das körpereigene Abwehrsystem ausgelöst wird </w:t>
      </w:r>
      <w:r w:rsidRPr="004F5FB4">
        <w:rPr>
          <w:i/>
          <w:color w:val="000000"/>
        </w:rPr>
        <w:t>(Autoimmunhepatitis)</w:t>
      </w:r>
      <w:r w:rsidR="00950B55" w:rsidRPr="004F5FB4">
        <w:rPr>
          <w:color w:val="000000"/>
        </w:rPr>
        <w:t>,</w:t>
      </w:r>
    </w:p>
    <w:p w14:paraId="60ABF5F0" w14:textId="77777777" w:rsidR="00C46587" w:rsidRPr="004F5FB4" w:rsidRDefault="00C46587" w:rsidP="00982118">
      <w:pPr>
        <w:numPr>
          <w:ilvl w:val="0"/>
          <w:numId w:val="7"/>
        </w:numPr>
        <w:ind w:left="562" w:hanging="562"/>
        <w:rPr>
          <w:color w:val="000000"/>
        </w:rPr>
      </w:pPr>
      <w:r w:rsidRPr="004F5FB4">
        <w:rPr>
          <w:color w:val="000000"/>
        </w:rPr>
        <w:t xml:space="preserve">Entzündung der Blutgefäße der Haut </w:t>
      </w:r>
      <w:r w:rsidRPr="004F5FB4">
        <w:rPr>
          <w:i/>
          <w:color w:val="000000"/>
        </w:rPr>
        <w:t>(kutane Vaskulitis)</w:t>
      </w:r>
      <w:r w:rsidR="00950B55" w:rsidRPr="004F5FB4">
        <w:rPr>
          <w:color w:val="000000"/>
        </w:rPr>
        <w:t>,</w:t>
      </w:r>
    </w:p>
    <w:p w14:paraId="4006D2ED" w14:textId="77777777" w:rsidR="00C46587" w:rsidRPr="004F5FB4" w:rsidRDefault="00C46587" w:rsidP="00982118">
      <w:pPr>
        <w:numPr>
          <w:ilvl w:val="0"/>
          <w:numId w:val="7"/>
        </w:numPr>
        <w:ind w:left="562" w:hanging="562"/>
        <w:rPr>
          <w:color w:val="000000"/>
        </w:rPr>
      </w:pPr>
      <w:r w:rsidRPr="004F5FB4">
        <w:rPr>
          <w:color w:val="000000"/>
        </w:rPr>
        <w:t>Stevens-Johnson-Syndrom (lebensbedrohliche Reaktion mit grippeähnlichen Symptomen und Hautausschlag mit Blasenbildung)</w:t>
      </w:r>
      <w:r w:rsidR="00950B55" w:rsidRPr="004F5FB4">
        <w:rPr>
          <w:color w:val="000000"/>
        </w:rPr>
        <w:t>,</w:t>
      </w:r>
    </w:p>
    <w:p w14:paraId="60D6A6A9" w14:textId="77777777" w:rsidR="00C46587" w:rsidRPr="004F5FB4" w:rsidRDefault="00C46587" w:rsidP="00982118">
      <w:pPr>
        <w:numPr>
          <w:ilvl w:val="0"/>
          <w:numId w:val="7"/>
        </w:numPr>
        <w:ind w:left="562" w:hanging="562"/>
        <w:rPr>
          <w:color w:val="000000"/>
        </w:rPr>
      </w:pPr>
      <w:r w:rsidRPr="004F5FB4">
        <w:rPr>
          <w:color w:val="000000"/>
        </w:rPr>
        <w:t>Gesichtsschwellung (Gesichtsödem) in Verbindung mit allergischen Reaktionen</w:t>
      </w:r>
      <w:r w:rsidR="00950B55" w:rsidRPr="004F5FB4">
        <w:rPr>
          <w:color w:val="000000"/>
        </w:rPr>
        <w:t>,</w:t>
      </w:r>
    </w:p>
    <w:p w14:paraId="25C4960F" w14:textId="77777777" w:rsidR="00C46587" w:rsidRPr="004F5FB4" w:rsidRDefault="00950B55" w:rsidP="00982118">
      <w:pPr>
        <w:numPr>
          <w:ilvl w:val="0"/>
          <w:numId w:val="7"/>
        </w:numPr>
        <w:ind w:left="562" w:hanging="562"/>
        <w:rPr>
          <w:color w:val="000000"/>
        </w:rPr>
      </w:pPr>
      <w:r w:rsidRPr="004F5FB4">
        <w:rPr>
          <w:color w:val="000000"/>
        </w:rPr>
        <w:t>e</w:t>
      </w:r>
      <w:r w:rsidR="00C46587" w:rsidRPr="004F5FB4">
        <w:rPr>
          <w:color w:val="000000"/>
        </w:rPr>
        <w:t xml:space="preserve">ntzündlicher Hautausschlag </w:t>
      </w:r>
      <w:r w:rsidR="00C46587" w:rsidRPr="004F5FB4">
        <w:rPr>
          <w:i/>
          <w:color w:val="000000"/>
        </w:rPr>
        <w:t>(Erythema multiforme)</w:t>
      </w:r>
      <w:r w:rsidRPr="004F5FB4">
        <w:rPr>
          <w:color w:val="000000"/>
        </w:rPr>
        <w:t>,</w:t>
      </w:r>
    </w:p>
    <w:p w14:paraId="01BD902D" w14:textId="77777777" w:rsidR="003B2330" w:rsidRPr="004F5FB4" w:rsidRDefault="00950B55" w:rsidP="00982118">
      <w:pPr>
        <w:numPr>
          <w:ilvl w:val="0"/>
          <w:numId w:val="7"/>
        </w:numPr>
        <w:ind w:left="562" w:hanging="562"/>
        <w:rPr>
          <w:color w:val="000000"/>
        </w:rPr>
      </w:pPr>
      <w:r w:rsidRPr="004F5FB4">
        <w:rPr>
          <w:color w:val="000000"/>
        </w:rPr>
        <w:t>l</w:t>
      </w:r>
      <w:r w:rsidR="00C46587" w:rsidRPr="004F5FB4">
        <w:rPr>
          <w:color w:val="000000"/>
        </w:rPr>
        <w:t>upusähnliches Syndrom</w:t>
      </w:r>
      <w:r w:rsidRPr="004F5FB4">
        <w:rPr>
          <w:color w:val="000000"/>
        </w:rPr>
        <w:t>,</w:t>
      </w:r>
    </w:p>
    <w:p w14:paraId="6050AFD7" w14:textId="77777777" w:rsidR="00C11533" w:rsidRPr="004F5FB4" w:rsidRDefault="00A31C65" w:rsidP="00982118">
      <w:pPr>
        <w:numPr>
          <w:ilvl w:val="0"/>
          <w:numId w:val="7"/>
        </w:numPr>
        <w:ind w:left="562" w:hanging="562"/>
        <w:rPr>
          <w:color w:val="000000"/>
        </w:rPr>
      </w:pPr>
      <w:r w:rsidRPr="004F5FB4">
        <w:rPr>
          <w:color w:val="000000"/>
        </w:rPr>
        <w:t>Angioödem (lokalisierte Schwellung der Haut)</w:t>
      </w:r>
      <w:r w:rsidR="00950B55" w:rsidRPr="004F5FB4">
        <w:rPr>
          <w:color w:val="000000"/>
        </w:rPr>
        <w:t>,</w:t>
      </w:r>
    </w:p>
    <w:p w14:paraId="1276AC5E" w14:textId="77777777" w:rsidR="00C46587" w:rsidRPr="004F5FB4" w:rsidRDefault="00950B55" w:rsidP="00982118">
      <w:pPr>
        <w:numPr>
          <w:ilvl w:val="0"/>
          <w:numId w:val="7"/>
        </w:numPr>
        <w:ind w:left="562" w:hanging="562"/>
        <w:rPr>
          <w:color w:val="000000"/>
        </w:rPr>
      </w:pPr>
      <w:r w:rsidRPr="004F5FB4">
        <w:rPr>
          <w:color w:val="000000"/>
        </w:rPr>
        <w:t>l</w:t>
      </w:r>
      <w:r w:rsidR="00C11533" w:rsidRPr="004F5FB4">
        <w:rPr>
          <w:color w:val="000000"/>
        </w:rPr>
        <w:t xml:space="preserve">ichenoide Hautreaktion (juckender, rötlicher bis violetter Hautausschlag). </w:t>
      </w:r>
    </w:p>
    <w:p w14:paraId="6DBF53C8" w14:textId="77777777" w:rsidR="00C46587" w:rsidRPr="004F5FB4" w:rsidRDefault="00C46587" w:rsidP="00982118">
      <w:pPr>
        <w:rPr>
          <w:color w:val="000000"/>
        </w:rPr>
      </w:pPr>
    </w:p>
    <w:p w14:paraId="5FFE245A" w14:textId="77777777" w:rsidR="00C46587" w:rsidRPr="004F5FB4" w:rsidRDefault="00C46587" w:rsidP="00982118">
      <w:pPr>
        <w:keepNext/>
        <w:rPr>
          <w:color w:val="000000"/>
        </w:rPr>
      </w:pPr>
      <w:r w:rsidRPr="004F5FB4">
        <w:rPr>
          <w:b/>
          <w:bCs/>
          <w:color w:val="000000"/>
        </w:rPr>
        <w:t>Nicht bekannt</w:t>
      </w:r>
      <w:r w:rsidRPr="004F5FB4">
        <w:rPr>
          <w:color w:val="000000"/>
        </w:rPr>
        <w:t xml:space="preserve"> (Häufigkeit auf Grundlage der verfügbaren Daten nicht abschätzbar)</w:t>
      </w:r>
    </w:p>
    <w:p w14:paraId="33C584E9" w14:textId="77777777" w:rsidR="00C46587" w:rsidRPr="004F5FB4" w:rsidRDefault="00C46587" w:rsidP="00982118">
      <w:pPr>
        <w:keepNext/>
        <w:rPr>
          <w:color w:val="000000"/>
        </w:rPr>
      </w:pPr>
    </w:p>
    <w:p w14:paraId="3B88ADEB" w14:textId="77777777" w:rsidR="00C46587" w:rsidRPr="004F5FB4" w:rsidRDefault="00950B55" w:rsidP="00982118">
      <w:pPr>
        <w:keepNext/>
        <w:numPr>
          <w:ilvl w:val="0"/>
          <w:numId w:val="7"/>
        </w:numPr>
        <w:ind w:left="562" w:hanging="562"/>
        <w:rPr>
          <w:color w:val="000000"/>
        </w:rPr>
      </w:pPr>
      <w:r w:rsidRPr="004F5FB4">
        <w:rPr>
          <w:color w:val="000000"/>
        </w:rPr>
        <w:t>h</w:t>
      </w:r>
      <w:r w:rsidR="00C46587" w:rsidRPr="004F5FB4">
        <w:rPr>
          <w:color w:val="000000"/>
        </w:rPr>
        <w:t>epatosplenales T</w:t>
      </w:r>
      <w:r w:rsidR="00C46587" w:rsidRPr="004F5FB4">
        <w:rPr>
          <w:color w:val="000000"/>
        </w:rPr>
        <w:noBreakHyphen/>
        <w:t>Zell-Lymphom (ein selten auftretender Blutkrebs, der oft tödlich ist)</w:t>
      </w:r>
      <w:r w:rsidRPr="004F5FB4">
        <w:rPr>
          <w:color w:val="000000"/>
        </w:rPr>
        <w:t>,</w:t>
      </w:r>
    </w:p>
    <w:p w14:paraId="0584F0F5" w14:textId="77777777" w:rsidR="00C46587" w:rsidRDefault="00C46587" w:rsidP="00982118">
      <w:pPr>
        <w:numPr>
          <w:ilvl w:val="0"/>
          <w:numId w:val="7"/>
        </w:numPr>
        <w:ind w:left="562" w:hanging="562"/>
        <w:rPr>
          <w:color w:val="000000"/>
        </w:rPr>
      </w:pPr>
      <w:r w:rsidRPr="004F5FB4">
        <w:rPr>
          <w:color w:val="000000"/>
        </w:rPr>
        <w:t>Merkelzellkarzinom (eine Art von Hautkrebs)</w:t>
      </w:r>
      <w:r w:rsidR="00950B55" w:rsidRPr="004F5FB4">
        <w:rPr>
          <w:color w:val="000000"/>
        </w:rPr>
        <w:t>,</w:t>
      </w:r>
    </w:p>
    <w:p w14:paraId="581C9FA6" w14:textId="77777777" w:rsidR="00E56892" w:rsidRPr="004F5FB4" w:rsidRDefault="00E56892" w:rsidP="00982118">
      <w:pPr>
        <w:numPr>
          <w:ilvl w:val="0"/>
          <w:numId w:val="7"/>
        </w:numPr>
        <w:ind w:left="562" w:hanging="562"/>
        <w:rPr>
          <w:color w:val="000000"/>
        </w:rPr>
      </w:pPr>
      <w:r w:rsidRPr="00E56892">
        <w:rPr>
          <w:color w:val="000000"/>
        </w:rPr>
        <w:t>Kaposi-Sarkom, eine seltene Krebserkrankung, die mit einer Infektion mit dem humanen Herpesvirus</w:t>
      </w:r>
      <w:r>
        <w:rPr>
          <w:color w:val="000000"/>
        </w:rPr>
        <w:t> </w:t>
      </w:r>
      <w:r w:rsidRPr="00E56892">
        <w:rPr>
          <w:color w:val="000000"/>
        </w:rPr>
        <w:t>8 assoziiert ist. Das Kaposi-Sarkom tritt am häufigsten in Form von violetten Hautläsionen auf.</w:t>
      </w:r>
    </w:p>
    <w:p w14:paraId="5D25896E" w14:textId="77777777" w:rsidR="00C46587" w:rsidRPr="004F5FB4" w:rsidRDefault="00C46587" w:rsidP="00982118">
      <w:pPr>
        <w:numPr>
          <w:ilvl w:val="0"/>
          <w:numId w:val="7"/>
        </w:numPr>
        <w:ind w:left="562" w:hanging="562"/>
        <w:rPr>
          <w:color w:val="000000"/>
        </w:rPr>
      </w:pPr>
      <w:r w:rsidRPr="004F5FB4">
        <w:rPr>
          <w:color w:val="000000"/>
        </w:rPr>
        <w:t>Leberversagen</w:t>
      </w:r>
      <w:r w:rsidR="00950B55" w:rsidRPr="004F5FB4">
        <w:rPr>
          <w:color w:val="000000"/>
        </w:rPr>
        <w:t>,</w:t>
      </w:r>
    </w:p>
    <w:p w14:paraId="041630E8" w14:textId="21B4EE58" w:rsidR="00C46587" w:rsidRDefault="00C46587" w:rsidP="00982118">
      <w:pPr>
        <w:numPr>
          <w:ilvl w:val="0"/>
          <w:numId w:val="7"/>
        </w:numPr>
        <w:ind w:left="562" w:hanging="562"/>
        <w:rPr>
          <w:color w:val="000000"/>
        </w:rPr>
      </w:pPr>
      <w:r w:rsidRPr="004F5FB4">
        <w:rPr>
          <w:color w:val="000000"/>
        </w:rPr>
        <w:t>Verschlechterung einer sogenannten Dermatomyositis (tritt als Hautausschlag in Verbindung mit Muskelschwäche in Erscheinung)</w:t>
      </w:r>
      <w:r w:rsidR="008F3710">
        <w:rPr>
          <w:color w:val="000000"/>
        </w:rPr>
        <w:t>,</w:t>
      </w:r>
      <w:r w:rsidRPr="004F5FB4">
        <w:rPr>
          <w:color w:val="000000"/>
        </w:rPr>
        <w:t xml:space="preserve"> </w:t>
      </w:r>
    </w:p>
    <w:p w14:paraId="625EF5FE" w14:textId="77777777" w:rsidR="008F3710" w:rsidRPr="004F5FB4" w:rsidRDefault="008F3710" w:rsidP="00982118">
      <w:pPr>
        <w:numPr>
          <w:ilvl w:val="0"/>
          <w:numId w:val="7"/>
        </w:numPr>
        <w:ind w:left="562" w:hanging="562"/>
        <w:rPr>
          <w:color w:val="000000"/>
        </w:rPr>
      </w:pPr>
      <w:r w:rsidRPr="008F3710">
        <w:rPr>
          <w:color w:val="000000"/>
        </w:rPr>
        <w:t>Gewichtszunahme (bei den meisten Patienten war die Gewichtszunahme gering)</w:t>
      </w:r>
      <w:r>
        <w:rPr>
          <w:color w:val="000000"/>
        </w:rPr>
        <w:t>.</w:t>
      </w:r>
    </w:p>
    <w:p w14:paraId="700FF693" w14:textId="77777777" w:rsidR="00C46587" w:rsidRPr="004F5FB4" w:rsidRDefault="00C46587" w:rsidP="00982118">
      <w:pPr>
        <w:rPr>
          <w:color w:val="000000"/>
        </w:rPr>
      </w:pPr>
    </w:p>
    <w:p w14:paraId="2F73556C" w14:textId="77777777" w:rsidR="00C46587" w:rsidRPr="004F5FB4" w:rsidRDefault="00C46587" w:rsidP="00982118">
      <w:pPr>
        <w:rPr>
          <w:color w:val="000000"/>
        </w:rPr>
      </w:pPr>
      <w:r w:rsidRPr="004F5FB4">
        <w:rPr>
          <w:color w:val="000000"/>
        </w:rPr>
        <w:t xml:space="preserve">Mit Adalimumab wurden einige Nebenwirkungen beobachtet, die keine Anzeichen haben und nur durch Bluttests erkannt werden können. Dazu gehören: </w:t>
      </w:r>
    </w:p>
    <w:p w14:paraId="76A0D8FD" w14:textId="77777777" w:rsidR="00C46587" w:rsidRPr="004F5FB4" w:rsidRDefault="00C46587" w:rsidP="00982118">
      <w:pPr>
        <w:rPr>
          <w:color w:val="000000"/>
        </w:rPr>
      </w:pPr>
    </w:p>
    <w:p w14:paraId="13B14A10" w14:textId="77777777" w:rsidR="00C46587" w:rsidRPr="004F5FB4" w:rsidRDefault="00C46587" w:rsidP="00982118">
      <w:pPr>
        <w:keepNext/>
        <w:rPr>
          <w:color w:val="000000"/>
        </w:rPr>
      </w:pPr>
      <w:r w:rsidRPr="004F5FB4">
        <w:rPr>
          <w:b/>
          <w:bCs/>
          <w:color w:val="000000"/>
        </w:rPr>
        <w:t>Sehr häufig</w:t>
      </w:r>
      <w:r w:rsidRPr="004F5FB4">
        <w:rPr>
          <w:color w:val="000000"/>
        </w:rPr>
        <w:t xml:space="preserve"> (kann mehr als 1 von 10</w:t>
      </w:r>
      <w:r w:rsidR="00950B55" w:rsidRPr="004F5FB4">
        <w:rPr>
          <w:color w:val="000000"/>
        </w:rPr>
        <w:t> </w:t>
      </w:r>
      <w:r w:rsidR="00116420" w:rsidRPr="004F5FB4">
        <w:rPr>
          <w:color w:val="000000"/>
        </w:rPr>
        <w:t xml:space="preserve">Behandelten </w:t>
      </w:r>
      <w:r w:rsidRPr="004F5FB4">
        <w:rPr>
          <w:color w:val="000000"/>
        </w:rPr>
        <w:t>betreffen)</w:t>
      </w:r>
    </w:p>
    <w:p w14:paraId="13730DE0" w14:textId="77777777" w:rsidR="00C46587" w:rsidRPr="004F5FB4" w:rsidRDefault="00C46587" w:rsidP="00982118">
      <w:pPr>
        <w:keepNext/>
        <w:rPr>
          <w:color w:val="000000"/>
        </w:rPr>
      </w:pPr>
    </w:p>
    <w:p w14:paraId="3FE7F77B" w14:textId="77777777" w:rsidR="00C46587" w:rsidRPr="004F5FB4" w:rsidRDefault="00950B55" w:rsidP="00982118">
      <w:pPr>
        <w:numPr>
          <w:ilvl w:val="0"/>
          <w:numId w:val="7"/>
        </w:numPr>
        <w:ind w:left="562" w:hanging="562"/>
        <w:rPr>
          <w:color w:val="000000"/>
        </w:rPr>
      </w:pPr>
      <w:r w:rsidRPr="004F5FB4">
        <w:rPr>
          <w:color w:val="000000"/>
        </w:rPr>
        <w:t>v</w:t>
      </w:r>
      <w:r w:rsidR="00C46587" w:rsidRPr="004F5FB4">
        <w:rPr>
          <w:color w:val="000000"/>
        </w:rPr>
        <w:t>erringerte Anzahl weißer Blutkörperchen</w:t>
      </w:r>
      <w:r w:rsidRPr="004F5FB4">
        <w:rPr>
          <w:color w:val="000000"/>
        </w:rPr>
        <w:t>,</w:t>
      </w:r>
    </w:p>
    <w:p w14:paraId="410E10DC" w14:textId="77777777" w:rsidR="00C46587" w:rsidRPr="004F5FB4" w:rsidRDefault="00950B55" w:rsidP="00982118">
      <w:pPr>
        <w:numPr>
          <w:ilvl w:val="0"/>
          <w:numId w:val="7"/>
        </w:numPr>
        <w:ind w:left="562" w:hanging="562"/>
        <w:rPr>
          <w:color w:val="000000"/>
        </w:rPr>
      </w:pPr>
      <w:r w:rsidRPr="004F5FB4">
        <w:rPr>
          <w:color w:val="000000"/>
        </w:rPr>
        <w:t>v</w:t>
      </w:r>
      <w:r w:rsidR="00C46587" w:rsidRPr="004F5FB4">
        <w:rPr>
          <w:color w:val="000000"/>
        </w:rPr>
        <w:t>erringerte Anzahl roter Blutkörperchen</w:t>
      </w:r>
      <w:r w:rsidRPr="004F5FB4">
        <w:rPr>
          <w:color w:val="000000"/>
        </w:rPr>
        <w:t>,</w:t>
      </w:r>
    </w:p>
    <w:p w14:paraId="53A9A655" w14:textId="77777777" w:rsidR="00C46587" w:rsidRPr="004F5FB4" w:rsidRDefault="00950B55" w:rsidP="00982118">
      <w:pPr>
        <w:numPr>
          <w:ilvl w:val="0"/>
          <w:numId w:val="7"/>
        </w:numPr>
        <w:ind w:left="562" w:hanging="562"/>
        <w:rPr>
          <w:color w:val="000000"/>
        </w:rPr>
      </w:pPr>
      <w:r w:rsidRPr="004F5FB4">
        <w:rPr>
          <w:color w:val="000000"/>
        </w:rPr>
        <w:t>e</w:t>
      </w:r>
      <w:r w:rsidR="00C46587" w:rsidRPr="004F5FB4">
        <w:rPr>
          <w:color w:val="000000"/>
        </w:rPr>
        <w:t>rhöhte Blutfettwerte</w:t>
      </w:r>
      <w:r w:rsidRPr="004F5FB4">
        <w:rPr>
          <w:color w:val="000000"/>
        </w:rPr>
        <w:t>,</w:t>
      </w:r>
    </w:p>
    <w:p w14:paraId="2E5EDFA0" w14:textId="77777777" w:rsidR="00C46587" w:rsidRPr="004F5FB4" w:rsidRDefault="00950B55" w:rsidP="00982118">
      <w:pPr>
        <w:numPr>
          <w:ilvl w:val="0"/>
          <w:numId w:val="7"/>
        </w:numPr>
        <w:ind w:left="562" w:hanging="562"/>
        <w:rPr>
          <w:color w:val="000000"/>
        </w:rPr>
      </w:pPr>
      <w:r w:rsidRPr="004F5FB4">
        <w:rPr>
          <w:color w:val="000000"/>
        </w:rPr>
        <w:t>e</w:t>
      </w:r>
      <w:r w:rsidR="00580BE5" w:rsidRPr="004F5FB4">
        <w:rPr>
          <w:color w:val="000000"/>
        </w:rPr>
        <w:t xml:space="preserve">rhöhte Werte für Leberenzyme. </w:t>
      </w:r>
    </w:p>
    <w:p w14:paraId="08B5C150" w14:textId="77777777" w:rsidR="00C46587" w:rsidRPr="004F5FB4" w:rsidRDefault="00C46587" w:rsidP="00982118">
      <w:pPr>
        <w:rPr>
          <w:color w:val="000000"/>
          <w:lang w:val="en-GB"/>
        </w:rPr>
      </w:pPr>
    </w:p>
    <w:p w14:paraId="3FC5D8C7" w14:textId="77777777" w:rsidR="00C46587" w:rsidRPr="004F5FB4" w:rsidRDefault="00C46587" w:rsidP="00982118">
      <w:pPr>
        <w:rPr>
          <w:color w:val="000000"/>
        </w:rPr>
      </w:pPr>
      <w:r w:rsidRPr="004F5FB4">
        <w:rPr>
          <w:b/>
          <w:color w:val="000000"/>
        </w:rPr>
        <w:t>Häufig</w:t>
      </w:r>
      <w:r w:rsidRPr="004F5FB4">
        <w:rPr>
          <w:color w:val="000000"/>
        </w:rPr>
        <w:t xml:space="preserve"> (kann bis zu 1 von 10</w:t>
      </w:r>
      <w:r w:rsidR="00950B55" w:rsidRPr="004F5FB4">
        <w:rPr>
          <w:color w:val="000000"/>
        </w:rPr>
        <w:t> </w:t>
      </w:r>
      <w:r w:rsidR="00116420" w:rsidRPr="004F5FB4">
        <w:rPr>
          <w:color w:val="000000"/>
        </w:rPr>
        <w:t xml:space="preserve">Behandelten </w:t>
      </w:r>
      <w:r w:rsidRPr="004F5FB4">
        <w:rPr>
          <w:color w:val="000000"/>
        </w:rPr>
        <w:t>betreffen)</w:t>
      </w:r>
    </w:p>
    <w:p w14:paraId="241A2568" w14:textId="77777777" w:rsidR="00C46587" w:rsidRPr="004F5FB4" w:rsidRDefault="00C46587" w:rsidP="00982118">
      <w:pPr>
        <w:rPr>
          <w:color w:val="000000"/>
        </w:rPr>
      </w:pPr>
    </w:p>
    <w:p w14:paraId="1A19DBD4" w14:textId="77777777" w:rsidR="00C46587" w:rsidRPr="004F5FB4" w:rsidRDefault="00950B55" w:rsidP="00982118">
      <w:pPr>
        <w:numPr>
          <w:ilvl w:val="0"/>
          <w:numId w:val="7"/>
        </w:numPr>
        <w:ind w:left="562" w:hanging="562"/>
        <w:rPr>
          <w:color w:val="000000"/>
        </w:rPr>
      </w:pPr>
      <w:r w:rsidRPr="004F5FB4">
        <w:rPr>
          <w:color w:val="000000"/>
        </w:rPr>
        <w:t>e</w:t>
      </w:r>
      <w:r w:rsidR="00C46587" w:rsidRPr="004F5FB4">
        <w:rPr>
          <w:color w:val="000000"/>
        </w:rPr>
        <w:t>rhöhte Anzahl weißer Blutkörperchen</w:t>
      </w:r>
      <w:r w:rsidRPr="004F5FB4">
        <w:rPr>
          <w:color w:val="000000"/>
        </w:rPr>
        <w:t>,</w:t>
      </w:r>
    </w:p>
    <w:p w14:paraId="6D130DB5" w14:textId="77777777" w:rsidR="00C46587" w:rsidRPr="004F5FB4" w:rsidRDefault="00950B55" w:rsidP="00982118">
      <w:pPr>
        <w:numPr>
          <w:ilvl w:val="0"/>
          <w:numId w:val="7"/>
        </w:numPr>
        <w:ind w:left="562" w:hanging="562"/>
        <w:rPr>
          <w:color w:val="000000"/>
        </w:rPr>
      </w:pPr>
      <w:r w:rsidRPr="004F5FB4">
        <w:rPr>
          <w:color w:val="000000"/>
        </w:rPr>
        <w:t>v</w:t>
      </w:r>
      <w:r w:rsidR="00C46587" w:rsidRPr="004F5FB4">
        <w:rPr>
          <w:color w:val="000000"/>
        </w:rPr>
        <w:t>erringerte Anzahl von Blutplättchen</w:t>
      </w:r>
      <w:r w:rsidRPr="004F5FB4">
        <w:rPr>
          <w:color w:val="000000"/>
        </w:rPr>
        <w:t>,</w:t>
      </w:r>
    </w:p>
    <w:p w14:paraId="0F01D3B7" w14:textId="77777777" w:rsidR="00C46587" w:rsidRPr="004F5FB4" w:rsidRDefault="00950B55" w:rsidP="00982118">
      <w:pPr>
        <w:numPr>
          <w:ilvl w:val="0"/>
          <w:numId w:val="7"/>
        </w:numPr>
        <w:ind w:left="562" w:hanging="562"/>
        <w:rPr>
          <w:color w:val="000000"/>
        </w:rPr>
      </w:pPr>
      <w:r w:rsidRPr="004F5FB4">
        <w:rPr>
          <w:color w:val="000000"/>
        </w:rPr>
        <w:t>e</w:t>
      </w:r>
      <w:r w:rsidR="00C46587" w:rsidRPr="004F5FB4">
        <w:rPr>
          <w:color w:val="000000"/>
        </w:rPr>
        <w:t>rhöhte Harnsäurewerte im Blut</w:t>
      </w:r>
      <w:r w:rsidRPr="004F5FB4">
        <w:rPr>
          <w:color w:val="000000"/>
        </w:rPr>
        <w:t>,</w:t>
      </w:r>
    </w:p>
    <w:p w14:paraId="5423C9CD" w14:textId="77777777" w:rsidR="00C46587" w:rsidRPr="004F5FB4" w:rsidRDefault="00950B55" w:rsidP="00982118">
      <w:pPr>
        <w:numPr>
          <w:ilvl w:val="0"/>
          <w:numId w:val="7"/>
        </w:numPr>
        <w:ind w:left="562" w:hanging="562"/>
        <w:rPr>
          <w:color w:val="000000"/>
        </w:rPr>
      </w:pPr>
      <w:r w:rsidRPr="004F5FB4">
        <w:rPr>
          <w:color w:val="000000"/>
        </w:rPr>
        <w:t>a</w:t>
      </w:r>
      <w:r w:rsidR="00C46587" w:rsidRPr="004F5FB4">
        <w:rPr>
          <w:color w:val="000000"/>
        </w:rPr>
        <w:t>bnormale Blutwerte für Natrium</w:t>
      </w:r>
      <w:r w:rsidRPr="004F5FB4">
        <w:rPr>
          <w:color w:val="000000"/>
        </w:rPr>
        <w:t>,</w:t>
      </w:r>
    </w:p>
    <w:p w14:paraId="7C01B1C2" w14:textId="77777777" w:rsidR="00C46587" w:rsidRPr="004F5FB4" w:rsidRDefault="00950B55" w:rsidP="00982118">
      <w:pPr>
        <w:numPr>
          <w:ilvl w:val="0"/>
          <w:numId w:val="7"/>
        </w:numPr>
        <w:ind w:left="562" w:hanging="562"/>
        <w:rPr>
          <w:color w:val="000000"/>
        </w:rPr>
      </w:pPr>
      <w:r w:rsidRPr="004F5FB4">
        <w:rPr>
          <w:color w:val="000000"/>
        </w:rPr>
        <w:t>n</w:t>
      </w:r>
      <w:r w:rsidR="00C46587" w:rsidRPr="004F5FB4">
        <w:rPr>
          <w:color w:val="000000"/>
        </w:rPr>
        <w:t>iedrige Blutwerte für Kalzium</w:t>
      </w:r>
      <w:r w:rsidR="000B11AF" w:rsidRPr="004F5FB4">
        <w:rPr>
          <w:color w:val="000000"/>
        </w:rPr>
        <w:t>,</w:t>
      </w:r>
    </w:p>
    <w:p w14:paraId="680D5C15" w14:textId="77777777" w:rsidR="00C46587" w:rsidRPr="004F5FB4" w:rsidRDefault="00950B55" w:rsidP="00982118">
      <w:pPr>
        <w:numPr>
          <w:ilvl w:val="0"/>
          <w:numId w:val="7"/>
        </w:numPr>
        <w:ind w:left="562" w:hanging="562"/>
        <w:rPr>
          <w:color w:val="000000"/>
        </w:rPr>
      </w:pPr>
      <w:r w:rsidRPr="004F5FB4">
        <w:rPr>
          <w:color w:val="000000"/>
        </w:rPr>
        <w:t>n</w:t>
      </w:r>
      <w:r w:rsidR="00C46587" w:rsidRPr="004F5FB4">
        <w:rPr>
          <w:color w:val="000000"/>
        </w:rPr>
        <w:t>iedrige Blutwerte für Phosphat</w:t>
      </w:r>
      <w:r w:rsidR="000B11AF" w:rsidRPr="004F5FB4">
        <w:rPr>
          <w:color w:val="000000"/>
        </w:rPr>
        <w:t>,</w:t>
      </w:r>
    </w:p>
    <w:p w14:paraId="63926E2A" w14:textId="77777777" w:rsidR="00C46587" w:rsidRPr="004F5FB4" w:rsidRDefault="00950B55" w:rsidP="00982118">
      <w:pPr>
        <w:numPr>
          <w:ilvl w:val="0"/>
          <w:numId w:val="7"/>
        </w:numPr>
        <w:ind w:left="562" w:hanging="562"/>
        <w:rPr>
          <w:color w:val="000000"/>
        </w:rPr>
      </w:pPr>
      <w:r w:rsidRPr="004F5FB4">
        <w:rPr>
          <w:color w:val="000000"/>
        </w:rPr>
        <w:t>h</w:t>
      </w:r>
      <w:r w:rsidR="00C46587" w:rsidRPr="004F5FB4">
        <w:rPr>
          <w:color w:val="000000"/>
        </w:rPr>
        <w:t>ohe Blutzuckerwerte</w:t>
      </w:r>
      <w:r w:rsidR="000B11AF" w:rsidRPr="004F5FB4">
        <w:rPr>
          <w:color w:val="000000"/>
        </w:rPr>
        <w:t>,</w:t>
      </w:r>
    </w:p>
    <w:p w14:paraId="0399279D" w14:textId="77777777" w:rsidR="00C46587" w:rsidRPr="004F5FB4" w:rsidRDefault="00950B55" w:rsidP="00982118">
      <w:pPr>
        <w:numPr>
          <w:ilvl w:val="0"/>
          <w:numId w:val="7"/>
        </w:numPr>
        <w:ind w:left="562" w:hanging="562"/>
        <w:rPr>
          <w:color w:val="000000"/>
        </w:rPr>
      </w:pPr>
      <w:r w:rsidRPr="004F5FB4">
        <w:rPr>
          <w:color w:val="000000"/>
        </w:rPr>
        <w:t>h</w:t>
      </w:r>
      <w:r w:rsidR="00C46587" w:rsidRPr="004F5FB4">
        <w:rPr>
          <w:color w:val="000000"/>
        </w:rPr>
        <w:t>ohe Blutwerte für Lactatdehydrogenase</w:t>
      </w:r>
      <w:r w:rsidR="000B11AF" w:rsidRPr="004F5FB4">
        <w:rPr>
          <w:color w:val="000000"/>
        </w:rPr>
        <w:t>,</w:t>
      </w:r>
    </w:p>
    <w:p w14:paraId="25916A29" w14:textId="77777777" w:rsidR="003B2330" w:rsidRPr="004F5FB4" w:rsidRDefault="00C46587" w:rsidP="00982118">
      <w:pPr>
        <w:numPr>
          <w:ilvl w:val="0"/>
          <w:numId w:val="7"/>
        </w:numPr>
        <w:ind w:left="562" w:hanging="562"/>
        <w:rPr>
          <w:color w:val="000000"/>
        </w:rPr>
      </w:pPr>
      <w:r w:rsidRPr="004F5FB4">
        <w:rPr>
          <w:color w:val="000000"/>
        </w:rPr>
        <w:t>Nachweis von Autoantikörpern im Blut</w:t>
      </w:r>
      <w:r w:rsidR="000B11AF" w:rsidRPr="004F5FB4">
        <w:rPr>
          <w:color w:val="000000"/>
        </w:rPr>
        <w:t>,</w:t>
      </w:r>
    </w:p>
    <w:p w14:paraId="56A25C3E" w14:textId="77777777" w:rsidR="00C46587" w:rsidRPr="004F5FB4" w:rsidRDefault="003B2330" w:rsidP="00982118">
      <w:pPr>
        <w:numPr>
          <w:ilvl w:val="0"/>
          <w:numId w:val="7"/>
        </w:numPr>
        <w:ind w:left="562" w:hanging="562"/>
        <w:rPr>
          <w:color w:val="000000"/>
        </w:rPr>
      </w:pPr>
      <w:r w:rsidRPr="004F5FB4">
        <w:rPr>
          <w:color w:val="000000"/>
        </w:rPr>
        <w:t>Hypokaliämie (Kaliummangel im Blut)</w:t>
      </w:r>
      <w:r w:rsidR="00A40DA1" w:rsidRPr="004F5FB4">
        <w:rPr>
          <w:color w:val="000000"/>
        </w:rPr>
        <w:t>.</w:t>
      </w:r>
      <w:r w:rsidRPr="004F5FB4">
        <w:rPr>
          <w:color w:val="000000"/>
        </w:rPr>
        <w:t xml:space="preserve"> </w:t>
      </w:r>
    </w:p>
    <w:p w14:paraId="2DB99CF4" w14:textId="77777777" w:rsidR="00C46587" w:rsidRPr="004F5FB4" w:rsidRDefault="00C46587" w:rsidP="00982118">
      <w:pPr>
        <w:rPr>
          <w:color w:val="000000"/>
          <w:lang w:val="en-GB"/>
        </w:rPr>
      </w:pPr>
    </w:p>
    <w:p w14:paraId="44C6FBBB" w14:textId="77777777" w:rsidR="003B2330" w:rsidRPr="004F5FB4" w:rsidRDefault="003B2330" w:rsidP="004E7002">
      <w:pPr>
        <w:keepNext/>
        <w:keepLines/>
        <w:rPr>
          <w:color w:val="000000"/>
        </w:rPr>
      </w:pPr>
      <w:r w:rsidRPr="004F5FB4">
        <w:rPr>
          <w:b/>
          <w:bCs/>
          <w:color w:val="000000"/>
        </w:rPr>
        <w:lastRenderedPageBreak/>
        <w:t>Gelegentlich</w:t>
      </w:r>
      <w:r w:rsidRPr="004F5FB4">
        <w:rPr>
          <w:color w:val="000000"/>
        </w:rPr>
        <w:t xml:space="preserve"> (kann bis zu 1 von 100</w:t>
      </w:r>
      <w:r w:rsidR="000B11AF" w:rsidRPr="004F5FB4">
        <w:rPr>
          <w:color w:val="000000"/>
        </w:rPr>
        <w:t> </w:t>
      </w:r>
      <w:r w:rsidR="00116420" w:rsidRPr="004F5FB4">
        <w:rPr>
          <w:color w:val="000000"/>
        </w:rPr>
        <w:t xml:space="preserve">Behandelten </w:t>
      </w:r>
      <w:r w:rsidRPr="004F5FB4">
        <w:rPr>
          <w:color w:val="000000"/>
        </w:rPr>
        <w:t>betreffen)</w:t>
      </w:r>
    </w:p>
    <w:p w14:paraId="20B40C87" w14:textId="77777777" w:rsidR="003B2330" w:rsidRPr="004F5FB4" w:rsidRDefault="003B2330" w:rsidP="00982118">
      <w:pPr>
        <w:rPr>
          <w:color w:val="000000"/>
        </w:rPr>
      </w:pPr>
    </w:p>
    <w:p w14:paraId="3651577B" w14:textId="77777777" w:rsidR="003B2330" w:rsidRPr="004F5FB4" w:rsidRDefault="000B11AF" w:rsidP="00982118">
      <w:pPr>
        <w:numPr>
          <w:ilvl w:val="0"/>
          <w:numId w:val="9"/>
        </w:numPr>
        <w:rPr>
          <w:color w:val="000000"/>
        </w:rPr>
      </w:pPr>
      <w:r w:rsidRPr="004F5FB4">
        <w:rPr>
          <w:color w:val="000000"/>
        </w:rPr>
        <w:t>e</w:t>
      </w:r>
      <w:r w:rsidR="00580BE5" w:rsidRPr="004F5FB4">
        <w:rPr>
          <w:color w:val="000000"/>
        </w:rPr>
        <w:t>rhöhte Bilirubin-Konzentration im Blut (Leberwerte).</w:t>
      </w:r>
    </w:p>
    <w:p w14:paraId="6995EB9D" w14:textId="77777777" w:rsidR="003B2330" w:rsidRPr="004F5FB4" w:rsidRDefault="003B2330" w:rsidP="00982118">
      <w:pPr>
        <w:rPr>
          <w:color w:val="000000"/>
        </w:rPr>
      </w:pPr>
    </w:p>
    <w:p w14:paraId="377CCF63" w14:textId="77777777" w:rsidR="00C46587" w:rsidRPr="004F5FB4" w:rsidRDefault="00C46587" w:rsidP="00982118">
      <w:pPr>
        <w:rPr>
          <w:color w:val="000000"/>
        </w:rPr>
      </w:pPr>
      <w:r w:rsidRPr="004F5FB4">
        <w:rPr>
          <w:b/>
          <w:bCs/>
          <w:color w:val="000000"/>
        </w:rPr>
        <w:t>Selten</w:t>
      </w:r>
      <w:r w:rsidRPr="004F5FB4">
        <w:rPr>
          <w:color w:val="000000"/>
        </w:rPr>
        <w:t xml:space="preserve"> (kann bis zu 1 von 1.000</w:t>
      </w:r>
      <w:r w:rsidR="000B11AF" w:rsidRPr="004F5FB4">
        <w:rPr>
          <w:color w:val="000000"/>
        </w:rPr>
        <w:t> </w:t>
      </w:r>
      <w:r w:rsidR="00116420" w:rsidRPr="004F5FB4">
        <w:rPr>
          <w:color w:val="000000"/>
        </w:rPr>
        <w:t xml:space="preserve">Behandelten </w:t>
      </w:r>
      <w:r w:rsidRPr="004F5FB4">
        <w:rPr>
          <w:color w:val="000000"/>
        </w:rPr>
        <w:t xml:space="preserve">betreffen) </w:t>
      </w:r>
    </w:p>
    <w:p w14:paraId="4A2CCB47" w14:textId="77777777" w:rsidR="00C46587" w:rsidRPr="004F5FB4" w:rsidRDefault="00C46587" w:rsidP="00982118">
      <w:pPr>
        <w:rPr>
          <w:color w:val="000000"/>
        </w:rPr>
      </w:pPr>
    </w:p>
    <w:p w14:paraId="337F331E" w14:textId="77777777" w:rsidR="00C46587" w:rsidRPr="004F5FB4" w:rsidRDefault="000B11AF" w:rsidP="00982118">
      <w:pPr>
        <w:numPr>
          <w:ilvl w:val="0"/>
          <w:numId w:val="7"/>
        </w:numPr>
        <w:ind w:left="562" w:hanging="562"/>
        <w:rPr>
          <w:color w:val="000000"/>
        </w:rPr>
      </w:pPr>
      <w:r w:rsidRPr="004F5FB4">
        <w:rPr>
          <w:color w:val="000000"/>
        </w:rPr>
        <w:t>v</w:t>
      </w:r>
      <w:r w:rsidR="00C46587" w:rsidRPr="004F5FB4">
        <w:rPr>
          <w:color w:val="000000"/>
        </w:rPr>
        <w:t xml:space="preserve">erringerte Anzahl weißer und roter Blutkörperchen und geringe Zahl an Blutplättchen. </w:t>
      </w:r>
    </w:p>
    <w:p w14:paraId="31D8D4F3" w14:textId="77777777" w:rsidR="00C46587" w:rsidRPr="004F5FB4" w:rsidRDefault="00C46587" w:rsidP="00982118">
      <w:pPr>
        <w:rPr>
          <w:color w:val="000000"/>
        </w:rPr>
      </w:pPr>
    </w:p>
    <w:p w14:paraId="666E39F4" w14:textId="77777777" w:rsidR="00C46587" w:rsidRPr="004F5FB4" w:rsidRDefault="00C46587" w:rsidP="00982118">
      <w:pPr>
        <w:rPr>
          <w:b/>
          <w:color w:val="000000"/>
        </w:rPr>
      </w:pPr>
      <w:r w:rsidRPr="004F5FB4">
        <w:rPr>
          <w:b/>
          <w:color w:val="000000"/>
        </w:rPr>
        <w:t xml:space="preserve">Meldung von Nebenwirkungen </w:t>
      </w:r>
    </w:p>
    <w:p w14:paraId="2DB23104" w14:textId="3CBB2B7F" w:rsidR="00C46587" w:rsidRPr="004F5FB4" w:rsidRDefault="00C46587" w:rsidP="00982118">
      <w:pPr>
        <w:rPr>
          <w:color w:val="000000"/>
        </w:rPr>
      </w:pPr>
      <w:r w:rsidRPr="004F5FB4">
        <w:rPr>
          <w:color w:val="000000"/>
        </w:rPr>
        <w:t xml:space="preserve">Wenn Sie Nebenwirkungen bemerken, wenden Sie sich an Ihren Arzt oder Apotheker. Dies gilt auch für Nebenwirkungen, die nicht in dieser Packungsbeilage angegeben sind. Sie können Nebenwirkungen auch direkt über </w:t>
      </w:r>
      <w:r w:rsidRPr="00A242C3">
        <w:rPr>
          <w:color w:val="000000"/>
          <w:highlight w:val="lightGray"/>
        </w:rPr>
        <w:t xml:space="preserve">das in </w:t>
      </w:r>
      <w:r w:rsidR="0075318E">
        <w:fldChar w:fldCharType="begin"/>
      </w:r>
      <w:r w:rsidR="0075318E">
        <w:instrText>HYPERLINK "https://www.ema.europa.eu/documents/template-form/qrd-appendix-v-adverse-drug-reaction-reporting-details_en.docx"</w:instrText>
      </w:r>
      <w:r w:rsidR="0075318E">
        <w:fldChar w:fldCharType="separate"/>
      </w:r>
      <w:r w:rsidR="0075318E" w:rsidRPr="008A56D9">
        <w:rPr>
          <w:rStyle w:val="Hyperlink"/>
          <w:highlight w:val="lightGray"/>
        </w:rPr>
        <w:t>Anhang V</w:t>
      </w:r>
      <w:r w:rsidR="0075318E">
        <w:fldChar w:fldCharType="end"/>
      </w:r>
      <w:r w:rsidR="0075318E" w:rsidRPr="008A56D9">
        <w:rPr>
          <w:color w:val="000000" w:themeColor="text1"/>
          <w:highlight w:val="lightGray"/>
        </w:rPr>
        <w:t xml:space="preserve"> </w:t>
      </w:r>
      <w:r w:rsidRPr="00A242C3">
        <w:rPr>
          <w:color w:val="000000" w:themeColor="text1"/>
          <w:highlight w:val="lightGray"/>
        </w:rPr>
        <w:t>a</w:t>
      </w:r>
      <w:r w:rsidRPr="00A242C3">
        <w:rPr>
          <w:color w:val="000000"/>
          <w:highlight w:val="lightGray"/>
        </w:rPr>
        <w:t>ufgeführte nationale Meldesystem</w:t>
      </w:r>
      <w:r w:rsidRPr="004F5FB4">
        <w:rPr>
          <w:color w:val="000000"/>
          <w:highlight w:val="lightGray"/>
        </w:rPr>
        <w:t xml:space="preserve"> </w:t>
      </w:r>
      <w:r w:rsidRPr="004F5FB4">
        <w:rPr>
          <w:color w:val="000000"/>
        </w:rPr>
        <w:t xml:space="preserve">anzeigen. Indem Sie Nebenwirkungen melden, können Sie dazu beitragen, dass mehr Informationen über die Sicherheit dieses Arzneimittels zur Verfügung gestellt werden. </w:t>
      </w:r>
    </w:p>
    <w:p w14:paraId="280F2518" w14:textId="77777777" w:rsidR="00C46587" w:rsidRPr="004F5FB4" w:rsidRDefault="00C46587" w:rsidP="00982118">
      <w:pPr>
        <w:rPr>
          <w:color w:val="000000"/>
        </w:rPr>
      </w:pPr>
    </w:p>
    <w:p w14:paraId="680EDDDC" w14:textId="77777777" w:rsidR="00C46587" w:rsidRPr="004F5FB4" w:rsidRDefault="00C46587" w:rsidP="00982118">
      <w:pPr>
        <w:rPr>
          <w:color w:val="000000"/>
        </w:rPr>
      </w:pPr>
    </w:p>
    <w:p w14:paraId="1D624074" w14:textId="77777777" w:rsidR="00C46587" w:rsidRPr="004F5FB4" w:rsidRDefault="00C46587" w:rsidP="00982118">
      <w:pPr>
        <w:tabs>
          <w:tab w:val="left" w:pos="562"/>
        </w:tabs>
        <w:rPr>
          <w:b/>
          <w:color w:val="000000"/>
        </w:rPr>
      </w:pPr>
      <w:r w:rsidRPr="004F5FB4">
        <w:rPr>
          <w:b/>
          <w:color w:val="000000"/>
        </w:rPr>
        <w:t>5</w:t>
      </w:r>
      <w:r w:rsidR="00013871" w:rsidRPr="004F5FB4">
        <w:rPr>
          <w:b/>
          <w:color w:val="000000"/>
        </w:rPr>
        <w:t>.</w:t>
      </w:r>
      <w:r w:rsidRPr="004F5FB4">
        <w:rPr>
          <w:b/>
          <w:color w:val="000000"/>
        </w:rPr>
        <w:tab/>
        <w:t xml:space="preserve">Wie ist Amsparity aufzubewahren? </w:t>
      </w:r>
    </w:p>
    <w:p w14:paraId="5D4F5B76" w14:textId="77777777" w:rsidR="00C46587" w:rsidRPr="004F5FB4" w:rsidRDefault="00C46587" w:rsidP="00982118">
      <w:pPr>
        <w:rPr>
          <w:color w:val="000000"/>
        </w:rPr>
      </w:pPr>
    </w:p>
    <w:p w14:paraId="487495FC" w14:textId="77777777" w:rsidR="00C46587" w:rsidRPr="004F5FB4" w:rsidRDefault="00C46587" w:rsidP="00982118">
      <w:pPr>
        <w:rPr>
          <w:color w:val="000000"/>
        </w:rPr>
      </w:pPr>
      <w:r w:rsidRPr="004F5FB4">
        <w:rPr>
          <w:color w:val="000000"/>
        </w:rPr>
        <w:t xml:space="preserve">Bewahren Sie dieses Arzneimittel für Kinder unzugänglich auf. </w:t>
      </w:r>
    </w:p>
    <w:p w14:paraId="3BAAAF67" w14:textId="77777777" w:rsidR="00C46587" w:rsidRPr="004F5FB4" w:rsidRDefault="00C46587" w:rsidP="00982118">
      <w:pPr>
        <w:rPr>
          <w:color w:val="000000"/>
        </w:rPr>
      </w:pPr>
    </w:p>
    <w:p w14:paraId="1E17C781" w14:textId="77777777" w:rsidR="00C46587" w:rsidRPr="004F5FB4" w:rsidRDefault="00C46587" w:rsidP="00982118">
      <w:pPr>
        <w:rPr>
          <w:color w:val="000000"/>
        </w:rPr>
      </w:pPr>
      <w:r w:rsidRPr="004F5FB4">
        <w:rPr>
          <w:color w:val="000000"/>
        </w:rPr>
        <w:t>Sie dürfen das Arzneimittel nach dem auf dem Etikett/</w:t>
      </w:r>
      <w:r w:rsidR="00013871" w:rsidRPr="004F5FB4">
        <w:rPr>
          <w:color w:val="000000"/>
        </w:rPr>
        <w:t xml:space="preserve"> </w:t>
      </w:r>
      <w:r w:rsidRPr="004F5FB4">
        <w:rPr>
          <w:color w:val="000000"/>
        </w:rPr>
        <w:t>Blister/</w:t>
      </w:r>
      <w:r w:rsidR="00013871" w:rsidRPr="004F5FB4">
        <w:rPr>
          <w:color w:val="000000"/>
        </w:rPr>
        <w:t xml:space="preserve"> der </w:t>
      </w:r>
      <w:r w:rsidRPr="004F5FB4">
        <w:rPr>
          <w:color w:val="000000"/>
        </w:rPr>
        <w:t xml:space="preserve">Faltschachtel nach „Verwendbar bis“ angegebenen Verfalldatum nicht mehr verwenden. </w:t>
      </w:r>
    </w:p>
    <w:p w14:paraId="114D657A" w14:textId="77777777" w:rsidR="0016465E" w:rsidRPr="004F5FB4" w:rsidRDefault="0016465E" w:rsidP="00982118">
      <w:pPr>
        <w:rPr>
          <w:color w:val="000000"/>
        </w:rPr>
      </w:pPr>
    </w:p>
    <w:p w14:paraId="613AA2FB" w14:textId="77777777" w:rsidR="00C46587" w:rsidRPr="004F5FB4" w:rsidRDefault="00C46587" w:rsidP="00982118">
      <w:pPr>
        <w:rPr>
          <w:color w:val="000000"/>
        </w:rPr>
      </w:pPr>
      <w:r w:rsidRPr="004F5FB4">
        <w:rPr>
          <w:color w:val="000000"/>
        </w:rPr>
        <w:t>Im Kühlschrank lagern (2 °C – 8 °C). Nicht einfrieren.</w:t>
      </w:r>
    </w:p>
    <w:p w14:paraId="218B50BA" w14:textId="77777777" w:rsidR="00C46587" w:rsidRPr="004F5FB4" w:rsidRDefault="00C46587" w:rsidP="00982118">
      <w:pPr>
        <w:rPr>
          <w:color w:val="000000"/>
        </w:rPr>
      </w:pPr>
    </w:p>
    <w:p w14:paraId="78A4A55E" w14:textId="77777777" w:rsidR="00C46587" w:rsidRPr="004F5FB4" w:rsidRDefault="00C46587" w:rsidP="00982118">
      <w:pPr>
        <w:rPr>
          <w:color w:val="000000"/>
        </w:rPr>
      </w:pPr>
      <w:r w:rsidRPr="004F5FB4">
        <w:rPr>
          <w:color w:val="000000"/>
        </w:rPr>
        <w:t xml:space="preserve">Die Fertigspritze im Umkarton aufbewahren, um den Inhalt vor Licht zu schützen. </w:t>
      </w:r>
    </w:p>
    <w:p w14:paraId="5F68F105" w14:textId="77777777" w:rsidR="00C46587" w:rsidRPr="004F5FB4" w:rsidRDefault="00C46587" w:rsidP="00982118">
      <w:pPr>
        <w:rPr>
          <w:color w:val="000000"/>
        </w:rPr>
      </w:pPr>
    </w:p>
    <w:p w14:paraId="57F33FFB" w14:textId="77777777" w:rsidR="00C46587" w:rsidRPr="004F5FB4" w:rsidRDefault="00C46587" w:rsidP="00982118">
      <w:pPr>
        <w:rPr>
          <w:color w:val="000000"/>
          <w:u w:val="single"/>
        </w:rPr>
      </w:pPr>
      <w:r w:rsidRPr="004F5FB4">
        <w:rPr>
          <w:color w:val="000000"/>
          <w:u w:val="single"/>
        </w:rPr>
        <w:t>Alternative Lagerung:</w:t>
      </w:r>
    </w:p>
    <w:p w14:paraId="29EA60FE" w14:textId="77777777" w:rsidR="0042050C" w:rsidRPr="004F5FB4" w:rsidRDefault="0042050C" w:rsidP="00982118">
      <w:pPr>
        <w:rPr>
          <w:color w:val="000000"/>
        </w:rPr>
      </w:pPr>
    </w:p>
    <w:p w14:paraId="1F97BDD4" w14:textId="77777777" w:rsidR="00C46587" w:rsidRPr="004F5FB4" w:rsidRDefault="00C46587" w:rsidP="00982118">
      <w:pPr>
        <w:rPr>
          <w:color w:val="000000"/>
        </w:rPr>
      </w:pPr>
      <w:r w:rsidRPr="004F5FB4">
        <w:rPr>
          <w:color w:val="000000"/>
        </w:rPr>
        <w:t>Wenn erforderlich (zum Beispiel, wenn Sie verreisen), darf eine einzelne Amsparity-Fertigspritze auch bis zu 30</w:t>
      </w:r>
      <w:r w:rsidR="006211D2" w:rsidRPr="004F5FB4">
        <w:rPr>
          <w:color w:val="000000"/>
        </w:rPr>
        <w:t> </w:t>
      </w:r>
      <w:r w:rsidRPr="004F5FB4">
        <w:rPr>
          <w:color w:val="000000"/>
        </w:rPr>
        <w:t xml:space="preserve">Tage lang bei Raumtemperatur aufbewahrt werden (nicht über 30°C und vor Licht geschützt). Sobald Sie die Spritze aus dem Kühlschrank genommen haben, um sie bei Raumtemperatur zu lagern, </w:t>
      </w:r>
      <w:r w:rsidRPr="004F5FB4">
        <w:rPr>
          <w:b/>
          <w:bCs/>
          <w:color w:val="000000"/>
        </w:rPr>
        <w:t>müssen Sie sie innerhalb dieser 30</w:t>
      </w:r>
      <w:r w:rsidR="006211D2" w:rsidRPr="004F5FB4">
        <w:rPr>
          <w:b/>
          <w:bCs/>
          <w:color w:val="000000"/>
        </w:rPr>
        <w:t> </w:t>
      </w:r>
      <w:r w:rsidRPr="004F5FB4">
        <w:rPr>
          <w:b/>
          <w:bCs/>
          <w:color w:val="000000"/>
        </w:rPr>
        <w:t>Tage verbrauchen oder wegwerfen</w:t>
      </w:r>
      <w:r w:rsidRPr="004F5FB4">
        <w:rPr>
          <w:color w:val="000000"/>
        </w:rPr>
        <w:t xml:space="preserve">, auch wenn Sie sie in den Kühlschrank zurücklegen. </w:t>
      </w:r>
    </w:p>
    <w:p w14:paraId="1B5A216B" w14:textId="77777777" w:rsidR="00C46587" w:rsidRPr="004F5FB4" w:rsidRDefault="00C46587" w:rsidP="00982118">
      <w:pPr>
        <w:rPr>
          <w:color w:val="000000"/>
        </w:rPr>
      </w:pPr>
    </w:p>
    <w:p w14:paraId="6BC0D092" w14:textId="77777777" w:rsidR="00C46587" w:rsidRPr="004F5FB4" w:rsidRDefault="00C46587" w:rsidP="00982118">
      <w:pPr>
        <w:rPr>
          <w:color w:val="000000"/>
        </w:rPr>
      </w:pPr>
      <w:r w:rsidRPr="004F5FB4">
        <w:rPr>
          <w:color w:val="000000"/>
        </w:rPr>
        <w:t xml:space="preserve">Sie sollten sich das Datum notieren, an dem Sie die Fertigspritze das erste Mal aus dem Kühlschrank nehmen. Auch sollten Sie sich das Datum notieren, zu dem Sie die Fertigspritze wegwerfen müssen. </w:t>
      </w:r>
    </w:p>
    <w:p w14:paraId="5F0E74E9" w14:textId="77777777" w:rsidR="00C46587" w:rsidRPr="004F5FB4" w:rsidRDefault="00C46587" w:rsidP="00982118">
      <w:pPr>
        <w:rPr>
          <w:color w:val="000000"/>
        </w:rPr>
      </w:pPr>
    </w:p>
    <w:p w14:paraId="48A802DC" w14:textId="77777777" w:rsidR="00C46587" w:rsidRPr="004F5FB4" w:rsidRDefault="00C46587" w:rsidP="00982118">
      <w:pPr>
        <w:rPr>
          <w:color w:val="000000"/>
        </w:rPr>
      </w:pPr>
      <w:r w:rsidRPr="004F5FB4">
        <w:rPr>
          <w:color w:val="000000"/>
        </w:rPr>
        <w:t xml:space="preserve">Entsorgen Sie Arzneimittel nicht im Abwasser oder Haushaltsabfall. Fragen Sie Ihren Arzt oder Apotheker, wie das Arzneimittel zu entsorgen ist, wenn Sie es nicht mehr verwenden. Sie tragen damit zum Schutz der Umwelt bei. </w:t>
      </w:r>
    </w:p>
    <w:p w14:paraId="70828132" w14:textId="77777777" w:rsidR="00C46587" w:rsidRPr="004F5FB4" w:rsidRDefault="00C46587" w:rsidP="00982118">
      <w:pPr>
        <w:rPr>
          <w:color w:val="000000"/>
        </w:rPr>
      </w:pPr>
    </w:p>
    <w:p w14:paraId="59A33BBF" w14:textId="77777777" w:rsidR="00C46587" w:rsidRPr="004F5FB4" w:rsidRDefault="00C46587" w:rsidP="00982118">
      <w:pPr>
        <w:rPr>
          <w:color w:val="000000"/>
        </w:rPr>
      </w:pPr>
    </w:p>
    <w:p w14:paraId="6637ED78" w14:textId="77777777" w:rsidR="002F4E10" w:rsidRPr="004F5FB4" w:rsidRDefault="00C46587" w:rsidP="00982118">
      <w:pPr>
        <w:keepNext/>
        <w:tabs>
          <w:tab w:val="left" w:pos="562"/>
        </w:tabs>
        <w:rPr>
          <w:b/>
          <w:color w:val="000000"/>
        </w:rPr>
      </w:pPr>
      <w:r w:rsidRPr="004F5FB4">
        <w:rPr>
          <w:b/>
          <w:color w:val="000000"/>
        </w:rPr>
        <w:t>6</w:t>
      </w:r>
      <w:r w:rsidR="00013871" w:rsidRPr="004F5FB4">
        <w:rPr>
          <w:b/>
          <w:color w:val="000000"/>
        </w:rPr>
        <w:t>.</w:t>
      </w:r>
      <w:r w:rsidRPr="004F5FB4">
        <w:rPr>
          <w:b/>
          <w:color w:val="000000"/>
        </w:rPr>
        <w:tab/>
        <w:t xml:space="preserve">Inhalt der Packung und weitere Informationen </w:t>
      </w:r>
    </w:p>
    <w:p w14:paraId="0A9E01B1" w14:textId="77777777" w:rsidR="002F4E10" w:rsidRPr="004F5FB4" w:rsidRDefault="002F4E10" w:rsidP="00982118">
      <w:pPr>
        <w:keepNext/>
        <w:tabs>
          <w:tab w:val="left" w:pos="562"/>
        </w:tabs>
        <w:rPr>
          <w:b/>
          <w:color w:val="000000"/>
        </w:rPr>
      </w:pPr>
    </w:p>
    <w:p w14:paraId="6AB3A8C2" w14:textId="77777777" w:rsidR="00C46587" w:rsidRPr="004F5FB4" w:rsidRDefault="00C46587" w:rsidP="00982118">
      <w:pPr>
        <w:keepNext/>
        <w:tabs>
          <w:tab w:val="left" w:pos="562"/>
        </w:tabs>
        <w:rPr>
          <w:b/>
          <w:color w:val="000000"/>
        </w:rPr>
      </w:pPr>
      <w:r w:rsidRPr="004F5FB4">
        <w:rPr>
          <w:b/>
          <w:color w:val="000000"/>
        </w:rPr>
        <w:t xml:space="preserve">Was Amsparity enthält </w:t>
      </w:r>
    </w:p>
    <w:p w14:paraId="095E02EE" w14:textId="77777777" w:rsidR="00C46587" w:rsidRPr="004F5FB4" w:rsidRDefault="00C46587" w:rsidP="00982118">
      <w:pPr>
        <w:keepNext/>
        <w:rPr>
          <w:color w:val="000000"/>
        </w:rPr>
      </w:pPr>
    </w:p>
    <w:p w14:paraId="76A31FE0" w14:textId="77777777" w:rsidR="00C46587" w:rsidRPr="004F5FB4" w:rsidRDefault="00C46587" w:rsidP="00982118">
      <w:pPr>
        <w:keepNext/>
        <w:rPr>
          <w:color w:val="000000"/>
        </w:rPr>
      </w:pPr>
      <w:r w:rsidRPr="004F5FB4">
        <w:rPr>
          <w:color w:val="000000"/>
        </w:rPr>
        <w:t xml:space="preserve">Der Wirkstoff ist: Adalimumab. </w:t>
      </w:r>
    </w:p>
    <w:p w14:paraId="6B0AD626" w14:textId="77777777" w:rsidR="00C44CA0" w:rsidRPr="004F5FB4" w:rsidRDefault="00C44CA0" w:rsidP="00982118">
      <w:pPr>
        <w:rPr>
          <w:color w:val="000000"/>
        </w:rPr>
      </w:pPr>
    </w:p>
    <w:p w14:paraId="19C660B9" w14:textId="755DA2D8" w:rsidR="00C46587" w:rsidRPr="004F5FB4" w:rsidRDefault="00C46587" w:rsidP="00982118">
      <w:pPr>
        <w:rPr>
          <w:color w:val="000000"/>
        </w:rPr>
      </w:pPr>
      <w:r w:rsidRPr="004F5FB4">
        <w:rPr>
          <w:color w:val="000000"/>
        </w:rPr>
        <w:t>Die sonstigen Bestandteile sind: L-Histidin, L-Histidin-Hydrochlorid-Monohydrat, Sucrose, EDTA-Dinatrium-Dihydrat, L-Methionin, Polysorbat 80 und Wasser für Injektionszwecke</w:t>
      </w:r>
      <w:r w:rsidR="00F044E4">
        <w:rPr>
          <w:color w:val="000000"/>
        </w:rPr>
        <w:t xml:space="preserve"> (siehe Abschnitt 2 „Amsparity enthält Polysorbat 80“ und „Amsparity enthält Natrium“)</w:t>
      </w:r>
      <w:r w:rsidRPr="004F5FB4">
        <w:rPr>
          <w:color w:val="000000"/>
        </w:rPr>
        <w:t xml:space="preserve">. </w:t>
      </w:r>
    </w:p>
    <w:p w14:paraId="6A7968DB" w14:textId="77777777" w:rsidR="00C46587" w:rsidRPr="004F5FB4" w:rsidRDefault="00C46587" w:rsidP="00982118">
      <w:pPr>
        <w:rPr>
          <w:color w:val="000000"/>
        </w:rPr>
      </w:pPr>
    </w:p>
    <w:p w14:paraId="4EB8769E" w14:textId="77777777" w:rsidR="00C46587" w:rsidRPr="004F5FB4" w:rsidRDefault="00C46587" w:rsidP="00982118">
      <w:pPr>
        <w:rPr>
          <w:b/>
          <w:color w:val="000000"/>
        </w:rPr>
      </w:pPr>
      <w:r w:rsidRPr="004F5FB4">
        <w:rPr>
          <w:b/>
          <w:color w:val="000000"/>
        </w:rPr>
        <w:t xml:space="preserve">Wie die Amsparity-Fertigspritze aussieht und Inhalt der Packung </w:t>
      </w:r>
    </w:p>
    <w:p w14:paraId="15AB7C2B" w14:textId="77777777" w:rsidR="00C46587" w:rsidRPr="004F5FB4" w:rsidRDefault="00C46587" w:rsidP="00982118">
      <w:pPr>
        <w:rPr>
          <w:color w:val="000000"/>
        </w:rPr>
      </w:pPr>
    </w:p>
    <w:p w14:paraId="6EC73F41" w14:textId="77777777" w:rsidR="00C46587" w:rsidRPr="004F5FB4" w:rsidRDefault="006A1144" w:rsidP="00982118">
      <w:pPr>
        <w:rPr>
          <w:color w:val="000000"/>
        </w:rPr>
      </w:pPr>
      <w:r w:rsidRPr="004F5FB4">
        <w:rPr>
          <w:color w:val="000000"/>
        </w:rPr>
        <w:t xml:space="preserve">Amsparity 40 mg Injektionslösung in einer Fertigspritze wird als sterile Lösung von 40 mg Adalimumab in 0,8 ml Lösung geliefert. </w:t>
      </w:r>
    </w:p>
    <w:p w14:paraId="6CD2A54F" w14:textId="77777777" w:rsidR="00C46587" w:rsidRPr="004F5FB4" w:rsidRDefault="00C46587" w:rsidP="00982118">
      <w:pPr>
        <w:rPr>
          <w:color w:val="000000"/>
        </w:rPr>
      </w:pPr>
    </w:p>
    <w:p w14:paraId="681CBBE9" w14:textId="77777777" w:rsidR="007D2B84" w:rsidRPr="004F5FB4" w:rsidRDefault="00C46587" w:rsidP="00982118">
      <w:pPr>
        <w:rPr>
          <w:color w:val="000000"/>
        </w:rPr>
      </w:pPr>
      <w:r w:rsidRPr="004F5FB4">
        <w:rPr>
          <w:color w:val="000000"/>
        </w:rPr>
        <w:t>Die Amsparity-Fertigspritze ist aus Glas und enthält eine klare, farblose bis sehr hellbraune Adalimumab-Lösung. Jede Packung enthält 1, 2, 4 oder 6</w:t>
      </w:r>
      <w:r w:rsidR="006211D2" w:rsidRPr="004F5FB4">
        <w:rPr>
          <w:color w:val="000000"/>
        </w:rPr>
        <w:t> </w:t>
      </w:r>
      <w:r w:rsidRPr="004F5FB4">
        <w:rPr>
          <w:color w:val="000000"/>
        </w:rPr>
        <w:t>Fertigspritzen zum Gebrauch durch den Patienten und entsprechend 2 (1</w:t>
      </w:r>
      <w:r w:rsidR="006211D2" w:rsidRPr="004F5FB4">
        <w:rPr>
          <w:color w:val="000000"/>
        </w:rPr>
        <w:t> </w:t>
      </w:r>
      <w:r w:rsidRPr="004F5FB4">
        <w:rPr>
          <w:color w:val="000000"/>
        </w:rPr>
        <w:t>Ersatztupfer), 2, 4 oder 6</w:t>
      </w:r>
      <w:r w:rsidR="006211D2" w:rsidRPr="004F5FB4">
        <w:rPr>
          <w:color w:val="000000"/>
        </w:rPr>
        <w:t> </w:t>
      </w:r>
      <w:r w:rsidRPr="004F5FB4">
        <w:rPr>
          <w:color w:val="000000"/>
        </w:rPr>
        <w:t xml:space="preserve">Alkoholtupfer. </w:t>
      </w:r>
    </w:p>
    <w:p w14:paraId="3161CF5C" w14:textId="77777777" w:rsidR="007D2B84" w:rsidRPr="004F5FB4" w:rsidRDefault="007D2B84" w:rsidP="00982118">
      <w:pPr>
        <w:rPr>
          <w:color w:val="000000"/>
        </w:rPr>
      </w:pPr>
    </w:p>
    <w:p w14:paraId="105CBD9D" w14:textId="77777777" w:rsidR="00C46587" w:rsidRPr="004F5FB4" w:rsidRDefault="00C46587" w:rsidP="00982118">
      <w:pPr>
        <w:rPr>
          <w:color w:val="000000"/>
        </w:rPr>
      </w:pPr>
      <w:r w:rsidRPr="004F5FB4">
        <w:rPr>
          <w:color w:val="000000"/>
        </w:rPr>
        <w:t xml:space="preserve">Es werden möglicherweise nicht alle Packungsgrößen in den Verkehr gebracht. </w:t>
      </w:r>
    </w:p>
    <w:p w14:paraId="50E2E48F" w14:textId="77777777" w:rsidR="00C46587" w:rsidRPr="004F5FB4" w:rsidRDefault="00C46587" w:rsidP="00982118">
      <w:pPr>
        <w:rPr>
          <w:color w:val="000000"/>
        </w:rPr>
      </w:pPr>
    </w:p>
    <w:p w14:paraId="2B672874" w14:textId="77777777" w:rsidR="00C46587" w:rsidRPr="004F5FB4" w:rsidRDefault="006A1144" w:rsidP="00982118">
      <w:pPr>
        <w:rPr>
          <w:color w:val="000000"/>
        </w:rPr>
      </w:pPr>
      <w:r w:rsidRPr="004F5FB4">
        <w:rPr>
          <w:color w:val="000000"/>
        </w:rPr>
        <w:t>Amsparity kann als Durchstechflasche, Fertigspritze und/</w:t>
      </w:r>
      <w:r w:rsidR="006F2F61" w:rsidRPr="004F5FB4">
        <w:rPr>
          <w:color w:val="000000"/>
        </w:rPr>
        <w:t xml:space="preserve"> </w:t>
      </w:r>
      <w:r w:rsidRPr="004F5FB4">
        <w:rPr>
          <w:color w:val="000000"/>
        </w:rPr>
        <w:t xml:space="preserve">oder als Fertigpen erhältlich sein. </w:t>
      </w:r>
    </w:p>
    <w:p w14:paraId="2F87B033" w14:textId="77777777" w:rsidR="00C46587" w:rsidRPr="004F5FB4" w:rsidRDefault="00C46587" w:rsidP="00982118">
      <w:pPr>
        <w:rPr>
          <w:color w:val="000000"/>
        </w:rPr>
      </w:pPr>
    </w:p>
    <w:p w14:paraId="037F6800" w14:textId="77777777" w:rsidR="00C46587" w:rsidRPr="004F5FB4" w:rsidRDefault="00C46587" w:rsidP="00982118">
      <w:pPr>
        <w:rPr>
          <w:b/>
          <w:color w:val="000000"/>
        </w:rPr>
      </w:pPr>
      <w:r w:rsidRPr="004F5FB4">
        <w:rPr>
          <w:b/>
          <w:color w:val="000000"/>
        </w:rPr>
        <w:t xml:space="preserve">Pharmazeutischer Unternehmer </w:t>
      </w:r>
    </w:p>
    <w:p w14:paraId="49C588D0" w14:textId="77777777" w:rsidR="00C46587" w:rsidRPr="00DC5AF1" w:rsidRDefault="00C46587" w:rsidP="00982118">
      <w:pPr>
        <w:rPr>
          <w:color w:val="000000"/>
        </w:rPr>
      </w:pPr>
    </w:p>
    <w:p w14:paraId="3A1E71F9" w14:textId="77777777" w:rsidR="006C3AE3" w:rsidRPr="004F5FB4" w:rsidRDefault="006C3AE3" w:rsidP="00982118">
      <w:pPr>
        <w:rPr>
          <w:color w:val="000000"/>
        </w:rPr>
      </w:pPr>
      <w:r w:rsidRPr="004F5FB4">
        <w:rPr>
          <w:color w:val="000000"/>
        </w:rPr>
        <w:t>Pfizer Europe MA EEIG</w:t>
      </w:r>
    </w:p>
    <w:p w14:paraId="3D073234" w14:textId="77777777" w:rsidR="00AA2493" w:rsidRPr="00DC5AF1" w:rsidRDefault="00AA2493" w:rsidP="00982118">
      <w:pPr>
        <w:pStyle w:val="BodyText"/>
        <w:widowControl/>
        <w:kinsoku w:val="0"/>
        <w:overflowPunct w:val="0"/>
        <w:ind w:left="0"/>
        <w:rPr>
          <w:color w:val="000000"/>
          <w:lang w:val="fr-FR"/>
        </w:rPr>
      </w:pPr>
      <w:r w:rsidRPr="00DC5AF1">
        <w:rPr>
          <w:color w:val="000000"/>
          <w:lang w:val="fr-FR"/>
        </w:rPr>
        <w:t>Boulevard de la Plaine 17</w:t>
      </w:r>
    </w:p>
    <w:p w14:paraId="581DB913" w14:textId="77777777" w:rsidR="00AA2493" w:rsidRPr="00DC5AF1" w:rsidRDefault="00AA2493" w:rsidP="00982118">
      <w:pPr>
        <w:pStyle w:val="BodyText"/>
        <w:widowControl/>
        <w:kinsoku w:val="0"/>
        <w:overflowPunct w:val="0"/>
        <w:ind w:left="0"/>
        <w:rPr>
          <w:color w:val="000000"/>
          <w:lang w:val="fr-FR"/>
        </w:rPr>
      </w:pPr>
      <w:r w:rsidRPr="00DC5AF1">
        <w:rPr>
          <w:color w:val="000000"/>
          <w:lang w:val="fr-FR"/>
        </w:rPr>
        <w:t xml:space="preserve">1050 </w:t>
      </w:r>
      <w:proofErr w:type="spellStart"/>
      <w:r w:rsidRPr="00DC5AF1">
        <w:rPr>
          <w:color w:val="000000"/>
          <w:lang w:val="fr-FR"/>
        </w:rPr>
        <w:t>Br</w:t>
      </w:r>
      <w:r w:rsidR="000B11AF" w:rsidRPr="00DC5AF1">
        <w:rPr>
          <w:color w:val="000000"/>
          <w:lang w:val="fr-FR"/>
        </w:rPr>
        <w:t>üssel</w:t>
      </w:r>
      <w:proofErr w:type="spellEnd"/>
    </w:p>
    <w:p w14:paraId="0751F2FC" w14:textId="77777777" w:rsidR="00AA2493" w:rsidRPr="00DC5AF1" w:rsidRDefault="00AA2493" w:rsidP="00982118">
      <w:pPr>
        <w:pStyle w:val="BodyText"/>
        <w:widowControl/>
        <w:kinsoku w:val="0"/>
        <w:overflowPunct w:val="0"/>
        <w:ind w:left="0"/>
        <w:rPr>
          <w:color w:val="000000"/>
          <w:lang w:val="fr-FR"/>
        </w:rPr>
      </w:pPr>
      <w:proofErr w:type="spellStart"/>
      <w:r w:rsidRPr="00DC5AF1">
        <w:rPr>
          <w:color w:val="000000"/>
          <w:lang w:val="fr-FR"/>
        </w:rPr>
        <w:t>Belgien</w:t>
      </w:r>
      <w:proofErr w:type="spellEnd"/>
    </w:p>
    <w:p w14:paraId="6DE3624B" w14:textId="77777777" w:rsidR="00C46587" w:rsidRPr="00DC5AF1" w:rsidRDefault="00C46587" w:rsidP="00982118">
      <w:pPr>
        <w:rPr>
          <w:color w:val="000000"/>
          <w:lang w:val="fr-FR"/>
        </w:rPr>
      </w:pPr>
    </w:p>
    <w:p w14:paraId="473ED2A7" w14:textId="77777777" w:rsidR="00C46587" w:rsidRPr="004F5FB4" w:rsidRDefault="00C46587" w:rsidP="00ED606E">
      <w:pPr>
        <w:keepNext/>
        <w:rPr>
          <w:b/>
          <w:color w:val="000000"/>
        </w:rPr>
      </w:pPr>
      <w:r w:rsidRPr="004F5FB4">
        <w:rPr>
          <w:b/>
          <w:color w:val="000000"/>
        </w:rPr>
        <w:t xml:space="preserve">Hersteller </w:t>
      </w:r>
    </w:p>
    <w:p w14:paraId="502430CD" w14:textId="77777777" w:rsidR="00C46587" w:rsidRPr="004F5FB4" w:rsidRDefault="00C46587" w:rsidP="00ED606E">
      <w:pPr>
        <w:keepNext/>
        <w:rPr>
          <w:color w:val="000000"/>
        </w:rPr>
      </w:pPr>
    </w:p>
    <w:p w14:paraId="1771040A" w14:textId="11CAF35B" w:rsidR="00AB5164" w:rsidRPr="004F5FB4" w:rsidRDefault="00AB5164" w:rsidP="00ED606E">
      <w:pPr>
        <w:pStyle w:val="BodyText"/>
        <w:keepNext/>
        <w:widowControl/>
        <w:kinsoku w:val="0"/>
        <w:overflowPunct w:val="0"/>
        <w:ind w:left="0"/>
        <w:rPr>
          <w:color w:val="000000"/>
        </w:rPr>
      </w:pPr>
      <w:r w:rsidRPr="004F5FB4">
        <w:rPr>
          <w:color w:val="000000"/>
        </w:rPr>
        <w:t>Pfizer Service Company BV</w:t>
      </w:r>
    </w:p>
    <w:p w14:paraId="65B4A5C2" w14:textId="602E91F7" w:rsidR="00AB5164" w:rsidRPr="004F5FB4" w:rsidDel="00EC03BF" w:rsidRDefault="00AB5164" w:rsidP="00982118">
      <w:pPr>
        <w:pStyle w:val="BodyText"/>
        <w:keepNext/>
        <w:widowControl/>
        <w:kinsoku w:val="0"/>
        <w:overflowPunct w:val="0"/>
        <w:ind w:left="0"/>
        <w:rPr>
          <w:del w:id="38" w:author="Author" w:date="2025-06-12T14:12:00Z" w16du:dateUtc="2025-06-12T13:12:00Z"/>
          <w:color w:val="000000"/>
        </w:rPr>
      </w:pPr>
      <w:del w:id="39" w:author="Author" w:date="2025-06-12T14:12:00Z" w16du:dateUtc="2025-06-12T13:12:00Z">
        <w:r w:rsidRPr="004F5FB4" w:rsidDel="00EC03BF">
          <w:rPr>
            <w:color w:val="000000"/>
          </w:rPr>
          <w:delText>Hoge Wei 10</w:delText>
        </w:r>
      </w:del>
    </w:p>
    <w:p w14:paraId="038D0340" w14:textId="77777777" w:rsidR="00EC03BF" w:rsidRPr="00956704" w:rsidRDefault="00EC03BF" w:rsidP="00EC03BF">
      <w:pPr>
        <w:rPr>
          <w:ins w:id="40" w:author="Author" w:date="2025-06-12T14:12:00Z" w16du:dateUtc="2025-06-12T13:12:00Z"/>
        </w:rPr>
      </w:pPr>
      <w:ins w:id="41" w:author="Author" w:date="2025-06-12T14:12:00Z" w16du:dateUtc="2025-06-12T13:12:00Z">
        <w:r w:rsidRPr="00956704">
          <w:t>Hermeslaan 11</w:t>
        </w:r>
      </w:ins>
    </w:p>
    <w:p w14:paraId="5E47F12C" w14:textId="75985E8E" w:rsidR="00AB5164" w:rsidRPr="004F5FB4" w:rsidRDefault="00EC03BF" w:rsidP="00982118">
      <w:pPr>
        <w:pStyle w:val="BodyText"/>
        <w:keepNext/>
        <w:widowControl/>
        <w:kinsoku w:val="0"/>
        <w:overflowPunct w:val="0"/>
        <w:ind w:left="0"/>
        <w:rPr>
          <w:color w:val="000000"/>
        </w:rPr>
      </w:pPr>
      <w:ins w:id="42" w:author="Author" w:date="2025-06-12T14:12:00Z" w16du:dateUtc="2025-06-12T13:12:00Z">
        <w:r>
          <w:rPr>
            <w:color w:val="000000"/>
          </w:rPr>
          <w:t xml:space="preserve">1932 </w:t>
        </w:r>
      </w:ins>
      <w:r w:rsidR="00AB5164" w:rsidRPr="004F5FB4">
        <w:rPr>
          <w:color w:val="000000"/>
        </w:rPr>
        <w:t>Zaventem</w:t>
      </w:r>
      <w:del w:id="43" w:author="Author" w:date="2025-06-12T14:12:00Z" w16du:dateUtc="2025-06-12T13:12:00Z">
        <w:r w:rsidR="00AB5164" w:rsidRPr="004F5FB4" w:rsidDel="00EC03BF">
          <w:rPr>
            <w:color w:val="000000"/>
          </w:rPr>
          <w:delText xml:space="preserve"> 1930</w:delText>
        </w:r>
      </w:del>
    </w:p>
    <w:p w14:paraId="08FBFBD4" w14:textId="77777777" w:rsidR="00AB5164" w:rsidRPr="004F5FB4" w:rsidRDefault="00AB5164" w:rsidP="00982118">
      <w:pPr>
        <w:pStyle w:val="BodyText"/>
        <w:keepNext/>
        <w:widowControl/>
        <w:kinsoku w:val="0"/>
        <w:overflowPunct w:val="0"/>
        <w:ind w:left="0"/>
        <w:rPr>
          <w:color w:val="000000"/>
        </w:rPr>
      </w:pPr>
      <w:r w:rsidRPr="004F5FB4">
        <w:rPr>
          <w:color w:val="000000"/>
        </w:rPr>
        <w:t>Belgien</w:t>
      </w:r>
    </w:p>
    <w:p w14:paraId="45F8BB7F" w14:textId="77777777" w:rsidR="00C46587" w:rsidRPr="004F5FB4" w:rsidRDefault="00C46587" w:rsidP="00982118">
      <w:pPr>
        <w:rPr>
          <w:color w:val="000000"/>
        </w:rPr>
      </w:pPr>
    </w:p>
    <w:p w14:paraId="723DDBEA" w14:textId="77777777" w:rsidR="00C46587" w:rsidRPr="004F5FB4" w:rsidRDefault="00C46587" w:rsidP="00982118">
      <w:pPr>
        <w:rPr>
          <w:color w:val="000000"/>
        </w:rPr>
      </w:pPr>
      <w:r w:rsidRPr="004F5FB4">
        <w:rPr>
          <w:color w:val="000000"/>
        </w:rPr>
        <w:t xml:space="preserve">Falls Sie weitere Informationen über </w:t>
      </w:r>
      <w:r w:rsidR="000E7C79" w:rsidRPr="004F5FB4">
        <w:rPr>
          <w:color w:val="000000"/>
        </w:rPr>
        <w:t>das</w:t>
      </w:r>
      <w:r w:rsidRPr="004F5FB4">
        <w:rPr>
          <w:color w:val="000000"/>
        </w:rPr>
        <w:t xml:space="preserve"> Arzneimittel wünschen, setzen Sie sich bitte mit dem örtlichen Vertreter des pharmazeutischen Unternehmers in Verbindung: </w:t>
      </w:r>
    </w:p>
    <w:p w14:paraId="4A2A859C" w14:textId="77777777" w:rsidR="00C46587" w:rsidRPr="004F5FB4" w:rsidRDefault="00C46587" w:rsidP="00982118">
      <w:pPr>
        <w:rPr>
          <w:color w:val="000000"/>
        </w:rPr>
      </w:pPr>
    </w:p>
    <w:tbl>
      <w:tblPr>
        <w:tblW w:w="5000" w:type="pct"/>
        <w:tblCellMar>
          <w:left w:w="0" w:type="dxa"/>
          <w:right w:w="0" w:type="dxa"/>
        </w:tblCellMar>
        <w:tblLook w:val="04A0" w:firstRow="1" w:lastRow="0" w:firstColumn="1" w:lastColumn="0" w:noHBand="0" w:noVBand="1"/>
      </w:tblPr>
      <w:tblGrid>
        <w:gridCol w:w="4200"/>
        <w:gridCol w:w="4815"/>
        <w:gridCol w:w="60"/>
      </w:tblGrid>
      <w:tr w:rsidR="00967326" w:rsidRPr="000E0085" w14:paraId="633B864F" w14:textId="77777777" w:rsidTr="00443BC7">
        <w:trPr>
          <w:cantSplit/>
        </w:trPr>
        <w:tc>
          <w:tcPr>
            <w:tcW w:w="4224" w:type="dxa"/>
            <w:tcMar>
              <w:top w:w="0" w:type="dxa"/>
              <w:left w:w="108" w:type="dxa"/>
              <w:bottom w:w="0" w:type="dxa"/>
              <w:right w:w="108" w:type="dxa"/>
            </w:tcMar>
            <w:hideMark/>
          </w:tcPr>
          <w:p w14:paraId="593DDF49" w14:textId="77777777" w:rsidR="00967326" w:rsidRPr="00C05F53" w:rsidRDefault="00967326" w:rsidP="00443BC7">
            <w:pPr>
              <w:rPr>
                <w:b/>
                <w:bCs/>
              </w:rPr>
            </w:pPr>
            <w:r w:rsidRPr="00C05F53">
              <w:rPr>
                <w:b/>
                <w:bCs/>
              </w:rPr>
              <w:t>België/Belgique/Belgien</w:t>
            </w:r>
          </w:p>
          <w:p w14:paraId="35ABEAA8" w14:textId="77777777" w:rsidR="00967326" w:rsidRPr="00C05F53" w:rsidRDefault="00967326" w:rsidP="00443BC7">
            <w:pPr>
              <w:rPr>
                <w:b/>
                <w:bCs/>
              </w:rPr>
            </w:pPr>
            <w:r w:rsidRPr="00C05F53">
              <w:rPr>
                <w:b/>
                <w:bCs/>
              </w:rPr>
              <w:t>Luxembourg/Luxemburg</w:t>
            </w:r>
          </w:p>
          <w:p w14:paraId="1F560188" w14:textId="77777777" w:rsidR="00967326" w:rsidRPr="00C05F53" w:rsidRDefault="00967326" w:rsidP="00443BC7">
            <w:r w:rsidRPr="00C05F53">
              <w:t>Pfizer NV/SA</w:t>
            </w:r>
          </w:p>
          <w:p w14:paraId="4185715C" w14:textId="77777777" w:rsidR="00967326" w:rsidRPr="000E0085" w:rsidRDefault="00967326" w:rsidP="00443BC7">
            <w:pPr>
              <w:autoSpaceDE w:val="0"/>
              <w:autoSpaceDN w:val="0"/>
              <w:rPr>
                <w:lang w:val="en-GB"/>
              </w:rPr>
            </w:pPr>
            <w:proofErr w:type="spellStart"/>
            <w:r w:rsidRPr="000E0085">
              <w:rPr>
                <w:lang w:val="en-GB"/>
              </w:rPr>
              <w:t>Tél</w:t>
            </w:r>
            <w:proofErr w:type="spellEnd"/>
            <w:r w:rsidRPr="000E0085">
              <w:rPr>
                <w:lang w:val="en-GB"/>
              </w:rPr>
              <w:t>/Tel: +32 (0)2 554 62 11</w:t>
            </w:r>
          </w:p>
          <w:p w14:paraId="375A9DAE"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2A5FEC16" w14:textId="77777777" w:rsidR="00967326" w:rsidRPr="00444B76" w:rsidRDefault="00967326" w:rsidP="00443BC7">
            <w:pPr>
              <w:rPr>
                <w:b/>
                <w:bCs/>
                <w:lang w:val="en-GB"/>
              </w:rPr>
            </w:pPr>
            <w:proofErr w:type="spellStart"/>
            <w:r w:rsidRPr="00444B76">
              <w:rPr>
                <w:b/>
                <w:bCs/>
                <w:lang w:val="en-GB"/>
              </w:rPr>
              <w:t>Kύ</w:t>
            </w:r>
            <w:proofErr w:type="spellEnd"/>
            <w:r w:rsidRPr="00444B76">
              <w:rPr>
                <w:b/>
                <w:bCs/>
                <w:lang w:val="en-GB"/>
              </w:rPr>
              <w:t>προς</w:t>
            </w:r>
          </w:p>
          <w:p w14:paraId="3CF0D398" w14:textId="77777777" w:rsidR="00967326" w:rsidRPr="00444B76" w:rsidRDefault="00967326" w:rsidP="00443BC7">
            <w:pPr>
              <w:rPr>
                <w:lang w:val="en-GB"/>
              </w:rPr>
            </w:pPr>
            <w:r w:rsidRPr="00444B76">
              <w:rPr>
                <w:lang w:val="en-GB"/>
              </w:rPr>
              <w:t>PFIZER EΛΛAΣ A.E. (CYPRUS BRANCH)</w:t>
            </w:r>
          </w:p>
          <w:p w14:paraId="7DF2529F" w14:textId="77777777" w:rsidR="00967326" w:rsidRPr="00444B76" w:rsidRDefault="00967326" w:rsidP="00443BC7">
            <w:pPr>
              <w:rPr>
                <w:lang w:val="en-GB"/>
              </w:rPr>
            </w:pPr>
            <w:proofErr w:type="spellStart"/>
            <w:r w:rsidRPr="00444B76">
              <w:rPr>
                <w:lang w:val="en-GB"/>
              </w:rPr>
              <w:t>Τηλ</w:t>
            </w:r>
            <w:proofErr w:type="spellEnd"/>
            <w:r w:rsidRPr="00444B76">
              <w:rPr>
                <w:lang w:val="en-GB"/>
              </w:rPr>
              <w:t>: +357 22 817690</w:t>
            </w:r>
          </w:p>
          <w:p w14:paraId="545886E3" w14:textId="77777777" w:rsidR="00967326" w:rsidRPr="00444B76" w:rsidRDefault="00967326" w:rsidP="00443BC7">
            <w:pPr>
              <w:autoSpaceDE w:val="0"/>
              <w:autoSpaceDN w:val="0"/>
              <w:rPr>
                <w:lang w:val="en-GB"/>
              </w:rPr>
            </w:pPr>
          </w:p>
        </w:tc>
      </w:tr>
      <w:tr w:rsidR="00967326" w:rsidRPr="000E0085" w14:paraId="1064D8FB" w14:textId="77777777" w:rsidTr="00443BC7">
        <w:trPr>
          <w:gridAfter w:val="1"/>
          <w:wAfter w:w="61" w:type="dxa"/>
          <w:cantSplit/>
        </w:trPr>
        <w:tc>
          <w:tcPr>
            <w:tcW w:w="4224" w:type="dxa"/>
            <w:tcMar>
              <w:top w:w="0" w:type="dxa"/>
              <w:left w:w="108" w:type="dxa"/>
              <w:bottom w:w="0" w:type="dxa"/>
              <w:right w:w="108" w:type="dxa"/>
            </w:tcMar>
          </w:tcPr>
          <w:p w14:paraId="7D9C685A" w14:textId="77777777" w:rsidR="00967326" w:rsidRPr="000E0085" w:rsidRDefault="00967326" w:rsidP="00443BC7">
            <w:pPr>
              <w:rPr>
                <w:b/>
                <w:bCs/>
                <w:lang w:val="en-GB"/>
              </w:rPr>
            </w:pPr>
          </w:p>
        </w:tc>
        <w:tc>
          <w:tcPr>
            <w:tcW w:w="4863" w:type="dxa"/>
            <w:tcMar>
              <w:top w:w="0" w:type="dxa"/>
              <w:left w:w="108" w:type="dxa"/>
              <w:bottom w:w="0" w:type="dxa"/>
              <w:right w:w="108" w:type="dxa"/>
            </w:tcMar>
          </w:tcPr>
          <w:p w14:paraId="745C34DC" w14:textId="77777777" w:rsidR="00967326" w:rsidRPr="000E0085" w:rsidRDefault="00967326" w:rsidP="00443BC7">
            <w:pPr>
              <w:rPr>
                <w:b/>
                <w:bCs/>
                <w:lang w:val="en-GB"/>
              </w:rPr>
            </w:pPr>
          </w:p>
        </w:tc>
      </w:tr>
      <w:tr w:rsidR="00967326" w:rsidRPr="000E0085" w14:paraId="2C6AD6EE" w14:textId="77777777" w:rsidTr="00443BC7">
        <w:trPr>
          <w:cantSplit/>
        </w:trPr>
        <w:tc>
          <w:tcPr>
            <w:tcW w:w="4224" w:type="dxa"/>
            <w:tcMar>
              <w:top w:w="0" w:type="dxa"/>
              <w:left w:w="108" w:type="dxa"/>
              <w:bottom w:w="0" w:type="dxa"/>
              <w:right w:w="108" w:type="dxa"/>
            </w:tcMar>
          </w:tcPr>
          <w:p w14:paraId="07E4CECF" w14:textId="77777777" w:rsidR="00967326" w:rsidRPr="00C05F53" w:rsidRDefault="00967326" w:rsidP="00443BC7">
            <w:pPr>
              <w:rPr>
                <w:b/>
                <w:bCs/>
              </w:rPr>
            </w:pPr>
            <w:r w:rsidRPr="00C05F53">
              <w:rPr>
                <w:b/>
                <w:bCs/>
              </w:rPr>
              <w:t>Česká Republika</w:t>
            </w:r>
          </w:p>
          <w:p w14:paraId="6FDE8276" w14:textId="77777777" w:rsidR="00967326" w:rsidRPr="00C05F53" w:rsidRDefault="00967326" w:rsidP="00443BC7">
            <w:r w:rsidRPr="00C05F53">
              <w:t>Pfizer, spol.  s r.o.</w:t>
            </w:r>
          </w:p>
          <w:p w14:paraId="463FC999" w14:textId="77777777" w:rsidR="00967326" w:rsidRPr="000E0085" w:rsidRDefault="00967326" w:rsidP="00443BC7">
            <w:pPr>
              <w:rPr>
                <w:lang w:val="en-GB"/>
              </w:rPr>
            </w:pPr>
            <w:r w:rsidRPr="000E0085">
              <w:rPr>
                <w:lang w:val="en-GB"/>
              </w:rPr>
              <w:t>Tel: +420-283-004-111</w:t>
            </w:r>
          </w:p>
          <w:p w14:paraId="1825DF9B"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7FFFFBCC" w14:textId="77777777" w:rsidR="00967326" w:rsidRPr="000E0085" w:rsidRDefault="00967326" w:rsidP="00443BC7">
            <w:pPr>
              <w:rPr>
                <w:b/>
                <w:bCs/>
                <w:lang w:val="en-GB"/>
              </w:rPr>
            </w:pPr>
            <w:proofErr w:type="spellStart"/>
            <w:r w:rsidRPr="000E0085">
              <w:rPr>
                <w:b/>
                <w:bCs/>
                <w:lang w:val="en-GB"/>
              </w:rPr>
              <w:t>Magyarország</w:t>
            </w:r>
            <w:proofErr w:type="spellEnd"/>
          </w:p>
          <w:p w14:paraId="1A6BADAF" w14:textId="77777777" w:rsidR="00967326" w:rsidRPr="000E0085" w:rsidRDefault="00967326" w:rsidP="00443BC7">
            <w:pPr>
              <w:rPr>
                <w:lang w:val="en-GB"/>
              </w:rPr>
            </w:pPr>
            <w:r w:rsidRPr="000E0085">
              <w:rPr>
                <w:lang w:val="en-GB"/>
              </w:rPr>
              <w:t>Pfizer Kft.</w:t>
            </w:r>
          </w:p>
          <w:p w14:paraId="2FF2CDB2" w14:textId="77777777" w:rsidR="00967326" w:rsidRPr="000E0085" w:rsidRDefault="00967326" w:rsidP="00443BC7">
            <w:pPr>
              <w:rPr>
                <w:lang w:val="en-GB"/>
              </w:rPr>
            </w:pPr>
            <w:r w:rsidRPr="000E0085">
              <w:rPr>
                <w:lang w:val="en-GB"/>
              </w:rPr>
              <w:t>Tel: +36 1 488 3700</w:t>
            </w:r>
          </w:p>
          <w:p w14:paraId="10C9E535" w14:textId="77777777" w:rsidR="00967326" w:rsidRPr="000E0085" w:rsidRDefault="00967326" w:rsidP="00443BC7">
            <w:pPr>
              <w:autoSpaceDE w:val="0"/>
              <w:autoSpaceDN w:val="0"/>
              <w:rPr>
                <w:lang w:val="en-GB"/>
              </w:rPr>
            </w:pPr>
          </w:p>
        </w:tc>
      </w:tr>
      <w:tr w:rsidR="00967326" w:rsidRPr="00E26A2B" w14:paraId="293580AB" w14:textId="77777777" w:rsidTr="00443BC7">
        <w:trPr>
          <w:cantSplit/>
        </w:trPr>
        <w:tc>
          <w:tcPr>
            <w:tcW w:w="4224" w:type="dxa"/>
            <w:tcMar>
              <w:top w:w="0" w:type="dxa"/>
              <w:left w:w="108" w:type="dxa"/>
              <w:bottom w:w="0" w:type="dxa"/>
              <w:right w:w="108" w:type="dxa"/>
            </w:tcMar>
          </w:tcPr>
          <w:p w14:paraId="19C4368A" w14:textId="77777777" w:rsidR="00967326" w:rsidRPr="000E0085" w:rsidRDefault="00967326" w:rsidP="00443BC7">
            <w:pPr>
              <w:rPr>
                <w:b/>
                <w:bCs/>
                <w:lang w:val="en-GB"/>
              </w:rPr>
            </w:pPr>
            <w:r w:rsidRPr="000E0085">
              <w:rPr>
                <w:b/>
                <w:bCs/>
                <w:lang w:val="en-GB"/>
              </w:rPr>
              <w:t>Danmark</w:t>
            </w:r>
          </w:p>
          <w:p w14:paraId="176D09F4" w14:textId="77777777" w:rsidR="00967326" w:rsidRPr="000E0085" w:rsidRDefault="00967326" w:rsidP="00443BC7">
            <w:pPr>
              <w:rPr>
                <w:lang w:val="en-GB"/>
              </w:rPr>
            </w:pPr>
            <w:r w:rsidRPr="000E0085">
              <w:rPr>
                <w:lang w:val="en-GB"/>
              </w:rPr>
              <w:t xml:space="preserve">Pfizer </w:t>
            </w:r>
            <w:proofErr w:type="spellStart"/>
            <w:r w:rsidRPr="000E0085">
              <w:rPr>
                <w:lang w:val="en-GB"/>
              </w:rPr>
              <w:t>ApS</w:t>
            </w:r>
            <w:proofErr w:type="spellEnd"/>
          </w:p>
          <w:p w14:paraId="4D23837F" w14:textId="77777777" w:rsidR="00967326" w:rsidRPr="000E0085" w:rsidRDefault="00967326" w:rsidP="00443BC7">
            <w:pPr>
              <w:rPr>
                <w:lang w:val="en-GB"/>
              </w:rPr>
            </w:pPr>
            <w:proofErr w:type="spellStart"/>
            <w:r w:rsidRPr="000E0085">
              <w:rPr>
                <w:lang w:val="en-GB"/>
              </w:rPr>
              <w:t>Tlf</w:t>
            </w:r>
            <w:proofErr w:type="spellEnd"/>
            <w:r>
              <w:rPr>
                <w:lang w:val="en-GB"/>
              </w:rPr>
              <w:t>.</w:t>
            </w:r>
            <w:r w:rsidRPr="000E0085">
              <w:rPr>
                <w:lang w:val="en-GB"/>
              </w:rPr>
              <w:t>: +45 44 201 100</w:t>
            </w:r>
          </w:p>
          <w:p w14:paraId="66787F45"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37B755A1" w14:textId="77777777" w:rsidR="00967326" w:rsidRPr="00EC03BF" w:rsidRDefault="00967326" w:rsidP="00443BC7">
            <w:pPr>
              <w:rPr>
                <w:b/>
                <w:lang w:val="it-IT"/>
              </w:rPr>
            </w:pPr>
            <w:r w:rsidRPr="00EC03BF">
              <w:rPr>
                <w:b/>
                <w:lang w:val="it-IT"/>
              </w:rPr>
              <w:t>Malta</w:t>
            </w:r>
          </w:p>
          <w:p w14:paraId="0F5CD9FB" w14:textId="77777777" w:rsidR="00967326" w:rsidRPr="00EC03BF" w:rsidRDefault="00967326" w:rsidP="00443BC7">
            <w:pPr>
              <w:rPr>
                <w:lang w:val="it-IT"/>
              </w:rPr>
            </w:pPr>
            <w:r w:rsidRPr="00EC03BF">
              <w:rPr>
                <w:lang w:val="it-IT"/>
              </w:rPr>
              <w:t xml:space="preserve">Vivian Corporation Ltd. </w:t>
            </w:r>
          </w:p>
          <w:p w14:paraId="78233983" w14:textId="77777777" w:rsidR="00967326" w:rsidRPr="00EC03BF" w:rsidRDefault="00967326" w:rsidP="00443BC7">
            <w:pPr>
              <w:rPr>
                <w:lang w:val="it-IT"/>
              </w:rPr>
            </w:pPr>
            <w:r w:rsidRPr="00EC03BF">
              <w:rPr>
                <w:lang w:val="it-IT"/>
              </w:rPr>
              <w:t>Tel: +356 21344610</w:t>
            </w:r>
          </w:p>
          <w:p w14:paraId="7A6253CB" w14:textId="77777777" w:rsidR="00967326" w:rsidRPr="00EC03BF" w:rsidRDefault="00967326" w:rsidP="00443BC7">
            <w:pPr>
              <w:autoSpaceDE w:val="0"/>
              <w:autoSpaceDN w:val="0"/>
              <w:rPr>
                <w:lang w:val="it-IT"/>
              </w:rPr>
            </w:pPr>
          </w:p>
        </w:tc>
      </w:tr>
      <w:tr w:rsidR="00967326" w:rsidRPr="000E0085" w14:paraId="05A332E9" w14:textId="77777777" w:rsidTr="00443BC7">
        <w:trPr>
          <w:cantSplit/>
        </w:trPr>
        <w:tc>
          <w:tcPr>
            <w:tcW w:w="4224" w:type="dxa"/>
            <w:tcMar>
              <w:top w:w="0" w:type="dxa"/>
              <w:left w:w="108" w:type="dxa"/>
              <w:bottom w:w="0" w:type="dxa"/>
              <w:right w:w="108" w:type="dxa"/>
            </w:tcMar>
          </w:tcPr>
          <w:p w14:paraId="0495E595" w14:textId="77777777" w:rsidR="00967326" w:rsidRPr="00C05F53" w:rsidRDefault="00967326" w:rsidP="00443BC7">
            <w:pPr>
              <w:rPr>
                <w:b/>
              </w:rPr>
            </w:pPr>
            <w:r w:rsidRPr="00C05F53">
              <w:rPr>
                <w:b/>
              </w:rPr>
              <w:t>Deutchland</w:t>
            </w:r>
          </w:p>
          <w:p w14:paraId="05954738" w14:textId="77777777" w:rsidR="00967326" w:rsidRPr="00C05F53" w:rsidRDefault="00967326" w:rsidP="00443BC7">
            <w:pPr>
              <w:keepNext/>
            </w:pPr>
            <w:r w:rsidRPr="00C05F53">
              <w:t>PFIZER PHARMA GmbH</w:t>
            </w:r>
          </w:p>
          <w:p w14:paraId="4AD9EAC3" w14:textId="77777777" w:rsidR="00967326" w:rsidRPr="00C05F53" w:rsidRDefault="00967326" w:rsidP="00443BC7">
            <w:pPr>
              <w:numPr>
                <w:ilvl w:val="12"/>
                <w:numId w:val="0"/>
              </w:numPr>
            </w:pPr>
            <w:r w:rsidRPr="00C05F53">
              <w:t>Tel: +49 (0)30 550055-51000</w:t>
            </w:r>
          </w:p>
          <w:p w14:paraId="25101641" w14:textId="77777777" w:rsidR="00967326" w:rsidRPr="00C05F53" w:rsidRDefault="00967326" w:rsidP="00443BC7">
            <w:pPr>
              <w:autoSpaceDE w:val="0"/>
              <w:autoSpaceDN w:val="0"/>
            </w:pPr>
          </w:p>
        </w:tc>
        <w:tc>
          <w:tcPr>
            <w:tcW w:w="4863" w:type="dxa"/>
            <w:gridSpan w:val="2"/>
            <w:tcMar>
              <w:top w:w="0" w:type="dxa"/>
              <w:left w:w="108" w:type="dxa"/>
              <w:bottom w:w="0" w:type="dxa"/>
              <w:right w:w="108" w:type="dxa"/>
            </w:tcMar>
          </w:tcPr>
          <w:p w14:paraId="7532862A" w14:textId="77777777" w:rsidR="00967326" w:rsidRPr="000E0085" w:rsidRDefault="00967326" w:rsidP="00443BC7">
            <w:pPr>
              <w:rPr>
                <w:b/>
                <w:bCs/>
                <w:lang w:val="en-GB"/>
              </w:rPr>
            </w:pPr>
            <w:r w:rsidRPr="000E0085">
              <w:rPr>
                <w:b/>
                <w:bCs/>
                <w:lang w:val="en-GB"/>
              </w:rPr>
              <w:t>Nederland</w:t>
            </w:r>
          </w:p>
          <w:p w14:paraId="2E51EF32" w14:textId="77777777" w:rsidR="00967326" w:rsidRPr="000E0085" w:rsidRDefault="00967326" w:rsidP="00443BC7">
            <w:pPr>
              <w:rPr>
                <w:lang w:val="en-GB"/>
              </w:rPr>
            </w:pPr>
            <w:r w:rsidRPr="000E0085">
              <w:rPr>
                <w:lang w:val="en-GB"/>
              </w:rPr>
              <w:t xml:space="preserve">Pfizer </w:t>
            </w:r>
            <w:proofErr w:type="spellStart"/>
            <w:r w:rsidRPr="000E0085">
              <w:rPr>
                <w:lang w:val="en-GB"/>
              </w:rPr>
              <w:t>bv</w:t>
            </w:r>
            <w:proofErr w:type="spellEnd"/>
          </w:p>
          <w:p w14:paraId="18522769" w14:textId="77777777" w:rsidR="00967326" w:rsidRPr="000E0085" w:rsidRDefault="00967326" w:rsidP="00443BC7">
            <w:pPr>
              <w:rPr>
                <w:lang w:val="en-GB"/>
              </w:rPr>
            </w:pPr>
            <w:r w:rsidRPr="000E0085">
              <w:rPr>
                <w:lang w:val="en-GB"/>
              </w:rPr>
              <w:t>Tel: +31 (0)10 406 43 01</w:t>
            </w:r>
          </w:p>
          <w:p w14:paraId="22BE9D3F" w14:textId="77777777" w:rsidR="00967326" w:rsidRPr="000E0085" w:rsidRDefault="00967326" w:rsidP="00443BC7">
            <w:pPr>
              <w:autoSpaceDE w:val="0"/>
              <w:autoSpaceDN w:val="0"/>
              <w:rPr>
                <w:lang w:val="en-GB"/>
              </w:rPr>
            </w:pPr>
          </w:p>
        </w:tc>
      </w:tr>
      <w:tr w:rsidR="00967326" w:rsidRPr="000E0085" w14:paraId="4FB2C74E" w14:textId="77777777" w:rsidTr="00443BC7">
        <w:trPr>
          <w:cantSplit/>
        </w:trPr>
        <w:tc>
          <w:tcPr>
            <w:tcW w:w="4224" w:type="dxa"/>
            <w:tcMar>
              <w:top w:w="0" w:type="dxa"/>
              <w:left w:w="108" w:type="dxa"/>
              <w:bottom w:w="0" w:type="dxa"/>
              <w:right w:w="108" w:type="dxa"/>
            </w:tcMar>
          </w:tcPr>
          <w:p w14:paraId="60E4D0E3" w14:textId="77777777" w:rsidR="00967326" w:rsidRPr="00967326" w:rsidRDefault="00967326" w:rsidP="00443BC7">
            <w:pPr>
              <w:rPr>
                <w:b/>
                <w:bCs/>
              </w:rPr>
            </w:pPr>
            <w:proofErr w:type="spellStart"/>
            <w:r w:rsidRPr="000E0085">
              <w:rPr>
                <w:b/>
                <w:bCs/>
                <w:lang w:val="en-GB"/>
              </w:rPr>
              <w:t>България</w:t>
            </w:r>
            <w:proofErr w:type="spellEnd"/>
          </w:p>
          <w:p w14:paraId="452E6FCD" w14:textId="77777777" w:rsidR="00967326" w:rsidRPr="00967326" w:rsidRDefault="00967326" w:rsidP="00443BC7">
            <w:proofErr w:type="spellStart"/>
            <w:r w:rsidRPr="000E0085">
              <w:rPr>
                <w:lang w:val="en-GB"/>
              </w:rPr>
              <w:t>Пфайзер</w:t>
            </w:r>
            <w:proofErr w:type="spellEnd"/>
            <w:r w:rsidRPr="00967326">
              <w:t xml:space="preserve"> </w:t>
            </w:r>
            <w:proofErr w:type="spellStart"/>
            <w:r w:rsidRPr="000E0085">
              <w:rPr>
                <w:lang w:val="en-GB"/>
              </w:rPr>
              <w:t>Люксембург</w:t>
            </w:r>
            <w:proofErr w:type="spellEnd"/>
            <w:r w:rsidRPr="00967326">
              <w:t xml:space="preserve"> </w:t>
            </w:r>
            <w:r w:rsidRPr="000E0085">
              <w:rPr>
                <w:lang w:val="en-GB"/>
              </w:rPr>
              <w:t>САРЛ</w:t>
            </w:r>
            <w:r w:rsidRPr="00967326">
              <w:t>,</w:t>
            </w:r>
          </w:p>
          <w:p w14:paraId="2183F56C" w14:textId="77777777" w:rsidR="00967326" w:rsidRPr="00967326" w:rsidRDefault="00967326" w:rsidP="00443BC7">
            <w:proofErr w:type="spellStart"/>
            <w:r w:rsidRPr="000E0085">
              <w:rPr>
                <w:lang w:val="en-GB"/>
              </w:rPr>
              <w:t>Клон</w:t>
            </w:r>
            <w:proofErr w:type="spellEnd"/>
            <w:r w:rsidRPr="00967326">
              <w:t xml:space="preserve"> </w:t>
            </w:r>
            <w:proofErr w:type="spellStart"/>
            <w:r w:rsidRPr="000E0085">
              <w:rPr>
                <w:lang w:val="en-GB"/>
              </w:rPr>
              <w:t>България</w:t>
            </w:r>
            <w:proofErr w:type="spellEnd"/>
          </w:p>
          <w:p w14:paraId="5E6B03EE" w14:textId="77777777" w:rsidR="00967326" w:rsidRPr="000E0085" w:rsidRDefault="00967326" w:rsidP="00443BC7">
            <w:pPr>
              <w:rPr>
                <w:lang w:val="en-GB"/>
              </w:rPr>
            </w:pPr>
            <w:proofErr w:type="spellStart"/>
            <w:r w:rsidRPr="000E0085">
              <w:rPr>
                <w:lang w:val="en-GB"/>
              </w:rPr>
              <w:t>Teл</w:t>
            </w:r>
            <w:proofErr w:type="spellEnd"/>
            <w:r w:rsidRPr="000E0085">
              <w:rPr>
                <w:lang w:val="en-GB"/>
              </w:rPr>
              <w:t>: +359 2 970 4333</w:t>
            </w:r>
          </w:p>
          <w:p w14:paraId="4A82972E"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0EEE91C3" w14:textId="77777777" w:rsidR="00967326" w:rsidRPr="000E0085" w:rsidRDefault="00967326" w:rsidP="00443BC7">
            <w:pPr>
              <w:rPr>
                <w:b/>
                <w:bCs/>
                <w:lang w:val="en-GB"/>
              </w:rPr>
            </w:pPr>
            <w:r w:rsidRPr="000E0085">
              <w:rPr>
                <w:b/>
                <w:bCs/>
                <w:lang w:val="en-GB"/>
              </w:rPr>
              <w:t>Norge</w:t>
            </w:r>
          </w:p>
          <w:p w14:paraId="715A9557" w14:textId="77777777" w:rsidR="00967326" w:rsidRPr="000E0085" w:rsidRDefault="00967326" w:rsidP="00443BC7">
            <w:pPr>
              <w:rPr>
                <w:lang w:val="en-GB"/>
              </w:rPr>
            </w:pPr>
            <w:r w:rsidRPr="000E0085">
              <w:rPr>
                <w:lang w:val="en-GB"/>
              </w:rPr>
              <w:t>Pfizer AS</w:t>
            </w:r>
          </w:p>
          <w:p w14:paraId="3B2030F4" w14:textId="77777777" w:rsidR="00967326" w:rsidRPr="000E0085" w:rsidRDefault="00967326" w:rsidP="00443BC7">
            <w:pPr>
              <w:rPr>
                <w:lang w:val="en-GB"/>
              </w:rPr>
            </w:pPr>
            <w:proofErr w:type="spellStart"/>
            <w:r w:rsidRPr="000E0085">
              <w:rPr>
                <w:lang w:val="en-GB"/>
              </w:rPr>
              <w:t>Tlf</w:t>
            </w:r>
            <w:proofErr w:type="spellEnd"/>
            <w:r w:rsidRPr="000E0085">
              <w:rPr>
                <w:lang w:val="en-GB"/>
              </w:rPr>
              <w:t>: +47 67 52 61 00</w:t>
            </w:r>
          </w:p>
          <w:p w14:paraId="5D02CE57" w14:textId="77777777" w:rsidR="00967326" w:rsidRPr="000E0085" w:rsidRDefault="00967326" w:rsidP="00443BC7">
            <w:pPr>
              <w:autoSpaceDE w:val="0"/>
              <w:autoSpaceDN w:val="0"/>
              <w:rPr>
                <w:lang w:val="en-GB"/>
              </w:rPr>
            </w:pPr>
          </w:p>
        </w:tc>
      </w:tr>
      <w:tr w:rsidR="00967326" w:rsidRPr="000E0085" w14:paraId="1307A57F" w14:textId="77777777" w:rsidTr="00443BC7">
        <w:trPr>
          <w:cantSplit/>
        </w:trPr>
        <w:tc>
          <w:tcPr>
            <w:tcW w:w="4224" w:type="dxa"/>
            <w:tcMar>
              <w:top w:w="0" w:type="dxa"/>
              <w:left w:w="108" w:type="dxa"/>
              <w:bottom w:w="0" w:type="dxa"/>
              <w:right w:w="108" w:type="dxa"/>
            </w:tcMar>
          </w:tcPr>
          <w:p w14:paraId="1894E42A" w14:textId="77777777" w:rsidR="00967326" w:rsidRPr="00EC03BF" w:rsidRDefault="00967326" w:rsidP="00443BC7">
            <w:pPr>
              <w:rPr>
                <w:b/>
                <w:bCs/>
                <w:lang w:val="pt-BR"/>
              </w:rPr>
            </w:pPr>
            <w:r w:rsidRPr="00EC03BF">
              <w:rPr>
                <w:b/>
                <w:bCs/>
                <w:lang w:val="pt-BR"/>
              </w:rPr>
              <w:t>Eesti</w:t>
            </w:r>
          </w:p>
          <w:p w14:paraId="2301D728" w14:textId="77777777" w:rsidR="00967326" w:rsidRPr="00EC03BF" w:rsidRDefault="00967326" w:rsidP="00443BC7">
            <w:pPr>
              <w:rPr>
                <w:lang w:val="pt-BR"/>
              </w:rPr>
            </w:pPr>
            <w:r w:rsidRPr="00EC03BF">
              <w:rPr>
                <w:lang w:val="pt-BR"/>
              </w:rPr>
              <w:t>Pfizer Luxembourg SARL Eesti filiaal</w:t>
            </w:r>
          </w:p>
          <w:p w14:paraId="18A7E057" w14:textId="77777777" w:rsidR="00967326" w:rsidRPr="000E0085" w:rsidRDefault="00967326" w:rsidP="00443BC7">
            <w:pPr>
              <w:rPr>
                <w:lang w:val="en-GB"/>
              </w:rPr>
            </w:pPr>
            <w:r w:rsidRPr="000E0085">
              <w:rPr>
                <w:lang w:val="en-GB"/>
              </w:rPr>
              <w:t>Tel: +372 666 7500</w:t>
            </w:r>
          </w:p>
          <w:p w14:paraId="7B563607"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3563B53C" w14:textId="77777777" w:rsidR="00967326" w:rsidRPr="00C05F53" w:rsidRDefault="00967326" w:rsidP="00443BC7">
            <w:pPr>
              <w:rPr>
                <w:b/>
                <w:bCs/>
              </w:rPr>
            </w:pPr>
            <w:r w:rsidRPr="00C05F53">
              <w:rPr>
                <w:b/>
                <w:bCs/>
              </w:rPr>
              <w:t>Österreich</w:t>
            </w:r>
          </w:p>
          <w:p w14:paraId="4D2CA107" w14:textId="77777777" w:rsidR="00967326" w:rsidRPr="00C05F53" w:rsidRDefault="00967326" w:rsidP="00443BC7">
            <w:r w:rsidRPr="00C05F53">
              <w:t>Pfizer Corporation Austria Ges.m.b.H.</w:t>
            </w:r>
          </w:p>
          <w:p w14:paraId="442A6867" w14:textId="77777777" w:rsidR="00967326" w:rsidRPr="000E0085" w:rsidRDefault="00967326" w:rsidP="00443BC7">
            <w:pPr>
              <w:rPr>
                <w:lang w:val="en-GB"/>
              </w:rPr>
            </w:pPr>
            <w:r w:rsidRPr="000E0085">
              <w:rPr>
                <w:lang w:val="en-GB"/>
              </w:rPr>
              <w:t>Tel: +43 (0)1 521 15-0</w:t>
            </w:r>
          </w:p>
          <w:p w14:paraId="29F40F9C" w14:textId="77777777" w:rsidR="00967326" w:rsidRPr="000E0085" w:rsidRDefault="00967326" w:rsidP="00443BC7">
            <w:pPr>
              <w:autoSpaceDE w:val="0"/>
              <w:autoSpaceDN w:val="0"/>
              <w:rPr>
                <w:lang w:val="en-GB"/>
              </w:rPr>
            </w:pPr>
          </w:p>
        </w:tc>
      </w:tr>
      <w:tr w:rsidR="00967326" w:rsidRPr="000E0085" w14:paraId="4CE65EC5" w14:textId="77777777" w:rsidTr="00443BC7">
        <w:trPr>
          <w:cantSplit/>
        </w:trPr>
        <w:tc>
          <w:tcPr>
            <w:tcW w:w="4224" w:type="dxa"/>
            <w:tcMar>
              <w:top w:w="0" w:type="dxa"/>
              <w:left w:w="108" w:type="dxa"/>
              <w:bottom w:w="0" w:type="dxa"/>
              <w:right w:w="108" w:type="dxa"/>
            </w:tcMar>
          </w:tcPr>
          <w:p w14:paraId="2764BA1A" w14:textId="77777777" w:rsidR="00967326" w:rsidRPr="00967326" w:rsidRDefault="00967326" w:rsidP="00443BC7">
            <w:pPr>
              <w:rPr>
                <w:b/>
                <w:bCs/>
              </w:rPr>
            </w:pPr>
            <w:proofErr w:type="spellStart"/>
            <w:r w:rsidRPr="00F94824">
              <w:rPr>
                <w:b/>
                <w:bCs/>
                <w:lang w:val="en-GB"/>
              </w:rPr>
              <w:t>Ελλάδ</w:t>
            </w:r>
            <w:proofErr w:type="spellEnd"/>
            <w:r w:rsidRPr="00F94824">
              <w:rPr>
                <w:b/>
                <w:bCs/>
                <w:lang w:val="en-GB"/>
              </w:rPr>
              <w:t>α</w:t>
            </w:r>
          </w:p>
          <w:p w14:paraId="5E443D6D" w14:textId="77777777" w:rsidR="00967326" w:rsidRPr="00967326" w:rsidRDefault="00967326" w:rsidP="00443BC7">
            <w:r w:rsidRPr="00967326">
              <w:t>PFIZER E</w:t>
            </w:r>
            <w:r w:rsidRPr="00F94824">
              <w:rPr>
                <w:lang w:val="en-GB"/>
              </w:rPr>
              <w:t>ΛΛ</w:t>
            </w:r>
            <w:r w:rsidRPr="00967326">
              <w:t>A</w:t>
            </w:r>
            <w:r w:rsidRPr="00F94824">
              <w:rPr>
                <w:lang w:val="en-GB"/>
              </w:rPr>
              <w:t>Σ</w:t>
            </w:r>
            <w:r w:rsidRPr="00967326">
              <w:t xml:space="preserve"> A.E.</w:t>
            </w:r>
          </w:p>
          <w:p w14:paraId="7AF57176" w14:textId="77777777" w:rsidR="00967326" w:rsidRPr="00F94824" w:rsidRDefault="00967326" w:rsidP="00443BC7">
            <w:pPr>
              <w:rPr>
                <w:lang w:val="en-GB"/>
              </w:rPr>
            </w:pPr>
            <w:proofErr w:type="spellStart"/>
            <w:r w:rsidRPr="00F94824">
              <w:rPr>
                <w:lang w:val="en-GB"/>
              </w:rPr>
              <w:t>Τηλ</w:t>
            </w:r>
            <w:proofErr w:type="spellEnd"/>
            <w:r w:rsidRPr="00F94824">
              <w:rPr>
                <w:lang w:val="en-GB"/>
              </w:rPr>
              <w:t>.: +30 210 67 85 800</w:t>
            </w:r>
          </w:p>
          <w:p w14:paraId="350EA72A" w14:textId="77777777" w:rsidR="00967326" w:rsidRPr="00F94824" w:rsidRDefault="00967326" w:rsidP="00443BC7">
            <w:pPr>
              <w:autoSpaceDE w:val="0"/>
              <w:autoSpaceDN w:val="0"/>
              <w:rPr>
                <w:lang w:val="en-GB"/>
              </w:rPr>
            </w:pPr>
          </w:p>
        </w:tc>
        <w:tc>
          <w:tcPr>
            <w:tcW w:w="4863" w:type="dxa"/>
            <w:gridSpan w:val="2"/>
            <w:tcMar>
              <w:top w:w="0" w:type="dxa"/>
              <w:left w:w="108" w:type="dxa"/>
              <w:bottom w:w="0" w:type="dxa"/>
              <w:right w:w="108" w:type="dxa"/>
            </w:tcMar>
          </w:tcPr>
          <w:p w14:paraId="0E2FD44C" w14:textId="77777777" w:rsidR="00967326" w:rsidRPr="00EC03BF" w:rsidRDefault="00967326" w:rsidP="00443BC7">
            <w:pPr>
              <w:rPr>
                <w:b/>
              </w:rPr>
            </w:pPr>
            <w:r w:rsidRPr="00EC03BF">
              <w:rPr>
                <w:b/>
              </w:rPr>
              <w:t>Polska</w:t>
            </w:r>
          </w:p>
          <w:p w14:paraId="5BF01983" w14:textId="77777777" w:rsidR="00967326" w:rsidRPr="00EC03BF" w:rsidRDefault="00967326" w:rsidP="00443BC7">
            <w:r w:rsidRPr="00EC03BF">
              <w:t>Pfizer Polska Sp. z o.o.</w:t>
            </w:r>
          </w:p>
          <w:p w14:paraId="250F8F62" w14:textId="77777777" w:rsidR="00967326" w:rsidRPr="000E0085" w:rsidRDefault="00967326" w:rsidP="00443BC7">
            <w:pPr>
              <w:rPr>
                <w:lang w:val="en-GB"/>
              </w:rPr>
            </w:pPr>
            <w:r w:rsidRPr="000E0085">
              <w:rPr>
                <w:lang w:val="en-GB"/>
              </w:rPr>
              <w:t>Tel.: +48 22 335 61 00</w:t>
            </w:r>
          </w:p>
          <w:p w14:paraId="60FC5F71" w14:textId="77777777" w:rsidR="00967326" w:rsidRPr="000E0085" w:rsidRDefault="00967326" w:rsidP="00443BC7">
            <w:pPr>
              <w:autoSpaceDE w:val="0"/>
              <w:autoSpaceDN w:val="0"/>
              <w:rPr>
                <w:lang w:val="en-GB"/>
              </w:rPr>
            </w:pPr>
          </w:p>
        </w:tc>
      </w:tr>
      <w:tr w:rsidR="00967326" w:rsidRPr="00E26A2B" w14:paraId="14A1F3BE" w14:textId="77777777" w:rsidTr="00443BC7">
        <w:trPr>
          <w:cantSplit/>
        </w:trPr>
        <w:tc>
          <w:tcPr>
            <w:tcW w:w="4224" w:type="dxa"/>
            <w:tcMar>
              <w:top w:w="0" w:type="dxa"/>
              <w:left w:w="108" w:type="dxa"/>
              <w:bottom w:w="0" w:type="dxa"/>
              <w:right w:w="108" w:type="dxa"/>
            </w:tcMar>
          </w:tcPr>
          <w:p w14:paraId="3CCE9AE9" w14:textId="77777777" w:rsidR="00967326" w:rsidRPr="00C05F53" w:rsidRDefault="00967326" w:rsidP="00443BC7">
            <w:pPr>
              <w:rPr>
                <w:b/>
                <w:bCs/>
                <w:lang w:val="es-ES"/>
              </w:rPr>
            </w:pPr>
            <w:r w:rsidRPr="00C05F53">
              <w:rPr>
                <w:b/>
                <w:bCs/>
                <w:lang w:val="es-ES"/>
              </w:rPr>
              <w:lastRenderedPageBreak/>
              <w:t>España</w:t>
            </w:r>
          </w:p>
          <w:p w14:paraId="5D19B356" w14:textId="77777777" w:rsidR="00967326" w:rsidRPr="00C05F53" w:rsidRDefault="00967326" w:rsidP="00443BC7">
            <w:pPr>
              <w:rPr>
                <w:lang w:val="es-ES"/>
              </w:rPr>
            </w:pPr>
            <w:r w:rsidRPr="00C05F53">
              <w:rPr>
                <w:lang w:val="es-ES"/>
              </w:rPr>
              <w:t>Pfizer S.L.</w:t>
            </w:r>
          </w:p>
          <w:p w14:paraId="3E01CA27" w14:textId="77777777" w:rsidR="00967326" w:rsidRPr="00C05F53" w:rsidRDefault="00967326" w:rsidP="00443BC7">
            <w:pPr>
              <w:rPr>
                <w:lang w:val="es-ES"/>
              </w:rPr>
            </w:pPr>
            <w:r w:rsidRPr="00C05F53">
              <w:rPr>
                <w:lang w:val="es-ES"/>
              </w:rPr>
              <w:t>Tel: +34 91 490 99 00</w:t>
            </w:r>
          </w:p>
          <w:p w14:paraId="65B500D3" w14:textId="77777777" w:rsidR="00967326" w:rsidRPr="00C05F53" w:rsidRDefault="00967326" w:rsidP="00443BC7">
            <w:pPr>
              <w:autoSpaceDE w:val="0"/>
              <w:autoSpaceDN w:val="0"/>
              <w:rPr>
                <w:lang w:val="es-ES"/>
              </w:rPr>
            </w:pPr>
          </w:p>
        </w:tc>
        <w:tc>
          <w:tcPr>
            <w:tcW w:w="4863" w:type="dxa"/>
            <w:gridSpan w:val="2"/>
            <w:tcMar>
              <w:top w:w="0" w:type="dxa"/>
              <w:left w:w="108" w:type="dxa"/>
              <w:bottom w:w="0" w:type="dxa"/>
              <w:right w:w="108" w:type="dxa"/>
            </w:tcMar>
          </w:tcPr>
          <w:p w14:paraId="6BED8381" w14:textId="77777777" w:rsidR="00967326" w:rsidRPr="00C05F53" w:rsidRDefault="00967326" w:rsidP="00443BC7">
            <w:pPr>
              <w:autoSpaceDE w:val="0"/>
              <w:autoSpaceDN w:val="0"/>
              <w:rPr>
                <w:b/>
                <w:lang w:val="es-ES"/>
              </w:rPr>
            </w:pPr>
            <w:r w:rsidRPr="00C05F53">
              <w:rPr>
                <w:b/>
                <w:lang w:val="es-ES"/>
              </w:rPr>
              <w:t>Portugal</w:t>
            </w:r>
          </w:p>
          <w:p w14:paraId="11DAD870" w14:textId="77777777" w:rsidR="00967326" w:rsidRPr="00C05F53" w:rsidRDefault="00967326" w:rsidP="00443BC7">
            <w:pPr>
              <w:autoSpaceDE w:val="0"/>
              <w:autoSpaceDN w:val="0"/>
              <w:rPr>
                <w:lang w:val="es-ES"/>
              </w:rPr>
            </w:pPr>
            <w:proofErr w:type="spellStart"/>
            <w:r w:rsidRPr="00C05F53">
              <w:rPr>
                <w:lang w:val="es-ES"/>
              </w:rPr>
              <w:t>Laboratórios</w:t>
            </w:r>
            <w:proofErr w:type="spellEnd"/>
            <w:r w:rsidRPr="00C05F53">
              <w:rPr>
                <w:lang w:val="es-ES"/>
              </w:rPr>
              <w:t xml:space="preserve"> Pfizer, Lda.</w:t>
            </w:r>
          </w:p>
          <w:p w14:paraId="13ADFBCF" w14:textId="77777777" w:rsidR="00967326" w:rsidRPr="00C05F53" w:rsidRDefault="00967326" w:rsidP="00443BC7">
            <w:pPr>
              <w:autoSpaceDE w:val="0"/>
              <w:autoSpaceDN w:val="0"/>
              <w:rPr>
                <w:lang w:val="es-ES"/>
              </w:rPr>
            </w:pPr>
            <w:r w:rsidRPr="00C05F53">
              <w:rPr>
                <w:lang w:val="es-ES"/>
              </w:rPr>
              <w:t>Tel: +351 21 423 5500</w:t>
            </w:r>
          </w:p>
        </w:tc>
      </w:tr>
      <w:tr w:rsidR="00967326" w:rsidRPr="000E0085" w14:paraId="2B25C4B1" w14:textId="77777777" w:rsidTr="00443BC7">
        <w:trPr>
          <w:cantSplit/>
        </w:trPr>
        <w:tc>
          <w:tcPr>
            <w:tcW w:w="4224" w:type="dxa"/>
            <w:tcMar>
              <w:top w:w="0" w:type="dxa"/>
              <w:left w:w="108" w:type="dxa"/>
              <w:bottom w:w="0" w:type="dxa"/>
              <w:right w:w="108" w:type="dxa"/>
            </w:tcMar>
          </w:tcPr>
          <w:p w14:paraId="241074B3" w14:textId="77777777" w:rsidR="00967326" w:rsidRPr="000E0085" w:rsidRDefault="00967326" w:rsidP="00443BC7">
            <w:pPr>
              <w:rPr>
                <w:b/>
                <w:bCs/>
                <w:lang w:val="en-GB"/>
              </w:rPr>
            </w:pPr>
            <w:r w:rsidRPr="000E0085">
              <w:rPr>
                <w:b/>
                <w:bCs/>
                <w:lang w:val="en-GB"/>
              </w:rPr>
              <w:t>France</w:t>
            </w:r>
          </w:p>
          <w:p w14:paraId="2659C51B" w14:textId="77777777" w:rsidR="00967326" w:rsidRPr="000E0085" w:rsidRDefault="00967326" w:rsidP="00443BC7">
            <w:pPr>
              <w:rPr>
                <w:lang w:val="en-GB"/>
              </w:rPr>
            </w:pPr>
            <w:r w:rsidRPr="000E0085">
              <w:rPr>
                <w:lang w:val="en-GB"/>
              </w:rPr>
              <w:t xml:space="preserve">Pfizer </w:t>
            </w:r>
          </w:p>
          <w:p w14:paraId="5CEB5A9F" w14:textId="77777777" w:rsidR="00967326" w:rsidRPr="000E0085" w:rsidRDefault="00967326" w:rsidP="00443BC7">
            <w:pPr>
              <w:rPr>
                <w:lang w:val="en-GB"/>
              </w:rPr>
            </w:pPr>
            <w:proofErr w:type="spellStart"/>
            <w:r w:rsidRPr="000E0085">
              <w:rPr>
                <w:lang w:val="en-GB"/>
              </w:rPr>
              <w:t>Tél</w:t>
            </w:r>
            <w:proofErr w:type="spellEnd"/>
            <w:r w:rsidRPr="000E0085">
              <w:rPr>
                <w:lang w:val="en-GB"/>
              </w:rPr>
              <w:t>: +33 (0)1 58 07 34 40</w:t>
            </w:r>
          </w:p>
          <w:p w14:paraId="4C008058" w14:textId="77777777" w:rsidR="00967326" w:rsidRPr="000E0085" w:rsidRDefault="00967326" w:rsidP="00443BC7">
            <w:pPr>
              <w:rPr>
                <w:lang w:val="en-GB"/>
              </w:rPr>
            </w:pPr>
          </w:p>
        </w:tc>
        <w:tc>
          <w:tcPr>
            <w:tcW w:w="4863" w:type="dxa"/>
            <w:gridSpan w:val="2"/>
            <w:tcMar>
              <w:top w:w="0" w:type="dxa"/>
              <w:left w:w="108" w:type="dxa"/>
              <w:bottom w:w="0" w:type="dxa"/>
              <w:right w:w="108" w:type="dxa"/>
            </w:tcMar>
          </w:tcPr>
          <w:p w14:paraId="4A48901A" w14:textId="77777777" w:rsidR="00967326" w:rsidRPr="00EC03BF" w:rsidRDefault="00967326" w:rsidP="00443BC7">
            <w:pPr>
              <w:rPr>
                <w:b/>
                <w:bCs/>
                <w:lang w:val="pt-BR"/>
              </w:rPr>
            </w:pPr>
            <w:r w:rsidRPr="00EC03BF">
              <w:rPr>
                <w:b/>
                <w:bCs/>
                <w:lang w:val="pt-BR"/>
              </w:rPr>
              <w:t>România</w:t>
            </w:r>
          </w:p>
          <w:p w14:paraId="5CCD1102" w14:textId="77777777" w:rsidR="00967326" w:rsidRPr="00EC03BF" w:rsidRDefault="00967326" w:rsidP="00443BC7">
            <w:pPr>
              <w:rPr>
                <w:lang w:val="pt-BR"/>
              </w:rPr>
            </w:pPr>
            <w:r w:rsidRPr="00EC03BF">
              <w:rPr>
                <w:lang w:val="pt-BR"/>
              </w:rPr>
              <w:t>Pfizer România S.R.L</w:t>
            </w:r>
          </w:p>
          <w:p w14:paraId="42125238" w14:textId="77777777" w:rsidR="00967326" w:rsidRPr="000E0085" w:rsidRDefault="00967326" w:rsidP="00443BC7">
            <w:pPr>
              <w:rPr>
                <w:lang w:val="en-GB"/>
              </w:rPr>
            </w:pPr>
            <w:r w:rsidRPr="000E0085">
              <w:rPr>
                <w:lang w:val="en-GB"/>
              </w:rPr>
              <w:t>Tel: +40 (0) 21 207 28 00</w:t>
            </w:r>
          </w:p>
          <w:p w14:paraId="53E8F5AD" w14:textId="77777777" w:rsidR="00967326" w:rsidRPr="000E0085" w:rsidRDefault="00967326" w:rsidP="00443BC7">
            <w:pPr>
              <w:autoSpaceDE w:val="0"/>
              <w:autoSpaceDN w:val="0"/>
              <w:rPr>
                <w:lang w:val="en-GB"/>
              </w:rPr>
            </w:pPr>
          </w:p>
        </w:tc>
      </w:tr>
      <w:tr w:rsidR="00967326" w:rsidRPr="000E0085" w14:paraId="23090B19" w14:textId="77777777" w:rsidTr="00443BC7">
        <w:trPr>
          <w:cantSplit/>
        </w:trPr>
        <w:tc>
          <w:tcPr>
            <w:tcW w:w="4224" w:type="dxa"/>
            <w:tcMar>
              <w:top w:w="0" w:type="dxa"/>
              <w:left w:w="108" w:type="dxa"/>
              <w:bottom w:w="0" w:type="dxa"/>
              <w:right w:w="108" w:type="dxa"/>
            </w:tcMar>
          </w:tcPr>
          <w:p w14:paraId="62F781C8" w14:textId="77777777" w:rsidR="00967326" w:rsidRPr="00EC03BF" w:rsidRDefault="00967326" w:rsidP="00443BC7">
            <w:pPr>
              <w:rPr>
                <w:b/>
                <w:bCs/>
                <w:lang w:val="pt-BR"/>
              </w:rPr>
            </w:pPr>
            <w:r w:rsidRPr="00EC03BF">
              <w:rPr>
                <w:b/>
                <w:bCs/>
                <w:lang w:val="pt-BR"/>
              </w:rPr>
              <w:t>Hrvatska</w:t>
            </w:r>
          </w:p>
          <w:p w14:paraId="4C3ABA6F" w14:textId="77777777" w:rsidR="00967326" w:rsidRPr="00EC03BF" w:rsidRDefault="00967326" w:rsidP="00443BC7">
            <w:pPr>
              <w:rPr>
                <w:lang w:val="pt-BR"/>
              </w:rPr>
            </w:pPr>
            <w:r w:rsidRPr="00EC03BF">
              <w:rPr>
                <w:lang w:val="pt-BR"/>
              </w:rPr>
              <w:t>Pfizer Croatia d.o.o.</w:t>
            </w:r>
          </w:p>
          <w:p w14:paraId="040F19EE" w14:textId="77777777" w:rsidR="00967326" w:rsidRPr="000E0085" w:rsidRDefault="00967326" w:rsidP="00443BC7">
            <w:pPr>
              <w:rPr>
                <w:lang w:val="en-GB"/>
              </w:rPr>
            </w:pPr>
            <w:r w:rsidRPr="000E0085">
              <w:rPr>
                <w:lang w:val="en-GB"/>
              </w:rPr>
              <w:t>Tel: +385 1 3908 777</w:t>
            </w:r>
          </w:p>
          <w:p w14:paraId="52627EA0"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27A09EB0" w14:textId="77777777" w:rsidR="00967326" w:rsidRPr="00EC03BF" w:rsidRDefault="00967326" w:rsidP="00443BC7">
            <w:pPr>
              <w:rPr>
                <w:b/>
                <w:bCs/>
                <w:lang w:val="pt-BR"/>
              </w:rPr>
            </w:pPr>
            <w:r w:rsidRPr="00EC03BF">
              <w:rPr>
                <w:b/>
                <w:bCs/>
                <w:lang w:val="pt-BR"/>
              </w:rPr>
              <w:t>Slovenija</w:t>
            </w:r>
          </w:p>
          <w:p w14:paraId="57F48241" w14:textId="77777777" w:rsidR="00967326" w:rsidRPr="00EC03BF" w:rsidRDefault="00967326" w:rsidP="00443BC7">
            <w:pPr>
              <w:rPr>
                <w:lang w:val="pt-BR"/>
              </w:rPr>
            </w:pPr>
            <w:r w:rsidRPr="00EC03BF">
              <w:rPr>
                <w:lang w:val="pt-BR"/>
              </w:rPr>
              <w:t>Pfizer Luxembourg SARL</w:t>
            </w:r>
            <w:r w:rsidRPr="00EC03BF">
              <w:rPr>
                <w:i/>
                <w:iCs/>
                <w:lang w:val="pt-BR"/>
              </w:rPr>
              <w:t xml:space="preserve">, </w:t>
            </w:r>
            <w:r w:rsidRPr="00EC03BF">
              <w:rPr>
                <w:lang w:val="pt-BR"/>
              </w:rPr>
              <w:t>Pfizer, podružnica</w:t>
            </w:r>
          </w:p>
          <w:p w14:paraId="5A35D9EB" w14:textId="77777777" w:rsidR="00967326" w:rsidRPr="00EC03BF" w:rsidRDefault="00967326" w:rsidP="00443BC7">
            <w:pPr>
              <w:rPr>
                <w:lang w:val="pt-BR"/>
              </w:rPr>
            </w:pPr>
            <w:r w:rsidRPr="00EC03BF">
              <w:rPr>
                <w:lang w:val="pt-BR"/>
              </w:rPr>
              <w:t>za svetovanje s področja farmacevtske</w:t>
            </w:r>
          </w:p>
          <w:p w14:paraId="5EF5F232" w14:textId="77777777" w:rsidR="00967326" w:rsidRPr="00EC03BF" w:rsidRDefault="00967326" w:rsidP="00443BC7">
            <w:pPr>
              <w:rPr>
                <w:lang w:val="pt-BR"/>
              </w:rPr>
            </w:pPr>
            <w:r w:rsidRPr="00EC03BF">
              <w:rPr>
                <w:lang w:val="pt-BR"/>
              </w:rPr>
              <w:t>dejavnosti, Ljubljana</w:t>
            </w:r>
          </w:p>
          <w:p w14:paraId="1C596299" w14:textId="77777777" w:rsidR="00967326" w:rsidRPr="000E0085" w:rsidRDefault="00967326" w:rsidP="00443BC7">
            <w:pPr>
              <w:rPr>
                <w:lang w:val="en-GB"/>
              </w:rPr>
            </w:pPr>
            <w:r w:rsidRPr="000E0085">
              <w:rPr>
                <w:lang w:val="en-GB"/>
              </w:rPr>
              <w:t>Tel: +386 (0)1 52 11 400</w:t>
            </w:r>
          </w:p>
          <w:p w14:paraId="2C2859C8" w14:textId="77777777" w:rsidR="00967326" w:rsidRPr="000E0085" w:rsidRDefault="00967326" w:rsidP="00443BC7">
            <w:pPr>
              <w:autoSpaceDE w:val="0"/>
              <w:autoSpaceDN w:val="0"/>
              <w:rPr>
                <w:lang w:val="en-GB"/>
              </w:rPr>
            </w:pPr>
          </w:p>
        </w:tc>
      </w:tr>
      <w:tr w:rsidR="00967326" w:rsidRPr="000E0085" w14:paraId="25DDFD02" w14:textId="77777777" w:rsidTr="00443BC7">
        <w:trPr>
          <w:cantSplit/>
        </w:trPr>
        <w:tc>
          <w:tcPr>
            <w:tcW w:w="4224" w:type="dxa"/>
            <w:tcMar>
              <w:top w:w="0" w:type="dxa"/>
              <w:left w:w="108" w:type="dxa"/>
              <w:bottom w:w="0" w:type="dxa"/>
              <w:right w:w="108" w:type="dxa"/>
            </w:tcMar>
          </w:tcPr>
          <w:p w14:paraId="2CFB95D3" w14:textId="77777777" w:rsidR="00967326" w:rsidRPr="000E0085" w:rsidRDefault="00967326" w:rsidP="00443BC7">
            <w:pPr>
              <w:rPr>
                <w:b/>
                <w:bCs/>
                <w:lang w:val="en-GB"/>
              </w:rPr>
            </w:pPr>
            <w:r w:rsidRPr="000E0085">
              <w:rPr>
                <w:b/>
                <w:bCs/>
                <w:lang w:val="en-GB"/>
              </w:rPr>
              <w:t>Ireland</w:t>
            </w:r>
          </w:p>
          <w:p w14:paraId="4AAF8E07" w14:textId="71150D95" w:rsidR="00967326" w:rsidRPr="000E0085" w:rsidRDefault="00967326" w:rsidP="00443BC7">
            <w:pPr>
              <w:rPr>
                <w:lang w:val="en-GB"/>
              </w:rPr>
            </w:pPr>
            <w:r w:rsidRPr="000E0085">
              <w:rPr>
                <w:lang w:val="en-GB"/>
              </w:rPr>
              <w:t>Pfizer Healthcare Ireland</w:t>
            </w:r>
            <w:ins w:id="44" w:author="Author" w:date="2025-06-12T14:14:00Z" w16du:dateUtc="2025-06-12T13:14:00Z">
              <w:r w:rsidR="00EC03BF">
                <w:rPr>
                  <w:lang w:val="en-GB"/>
                </w:rPr>
                <w:t xml:space="preserve"> Unlimited Company</w:t>
              </w:r>
            </w:ins>
          </w:p>
          <w:p w14:paraId="4BE87C3B" w14:textId="77777777" w:rsidR="00967326" w:rsidRPr="000E0085" w:rsidRDefault="00967326" w:rsidP="00443BC7">
            <w:pPr>
              <w:rPr>
                <w:lang w:val="en-GB"/>
              </w:rPr>
            </w:pPr>
            <w:r w:rsidRPr="000E0085">
              <w:rPr>
                <w:lang w:val="en-GB"/>
              </w:rPr>
              <w:t>Tel: +1800 633 363 (toll free)</w:t>
            </w:r>
          </w:p>
          <w:p w14:paraId="30F2CD89" w14:textId="77777777" w:rsidR="00967326" w:rsidRPr="000E0085" w:rsidRDefault="00967326" w:rsidP="00443BC7">
            <w:pPr>
              <w:rPr>
                <w:lang w:val="en-GB"/>
              </w:rPr>
            </w:pPr>
            <w:r w:rsidRPr="000E0085">
              <w:rPr>
                <w:lang w:val="en-GB"/>
              </w:rPr>
              <w:t>Tel: +44 (0)1304 616161</w:t>
            </w:r>
          </w:p>
          <w:p w14:paraId="6DC3BC09"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0911991D" w14:textId="77777777" w:rsidR="00967326" w:rsidRPr="00EC03BF" w:rsidRDefault="00967326" w:rsidP="00443BC7">
            <w:pPr>
              <w:rPr>
                <w:b/>
                <w:bCs/>
                <w:lang w:val="pt-BR"/>
              </w:rPr>
            </w:pPr>
            <w:r w:rsidRPr="00EC03BF">
              <w:rPr>
                <w:b/>
                <w:bCs/>
                <w:lang w:val="pt-BR"/>
              </w:rPr>
              <w:t>Slovenská Republika</w:t>
            </w:r>
          </w:p>
          <w:p w14:paraId="032B9A1F" w14:textId="77777777" w:rsidR="00967326" w:rsidRPr="00EC03BF" w:rsidRDefault="00967326" w:rsidP="00443BC7">
            <w:pPr>
              <w:rPr>
                <w:lang w:val="pt-BR"/>
              </w:rPr>
            </w:pPr>
            <w:r w:rsidRPr="00EC03BF">
              <w:rPr>
                <w:lang w:val="pt-BR"/>
              </w:rPr>
              <w:t>Pfizer Luxembourg SARL, organizačná zložka</w:t>
            </w:r>
          </w:p>
          <w:p w14:paraId="3AC44DA9" w14:textId="77777777" w:rsidR="00967326" w:rsidRPr="000E0085" w:rsidRDefault="00967326" w:rsidP="00443BC7">
            <w:pPr>
              <w:rPr>
                <w:lang w:val="en-GB"/>
              </w:rPr>
            </w:pPr>
            <w:r w:rsidRPr="000E0085">
              <w:rPr>
                <w:lang w:val="en-GB"/>
              </w:rPr>
              <w:t>Tel: +421 2 3355 5500</w:t>
            </w:r>
          </w:p>
          <w:p w14:paraId="17E4214B" w14:textId="77777777" w:rsidR="00967326" w:rsidRPr="000E0085" w:rsidRDefault="00967326" w:rsidP="00443BC7">
            <w:pPr>
              <w:autoSpaceDE w:val="0"/>
              <w:autoSpaceDN w:val="0"/>
              <w:rPr>
                <w:lang w:val="en-GB"/>
              </w:rPr>
            </w:pPr>
          </w:p>
        </w:tc>
      </w:tr>
      <w:tr w:rsidR="00967326" w:rsidRPr="00C05F53" w14:paraId="2F13541F" w14:textId="77777777" w:rsidTr="00443BC7">
        <w:trPr>
          <w:cantSplit/>
        </w:trPr>
        <w:tc>
          <w:tcPr>
            <w:tcW w:w="4224" w:type="dxa"/>
            <w:tcMar>
              <w:top w:w="0" w:type="dxa"/>
              <w:left w:w="108" w:type="dxa"/>
              <w:bottom w:w="0" w:type="dxa"/>
              <w:right w:w="108" w:type="dxa"/>
            </w:tcMar>
          </w:tcPr>
          <w:p w14:paraId="5040097F" w14:textId="77777777" w:rsidR="00967326" w:rsidRPr="000E0085" w:rsidRDefault="00967326" w:rsidP="00443BC7">
            <w:pPr>
              <w:rPr>
                <w:b/>
                <w:bCs/>
                <w:lang w:val="en-GB"/>
              </w:rPr>
            </w:pPr>
            <w:proofErr w:type="spellStart"/>
            <w:r w:rsidRPr="000E0085">
              <w:rPr>
                <w:b/>
                <w:bCs/>
                <w:lang w:val="en-GB"/>
              </w:rPr>
              <w:t>Ísland</w:t>
            </w:r>
            <w:proofErr w:type="spellEnd"/>
          </w:p>
          <w:p w14:paraId="43B929D3" w14:textId="77777777" w:rsidR="00967326" w:rsidRPr="000E0085" w:rsidRDefault="00967326" w:rsidP="00443BC7">
            <w:pPr>
              <w:rPr>
                <w:lang w:val="en-GB"/>
              </w:rPr>
            </w:pPr>
            <w:proofErr w:type="spellStart"/>
            <w:r w:rsidRPr="000E0085">
              <w:rPr>
                <w:lang w:val="en-GB"/>
              </w:rPr>
              <w:t>Icepharma</w:t>
            </w:r>
            <w:proofErr w:type="spellEnd"/>
            <w:r w:rsidRPr="000E0085">
              <w:rPr>
                <w:lang w:val="en-GB"/>
              </w:rPr>
              <w:t xml:space="preserve"> hf.</w:t>
            </w:r>
          </w:p>
          <w:p w14:paraId="31865194" w14:textId="77777777" w:rsidR="00967326" w:rsidRPr="000E0085" w:rsidRDefault="00967326" w:rsidP="00443BC7">
            <w:pPr>
              <w:rPr>
                <w:lang w:val="en-GB"/>
              </w:rPr>
            </w:pPr>
            <w:r w:rsidRPr="000E0085">
              <w:rPr>
                <w:lang w:val="en-GB"/>
              </w:rPr>
              <w:t>Tel: +354 540 8000</w:t>
            </w:r>
          </w:p>
          <w:p w14:paraId="08F47103"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24A03631" w14:textId="77777777" w:rsidR="00967326" w:rsidRPr="00C05F53" w:rsidRDefault="00967326" w:rsidP="00443BC7">
            <w:pPr>
              <w:rPr>
                <w:b/>
                <w:bCs/>
              </w:rPr>
            </w:pPr>
            <w:r w:rsidRPr="00C05F53">
              <w:rPr>
                <w:b/>
                <w:bCs/>
              </w:rPr>
              <w:t>Suomi/Finland</w:t>
            </w:r>
          </w:p>
          <w:p w14:paraId="314BAED3" w14:textId="77777777" w:rsidR="00967326" w:rsidRPr="00C05F53" w:rsidRDefault="00967326" w:rsidP="00443BC7">
            <w:r w:rsidRPr="00C05F53">
              <w:t>Pfizer Oy</w:t>
            </w:r>
          </w:p>
          <w:p w14:paraId="3F7E90E5" w14:textId="77777777" w:rsidR="00967326" w:rsidRPr="00C05F53" w:rsidRDefault="00967326" w:rsidP="00443BC7">
            <w:r w:rsidRPr="00C05F53">
              <w:t>Puh/Tel: +358 (0)9 430 040</w:t>
            </w:r>
          </w:p>
          <w:p w14:paraId="75897C87" w14:textId="77777777" w:rsidR="00967326" w:rsidRPr="00C05F53" w:rsidRDefault="00967326" w:rsidP="00443BC7"/>
          <w:p w14:paraId="367B30FE" w14:textId="77777777" w:rsidR="00967326" w:rsidRPr="00C05F53" w:rsidRDefault="00967326" w:rsidP="00443BC7">
            <w:pPr>
              <w:autoSpaceDE w:val="0"/>
              <w:autoSpaceDN w:val="0"/>
            </w:pPr>
          </w:p>
        </w:tc>
      </w:tr>
      <w:tr w:rsidR="00967326" w:rsidRPr="000E0085" w14:paraId="64055E0A" w14:textId="77777777" w:rsidTr="00443BC7">
        <w:trPr>
          <w:cantSplit/>
        </w:trPr>
        <w:tc>
          <w:tcPr>
            <w:tcW w:w="4224" w:type="dxa"/>
            <w:tcMar>
              <w:top w:w="0" w:type="dxa"/>
              <w:left w:w="108" w:type="dxa"/>
              <w:bottom w:w="0" w:type="dxa"/>
              <w:right w:w="108" w:type="dxa"/>
            </w:tcMar>
          </w:tcPr>
          <w:p w14:paraId="138EE68E" w14:textId="77777777" w:rsidR="00967326" w:rsidRPr="00EC03BF" w:rsidRDefault="00967326" w:rsidP="00443BC7">
            <w:pPr>
              <w:rPr>
                <w:lang w:val="pt-BR"/>
              </w:rPr>
            </w:pPr>
            <w:r w:rsidRPr="00EC03BF">
              <w:rPr>
                <w:b/>
                <w:bCs/>
                <w:lang w:val="pt-BR"/>
              </w:rPr>
              <w:t>Italia</w:t>
            </w:r>
          </w:p>
          <w:p w14:paraId="6C2F9F63" w14:textId="77777777" w:rsidR="00967326" w:rsidRPr="00EC03BF" w:rsidRDefault="00967326" w:rsidP="00443BC7">
            <w:pPr>
              <w:rPr>
                <w:lang w:val="pt-BR"/>
              </w:rPr>
            </w:pPr>
            <w:r w:rsidRPr="00EC03BF">
              <w:rPr>
                <w:lang w:val="pt-BR"/>
              </w:rPr>
              <w:t xml:space="preserve">Pfizer S.r.l. </w:t>
            </w:r>
          </w:p>
          <w:p w14:paraId="7A0295F1" w14:textId="77777777" w:rsidR="00967326" w:rsidRPr="000E0085" w:rsidRDefault="00967326" w:rsidP="00443BC7">
            <w:pPr>
              <w:rPr>
                <w:lang w:val="en-GB"/>
              </w:rPr>
            </w:pPr>
            <w:r w:rsidRPr="000E0085">
              <w:rPr>
                <w:lang w:val="en-GB"/>
              </w:rPr>
              <w:t>Tel: +39 06 33 18 21</w:t>
            </w:r>
          </w:p>
          <w:p w14:paraId="503F3DDA" w14:textId="77777777" w:rsidR="00967326" w:rsidRPr="000E0085" w:rsidRDefault="00967326" w:rsidP="00443BC7">
            <w:pPr>
              <w:autoSpaceDE w:val="0"/>
              <w:autoSpaceDN w:val="0"/>
              <w:rPr>
                <w:lang w:val="en-GB"/>
              </w:rPr>
            </w:pPr>
          </w:p>
        </w:tc>
        <w:tc>
          <w:tcPr>
            <w:tcW w:w="4863" w:type="dxa"/>
            <w:gridSpan w:val="2"/>
            <w:tcMar>
              <w:top w:w="0" w:type="dxa"/>
              <w:left w:w="108" w:type="dxa"/>
              <w:bottom w:w="0" w:type="dxa"/>
              <w:right w:w="108" w:type="dxa"/>
            </w:tcMar>
          </w:tcPr>
          <w:p w14:paraId="2534C56A" w14:textId="77777777" w:rsidR="00967326" w:rsidRPr="000E0085" w:rsidRDefault="00967326" w:rsidP="00443BC7">
            <w:pPr>
              <w:rPr>
                <w:b/>
                <w:bCs/>
                <w:lang w:val="en-GB"/>
              </w:rPr>
            </w:pPr>
            <w:r w:rsidRPr="000E0085">
              <w:rPr>
                <w:b/>
                <w:bCs/>
                <w:lang w:val="en-GB"/>
              </w:rPr>
              <w:t>Sverige</w:t>
            </w:r>
          </w:p>
          <w:p w14:paraId="74863897" w14:textId="77777777" w:rsidR="00967326" w:rsidRPr="000E0085" w:rsidRDefault="00967326" w:rsidP="00443BC7">
            <w:pPr>
              <w:rPr>
                <w:lang w:val="en-GB"/>
              </w:rPr>
            </w:pPr>
            <w:r w:rsidRPr="000E0085">
              <w:rPr>
                <w:lang w:val="en-GB"/>
              </w:rPr>
              <w:t>Pfizer AB</w:t>
            </w:r>
          </w:p>
          <w:p w14:paraId="5C35E4D3" w14:textId="77777777" w:rsidR="00967326" w:rsidRPr="000E0085" w:rsidRDefault="00967326" w:rsidP="00443BC7">
            <w:pPr>
              <w:rPr>
                <w:lang w:val="en-GB"/>
              </w:rPr>
            </w:pPr>
            <w:r w:rsidRPr="000E0085">
              <w:rPr>
                <w:lang w:val="en-GB"/>
              </w:rPr>
              <w:t>Tel: +46 (0)8 550 520 00</w:t>
            </w:r>
          </w:p>
          <w:p w14:paraId="1A98691E" w14:textId="77777777" w:rsidR="00967326" w:rsidRPr="000E0085" w:rsidRDefault="00967326" w:rsidP="00443BC7">
            <w:pPr>
              <w:autoSpaceDE w:val="0"/>
              <w:autoSpaceDN w:val="0"/>
              <w:rPr>
                <w:lang w:val="en-GB"/>
              </w:rPr>
            </w:pPr>
          </w:p>
        </w:tc>
      </w:tr>
      <w:tr w:rsidR="00967326" w:rsidRPr="000E0085" w14:paraId="5127F4BB" w14:textId="77777777" w:rsidTr="00443BC7">
        <w:trPr>
          <w:cantSplit/>
        </w:trPr>
        <w:tc>
          <w:tcPr>
            <w:tcW w:w="4224" w:type="dxa"/>
            <w:tcMar>
              <w:top w:w="0" w:type="dxa"/>
              <w:left w:w="108" w:type="dxa"/>
              <w:bottom w:w="0" w:type="dxa"/>
              <w:right w:w="108" w:type="dxa"/>
            </w:tcMar>
          </w:tcPr>
          <w:p w14:paraId="3CF5A40A" w14:textId="77777777" w:rsidR="00967326" w:rsidRPr="00EC03BF" w:rsidRDefault="00967326" w:rsidP="00443BC7">
            <w:pPr>
              <w:rPr>
                <w:b/>
                <w:bCs/>
                <w:lang w:val="pt-BR"/>
              </w:rPr>
            </w:pPr>
            <w:r w:rsidRPr="00EC03BF">
              <w:rPr>
                <w:b/>
                <w:bCs/>
                <w:lang w:val="pt-BR"/>
              </w:rPr>
              <w:t>Latvija</w:t>
            </w:r>
          </w:p>
          <w:p w14:paraId="36A2D785" w14:textId="77777777" w:rsidR="00967326" w:rsidRPr="00EC03BF" w:rsidRDefault="00967326" w:rsidP="00443BC7">
            <w:pPr>
              <w:rPr>
                <w:lang w:val="pt-BR"/>
              </w:rPr>
            </w:pPr>
            <w:r w:rsidRPr="00EC03BF">
              <w:rPr>
                <w:lang w:val="pt-BR"/>
              </w:rPr>
              <w:t>Pfizer Luxembourg SARL filiāle Latvijā</w:t>
            </w:r>
          </w:p>
          <w:p w14:paraId="2032D286" w14:textId="77777777" w:rsidR="00967326" w:rsidRPr="000E0085" w:rsidRDefault="00967326" w:rsidP="00443BC7">
            <w:pPr>
              <w:rPr>
                <w:lang w:val="en-GB"/>
              </w:rPr>
            </w:pPr>
            <w:r w:rsidRPr="000E0085">
              <w:rPr>
                <w:lang w:val="en-GB"/>
              </w:rPr>
              <w:t>Tel. +371 67035775</w:t>
            </w:r>
          </w:p>
          <w:p w14:paraId="58C323EA" w14:textId="77777777" w:rsidR="00967326" w:rsidRPr="000E0085" w:rsidRDefault="00967326" w:rsidP="00443BC7">
            <w:pPr>
              <w:autoSpaceDE w:val="0"/>
              <w:autoSpaceDN w:val="0"/>
              <w:rPr>
                <w:b/>
                <w:bCs/>
                <w:lang w:val="en-GB"/>
              </w:rPr>
            </w:pPr>
          </w:p>
        </w:tc>
        <w:tc>
          <w:tcPr>
            <w:tcW w:w="4863" w:type="dxa"/>
            <w:gridSpan w:val="2"/>
            <w:tcMar>
              <w:top w:w="0" w:type="dxa"/>
              <w:left w:w="108" w:type="dxa"/>
              <w:bottom w:w="0" w:type="dxa"/>
              <w:right w:w="108" w:type="dxa"/>
            </w:tcMar>
          </w:tcPr>
          <w:p w14:paraId="51459B8D" w14:textId="4ADFAFD4" w:rsidR="00967326" w:rsidRPr="000E0085" w:rsidDel="00EC03BF" w:rsidRDefault="00967326" w:rsidP="00443BC7">
            <w:pPr>
              <w:rPr>
                <w:del w:id="45" w:author="Author" w:date="2025-06-12T14:14:00Z" w16du:dateUtc="2025-06-12T13:14:00Z"/>
                <w:b/>
                <w:bCs/>
                <w:lang w:val="en-GB"/>
              </w:rPr>
            </w:pPr>
            <w:del w:id="46" w:author="Author" w:date="2025-06-12T14:14:00Z" w16du:dateUtc="2025-06-12T13:14:00Z">
              <w:r w:rsidRPr="000E0085" w:rsidDel="00EC03BF">
                <w:rPr>
                  <w:b/>
                  <w:bCs/>
                  <w:lang w:val="en-GB"/>
                </w:rPr>
                <w:delText>United Kingdom</w:delText>
              </w:r>
              <w:r w:rsidDel="00EC03BF">
                <w:rPr>
                  <w:b/>
                  <w:bCs/>
                  <w:lang w:val="en-GB"/>
                </w:rPr>
                <w:delText xml:space="preserve"> (Northern Ireland)</w:delText>
              </w:r>
            </w:del>
          </w:p>
          <w:p w14:paraId="766D5E5D" w14:textId="190C2BD6" w:rsidR="00967326" w:rsidRPr="000E0085" w:rsidDel="00EC03BF" w:rsidRDefault="00967326" w:rsidP="00443BC7">
            <w:pPr>
              <w:rPr>
                <w:del w:id="47" w:author="Author" w:date="2025-06-12T14:14:00Z" w16du:dateUtc="2025-06-12T13:14:00Z"/>
                <w:lang w:val="en-GB"/>
              </w:rPr>
            </w:pPr>
            <w:del w:id="48" w:author="Author" w:date="2025-06-12T14:14:00Z" w16du:dateUtc="2025-06-12T13:14:00Z">
              <w:r w:rsidRPr="000E0085" w:rsidDel="00EC03BF">
                <w:rPr>
                  <w:lang w:val="en-GB"/>
                </w:rPr>
                <w:delText>Pfizer Limited</w:delText>
              </w:r>
            </w:del>
          </w:p>
          <w:p w14:paraId="5CCA1670" w14:textId="5CD20AC6" w:rsidR="00967326" w:rsidRPr="000E0085" w:rsidDel="00EC03BF" w:rsidRDefault="00967326" w:rsidP="00443BC7">
            <w:pPr>
              <w:rPr>
                <w:del w:id="49" w:author="Author" w:date="2025-06-12T14:14:00Z" w16du:dateUtc="2025-06-12T13:14:00Z"/>
                <w:lang w:val="en-GB"/>
              </w:rPr>
            </w:pPr>
            <w:del w:id="50" w:author="Author" w:date="2025-06-12T14:14:00Z" w16du:dateUtc="2025-06-12T13:14:00Z">
              <w:r w:rsidRPr="000E0085" w:rsidDel="00EC03BF">
                <w:rPr>
                  <w:lang w:val="en-GB"/>
                </w:rPr>
                <w:delText>Tel: +44 (0)1304 616161</w:delText>
              </w:r>
            </w:del>
          </w:p>
          <w:p w14:paraId="4FCB9BE1" w14:textId="77777777" w:rsidR="00967326" w:rsidRPr="000E0085" w:rsidRDefault="00967326" w:rsidP="00EC03BF">
            <w:pPr>
              <w:rPr>
                <w:b/>
                <w:bCs/>
                <w:lang w:val="en-GB"/>
              </w:rPr>
            </w:pPr>
          </w:p>
        </w:tc>
      </w:tr>
      <w:tr w:rsidR="00967326" w:rsidRPr="000E0085" w14:paraId="143FDBDB" w14:textId="77777777" w:rsidTr="00443BC7">
        <w:trPr>
          <w:cantSplit/>
        </w:trPr>
        <w:tc>
          <w:tcPr>
            <w:tcW w:w="4224" w:type="dxa"/>
            <w:tcMar>
              <w:top w:w="0" w:type="dxa"/>
              <w:left w:w="108" w:type="dxa"/>
              <w:bottom w:w="0" w:type="dxa"/>
              <w:right w:w="108" w:type="dxa"/>
            </w:tcMar>
            <w:hideMark/>
          </w:tcPr>
          <w:p w14:paraId="04E49CA7" w14:textId="77777777" w:rsidR="00967326" w:rsidRPr="00EC03BF" w:rsidRDefault="00967326" w:rsidP="00443BC7">
            <w:pPr>
              <w:rPr>
                <w:b/>
                <w:bCs/>
                <w:lang w:val="pt-BR"/>
              </w:rPr>
            </w:pPr>
            <w:r w:rsidRPr="00EC03BF">
              <w:rPr>
                <w:b/>
                <w:bCs/>
                <w:lang w:val="pt-BR"/>
              </w:rPr>
              <w:t>Lietuva</w:t>
            </w:r>
          </w:p>
          <w:p w14:paraId="515A69AA" w14:textId="77777777" w:rsidR="00967326" w:rsidRPr="00EC03BF" w:rsidRDefault="00967326" w:rsidP="00443BC7">
            <w:pPr>
              <w:rPr>
                <w:lang w:val="pt-BR"/>
              </w:rPr>
            </w:pPr>
            <w:r w:rsidRPr="00EC03BF">
              <w:rPr>
                <w:lang w:val="pt-BR"/>
              </w:rPr>
              <w:t>Pfizer Luxembourg SARL filialas Lietuvoje</w:t>
            </w:r>
          </w:p>
          <w:p w14:paraId="1494850A" w14:textId="77777777" w:rsidR="00967326" w:rsidRPr="000E0085" w:rsidRDefault="00967326" w:rsidP="00443BC7">
            <w:pPr>
              <w:autoSpaceDE w:val="0"/>
              <w:autoSpaceDN w:val="0"/>
              <w:rPr>
                <w:b/>
                <w:bCs/>
                <w:lang w:val="en-GB"/>
              </w:rPr>
            </w:pPr>
            <w:r w:rsidRPr="000E0085">
              <w:rPr>
                <w:lang w:val="en-GB"/>
              </w:rPr>
              <w:t>Tel. +3705 2514000</w:t>
            </w:r>
          </w:p>
        </w:tc>
        <w:tc>
          <w:tcPr>
            <w:tcW w:w="4863" w:type="dxa"/>
            <w:gridSpan w:val="2"/>
            <w:tcMar>
              <w:top w:w="0" w:type="dxa"/>
              <w:left w:w="108" w:type="dxa"/>
              <w:bottom w:w="0" w:type="dxa"/>
              <w:right w:w="108" w:type="dxa"/>
            </w:tcMar>
          </w:tcPr>
          <w:p w14:paraId="20C081CA" w14:textId="77777777" w:rsidR="00967326" w:rsidRPr="000E0085" w:rsidRDefault="00967326" w:rsidP="00443BC7">
            <w:pPr>
              <w:autoSpaceDE w:val="0"/>
              <w:autoSpaceDN w:val="0"/>
              <w:rPr>
                <w:b/>
                <w:bCs/>
                <w:lang w:val="en-GB"/>
              </w:rPr>
            </w:pPr>
          </w:p>
        </w:tc>
      </w:tr>
    </w:tbl>
    <w:p w14:paraId="4DBDDD28" w14:textId="77777777" w:rsidR="001220DD" w:rsidRPr="004F5FB4" w:rsidRDefault="001220DD" w:rsidP="00982118">
      <w:pPr>
        <w:rPr>
          <w:color w:val="000000"/>
          <w:lang w:val="en-GB"/>
        </w:rPr>
      </w:pPr>
    </w:p>
    <w:p w14:paraId="07DA3036" w14:textId="77777777" w:rsidR="00CD53EC" w:rsidRPr="004F5FB4" w:rsidRDefault="00CD53EC" w:rsidP="00982118">
      <w:pPr>
        <w:rPr>
          <w:color w:val="000000"/>
          <w:lang w:val="en-GB"/>
        </w:rPr>
      </w:pPr>
    </w:p>
    <w:p w14:paraId="58783193" w14:textId="77777777" w:rsidR="00C46587" w:rsidRPr="004F5FB4" w:rsidRDefault="00C46587" w:rsidP="00771BD7">
      <w:pPr>
        <w:keepNext/>
        <w:rPr>
          <w:b/>
          <w:color w:val="000000"/>
        </w:rPr>
      </w:pPr>
      <w:r w:rsidRPr="004F5FB4">
        <w:rPr>
          <w:b/>
          <w:color w:val="000000"/>
        </w:rPr>
        <w:t>Diese Packungsbeilage wurde zuletzt überarbeitet i</w:t>
      </w:r>
      <w:r w:rsidR="00C958F5" w:rsidRPr="004F5FB4">
        <w:rPr>
          <w:b/>
          <w:color w:val="000000"/>
        </w:rPr>
        <w:t>m</w:t>
      </w:r>
    </w:p>
    <w:p w14:paraId="1612C9D1" w14:textId="77777777" w:rsidR="00C46587" w:rsidRPr="004F5FB4" w:rsidRDefault="00C46587" w:rsidP="00771BD7">
      <w:pPr>
        <w:keepNext/>
        <w:rPr>
          <w:color w:val="000000"/>
        </w:rPr>
      </w:pPr>
    </w:p>
    <w:p w14:paraId="69D5229A" w14:textId="29EF9A6C" w:rsidR="00C46587" w:rsidRPr="004F5FB4" w:rsidRDefault="00C46587" w:rsidP="00982118">
      <w:pPr>
        <w:rPr>
          <w:color w:val="000000"/>
          <w:u w:val="single"/>
        </w:rPr>
      </w:pPr>
      <w:r w:rsidRPr="004F5FB4">
        <w:rPr>
          <w:color w:val="000000"/>
        </w:rPr>
        <w:t xml:space="preserve">Ausführliche Informationen zu diesem Arzneimittel sind auf den Internetseiten der Europäischen Arzneimittel-Agentur </w:t>
      </w:r>
      <w:r w:rsidR="00000C6C">
        <w:fldChar w:fldCharType="begin"/>
      </w:r>
      <w:r w:rsidR="00000C6C">
        <w:instrText>HYPERLINK "https://www.ema.europa.eu"</w:instrText>
      </w:r>
      <w:r w:rsidR="00000C6C">
        <w:fldChar w:fldCharType="separate"/>
      </w:r>
      <w:r w:rsidR="00000C6C" w:rsidRPr="00A242C3">
        <w:rPr>
          <w:rStyle w:val="Hyperlink"/>
        </w:rPr>
        <w:t>https://www.ema.europa.eu</w:t>
      </w:r>
      <w:r w:rsidR="00000C6C">
        <w:fldChar w:fldCharType="end"/>
      </w:r>
      <w:r w:rsidR="00ED606E">
        <w:rPr>
          <w:rStyle w:val="Hyperlink"/>
        </w:rPr>
        <w:t xml:space="preserve"> </w:t>
      </w:r>
      <w:r w:rsidRPr="004F5FB4">
        <w:rPr>
          <w:color w:val="000000"/>
        </w:rPr>
        <w:t>verfügbar.</w:t>
      </w:r>
    </w:p>
    <w:p w14:paraId="309D5952" w14:textId="77777777" w:rsidR="003E58A8" w:rsidRPr="004F5FB4" w:rsidRDefault="00BF6B69" w:rsidP="00982118">
      <w:pPr>
        <w:jc w:val="center"/>
        <w:rPr>
          <w:b/>
          <w:bCs/>
          <w:color w:val="000000"/>
        </w:rPr>
      </w:pPr>
      <w:r w:rsidRPr="004F5FB4">
        <w:rPr>
          <w:color w:val="000000"/>
        </w:rPr>
        <w:br w:type="page"/>
      </w:r>
      <w:r w:rsidRPr="004F5FB4">
        <w:rPr>
          <w:b/>
          <w:bCs/>
          <w:color w:val="000000"/>
        </w:rPr>
        <w:lastRenderedPageBreak/>
        <w:t>HINWEISE ZUR ANWENDUNG</w:t>
      </w:r>
    </w:p>
    <w:p w14:paraId="1F785D6E" w14:textId="77777777" w:rsidR="003E58A8" w:rsidRPr="004F5FB4" w:rsidRDefault="006A1144" w:rsidP="00982118">
      <w:pPr>
        <w:jc w:val="center"/>
        <w:rPr>
          <w:color w:val="000000"/>
        </w:rPr>
      </w:pPr>
      <w:r w:rsidRPr="004F5FB4">
        <w:rPr>
          <w:color w:val="000000"/>
        </w:rPr>
        <w:t>Amsparity (Adalimumab)</w:t>
      </w:r>
    </w:p>
    <w:p w14:paraId="67A5191A" w14:textId="77777777" w:rsidR="003E58A8" w:rsidRPr="004F5FB4" w:rsidRDefault="003E58A8" w:rsidP="00982118">
      <w:pPr>
        <w:jc w:val="center"/>
        <w:rPr>
          <w:color w:val="000000"/>
        </w:rPr>
      </w:pPr>
      <w:r w:rsidRPr="004F5FB4">
        <w:rPr>
          <w:color w:val="000000"/>
        </w:rPr>
        <w:t>40</w:t>
      </w:r>
      <w:r w:rsidR="006211D2" w:rsidRPr="004F5FB4">
        <w:rPr>
          <w:color w:val="000000"/>
        </w:rPr>
        <w:t> </w:t>
      </w:r>
      <w:r w:rsidRPr="004F5FB4">
        <w:rPr>
          <w:color w:val="000000"/>
        </w:rPr>
        <w:t>mg</w:t>
      </w:r>
    </w:p>
    <w:p w14:paraId="43C0F9F9" w14:textId="77777777" w:rsidR="003E58A8" w:rsidRPr="004F5FB4" w:rsidRDefault="003E58A8" w:rsidP="00982118">
      <w:pPr>
        <w:jc w:val="center"/>
        <w:rPr>
          <w:color w:val="000000"/>
        </w:rPr>
      </w:pPr>
      <w:r w:rsidRPr="004F5FB4">
        <w:rPr>
          <w:color w:val="000000"/>
        </w:rPr>
        <w:t>Einzeldosis-Fertigspritze für die subkutane Injektion</w:t>
      </w:r>
    </w:p>
    <w:p w14:paraId="5D42A524" w14:textId="77777777" w:rsidR="003E58A8" w:rsidRPr="004F5FB4" w:rsidRDefault="003E58A8" w:rsidP="00982118">
      <w:pPr>
        <w:rPr>
          <w:b/>
          <w:color w:val="000000"/>
        </w:rPr>
      </w:pPr>
    </w:p>
    <w:p w14:paraId="60C62E31" w14:textId="77777777" w:rsidR="00977973" w:rsidRPr="004F5FB4" w:rsidRDefault="00977973" w:rsidP="00982118">
      <w:pPr>
        <w:rPr>
          <w:b/>
          <w:color w:val="000000"/>
        </w:rPr>
      </w:pPr>
      <w:r w:rsidRPr="004F5FB4">
        <w:rPr>
          <w:b/>
          <w:color w:val="000000"/>
        </w:rPr>
        <w:t xml:space="preserve">Heben Sie die Packungsbeilage auf. In der Anleitung wird Schritt für Schritt erklärt, wie die Injektion vorbereitet und verabreicht wird. </w:t>
      </w:r>
    </w:p>
    <w:p w14:paraId="2DE6FF05" w14:textId="77777777" w:rsidR="00977973" w:rsidRPr="004F5FB4" w:rsidRDefault="00977973" w:rsidP="00982118">
      <w:pPr>
        <w:rPr>
          <w:b/>
          <w:color w:val="000000"/>
        </w:rPr>
      </w:pPr>
      <w:r w:rsidRPr="004F5FB4">
        <w:rPr>
          <w:b/>
          <w:color w:val="000000"/>
        </w:rPr>
        <w:t xml:space="preserve">Bewahren Sie die Fertigspritze mit Amsparity bei 2 °C bis 8 °C im Kühlschrank auf. </w:t>
      </w:r>
    </w:p>
    <w:p w14:paraId="11D227E7" w14:textId="77777777" w:rsidR="00977973" w:rsidRPr="004F5FB4" w:rsidRDefault="00977973" w:rsidP="00982118">
      <w:pPr>
        <w:rPr>
          <w:b/>
          <w:color w:val="000000"/>
        </w:rPr>
      </w:pPr>
      <w:r w:rsidRPr="004F5FB4">
        <w:rPr>
          <w:b/>
          <w:color w:val="000000"/>
        </w:rPr>
        <w:t>Bewahren Sie die Fertigspritze mit Amsparity bis zur Anwendung in der Originalverpackung auf, um den Inhalt vor direktem Sonnenlicht zu schützen.</w:t>
      </w:r>
    </w:p>
    <w:p w14:paraId="46518E87" w14:textId="77777777" w:rsidR="00A30101" w:rsidRPr="004F5FB4" w:rsidRDefault="00A30101" w:rsidP="00A30101">
      <w:pPr>
        <w:rPr>
          <w:b/>
          <w:color w:val="000000"/>
        </w:rPr>
      </w:pPr>
      <w:r w:rsidRPr="004F5FB4">
        <w:rPr>
          <w:b/>
          <w:color w:val="000000"/>
        </w:rPr>
        <w:t>Wenn erforderlich (zum Beispiel, wenn Sie verreisen), können Sie die Amsparity-Fertigspritze auch bis zu 30 Tage lang bei bis zu 30 °C Raumtemperatur aufbewahren.</w:t>
      </w:r>
    </w:p>
    <w:p w14:paraId="41D5A111" w14:textId="77777777" w:rsidR="00977973" w:rsidRPr="004F5FB4" w:rsidRDefault="00977973" w:rsidP="00982118">
      <w:pPr>
        <w:rPr>
          <w:b/>
          <w:color w:val="000000"/>
        </w:rPr>
      </w:pPr>
      <w:r w:rsidRPr="004F5FB4">
        <w:rPr>
          <w:b/>
          <w:color w:val="000000"/>
        </w:rPr>
        <w:t>Bewahren Sie Amsparity, das Injektionszubehör und alle anderen Arzneimittel für Kinder unzugänglich auf.</w:t>
      </w:r>
    </w:p>
    <w:p w14:paraId="3B90E2B7" w14:textId="77777777" w:rsidR="00A30101" w:rsidRPr="004F5FB4" w:rsidRDefault="00A30101" w:rsidP="00982118">
      <w:pPr>
        <w:rPr>
          <w:b/>
          <w:color w:val="000000"/>
        </w:rPr>
      </w:pPr>
    </w:p>
    <w:p w14:paraId="405662A4" w14:textId="77777777" w:rsidR="00977973" w:rsidRPr="004F5FB4" w:rsidRDefault="006A1144" w:rsidP="00982118">
      <w:pPr>
        <w:rPr>
          <w:color w:val="000000"/>
        </w:rPr>
      </w:pPr>
      <w:r w:rsidRPr="004F5FB4">
        <w:rPr>
          <w:color w:val="000000"/>
        </w:rPr>
        <w:t>Amsparity</w:t>
      </w:r>
      <w:r w:rsidRPr="004F5FB4">
        <w:rPr>
          <w:b/>
          <w:color w:val="000000"/>
        </w:rPr>
        <w:t xml:space="preserve"> </w:t>
      </w:r>
      <w:r w:rsidRPr="004F5FB4">
        <w:rPr>
          <w:color w:val="000000"/>
        </w:rPr>
        <w:t>zur Injektion wird in einer Einweg-Fertigspritze bereitgestellt, die eine Einzeldosis des Arzneimittels enthält.</w:t>
      </w:r>
    </w:p>
    <w:p w14:paraId="4D131774" w14:textId="77777777" w:rsidR="00A30101" w:rsidRPr="004F5FB4" w:rsidRDefault="00A30101" w:rsidP="00A30101">
      <w:pPr>
        <w:rPr>
          <w:color w:val="000000"/>
        </w:rPr>
      </w:pPr>
      <w:r w:rsidRPr="004F5FB4">
        <w:rPr>
          <w:b/>
          <w:color w:val="000000"/>
        </w:rPr>
        <w:t>Versuchen Sie nicht</w:t>
      </w:r>
      <w:r w:rsidRPr="004F5FB4">
        <w:rPr>
          <w:color w:val="000000"/>
        </w:rPr>
        <w:t xml:space="preserve">, sich die Amsparity-Injektion selbst zu verabreichen, bevor Sie die Hinweise zur Anwendung gelesen und verstanden haben. Wenn Ihr Arzt, </w:t>
      </w:r>
      <w:r w:rsidR="002F5EF2" w:rsidRPr="004F5FB4">
        <w:rPr>
          <w:color w:val="000000"/>
        </w:rPr>
        <w:t>das medizinische Fachpersonal</w:t>
      </w:r>
      <w:r w:rsidRPr="004F5FB4">
        <w:rPr>
          <w:color w:val="000000"/>
        </w:rPr>
        <w:t xml:space="preserve"> oder der Apotheker entscheidet, dass Sie sich </w:t>
      </w:r>
      <w:r w:rsidR="002F5EF2" w:rsidRPr="004F5FB4">
        <w:rPr>
          <w:color w:val="000000"/>
        </w:rPr>
        <w:t xml:space="preserve">selbst oder eine Betreuungsperson </w:t>
      </w:r>
      <w:r w:rsidRPr="004F5FB4">
        <w:rPr>
          <w:color w:val="000000"/>
        </w:rPr>
        <w:t>die Amsparity-Injektionen zu</w:t>
      </w:r>
      <w:r w:rsidR="003471C7" w:rsidRPr="004F5FB4">
        <w:rPr>
          <w:color w:val="000000"/>
        </w:rPr>
        <w:t xml:space="preserve"> H</w:t>
      </w:r>
      <w:r w:rsidRPr="004F5FB4">
        <w:rPr>
          <w:color w:val="000000"/>
        </w:rPr>
        <w:t>ause verabreichen können, sollten Sie in der richtigen Art und Weise der Vorbereitung und Injektion von Amsparity eingewiesen werden.</w:t>
      </w:r>
    </w:p>
    <w:p w14:paraId="707789DD" w14:textId="77777777" w:rsidR="00A30101" w:rsidRPr="004F5FB4" w:rsidRDefault="003471C7" w:rsidP="00A30101">
      <w:pPr>
        <w:rPr>
          <w:color w:val="000000"/>
        </w:rPr>
      </w:pPr>
      <w:r w:rsidRPr="004F5FB4">
        <w:rPr>
          <w:color w:val="000000"/>
        </w:rPr>
        <w:t>Es ist wichtig mit dem Arzt, medizinischen Fachpersonal oder Apotheker zu sprechen, um sicherzustellen, dass Sie die Amsparity Dosierungshinweise verstanden haben</w:t>
      </w:r>
      <w:r w:rsidR="00A30101" w:rsidRPr="004F5FB4">
        <w:rPr>
          <w:color w:val="000000"/>
        </w:rPr>
        <w:t>. Um Sie an die Amsparity-Injektion zu erinnern, können Sie im Voraus entsprechende Einträge in Ihrem Kalender machen. Sprechen Sie mit Ihrem Arzt, dem medizinischen Fachpersonal oder Apotheker, wenn Sie Fragen zur richtigen Injektionsweise von Amsparity haben.</w:t>
      </w:r>
    </w:p>
    <w:p w14:paraId="34F0E37D" w14:textId="77777777" w:rsidR="00977973" w:rsidRPr="004F5FB4" w:rsidRDefault="00A30101" w:rsidP="00982118">
      <w:pPr>
        <w:rPr>
          <w:color w:val="000000"/>
        </w:rPr>
      </w:pPr>
      <w:r w:rsidRPr="004F5FB4">
        <w:rPr>
          <w:color w:val="000000"/>
        </w:rPr>
        <w:t xml:space="preserve">Nach einer sorgfältigen Einweisung können Sie </w:t>
      </w:r>
      <w:r w:rsidR="008305B0" w:rsidRPr="004F5FB4">
        <w:rPr>
          <w:color w:val="000000"/>
        </w:rPr>
        <w:t xml:space="preserve">sich </w:t>
      </w:r>
      <w:r w:rsidRPr="004F5FB4">
        <w:rPr>
          <w:color w:val="000000"/>
        </w:rPr>
        <w:t>d</w:t>
      </w:r>
      <w:r w:rsidR="006A1144" w:rsidRPr="004F5FB4">
        <w:rPr>
          <w:color w:val="000000"/>
        </w:rPr>
        <w:t xml:space="preserve">ie Amsparity-Injektion </w:t>
      </w:r>
      <w:r w:rsidR="008305B0" w:rsidRPr="004F5FB4">
        <w:rPr>
          <w:color w:val="000000"/>
        </w:rPr>
        <w:t>selbst verabreichen oder diese von</w:t>
      </w:r>
      <w:r w:rsidR="006A1144" w:rsidRPr="004F5FB4">
        <w:rPr>
          <w:color w:val="000000"/>
        </w:rPr>
        <w:t xml:space="preserve"> einer Betreuungsperson verabreicht </w:t>
      </w:r>
      <w:r w:rsidR="008305B0" w:rsidRPr="004F5FB4">
        <w:rPr>
          <w:color w:val="000000"/>
        </w:rPr>
        <w:t>bekommen</w:t>
      </w:r>
      <w:r w:rsidR="006A1144" w:rsidRPr="004F5FB4">
        <w:rPr>
          <w:color w:val="000000"/>
        </w:rPr>
        <w:t>.</w:t>
      </w:r>
    </w:p>
    <w:p w14:paraId="18540429" w14:textId="77777777" w:rsidR="002953BE" w:rsidRPr="004F5FB4" w:rsidRDefault="002953BE" w:rsidP="00982118">
      <w:pPr>
        <w:rPr>
          <w:color w:val="000000"/>
        </w:rPr>
      </w:pPr>
    </w:p>
    <w:p w14:paraId="6A3052E3" w14:textId="77777777" w:rsidR="002953BE" w:rsidRPr="00986ED0" w:rsidRDefault="002953BE" w:rsidP="00986ED0">
      <w:pPr>
        <w:pStyle w:val="ListParagraph"/>
        <w:ind w:left="0"/>
        <w:rPr>
          <w:color w:val="000000"/>
        </w:rPr>
      </w:pPr>
    </w:p>
    <w:p w14:paraId="5AE8BEEE" w14:textId="77777777" w:rsidR="002953BE" w:rsidRPr="004F5FB4" w:rsidRDefault="002953BE" w:rsidP="00982118">
      <w:pPr>
        <w:rPr>
          <w:b/>
          <w:color w:val="000000"/>
        </w:rPr>
      </w:pPr>
      <w:r w:rsidRPr="004F5FB4">
        <w:rPr>
          <w:b/>
          <w:color w:val="000000"/>
        </w:rPr>
        <w:t xml:space="preserve">1. </w:t>
      </w:r>
      <w:r w:rsidRPr="004F5FB4">
        <w:rPr>
          <w:b/>
          <w:color w:val="000000"/>
        </w:rPr>
        <w:tab/>
        <w:t>Was Sie benötigen</w:t>
      </w:r>
    </w:p>
    <w:p w14:paraId="2DF1A2F4" w14:textId="77777777" w:rsidR="002953BE" w:rsidRPr="004F5FB4" w:rsidRDefault="002953BE" w:rsidP="00982118">
      <w:pPr>
        <w:rPr>
          <w:color w:val="000000"/>
        </w:rPr>
      </w:pPr>
    </w:p>
    <w:p w14:paraId="2A053319" w14:textId="77777777" w:rsidR="002953BE" w:rsidRPr="004F5FB4" w:rsidRDefault="002953BE" w:rsidP="00053717">
      <w:pPr>
        <w:pStyle w:val="ListParagraph"/>
        <w:numPr>
          <w:ilvl w:val="0"/>
          <w:numId w:val="31"/>
        </w:numPr>
        <w:ind w:left="562" w:hanging="562"/>
        <w:contextualSpacing/>
        <w:rPr>
          <w:color w:val="000000"/>
        </w:rPr>
      </w:pPr>
      <w:r w:rsidRPr="004F5FB4">
        <w:rPr>
          <w:color w:val="000000"/>
        </w:rPr>
        <w:t>Für jede Amsparity-Injektion benötigen Sie die folgenden Gegenstände, die Sie auf einer sauberen, ebenen Arbeitsfläche ablegen.</w:t>
      </w:r>
    </w:p>
    <w:p w14:paraId="2486125C" w14:textId="77777777" w:rsidR="002953BE" w:rsidRPr="004F5FB4" w:rsidRDefault="002953BE" w:rsidP="00053717">
      <w:pPr>
        <w:pStyle w:val="ListParagraph"/>
        <w:numPr>
          <w:ilvl w:val="0"/>
          <w:numId w:val="32"/>
        </w:numPr>
        <w:ind w:left="1124" w:hanging="562"/>
        <w:contextualSpacing/>
        <w:rPr>
          <w:color w:val="000000"/>
        </w:rPr>
      </w:pPr>
      <w:r w:rsidRPr="004F5FB4">
        <w:rPr>
          <w:color w:val="000000"/>
        </w:rPr>
        <w:t>1 Amsparity-Fertigspritze in einer Blisterpackung in der Faltschachtel</w:t>
      </w:r>
    </w:p>
    <w:p w14:paraId="467B29D0" w14:textId="77777777" w:rsidR="002953BE" w:rsidRPr="004F5FB4" w:rsidRDefault="002953BE" w:rsidP="00053717">
      <w:pPr>
        <w:pStyle w:val="ListParagraph"/>
        <w:numPr>
          <w:ilvl w:val="0"/>
          <w:numId w:val="32"/>
        </w:numPr>
        <w:ind w:left="1124" w:hanging="562"/>
        <w:contextualSpacing/>
        <w:rPr>
          <w:color w:val="000000"/>
        </w:rPr>
      </w:pPr>
      <w:r w:rsidRPr="004F5FB4">
        <w:rPr>
          <w:color w:val="000000"/>
        </w:rPr>
        <w:t>1 Alkoholtupfer in der Faltschachtel</w:t>
      </w:r>
    </w:p>
    <w:p w14:paraId="7DFFFAF5" w14:textId="77777777" w:rsidR="002953BE" w:rsidRPr="004F5FB4" w:rsidRDefault="002953BE" w:rsidP="00053717">
      <w:pPr>
        <w:pStyle w:val="ListParagraph"/>
        <w:numPr>
          <w:ilvl w:val="0"/>
          <w:numId w:val="32"/>
        </w:numPr>
        <w:ind w:left="1124" w:hanging="562"/>
        <w:contextualSpacing/>
        <w:rPr>
          <w:color w:val="000000"/>
        </w:rPr>
      </w:pPr>
      <w:r w:rsidRPr="004F5FB4">
        <w:rPr>
          <w:color w:val="000000"/>
        </w:rPr>
        <w:t>1 Wattebausch/</w:t>
      </w:r>
      <w:r w:rsidR="000B11AF" w:rsidRPr="004F5FB4">
        <w:rPr>
          <w:color w:val="000000"/>
        </w:rPr>
        <w:t xml:space="preserve"> </w:t>
      </w:r>
      <w:r w:rsidRPr="004F5FB4">
        <w:rPr>
          <w:color w:val="000000"/>
        </w:rPr>
        <w:t>Stück Gaze (nicht in Ihrer Amsparity-Faltschachtel enthalten)</w:t>
      </w:r>
    </w:p>
    <w:p w14:paraId="604B8682" w14:textId="77777777" w:rsidR="002953BE" w:rsidRPr="004F5FB4" w:rsidRDefault="002953BE" w:rsidP="00053717">
      <w:pPr>
        <w:pStyle w:val="ListParagraph"/>
        <w:numPr>
          <w:ilvl w:val="0"/>
          <w:numId w:val="32"/>
        </w:numPr>
        <w:ind w:left="1124" w:hanging="562"/>
        <w:contextualSpacing/>
        <w:rPr>
          <w:color w:val="000000"/>
        </w:rPr>
      </w:pPr>
      <w:r w:rsidRPr="004F5FB4">
        <w:rPr>
          <w:color w:val="000000"/>
        </w:rPr>
        <w:t>1 geeigneter Entsorgungsbehälter für spitze Gegenstände (nicht in Ihrer Amsparity-Faltschachtel enthalten)</w:t>
      </w:r>
      <w:r w:rsidR="00E05197" w:rsidRPr="004F5FB4">
        <w:rPr>
          <w:color w:val="000000"/>
        </w:rPr>
        <w:t>.</w:t>
      </w:r>
    </w:p>
    <w:p w14:paraId="4C740CA8" w14:textId="77777777" w:rsidR="008305B0" w:rsidRPr="004F5FB4" w:rsidRDefault="008305B0" w:rsidP="00687087">
      <w:pPr>
        <w:pStyle w:val="ListParagraph"/>
        <w:ind w:left="1080"/>
        <w:contextualSpacing/>
        <w:rPr>
          <w:color w:val="000000"/>
        </w:rPr>
      </w:pPr>
      <w:r w:rsidRPr="004F5FB4">
        <w:rPr>
          <w:b/>
          <w:color w:val="000000"/>
        </w:rPr>
        <w:t>Wichtig:</w:t>
      </w:r>
      <w:r w:rsidRPr="004F5FB4">
        <w:rPr>
          <w:color w:val="000000"/>
        </w:rPr>
        <w:t xml:space="preserve"> Wenn Sie Fragen zur Fertigspritze mit Amsparity oder zum Arzneimittel haben, sprechen Sie mit Ihrem Arzt, dem medizinischen Fachpersonal oder Apotheker.</w:t>
      </w:r>
    </w:p>
    <w:p w14:paraId="1B16644C" w14:textId="77777777" w:rsidR="002953BE" w:rsidRPr="004F5FB4" w:rsidRDefault="002953BE" w:rsidP="00982118">
      <w:pPr>
        <w:rPr>
          <w:color w:val="000000"/>
        </w:rPr>
      </w:pPr>
    </w:p>
    <w:p w14:paraId="4512743A" w14:textId="77777777" w:rsidR="002953BE" w:rsidRPr="004F5FB4" w:rsidRDefault="002953BE" w:rsidP="00982118">
      <w:pPr>
        <w:rPr>
          <w:color w:val="000000"/>
        </w:rPr>
      </w:pPr>
    </w:p>
    <w:p w14:paraId="7001ACE2" w14:textId="0770805B" w:rsidR="00F56C3F" w:rsidRPr="004F5FB4" w:rsidRDefault="00C2429C" w:rsidP="00F56C3F">
      <w:pPr>
        <w:jc w:val="center"/>
        <w:rPr>
          <w:color w:val="000000"/>
          <w:lang w:val="en-GB"/>
        </w:rPr>
      </w:pPr>
      <w:r w:rsidRPr="004F5FB4">
        <w:rPr>
          <w:noProof/>
          <w:color w:val="000000"/>
          <w:lang w:bidi="he-IL"/>
        </w:rPr>
        <w:lastRenderedPageBreak/>
        <mc:AlternateContent>
          <mc:Choice Requires="wps">
            <w:drawing>
              <wp:anchor distT="0" distB="0" distL="114300" distR="114300" simplePos="0" relativeHeight="251658320" behindDoc="0" locked="0" layoutInCell="1" allowOverlap="1" wp14:anchorId="6173D414" wp14:editId="56A752F8">
                <wp:simplePos x="0" y="0"/>
                <wp:positionH relativeFrom="column">
                  <wp:posOffset>2436948</wp:posOffset>
                </wp:positionH>
                <wp:positionV relativeFrom="paragraph">
                  <wp:posOffset>2284639</wp:posOffset>
                </wp:positionV>
                <wp:extent cx="1190625" cy="233680"/>
                <wp:effectExtent l="1270" t="0" r="0" b="4445"/>
                <wp:wrapNone/>
                <wp:docPr id="10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459C6" w14:textId="77777777" w:rsidR="008F3710" w:rsidRPr="009E6D01" w:rsidRDefault="008F3710" w:rsidP="00F56C3F">
                            <w:pPr>
                              <w:rPr>
                                <w:sz w:val="16"/>
                                <w:szCs w:val="16"/>
                              </w:rPr>
                            </w:pPr>
                            <w:r>
                              <w:rPr>
                                <w:sz w:val="16"/>
                                <w:szCs w:val="16"/>
                              </w:rPr>
                              <w:t>Spritzenzylinder</w:t>
                            </w:r>
                          </w:p>
                          <w:p w14:paraId="5564DBE4" w14:textId="77777777" w:rsidR="008F3710" w:rsidRPr="006405A9" w:rsidRDefault="008F3710" w:rsidP="00F56C3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D414" id="Text Box 247" o:spid="_x0000_s1091" type="#_x0000_t202" style="position:absolute;left:0;text-align:left;margin-left:191.9pt;margin-top:179.9pt;width:93.75pt;height:18.4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" stroked="f">
                <v:textbox>
                  <w:txbxContent>
                    <w:p w14:paraId="4A3459C6" w14:textId="77777777" w:rsidR="008F3710" w:rsidRPr="009E6D01" w:rsidRDefault="008F3710" w:rsidP="00F56C3F">
                      <w:pPr>
                        <w:rPr>
                          <w:sz w:val="16"/>
                          <w:szCs w:val="16"/>
                        </w:rPr>
                      </w:pPr>
                      <w:r>
                        <w:rPr>
                          <w:sz w:val="16"/>
                          <w:szCs w:val="16"/>
                        </w:rPr>
                        <w:t>Spritzenzylinder</w:t>
                      </w:r>
                    </w:p>
                    <w:p w14:paraId="5564DBE4" w14:textId="77777777" w:rsidR="008F3710" w:rsidRPr="006405A9" w:rsidRDefault="008F3710" w:rsidP="00F56C3F">
                      <w:pPr>
                        <w:jc w:val="center"/>
                        <w:rPr>
                          <w:rFonts w:ascii="Arial" w:hAnsi="Arial" w:cs="Arial"/>
                          <w:sz w:val="16"/>
                          <w:szCs w:val="16"/>
                        </w:rPr>
                      </w:pPr>
                    </w:p>
                  </w:txbxContent>
                </v:textbox>
              </v:shape>
            </w:pict>
          </mc:Fallback>
        </mc:AlternateContent>
      </w:r>
      <w:r w:rsidR="00ED606E" w:rsidRPr="004F5FB4">
        <w:rPr>
          <w:noProof/>
          <w:color w:val="000000"/>
          <w:lang w:bidi="he-IL"/>
        </w:rPr>
        <mc:AlternateContent>
          <mc:Choice Requires="wps">
            <w:drawing>
              <wp:anchor distT="0" distB="0" distL="114300" distR="114300" simplePos="0" relativeHeight="251658323" behindDoc="0" locked="0" layoutInCell="1" allowOverlap="1" wp14:anchorId="51A410C8" wp14:editId="004C5595">
                <wp:simplePos x="0" y="0"/>
                <wp:positionH relativeFrom="column">
                  <wp:posOffset>3804013</wp:posOffset>
                </wp:positionH>
                <wp:positionV relativeFrom="paragraph">
                  <wp:posOffset>1255667</wp:posOffset>
                </wp:positionV>
                <wp:extent cx="662940" cy="233680"/>
                <wp:effectExtent l="4445" t="0" r="0" b="0"/>
                <wp:wrapNone/>
                <wp:docPr id="108"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83C4A" w14:textId="77777777" w:rsidR="008F3710" w:rsidRPr="006405A9" w:rsidRDefault="008F3710" w:rsidP="00F56C3F">
                            <w:pPr>
                              <w:jc w:val="center"/>
                              <w:rPr>
                                <w:rFonts w:ascii="Arial" w:hAnsi="Arial" w:cs="Arial"/>
                                <w:sz w:val="16"/>
                                <w:szCs w:val="16"/>
                              </w:rPr>
                            </w:pPr>
                            <w:r>
                              <w:rPr>
                                <w:sz w:val="16"/>
                                <w:szCs w:val="16"/>
                              </w:rPr>
                              <w:t>Sichtfenster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410C8" id="Text Box 250" o:spid="_x0000_s1092" type="#_x0000_t202" style="position:absolute;left:0;text-align:left;margin-left:299.55pt;margin-top:98.85pt;width:52.2pt;height:18.4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" stroked="f">
                <v:textbox>
                  <w:txbxContent>
                    <w:p w14:paraId="3E383C4A" w14:textId="77777777" w:rsidR="008F3710" w:rsidRPr="006405A9" w:rsidRDefault="008F3710" w:rsidP="00F56C3F">
                      <w:pPr>
                        <w:jc w:val="center"/>
                        <w:rPr>
                          <w:rFonts w:ascii="Arial" w:hAnsi="Arial" w:cs="Arial"/>
                          <w:sz w:val="16"/>
                          <w:szCs w:val="16"/>
                        </w:rPr>
                      </w:pPr>
                      <w:r>
                        <w:rPr>
                          <w:sz w:val="16"/>
                          <w:szCs w:val="16"/>
                        </w:rPr>
                        <w:t>Sichtfenster</w:t>
                      </w:r>
                    </w:p>
                  </w:txbxContent>
                </v:textbox>
              </v:shape>
            </w:pict>
          </mc:Fallback>
        </mc:AlternateContent>
      </w:r>
      <w:r w:rsidR="00ED606E" w:rsidRPr="004F5FB4">
        <w:rPr>
          <w:noProof/>
          <w:color w:val="000000"/>
          <w:lang w:bidi="he-IL"/>
        </w:rPr>
        <mc:AlternateContent>
          <mc:Choice Requires="wps">
            <w:drawing>
              <wp:anchor distT="0" distB="0" distL="114300" distR="114300" simplePos="0" relativeHeight="251658319" behindDoc="0" locked="0" layoutInCell="1" allowOverlap="1" wp14:anchorId="1E24B29B" wp14:editId="61725AEA">
                <wp:simplePos x="0" y="0"/>
                <wp:positionH relativeFrom="column">
                  <wp:posOffset>3738336</wp:posOffset>
                </wp:positionH>
                <wp:positionV relativeFrom="paragraph">
                  <wp:posOffset>905328</wp:posOffset>
                </wp:positionV>
                <wp:extent cx="883285" cy="252730"/>
                <wp:effectExtent l="3175" t="3175" r="0" b="1270"/>
                <wp:wrapNone/>
                <wp:docPr id="107"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80696" w14:textId="77777777" w:rsidR="008F3710" w:rsidRPr="006405A9" w:rsidRDefault="008F3710" w:rsidP="00F56C3F">
                            <w:pPr>
                              <w:jc w:val="center"/>
                              <w:rPr>
                                <w:rFonts w:ascii="Arial" w:hAnsi="Arial" w:cs="Arial"/>
                                <w:sz w:val="16"/>
                                <w:szCs w:val="16"/>
                              </w:rPr>
                            </w:pPr>
                            <w:r>
                              <w:rPr>
                                <w:sz w:val="16"/>
                                <w:szCs w:val="16"/>
                              </w:rPr>
                              <w:t>Verfalldatum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4B29B" id="Text Box 246" o:spid="_x0000_s1093" type="#_x0000_t202" style="position:absolute;left:0;text-align:left;margin-left:294.35pt;margin-top:71.3pt;width:69.55pt;height:19.9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" stroked="f">
                <v:textbox>
                  <w:txbxContent>
                    <w:p w14:paraId="24580696" w14:textId="77777777" w:rsidR="008F3710" w:rsidRPr="006405A9" w:rsidRDefault="008F3710" w:rsidP="00F56C3F">
                      <w:pPr>
                        <w:jc w:val="center"/>
                        <w:rPr>
                          <w:rFonts w:ascii="Arial" w:hAnsi="Arial" w:cs="Arial"/>
                          <w:sz w:val="16"/>
                          <w:szCs w:val="16"/>
                        </w:rPr>
                      </w:pPr>
                      <w:r>
                        <w:rPr>
                          <w:sz w:val="16"/>
                          <w:szCs w:val="16"/>
                        </w:rPr>
                        <w:t>Verfalldatum</w:t>
                      </w:r>
                    </w:p>
                  </w:txbxContent>
                </v:textbox>
              </v:shape>
            </w:pict>
          </mc:Fallback>
        </mc:AlternateContent>
      </w:r>
      <w:r w:rsidR="00032CD3" w:rsidRPr="004F5FB4">
        <w:rPr>
          <w:noProof/>
          <w:color w:val="000000"/>
          <w:lang w:bidi="he-IL"/>
        </w:rPr>
        <mc:AlternateContent>
          <mc:Choice Requires="wps">
            <w:drawing>
              <wp:anchor distT="0" distB="0" distL="114300" distR="114300" simplePos="0" relativeHeight="251658322" behindDoc="0" locked="0" layoutInCell="1" allowOverlap="1" wp14:anchorId="00E4B802" wp14:editId="5B72A633">
                <wp:simplePos x="0" y="0"/>
                <wp:positionH relativeFrom="column">
                  <wp:posOffset>3225165</wp:posOffset>
                </wp:positionH>
                <wp:positionV relativeFrom="paragraph">
                  <wp:posOffset>390525</wp:posOffset>
                </wp:positionV>
                <wp:extent cx="808990" cy="239395"/>
                <wp:effectExtent l="0" t="0" r="4445" b="0"/>
                <wp:wrapNone/>
                <wp:docPr id="106"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23939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31CCECC3" w14:textId="77777777" w:rsidR="008F3710" w:rsidRPr="009E6D01" w:rsidRDefault="008F3710" w:rsidP="00F56C3F">
                            <w:pPr>
                              <w:rPr>
                                <w:sz w:val="12"/>
                                <w:szCs w:val="12"/>
                              </w:rPr>
                            </w:pPr>
                            <w:r>
                              <w:rPr>
                                <w:sz w:val="12"/>
                                <w:szCs w:val="12"/>
                              </w:rPr>
                              <w:t>JJJJ MM TT</w:t>
                            </w:r>
                          </w:p>
                          <w:p w14:paraId="1DA3D13B" w14:textId="77777777" w:rsidR="008F3710" w:rsidRPr="006405A9" w:rsidRDefault="008F3710" w:rsidP="00F56C3F">
                            <w:pPr>
                              <w:jc w:val="center"/>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4B802" id="Text Box 249" o:spid="_x0000_s1094" type="#_x0000_t202" style="position:absolute;left:0;text-align:left;margin-left:253.95pt;margin-top:30.75pt;width:63.7pt;height:18.8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" stroked="f">
                <v:shadow offset="5pt"/>
                <v:textbox>
                  <w:txbxContent>
                    <w:p w14:paraId="31CCECC3" w14:textId="77777777" w:rsidR="008F3710" w:rsidRPr="009E6D01" w:rsidRDefault="008F3710" w:rsidP="00F56C3F">
                      <w:pPr>
                        <w:rPr>
                          <w:sz w:val="12"/>
                          <w:szCs w:val="12"/>
                        </w:rPr>
                      </w:pPr>
                      <w:r>
                        <w:rPr>
                          <w:sz w:val="12"/>
                          <w:szCs w:val="12"/>
                        </w:rPr>
                        <w:t>JJJJ MM TT</w:t>
                      </w:r>
                    </w:p>
                    <w:p w14:paraId="1DA3D13B" w14:textId="77777777" w:rsidR="008F3710" w:rsidRPr="006405A9" w:rsidRDefault="008F3710" w:rsidP="00F56C3F">
                      <w:pPr>
                        <w:jc w:val="center"/>
                        <w:rPr>
                          <w:rFonts w:ascii="Arial" w:hAnsi="Arial" w:cs="Arial"/>
                          <w:sz w:val="12"/>
                          <w:szCs w:val="12"/>
                        </w:rPr>
                      </w:pPr>
                    </w:p>
                  </w:txbxContent>
                </v:textbox>
              </v:shape>
            </w:pict>
          </mc:Fallback>
        </mc:AlternateContent>
      </w:r>
      <w:r w:rsidR="00032CD3" w:rsidRPr="004F5FB4">
        <w:rPr>
          <w:noProof/>
          <w:color w:val="000000"/>
          <w:lang w:bidi="he-IL"/>
        </w:rPr>
        <mc:AlternateContent>
          <mc:Choice Requires="wps">
            <w:drawing>
              <wp:anchor distT="0" distB="0" distL="114300" distR="114300" simplePos="0" relativeHeight="251658318" behindDoc="0" locked="0" layoutInCell="1" allowOverlap="1" wp14:anchorId="339BFBAD" wp14:editId="173341FC">
                <wp:simplePos x="0" y="0"/>
                <wp:positionH relativeFrom="column">
                  <wp:posOffset>4240530</wp:posOffset>
                </wp:positionH>
                <wp:positionV relativeFrom="paragraph">
                  <wp:posOffset>2387600</wp:posOffset>
                </wp:positionV>
                <wp:extent cx="883285" cy="201930"/>
                <wp:effectExtent l="1905" t="0" r="635" b="1270"/>
                <wp:wrapNone/>
                <wp:docPr id="10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2F6E8" w14:textId="77777777" w:rsidR="008F3710" w:rsidRPr="009E6D01" w:rsidRDefault="008F3710" w:rsidP="00F56C3F">
                            <w:pPr>
                              <w:rPr>
                                <w:sz w:val="16"/>
                                <w:szCs w:val="16"/>
                              </w:rPr>
                            </w:pPr>
                            <w:r>
                              <w:rPr>
                                <w:sz w:val="16"/>
                                <w:szCs w:val="16"/>
                              </w:rPr>
                              <w:t>Nadelkappe</w:t>
                            </w:r>
                          </w:p>
                          <w:p w14:paraId="09E71C7E" w14:textId="77777777" w:rsidR="008F3710" w:rsidRPr="006405A9" w:rsidRDefault="008F3710" w:rsidP="00F56C3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BFBAD" id="_x0000_s1095" type="#_x0000_t202" style="position:absolute;left:0;text-align:left;margin-left:333.9pt;margin-top:188pt;width:69.55pt;height:15.9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" stroked="f">
                <v:textbox>
                  <w:txbxContent>
                    <w:p w14:paraId="5FA2F6E8" w14:textId="77777777" w:rsidR="008F3710" w:rsidRPr="009E6D01" w:rsidRDefault="008F3710" w:rsidP="00F56C3F">
                      <w:pPr>
                        <w:rPr>
                          <w:sz w:val="16"/>
                          <w:szCs w:val="16"/>
                        </w:rPr>
                      </w:pPr>
                      <w:r>
                        <w:rPr>
                          <w:sz w:val="16"/>
                          <w:szCs w:val="16"/>
                        </w:rPr>
                        <w:t>Nadelkappe</w:t>
                      </w:r>
                    </w:p>
                    <w:p w14:paraId="09E71C7E" w14:textId="77777777" w:rsidR="008F3710" w:rsidRPr="006405A9" w:rsidRDefault="008F3710" w:rsidP="00F56C3F">
                      <w:pPr>
                        <w:jc w:val="center"/>
                        <w:rPr>
                          <w:rFonts w:ascii="Arial" w:hAnsi="Arial" w:cs="Arial"/>
                          <w:sz w:val="16"/>
                          <w:szCs w:val="16"/>
                        </w:rPr>
                      </w:pPr>
                    </w:p>
                  </w:txbxContent>
                </v:textbox>
              </v:shape>
            </w:pict>
          </mc:Fallback>
        </mc:AlternateContent>
      </w:r>
      <w:r w:rsidR="00032CD3" w:rsidRPr="004F5FB4">
        <w:rPr>
          <w:noProof/>
          <w:color w:val="000000"/>
          <w:lang w:bidi="he-IL"/>
        </w:rPr>
        <mc:AlternateContent>
          <mc:Choice Requires="wps">
            <w:drawing>
              <wp:anchor distT="0" distB="0" distL="114300" distR="114300" simplePos="0" relativeHeight="251658321" behindDoc="0" locked="0" layoutInCell="1" allowOverlap="1" wp14:anchorId="0212FD2F" wp14:editId="07CFEA6E">
                <wp:simplePos x="0" y="0"/>
                <wp:positionH relativeFrom="column">
                  <wp:posOffset>628015</wp:posOffset>
                </wp:positionH>
                <wp:positionV relativeFrom="paragraph">
                  <wp:posOffset>2018030</wp:posOffset>
                </wp:positionV>
                <wp:extent cx="883285" cy="201930"/>
                <wp:effectExtent l="0" t="0" r="3175" b="0"/>
                <wp:wrapNone/>
                <wp:docPr id="103"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714FA" w14:textId="77777777" w:rsidR="008F3710" w:rsidRPr="009E6D01" w:rsidRDefault="008F3710" w:rsidP="00F56C3F">
                            <w:pPr>
                              <w:rPr>
                                <w:sz w:val="16"/>
                                <w:szCs w:val="16"/>
                              </w:rPr>
                            </w:pPr>
                            <w:r>
                              <w:rPr>
                                <w:sz w:val="16"/>
                                <w:szCs w:val="16"/>
                              </w:rPr>
                              <w:t>Kolben</w:t>
                            </w:r>
                          </w:p>
                          <w:p w14:paraId="4EFCB7CD" w14:textId="77777777" w:rsidR="008F3710" w:rsidRPr="006405A9" w:rsidRDefault="008F3710" w:rsidP="00F56C3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2FD2F" id="Text Box 248" o:spid="_x0000_s1096" type="#_x0000_t202" style="position:absolute;left:0;text-align:left;margin-left:49.45pt;margin-top:158.9pt;width:69.55pt;height:15.9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" stroked="f">
                <v:textbox>
                  <w:txbxContent>
                    <w:p w14:paraId="714714FA" w14:textId="77777777" w:rsidR="008F3710" w:rsidRPr="009E6D01" w:rsidRDefault="008F3710" w:rsidP="00F56C3F">
                      <w:pPr>
                        <w:rPr>
                          <w:sz w:val="16"/>
                          <w:szCs w:val="16"/>
                        </w:rPr>
                      </w:pPr>
                      <w:r>
                        <w:rPr>
                          <w:sz w:val="16"/>
                          <w:szCs w:val="16"/>
                        </w:rPr>
                        <w:t>Kolben</w:t>
                      </w:r>
                    </w:p>
                    <w:p w14:paraId="4EFCB7CD" w14:textId="77777777" w:rsidR="008F3710" w:rsidRPr="006405A9" w:rsidRDefault="008F3710" w:rsidP="00F56C3F">
                      <w:pPr>
                        <w:jc w:val="center"/>
                        <w:rPr>
                          <w:rFonts w:ascii="Arial" w:hAnsi="Arial" w:cs="Arial"/>
                          <w:sz w:val="16"/>
                          <w:szCs w:val="16"/>
                        </w:rPr>
                      </w:pPr>
                    </w:p>
                  </w:txbxContent>
                </v:textbox>
              </v:shape>
            </w:pict>
          </mc:Fallback>
        </mc:AlternateContent>
      </w:r>
      <w:r w:rsidR="00032CD3" w:rsidRPr="004F5FB4">
        <w:rPr>
          <w:noProof/>
          <w:color w:val="000000"/>
        </w:rPr>
        <w:drawing>
          <wp:inline distT="0" distB="0" distL="0" distR="0" wp14:anchorId="4A826DDD" wp14:editId="3DAE4D2F">
            <wp:extent cx="4476750" cy="2571750"/>
            <wp:effectExtent l="0" t="0" r="0" b="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571750"/>
                    </a:xfrm>
                    <a:prstGeom prst="rect">
                      <a:avLst/>
                    </a:prstGeom>
                    <a:noFill/>
                    <a:ln>
                      <a:noFill/>
                    </a:ln>
                  </pic:spPr>
                </pic:pic>
              </a:graphicData>
            </a:graphic>
          </wp:inline>
        </w:drawing>
      </w:r>
    </w:p>
    <w:p w14:paraId="0B5255D0" w14:textId="77777777" w:rsidR="002953BE" w:rsidRPr="004F5FB4" w:rsidRDefault="002953BE" w:rsidP="00F56C3F">
      <w:pPr>
        <w:rPr>
          <w:color w:val="000000"/>
          <w:lang w:val="en-GB"/>
        </w:rPr>
      </w:pPr>
    </w:p>
    <w:p w14:paraId="70B2BBD7" w14:textId="77777777" w:rsidR="002953BE" w:rsidRPr="004F5FB4" w:rsidRDefault="002953BE" w:rsidP="00520786">
      <w:pPr>
        <w:keepNext/>
        <w:rPr>
          <w:b/>
          <w:color w:val="000000"/>
        </w:rPr>
      </w:pPr>
      <w:r w:rsidRPr="004F5FB4">
        <w:rPr>
          <w:b/>
          <w:color w:val="000000"/>
        </w:rPr>
        <w:t xml:space="preserve">2. Vorbereitung </w:t>
      </w:r>
    </w:p>
    <w:p w14:paraId="13DD188D" w14:textId="77777777" w:rsidR="002953BE" w:rsidRPr="004F5FB4" w:rsidRDefault="002953BE" w:rsidP="00520786">
      <w:pPr>
        <w:keepNext/>
        <w:rPr>
          <w:color w:val="000000"/>
          <w:lang w:val="en-GB"/>
        </w:rPr>
      </w:pPr>
    </w:p>
    <w:p w14:paraId="24038D00" w14:textId="77777777" w:rsidR="002953BE" w:rsidRPr="004F5FB4" w:rsidRDefault="002953BE" w:rsidP="00E23160">
      <w:pPr>
        <w:pStyle w:val="ListParagraph"/>
        <w:numPr>
          <w:ilvl w:val="0"/>
          <w:numId w:val="31"/>
        </w:numPr>
        <w:ind w:left="562" w:hanging="562"/>
        <w:contextualSpacing/>
        <w:rPr>
          <w:color w:val="000000"/>
        </w:rPr>
      </w:pPr>
      <w:r w:rsidRPr="004F5FB4">
        <w:rPr>
          <w:color w:val="000000"/>
        </w:rPr>
        <w:t>Nehmen Sie die Amsparity-Packung aus dem Kühlschrank.</w:t>
      </w:r>
    </w:p>
    <w:p w14:paraId="3745002F" w14:textId="77777777" w:rsidR="002953BE" w:rsidRPr="004F5FB4" w:rsidRDefault="002953BE" w:rsidP="00E23160">
      <w:pPr>
        <w:pStyle w:val="ListParagraph"/>
        <w:numPr>
          <w:ilvl w:val="0"/>
          <w:numId w:val="31"/>
        </w:numPr>
        <w:ind w:left="562" w:hanging="562"/>
        <w:contextualSpacing/>
        <w:rPr>
          <w:color w:val="000000"/>
        </w:rPr>
      </w:pPr>
      <w:r w:rsidRPr="004F5FB4">
        <w:rPr>
          <w:color w:val="000000"/>
        </w:rPr>
        <w:t>Öffnen Sie die Faltschachtel und entnehmen Sie die Blisterpackung mit der Fertigspritze.</w:t>
      </w:r>
    </w:p>
    <w:p w14:paraId="6D24D3FA" w14:textId="01F8F519" w:rsidR="008305B0" w:rsidRPr="004F5FB4" w:rsidRDefault="00032CD3" w:rsidP="008305B0">
      <w:pPr>
        <w:pStyle w:val="ListParagraph"/>
        <w:keepNext/>
        <w:numPr>
          <w:ilvl w:val="0"/>
          <w:numId w:val="31"/>
        </w:numPr>
        <w:ind w:left="562" w:hanging="562"/>
        <w:contextualSpacing/>
        <w:rPr>
          <w:color w:val="000000"/>
        </w:rPr>
      </w:pPr>
      <w:r w:rsidRPr="004F5FB4">
        <w:rPr>
          <w:noProof/>
          <w:color w:val="000000"/>
        </w:rPr>
        <mc:AlternateContent>
          <mc:Choice Requires="wps">
            <w:drawing>
              <wp:anchor distT="0" distB="0" distL="114300" distR="114300" simplePos="0" relativeHeight="251658336" behindDoc="0" locked="0" layoutInCell="1" allowOverlap="1" wp14:anchorId="2D87A5AE" wp14:editId="1B9D70B1">
                <wp:simplePos x="0" y="0"/>
                <wp:positionH relativeFrom="column">
                  <wp:posOffset>-4080510</wp:posOffset>
                </wp:positionH>
                <wp:positionV relativeFrom="paragraph">
                  <wp:posOffset>142240</wp:posOffset>
                </wp:positionV>
                <wp:extent cx="883285" cy="201930"/>
                <wp:effectExtent l="0" t="0" r="0" b="0"/>
                <wp:wrapNone/>
                <wp:docPr id="256"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15726175" w14:textId="77777777" w:rsidR="008F3710" w:rsidRPr="009E6D01" w:rsidRDefault="008F3710" w:rsidP="008305B0">
                            <w:pPr>
                              <w:rPr>
                                <w:sz w:val="16"/>
                                <w:szCs w:val="16"/>
                              </w:rPr>
                            </w:pPr>
                            <w:r>
                              <w:rPr>
                                <w:sz w:val="16"/>
                                <w:szCs w:val="16"/>
                              </w:rPr>
                              <w:t>Kolben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7A5AE" id="_x0000_s1097" type="#_x0000_t202" style="position:absolute;left:0;text-align:left;margin-left:-321.3pt;margin-top:11.2pt;width:69.55pt;height:15.9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" stroked="f">
                <v:textbox>
                  <w:txbxContent>
                    <w:p w14:paraId="15726175" w14:textId="77777777" w:rsidR="008F3710" w:rsidRPr="009E6D01" w:rsidRDefault="008F3710" w:rsidP="008305B0">
                      <w:pPr>
                        <w:rPr>
                          <w:sz w:val="16"/>
                          <w:szCs w:val="16"/>
                        </w:rPr>
                      </w:pPr>
                      <w:r>
                        <w:rPr>
                          <w:sz w:val="16"/>
                          <w:szCs w:val="16"/>
                        </w:rPr>
                        <w:t>Kolben</w:t>
                      </w:r>
                    </w:p>
                  </w:txbxContent>
                </v:textbox>
              </v:shape>
            </w:pict>
          </mc:Fallback>
        </mc:AlternateContent>
      </w:r>
      <w:r w:rsidR="009C49D3" w:rsidRPr="004F5FB4">
        <w:rPr>
          <w:noProof/>
          <w:color w:val="000000"/>
        </w:rPr>
        <w:t>Prüfen</w:t>
      </w:r>
      <w:r w:rsidR="009C49D3" w:rsidRPr="004F5FB4">
        <w:rPr>
          <w:color w:val="000000"/>
        </w:rPr>
        <w:t xml:space="preserve"> </w:t>
      </w:r>
      <w:r w:rsidR="008305B0" w:rsidRPr="004F5FB4">
        <w:rPr>
          <w:color w:val="000000"/>
        </w:rPr>
        <w:t xml:space="preserve">Sie Faltschachtel und Blisterpackung. Verwenden Sie die Fertigspritze </w:t>
      </w:r>
      <w:r w:rsidR="008305B0" w:rsidRPr="004F5FB4">
        <w:rPr>
          <w:b/>
          <w:color w:val="000000"/>
        </w:rPr>
        <w:t>nicht</w:t>
      </w:r>
      <w:r w:rsidR="008305B0" w:rsidRPr="004F5FB4">
        <w:rPr>
          <w:color w:val="000000"/>
        </w:rPr>
        <w:t>, wenn:</w:t>
      </w:r>
    </w:p>
    <w:p w14:paraId="38E513E8" w14:textId="0861BBB6" w:rsidR="008305B0" w:rsidRPr="004F5FB4" w:rsidRDefault="00032CD3" w:rsidP="008305B0">
      <w:pPr>
        <w:pStyle w:val="ListParagraph"/>
        <w:numPr>
          <w:ilvl w:val="1"/>
          <w:numId w:val="31"/>
        </w:numPr>
        <w:ind w:left="1124" w:hanging="562"/>
        <w:contextualSpacing/>
        <w:rPr>
          <w:color w:val="000000"/>
        </w:rPr>
      </w:pPr>
      <w:r w:rsidRPr="004F5FB4">
        <w:rPr>
          <w:noProof/>
          <w:color w:val="000000"/>
        </w:rPr>
        <mc:AlternateContent>
          <mc:Choice Requires="wps">
            <w:drawing>
              <wp:anchor distT="0" distB="0" distL="114300" distR="114300" simplePos="0" relativeHeight="251658298" behindDoc="0" locked="0" layoutInCell="1" allowOverlap="1" wp14:anchorId="47EBC121" wp14:editId="64721A24">
                <wp:simplePos x="0" y="0"/>
                <wp:positionH relativeFrom="column">
                  <wp:posOffset>-2656205</wp:posOffset>
                </wp:positionH>
                <wp:positionV relativeFrom="paragraph">
                  <wp:posOffset>34925</wp:posOffset>
                </wp:positionV>
                <wp:extent cx="585470" cy="201930"/>
                <wp:effectExtent l="0" t="0" r="0" b="0"/>
                <wp:wrapNone/>
                <wp:docPr id="12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01930"/>
                        </a:xfrm>
                        <a:prstGeom prst="rect">
                          <a:avLst/>
                        </a:prstGeom>
                        <a:solidFill>
                          <a:srgbClr val="FFFFFF"/>
                        </a:solidFill>
                        <a:ln>
                          <a:noFill/>
                        </a:ln>
                      </wps:spPr>
                      <wps:txbx>
                        <w:txbxContent>
                          <w:p w14:paraId="1A74BA2F" w14:textId="77777777" w:rsidR="008F3710" w:rsidRPr="009E6D01" w:rsidRDefault="008F3710" w:rsidP="008305B0">
                            <w:pPr>
                              <w:rPr>
                                <w:sz w:val="16"/>
                                <w:szCs w:val="16"/>
                              </w:rPr>
                            </w:pPr>
                            <w:r>
                              <w:rPr>
                                <w:sz w:val="16"/>
                                <w:szCs w:val="16"/>
                              </w:rPr>
                              <w:t>Spritzenzylinder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C121" id="_x0000_s1098" type="#_x0000_t202" style="position:absolute;left:0;text-align:left;margin-left:-209.15pt;margin-top:2.75pt;width:46.1pt;height:15.9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" stroked="f">
                <v:textbox>
                  <w:txbxContent>
                    <w:p w14:paraId="1A74BA2F" w14:textId="77777777" w:rsidR="008F3710" w:rsidRPr="009E6D01" w:rsidRDefault="008F3710" w:rsidP="008305B0">
                      <w:pPr>
                        <w:rPr>
                          <w:sz w:val="16"/>
                          <w:szCs w:val="16"/>
                        </w:rPr>
                      </w:pPr>
                      <w:r>
                        <w:rPr>
                          <w:sz w:val="16"/>
                          <w:szCs w:val="16"/>
                        </w:rPr>
                        <w:t>Spritzenzylinder</w:t>
                      </w:r>
                    </w:p>
                  </w:txbxContent>
                </v:textbox>
              </v:shape>
            </w:pict>
          </mc:Fallback>
        </mc:AlternateContent>
      </w:r>
      <w:r w:rsidR="008305B0" w:rsidRPr="004F5FB4">
        <w:rPr>
          <w:color w:val="000000"/>
        </w:rPr>
        <w:t>das Verfalldatum abgelaufen ist,</w:t>
      </w:r>
    </w:p>
    <w:p w14:paraId="47398F4F" w14:textId="77777777" w:rsidR="008305B0" w:rsidRPr="004F5FB4" w:rsidRDefault="008305B0" w:rsidP="008305B0">
      <w:pPr>
        <w:pStyle w:val="ListParagraph"/>
        <w:numPr>
          <w:ilvl w:val="1"/>
          <w:numId w:val="31"/>
        </w:numPr>
        <w:ind w:left="1124" w:hanging="562"/>
        <w:contextualSpacing/>
        <w:rPr>
          <w:color w:val="000000"/>
        </w:rPr>
      </w:pPr>
      <w:r w:rsidRPr="004F5FB4">
        <w:rPr>
          <w:color w:val="000000"/>
        </w:rPr>
        <w:t>die Fertigspritze eingefroren war oder aufgetaut wurde,</w:t>
      </w:r>
    </w:p>
    <w:p w14:paraId="063BB659" w14:textId="77777777" w:rsidR="008305B0" w:rsidRPr="004F5FB4" w:rsidRDefault="008305B0" w:rsidP="008305B0">
      <w:pPr>
        <w:pStyle w:val="ListParagraph"/>
        <w:numPr>
          <w:ilvl w:val="1"/>
          <w:numId w:val="31"/>
        </w:numPr>
        <w:ind w:left="1124" w:hanging="562"/>
        <w:contextualSpacing/>
        <w:rPr>
          <w:color w:val="000000"/>
        </w:rPr>
      </w:pPr>
      <w:r w:rsidRPr="004F5FB4">
        <w:rPr>
          <w:color w:val="000000"/>
        </w:rPr>
        <w:t>die Fertigspritze heruntergefallen ist, auch wenn sie unbeschädigt aussieht,</w:t>
      </w:r>
    </w:p>
    <w:p w14:paraId="3BCF3658" w14:textId="77777777" w:rsidR="008305B0" w:rsidRPr="004F5FB4" w:rsidRDefault="008305B0" w:rsidP="008305B0">
      <w:pPr>
        <w:pStyle w:val="ListParagraph"/>
        <w:numPr>
          <w:ilvl w:val="1"/>
          <w:numId w:val="31"/>
        </w:numPr>
        <w:ind w:left="1124" w:hanging="562"/>
        <w:contextualSpacing/>
        <w:rPr>
          <w:color w:val="000000"/>
        </w:rPr>
      </w:pPr>
      <w:r w:rsidRPr="004F5FB4">
        <w:rPr>
          <w:color w:val="000000"/>
        </w:rPr>
        <w:t>die Fertigspritze länger als 30 Tage nicht im Kühlschrank aufbewahrt wurde,</w:t>
      </w:r>
    </w:p>
    <w:p w14:paraId="1764A8C9" w14:textId="77777777" w:rsidR="008305B0" w:rsidRPr="004F5FB4" w:rsidRDefault="008305B0" w:rsidP="008305B0">
      <w:pPr>
        <w:pStyle w:val="ListParagraph"/>
        <w:numPr>
          <w:ilvl w:val="1"/>
          <w:numId w:val="31"/>
        </w:numPr>
        <w:ind w:left="1124" w:hanging="562"/>
        <w:contextualSpacing/>
        <w:rPr>
          <w:color w:val="000000"/>
        </w:rPr>
      </w:pPr>
      <w:r w:rsidRPr="004F5FB4">
        <w:rPr>
          <w:color w:val="000000"/>
        </w:rPr>
        <w:t>die Fertigspritze beschädigt aussieht,</w:t>
      </w:r>
    </w:p>
    <w:p w14:paraId="0BABE031" w14:textId="77777777" w:rsidR="008305B0" w:rsidRPr="004F5FB4" w:rsidRDefault="008305B0" w:rsidP="008305B0">
      <w:pPr>
        <w:pStyle w:val="ListParagraph"/>
        <w:numPr>
          <w:ilvl w:val="1"/>
          <w:numId w:val="31"/>
        </w:numPr>
        <w:ind w:left="1124" w:hanging="562"/>
        <w:contextualSpacing/>
        <w:rPr>
          <w:color w:val="000000"/>
        </w:rPr>
      </w:pPr>
      <w:r w:rsidRPr="004F5FB4">
        <w:rPr>
          <w:color w:val="000000"/>
        </w:rPr>
        <w:t xml:space="preserve">das Siegel einer neuen Faltschachtel </w:t>
      </w:r>
      <w:r w:rsidR="00497C67" w:rsidRPr="004F5FB4">
        <w:rPr>
          <w:color w:val="000000"/>
        </w:rPr>
        <w:t xml:space="preserve">bereits </w:t>
      </w:r>
      <w:r w:rsidRPr="004F5FB4">
        <w:rPr>
          <w:color w:val="000000"/>
        </w:rPr>
        <w:t xml:space="preserve">gebrochen </w:t>
      </w:r>
      <w:r w:rsidR="00497C67" w:rsidRPr="004F5FB4">
        <w:rPr>
          <w:color w:val="000000"/>
        </w:rPr>
        <w:t>ist</w:t>
      </w:r>
      <w:r w:rsidRPr="004F5FB4">
        <w:rPr>
          <w:color w:val="000000"/>
        </w:rPr>
        <w:t>.</w:t>
      </w:r>
    </w:p>
    <w:p w14:paraId="5BC481FA" w14:textId="77777777" w:rsidR="008305B0" w:rsidRPr="004F5FB4" w:rsidRDefault="008305B0" w:rsidP="00687087">
      <w:pPr>
        <w:pStyle w:val="ListParagraph"/>
        <w:numPr>
          <w:ilvl w:val="0"/>
          <w:numId w:val="31"/>
        </w:numPr>
        <w:ind w:hanging="720"/>
        <w:contextualSpacing/>
        <w:rPr>
          <w:color w:val="000000"/>
        </w:rPr>
      </w:pPr>
      <w:r w:rsidRPr="004F5FB4">
        <w:rPr>
          <w:color w:val="000000"/>
        </w:rPr>
        <w:t>Sollte einer der oben genannten Punkte zutreffen, entsorgen Sie die Fertigspritze auf die gleiche Weise wie eine benutzte Spritze und verwenden Sie eine neue Fertigspritze für die Injektion.</w:t>
      </w:r>
    </w:p>
    <w:p w14:paraId="1CBB4D48" w14:textId="77777777" w:rsidR="008305B0" w:rsidRPr="004F5FB4" w:rsidRDefault="008305B0" w:rsidP="008305B0">
      <w:pPr>
        <w:pStyle w:val="ListParagraph"/>
        <w:numPr>
          <w:ilvl w:val="0"/>
          <w:numId w:val="31"/>
        </w:numPr>
        <w:ind w:left="562" w:hanging="562"/>
        <w:contextualSpacing/>
        <w:rPr>
          <w:color w:val="000000"/>
        </w:rPr>
      </w:pPr>
      <w:r w:rsidRPr="004F5FB4">
        <w:rPr>
          <w:color w:val="000000"/>
        </w:rPr>
        <w:t xml:space="preserve">Waschen Sie Ihre Hände mit Seife und Wasser und trocknen Sie sie gut ab. </w:t>
      </w:r>
    </w:p>
    <w:p w14:paraId="5890877D" w14:textId="77777777" w:rsidR="002953BE" w:rsidRPr="004F5FB4" w:rsidRDefault="002953BE" w:rsidP="00687087">
      <w:pPr>
        <w:ind w:left="562" w:firstLine="5"/>
        <w:contextualSpacing/>
        <w:rPr>
          <w:color w:val="000000"/>
        </w:rPr>
      </w:pPr>
      <w:r w:rsidRPr="004F5FB4">
        <w:rPr>
          <w:color w:val="000000"/>
        </w:rPr>
        <w:t xml:space="preserve">Wenn Sie Fragen zum Arzneimittel haben, </w:t>
      </w:r>
      <w:r w:rsidR="008305B0" w:rsidRPr="004F5FB4">
        <w:rPr>
          <w:color w:val="000000"/>
        </w:rPr>
        <w:t>sprechen</w:t>
      </w:r>
      <w:r w:rsidRPr="004F5FB4">
        <w:rPr>
          <w:color w:val="000000"/>
        </w:rPr>
        <w:t xml:space="preserve"> Sie bitte </w:t>
      </w:r>
      <w:r w:rsidR="008305B0" w:rsidRPr="004F5FB4">
        <w:rPr>
          <w:color w:val="000000"/>
        </w:rPr>
        <w:t>mit Ihrem</w:t>
      </w:r>
      <w:r w:rsidRPr="004F5FB4">
        <w:rPr>
          <w:color w:val="000000"/>
        </w:rPr>
        <w:t xml:space="preserve"> Arzt</w:t>
      </w:r>
      <w:r w:rsidR="008305B0" w:rsidRPr="004F5FB4">
        <w:rPr>
          <w:color w:val="000000"/>
        </w:rPr>
        <w:t>, dem medizinischen Fachpersonal</w:t>
      </w:r>
      <w:r w:rsidRPr="004F5FB4">
        <w:rPr>
          <w:color w:val="000000"/>
        </w:rPr>
        <w:t xml:space="preserve"> oder Apotheker.</w:t>
      </w:r>
    </w:p>
    <w:p w14:paraId="3BAAB96D" w14:textId="77777777" w:rsidR="002953BE" w:rsidRPr="004F5FB4" w:rsidRDefault="002953BE" w:rsidP="00982118">
      <w:pPr>
        <w:pStyle w:val="ListParagraph"/>
        <w:rPr>
          <w:color w:val="000000"/>
        </w:rPr>
      </w:pPr>
    </w:p>
    <w:p w14:paraId="1F985D78" w14:textId="77777777" w:rsidR="002953BE" w:rsidRPr="004F5FB4" w:rsidRDefault="002953BE" w:rsidP="00982118">
      <w:pPr>
        <w:pStyle w:val="ListParagraph"/>
        <w:rPr>
          <w:color w:val="000000"/>
        </w:rPr>
      </w:pPr>
    </w:p>
    <w:p w14:paraId="33469A63" w14:textId="3B8C534D" w:rsidR="00F56C3F" w:rsidRPr="004F5FB4" w:rsidRDefault="00032CD3" w:rsidP="00F56C3F">
      <w:pPr>
        <w:jc w:val="center"/>
        <w:rPr>
          <w:noProof/>
          <w:color w:val="000000"/>
        </w:rPr>
      </w:pPr>
      <w:r w:rsidRPr="004F5FB4">
        <w:rPr>
          <w:noProof/>
          <w:color w:val="000000"/>
          <w:lang w:eastAsia="de-DE"/>
        </w:rPr>
        <mc:AlternateContent>
          <mc:Choice Requires="wps">
            <w:drawing>
              <wp:anchor distT="0" distB="0" distL="114300" distR="114300" simplePos="0" relativeHeight="251658324" behindDoc="0" locked="0" layoutInCell="1" allowOverlap="1" wp14:anchorId="3A5CF351" wp14:editId="6C16A387">
                <wp:simplePos x="0" y="0"/>
                <wp:positionH relativeFrom="column">
                  <wp:posOffset>1077595</wp:posOffset>
                </wp:positionH>
                <wp:positionV relativeFrom="paragraph">
                  <wp:posOffset>44450</wp:posOffset>
                </wp:positionV>
                <wp:extent cx="2583815" cy="260985"/>
                <wp:effectExtent l="1270" t="0" r="0" b="0"/>
                <wp:wrapNone/>
                <wp:docPr id="102"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06460" w14:textId="77777777" w:rsidR="008F3710" w:rsidRPr="009A1F4C" w:rsidRDefault="008F3710" w:rsidP="00F56C3F">
                            <w:pPr>
                              <w:rPr>
                                <w:rFonts w:ascii="Arial" w:hAnsi="Arial" w:cs="Arial"/>
                                <w:b/>
                                <w:bCs/>
                                <w:color w:val="FFFFFF"/>
                                <w:sz w:val="20"/>
                                <w:szCs w:val="18"/>
                              </w:rPr>
                            </w:pPr>
                            <w:r>
                              <w:rPr>
                                <w:rFonts w:ascii="Arial" w:hAnsi="Arial" w:cs="Arial"/>
                                <w:b/>
                                <w:bCs/>
                                <w:color w:val="FFFFFF"/>
                                <w:sz w:val="20"/>
                                <w:szCs w:val="18"/>
                              </w:rPr>
                              <w:t>Auspacken der Fertigspritze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CF351" id="Text Box 251" o:spid="_x0000_s1099" type="#_x0000_t202" style="position:absolute;left:0;text-align:left;margin-left:84.85pt;margin-top:3.5pt;width:203.45pt;height:20.5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" fillcolor="#656666" stroked="f">
                <v:textbox>
                  <w:txbxContent>
                    <w:p w14:paraId="1B206460" w14:textId="77777777" w:rsidR="008F3710" w:rsidRPr="009A1F4C" w:rsidRDefault="008F3710" w:rsidP="00F56C3F">
                      <w:pPr>
                        <w:rPr>
                          <w:rFonts w:ascii="Arial" w:hAnsi="Arial" w:cs="Arial"/>
                          <w:b/>
                          <w:bCs/>
                          <w:color w:val="FFFFFF"/>
                          <w:sz w:val="20"/>
                          <w:szCs w:val="18"/>
                        </w:rPr>
                      </w:pPr>
                      <w:r>
                        <w:rPr>
                          <w:rFonts w:ascii="Arial" w:hAnsi="Arial" w:cs="Arial"/>
                          <w:b/>
                          <w:bCs/>
                          <w:color w:val="FFFFFF"/>
                          <w:sz w:val="20"/>
                          <w:szCs w:val="18"/>
                        </w:rPr>
                        <w:t>Auspacken der Fertigspritze</w:t>
                      </w:r>
                    </w:p>
                  </w:txbxContent>
                </v:textbox>
              </v:shape>
            </w:pict>
          </mc:Fallback>
        </mc:AlternateContent>
      </w:r>
      <w:r w:rsidRPr="004F5FB4">
        <w:rPr>
          <w:noProof/>
          <w:color w:val="000000"/>
        </w:rPr>
        <w:drawing>
          <wp:inline distT="0" distB="0" distL="0" distR="0" wp14:anchorId="08BD9613" wp14:editId="6CDFBFD2">
            <wp:extent cx="4733925" cy="2495550"/>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3925" cy="2495550"/>
                    </a:xfrm>
                    <a:prstGeom prst="rect">
                      <a:avLst/>
                    </a:prstGeom>
                    <a:noFill/>
                    <a:ln>
                      <a:noFill/>
                    </a:ln>
                  </pic:spPr>
                </pic:pic>
              </a:graphicData>
            </a:graphic>
          </wp:inline>
        </w:drawing>
      </w:r>
    </w:p>
    <w:p w14:paraId="369DA0FB" w14:textId="77777777" w:rsidR="002953BE" w:rsidRPr="004F5FB4" w:rsidRDefault="002953BE" w:rsidP="00982118">
      <w:pPr>
        <w:pStyle w:val="ListParagraph"/>
        <w:ind w:left="0"/>
        <w:contextualSpacing/>
        <w:rPr>
          <w:color w:val="000000"/>
          <w:lang w:val="en-GB"/>
        </w:rPr>
      </w:pPr>
    </w:p>
    <w:p w14:paraId="58358EEE" w14:textId="77777777" w:rsidR="008305B0" w:rsidRPr="004F5FB4" w:rsidRDefault="008305B0" w:rsidP="008305B0">
      <w:pPr>
        <w:pStyle w:val="ListParagraph"/>
        <w:numPr>
          <w:ilvl w:val="0"/>
          <w:numId w:val="34"/>
        </w:numPr>
        <w:ind w:left="562" w:hanging="562"/>
        <w:contextualSpacing/>
        <w:rPr>
          <w:color w:val="000000"/>
        </w:rPr>
      </w:pPr>
      <w:r w:rsidRPr="004F5FB4">
        <w:rPr>
          <w:color w:val="000000"/>
        </w:rPr>
        <w:t>Entfernen Sie die Papierabdeckung von der Blisterpackung.</w:t>
      </w:r>
    </w:p>
    <w:p w14:paraId="19B920D2" w14:textId="77777777" w:rsidR="008305B0" w:rsidRPr="004F5FB4" w:rsidRDefault="008305B0" w:rsidP="008305B0">
      <w:pPr>
        <w:pStyle w:val="ListParagraph"/>
        <w:numPr>
          <w:ilvl w:val="0"/>
          <w:numId w:val="34"/>
        </w:numPr>
        <w:ind w:left="562" w:hanging="562"/>
        <w:contextualSpacing/>
        <w:rPr>
          <w:color w:val="000000"/>
        </w:rPr>
      </w:pPr>
      <w:r w:rsidRPr="004F5FB4">
        <w:rPr>
          <w:color w:val="000000"/>
        </w:rPr>
        <w:t>Nehmen Sie eine Fertigspritze aus der Blisterpackung und legen Sie die Originalverpackung mit eventuell verbleibenden, unbenutzten Fertigspritzen wieder in den Kühlschrank.</w:t>
      </w:r>
    </w:p>
    <w:p w14:paraId="6E2CE264" w14:textId="77777777" w:rsidR="008305B0" w:rsidRPr="004F5FB4" w:rsidRDefault="008305B0" w:rsidP="008305B0">
      <w:pPr>
        <w:pStyle w:val="ListParagraph"/>
        <w:numPr>
          <w:ilvl w:val="0"/>
          <w:numId w:val="34"/>
        </w:numPr>
        <w:ind w:left="562" w:hanging="562"/>
        <w:contextualSpacing/>
        <w:rPr>
          <w:color w:val="000000"/>
        </w:rPr>
      </w:pPr>
      <w:r w:rsidRPr="004F5FB4">
        <w:rPr>
          <w:color w:val="000000"/>
        </w:rPr>
        <w:t xml:space="preserve">Verwenden Sie die Fertigspritze </w:t>
      </w:r>
      <w:r w:rsidRPr="004F5FB4">
        <w:rPr>
          <w:b/>
          <w:bCs/>
          <w:color w:val="000000"/>
        </w:rPr>
        <w:t>nicht</w:t>
      </w:r>
      <w:r w:rsidRPr="004F5FB4">
        <w:rPr>
          <w:color w:val="000000"/>
        </w:rPr>
        <w:t>, wenn sie beschädigt aussieht.</w:t>
      </w:r>
    </w:p>
    <w:p w14:paraId="4AF608D1" w14:textId="77777777" w:rsidR="008305B0" w:rsidRPr="004F5FB4" w:rsidRDefault="008305B0" w:rsidP="008305B0">
      <w:pPr>
        <w:pStyle w:val="ListParagraph"/>
        <w:numPr>
          <w:ilvl w:val="0"/>
          <w:numId w:val="34"/>
        </w:numPr>
        <w:ind w:left="562" w:hanging="562"/>
        <w:contextualSpacing/>
        <w:rPr>
          <w:color w:val="000000"/>
        </w:rPr>
      </w:pPr>
      <w:r w:rsidRPr="004F5FB4">
        <w:rPr>
          <w:color w:val="000000"/>
        </w:rPr>
        <w:lastRenderedPageBreak/>
        <w:t>Die Fertigspritze kann direkt nach der Entnahme aus dem Kühlschrank angewendet werden.</w:t>
      </w:r>
    </w:p>
    <w:p w14:paraId="5BBD28BE" w14:textId="77777777" w:rsidR="008305B0" w:rsidRPr="004F5FB4" w:rsidRDefault="009C49D3" w:rsidP="008305B0">
      <w:pPr>
        <w:pStyle w:val="ListParagraph"/>
        <w:numPr>
          <w:ilvl w:val="0"/>
          <w:numId w:val="34"/>
        </w:numPr>
        <w:ind w:left="562" w:hanging="562"/>
        <w:contextualSpacing/>
        <w:rPr>
          <w:color w:val="000000"/>
        </w:rPr>
      </w:pPr>
      <w:r w:rsidRPr="004F5FB4">
        <w:rPr>
          <w:color w:val="000000"/>
        </w:rPr>
        <w:t>Eventuell wird durch die Anwendung einer auf Raumtemperatur aufgewärmten Fertigspritze ein Brennen reduziert und als weniger unangenehm empfunden</w:t>
      </w:r>
      <w:r w:rsidR="008305B0" w:rsidRPr="004F5FB4">
        <w:rPr>
          <w:color w:val="000000"/>
        </w:rPr>
        <w:t xml:space="preserve">. Lassen Sie die Fertigspritze vor der Injektion für 15 bis 30 Minuten </w:t>
      </w:r>
      <w:r w:rsidR="00E86ED7" w:rsidRPr="004F5FB4">
        <w:rPr>
          <w:color w:val="000000"/>
        </w:rPr>
        <w:t xml:space="preserve">vor direktem Sonnenlicht geschützt </w:t>
      </w:r>
      <w:r w:rsidR="008305B0" w:rsidRPr="004F5FB4">
        <w:rPr>
          <w:color w:val="000000"/>
        </w:rPr>
        <w:t>bei Raumtemperatur liegen.</w:t>
      </w:r>
    </w:p>
    <w:p w14:paraId="02D0F3AB" w14:textId="77777777" w:rsidR="008305B0" w:rsidRPr="004F5FB4" w:rsidRDefault="008305B0" w:rsidP="008305B0">
      <w:pPr>
        <w:pStyle w:val="ListParagraph"/>
        <w:numPr>
          <w:ilvl w:val="0"/>
          <w:numId w:val="34"/>
        </w:numPr>
        <w:ind w:left="562" w:hanging="562"/>
        <w:contextualSpacing/>
        <w:rPr>
          <w:color w:val="000000"/>
        </w:rPr>
      </w:pPr>
      <w:r w:rsidRPr="004F5FB4">
        <w:rPr>
          <w:color w:val="000000"/>
        </w:rPr>
        <w:t xml:space="preserve">Entfernen Sie die Nadelkappe der Fertigspritze erst </w:t>
      </w:r>
      <w:r w:rsidRPr="004F5FB4">
        <w:rPr>
          <w:b/>
          <w:bCs/>
          <w:color w:val="000000"/>
        </w:rPr>
        <w:t>unmittelbar vor</w:t>
      </w:r>
      <w:r w:rsidRPr="004F5FB4">
        <w:rPr>
          <w:color w:val="000000"/>
        </w:rPr>
        <w:t xml:space="preserve"> der Injektion.</w:t>
      </w:r>
    </w:p>
    <w:p w14:paraId="25209727" w14:textId="77777777" w:rsidR="002953BE" w:rsidRPr="004F5FB4" w:rsidRDefault="002953BE" w:rsidP="00F17530">
      <w:pPr>
        <w:pStyle w:val="ListParagraph"/>
        <w:ind w:left="0"/>
        <w:contextualSpacing/>
        <w:rPr>
          <w:b/>
          <w:color w:val="000000"/>
        </w:rPr>
      </w:pPr>
      <w:r w:rsidRPr="004F5FB4">
        <w:rPr>
          <w:b/>
          <w:color w:val="000000"/>
        </w:rPr>
        <w:t xml:space="preserve">Halten Sie die Fertigspritze immer am </w:t>
      </w:r>
      <w:r w:rsidR="00E86ED7" w:rsidRPr="004F5FB4">
        <w:rPr>
          <w:b/>
          <w:color w:val="000000"/>
        </w:rPr>
        <w:t>Spritzenz</w:t>
      </w:r>
      <w:r w:rsidRPr="004F5FB4">
        <w:rPr>
          <w:b/>
          <w:color w:val="000000"/>
        </w:rPr>
        <w:t>ylinder fest, um eine Beschädigung der Fertigspritze zu vermeiden.</w:t>
      </w:r>
    </w:p>
    <w:p w14:paraId="6E537734" w14:textId="77777777" w:rsidR="002953BE" w:rsidRPr="004F5FB4" w:rsidRDefault="002953BE" w:rsidP="00982118">
      <w:pPr>
        <w:ind w:left="360"/>
        <w:rPr>
          <w:color w:val="000000"/>
        </w:rPr>
      </w:pPr>
    </w:p>
    <w:p w14:paraId="1310F40A" w14:textId="77777777" w:rsidR="002953BE" w:rsidRPr="004F5FB4" w:rsidRDefault="002953BE" w:rsidP="00982118">
      <w:pPr>
        <w:ind w:left="360"/>
        <w:rPr>
          <w:color w:val="000000"/>
        </w:rPr>
      </w:pPr>
    </w:p>
    <w:p w14:paraId="0C6ED7B6" w14:textId="6BE503FA" w:rsidR="00C65FDA" w:rsidRPr="004F5FB4" w:rsidRDefault="00032CD3" w:rsidP="00C65FDA">
      <w:pPr>
        <w:jc w:val="center"/>
        <w:rPr>
          <w:b/>
          <w:color w:val="000000"/>
        </w:rPr>
      </w:pPr>
      <w:r w:rsidRPr="004F5FB4">
        <w:rPr>
          <w:noProof/>
          <w:color w:val="000000"/>
          <w:lang w:eastAsia="de-DE"/>
        </w:rPr>
        <mc:AlternateContent>
          <mc:Choice Requires="wps">
            <w:drawing>
              <wp:anchor distT="0" distB="0" distL="114300" distR="114300" simplePos="0" relativeHeight="251658325" behindDoc="0" locked="0" layoutInCell="1" allowOverlap="1" wp14:anchorId="1AEF4C96" wp14:editId="0866D423">
                <wp:simplePos x="0" y="0"/>
                <wp:positionH relativeFrom="column">
                  <wp:posOffset>1507490</wp:posOffset>
                </wp:positionH>
                <wp:positionV relativeFrom="paragraph">
                  <wp:posOffset>45085</wp:posOffset>
                </wp:positionV>
                <wp:extent cx="2751455" cy="289560"/>
                <wp:effectExtent l="2540" t="0" r="0" b="0"/>
                <wp:wrapNone/>
                <wp:docPr id="101"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45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0E635"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Prüfen der Flüssigkeit in der Fertigspritze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F4C96" id="Text Box 253" o:spid="_x0000_s1100" type="#_x0000_t202" style="position:absolute;left:0;text-align:left;margin-left:118.7pt;margin-top:3.55pt;width:216.65pt;height:22.8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" fillcolor="#656666" stroked="f">
                <v:textbox>
                  <w:txbxContent>
                    <w:p w14:paraId="4F20E635"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Prüfen der Flüssigkeit in der Fertigspritze</w:t>
                      </w:r>
                    </w:p>
                  </w:txbxContent>
                </v:textbox>
              </v:shape>
            </w:pict>
          </mc:Fallback>
        </mc:AlternateContent>
      </w:r>
      <w:r w:rsidRPr="004F5FB4">
        <w:rPr>
          <w:noProof/>
          <w:color w:val="000000"/>
        </w:rPr>
        <w:drawing>
          <wp:inline distT="0" distB="0" distL="0" distR="0" wp14:anchorId="6C330D39" wp14:editId="6C0A75D4">
            <wp:extent cx="3819525" cy="2447925"/>
            <wp:effectExtent l="0" t="0" r="0" b="0"/>
            <wp:docPr id="5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9525" cy="2447925"/>
                    </a:xfrm>
                    <a:prstGeom prst="rect">
                      <a:avLst/>
                    </a:prstGeom>
                    <a:noFill/>
                    <a:ln>
                      <a:noFill/>
                    </a:ln>
                  </pic:spPr>
                </pic:pic>
              </a:graphicData>
            </a:graphic>
          </wp:inline>
        </w:drawing>
      </w:r>
    </w:p>
    <w:p w14:paraId="13561DD0" w14:textId="77777777" w:rsidR="002953BE" w:rsidRDefault="002953BE" w:rsidP="00982118">
      <w:pPr>
        <w:rPr>
          <w:color w:val="000000"/>
          <w:lang w:val="en-GB"/>
        </w:rPr>
      </w:pPr>
    </w:p>
    <w:p w14:paraId="69C26CFB" w14:textId="77777777" w:rsidR="00A65FE9" w:rsidRPr="004F5FB4" w:rsidRDefault="00A65FE9" w:rsidP="00982118">
      <w:pPr>
        <w:rPr>
          <w:color w:val="000000"/>
          <w:lang w:val="en-GB"/>
        </w:rPr>
      </w:pPr>
    </w:p>
    <w:p w14:paraId="62DBD0C4" w14:textId="77777777" w:rsidR="008305B0" w:rsidRPr="004F5FB4" w:rsidRDefault="008305B0" w:rsidP="008305B0">
      <w:pPr>
        <w:pStyle w:val="ListParagraph"/>
        <w:numPr>
          <w:ilvl w:val="0"/>
          <w:numId w:val="36"/>
        </w:numPr>
        <w:ind w:left="562" w:hanging="562"/>
        <w:contextualSpacing/>
        <w:rPr>
          <w:color w:val="000000"/>
        </w:rPr>
      </w:pPr>
      <w:r w:rsidRPr="004F5FB4">
        <w:rPr>
          <w:color w:val="000000"/>
        </w:rPr>
        <w:t xml:space="preserve">Schauen Sie sich die Flüssigkeit im </w:t>
      </w:r>
      <w:r w:rsidR="00564088" w:rsidRPr="004F5FB4">
        <w:rPr>
          <w:color w:val="000000"/>
        </w:rPr>
        <w:t>Sichtf</w:t>
      </w:r>
      <w:r w:rsidRPr="004F5FB4">
        <w:rPr>
          <w:color w:val="000000"/>
        </w:rPr>
        <w:t xml:space="preserve">enster genau an. </w:t>
      </w:r>
    </w:p>
    <w:p w14:paraId="25E4EB83" w14:textId="77777777" w:rsidR="008305B0" w:rsidRPr="004F5FB4" w:rsidRDefault="008305B0" w:rsidP="008305B0">
      <w:pPr>
        <w:pStyle w:val="ListParagraph"/>
        <w:numPr>
          <w:ilvl w:val="0"/>
          <w:numId w:val="36"/>
        </w:numPr>
        <w:ind w:left="562" w:hanging="562"/>
        <w:contextualSpacing/>
        <w:rPr>
          <w:color w:val="000000"/>
        </w:rPr>
      </w:pPr>
      <w:r w:rsidRPr="004F5FB4">
        <w:rPr>
          <w:color w:val="000000"/>
        </w:rPr>
        <w:t>Neigen Sie die Spritze vorsichtig hin und her, um das Arzneimittel zu prüfen.</w:t>
      </w:r>
    </w:p>
    <w:p w14:paraId="5A2BC12D" w14:textId="77777777" w:rsidR="008305B0" w:rsidRPr="004F5FB4" w:rsidRDefault="008305B0" w:rsidP="008305B0">
      <w:pPr>
        <w:pStyle w:val="ListParagraph"/>
        <w:numPr>
          <w:ilvl w:val="0"/>
          <w:numId w:val="36"/>
        </w:numPr>
        <w:ind w:left="562" w:hanging="562"/>
        <w:contextualSpacing/>
        <w:rPr>
          <w:color w:val="000000"/>
        </w:rPr>
      </w:pPr>
      <w:r w:rsidRPr="004F5FB4">
        <w:rPr>
          <w:b/>
          <w:color w:val="000000"/>
        </w:rPr>
        <w:t>Schütteln</w:t>
      </w:r>
      <w:r w:rsidRPr="004F5FB4">
        <w:rPr>
          <w:color w:val="000000"/>
        </w:rPr>
        <w:t xml:space="preserve"> Sie die Fertigspritze </w:t>
      </w:r>
      <w:r w:rsidRPr="004F5FB4">
        <w:rPr>
          <w:b/>
          <w:color w:val="000000"/>
        </w:rPr>
        <w:t>nicht</w:t>
      </w:r>
      <w:r w:rsidRPr="004F5FB4">
        <w:rPr>
          <w:color w:val="000000"/>
        </w:rPr>
        <w:t>. Durch Schütteln kann das Arzneimittel unbrauchbar werden.</w:t>
      </w:r>
    </w:p>
    <w:p w14:paraId="5B9ECB37" w14:textId="77777777" w:rsidR="008305B0" w:rsidRPr="004F5FB4" w:rsidRDefault="008305B0" w:rsidP="008305B0">
      <w:pPr>
        <w:pStyle w:val="ListParagraph"/>
        <w:numPr>
          <w:ilvl w:val="0"/>
          <w:numId w:val="36"/>
        </w:numPr>
        <w:ind w:left="562" w:hanging="562"/>
        <w:contextualSpacing/>
        <w:rPr>
          <w:rFonts w:eastAsia="Calibri"/>
          <w:color w:val="000000"/>
        </w:rPr>
      </w:pPr>
      <w:r w:rsidRPr="004F5FB4">
        <w:rPr>
          <w:color w:val="000000"/>
        </w:rPr>
        <w:t xml:space="preserve">Vergewissern Sie sich, dass die Flüssigkeit klar und farblos bis sehr hellbraun und frei von Flocken oder Teilchen ist. Es ist normal, wenn eine oder mehrere Blasen im </w:t>
      </w:r>
      <w:r w:rsidR="00564088" w:rsidRPr="004F5FB4">
        <w:rPr>
          <w:color w:val="000000"/>
        </w:rPr>
        <w:t>Sichtf</w:t>
      </w:r>
      <w:r w:rsidRPr="004F5FB4">
        <w:rPr>
          <w:color w:val="000000"/>
        </w:rPr>
        <w:t xml:space="preserve">enster sichtbar sind. </w:t>
      </w:r>
      <w:r w:rsidRPr="004F5FB4">
        <w:rPr>
          <w:b/>
          <w:color w:val="000000"/>
        </w:rPr>
        <w:t>Versuchen Sie nicht</w:t>
      </w:r>
      <w:r w:rsidRPr="004F5FB4">
        <w:rPr>
          <w:color w:val="000000"/>
        </w:rPr>
        <w:t>, Luftblasen zu entfernen.</w:t>
      </w:r>
    </w:p>
    <w:p w14:paraId="75E6DE16" w14:textId="77777777" w:rsidR="00E23160" w:rsidRPr="004F5FB4" w:rsidRDefault="00E23160" w:rsidP="00E23160">
      <w:pPr>
        <w:ind w:left="562" w:hanging="562"/>
        <w:contextualSpacing/>
        <w:rPr>
          <w:bCs/>
          <w:color w:val="000000"/>
        </w:rPr>
      </w:pPr>
    </w:p>
    <w:p w14:paraId="34E2DB6B" w14:textId="77777777" w:rsidR="002953BE" w:rsidRPr="004F5FB4" w:rsidRDefault="002953BE" w:rsidP="00771BD7">
      <w:pPr>
        <w:ind w:left="562" w:hanging="562"/>
        <w:contextualSpacing/>
        <w:rPr>
          <w:color w:val="000000"/>
        </w:rPr>
      </w:pPr>
      <w:r w:rsidRPr="004F5FB4">
        <w:rPr>
          <w:color w:val="000000"/>
        </w:rPr>
        <w:t xml:space="preserve">Wenn Sie Fragen zum Arzneimittel haben, </w:t>
      </w:r>
      <w:r w:rsidR="008305B0" w:rsidRPr="004F5FB4">
        <w:rPr>
          <w:color w:val="000000"/>
        </w:rPr>
        <w:t xml:space="preserve">sprechen </w:t>
      </w:r>
      <w:r w:rsidRPr="004F5FB4">
        <w:rPr>
          <w:color w:val="000000"/>
        </w:rPr>
        <w:t xml:space="preserve">Sie bitte </w:t>
      </w:r>
      <w:r w:rsidR="008305B0" w:rsidRPr="004F5FB4">
        <w:rPr>
          <w:color w:val="000000"/>
        </w:rPr>
        <w:t>mit Ihrem</w:t>
      </w:r>
      <w:r w:rsidRPr="004F5FB4">
        <w:rPr>
          <w:color w:val="000000"/>
        </w:rPr>
        <w:t xml:space="preserve"> Arzt</w:t>
      </w:r>
      <w:r w:rsidR="008305B0" w:rsidRPr="004F5FB4">
        <w:rPr>
          <w:color w:val="000000"/>
        </w:rPr>
        <w:t>, dem medizinischen Fachpersonal</w:t>
      </w:r>
      <w:r w:rsidRPr="004F5FB4">
        <w:rPr>
          <w:color w:val="000000"/>
        </w:rPr>
        <w:t xml:space="preserve"> oder Apotheker. </w:t>
      </w:r>
    </w:p>
    <w:p w14:paraId="7E086139" w14:textId="77777777" w:rsidR="002953BE" w:rsidRPr="004F5FB4" w:rsidRDefault="002953BE" w:rsidP="00982118">
      <w:pPr>
        <w:pStyle w:val="ListParagraph"/>
        <w:ind w:left="0"/>
        <w:rPr>
          <w:color w:val="000000"/>
        </w:rPr>
      </w:pPr>
    </w:p>
    <w:p w14:paraId="2286C13E" w14:textId="77777777" w:rsidR="002953BE" w:rsidRPr="004F5FB4" w:rsidRDefault="002953BE" w:rsidP="00982118">
      <w:pPr>
        <w:pStyle w:val="ListParagraph"/>
        <w:ind w:left="0"/>
        <w:rPr>
          <w:color w:val="000000"/>
        </w:rPr>
      </w:pPr>
    </w:p>
    <w:p w14:paraId="26B032FA" w14:textId="77777777" w:rsidR="00C65FDA" w:rsidRPr="004F5FB4" w:rsidRDefault="00C65FDA" w:rsidP="00C65FDA">
      <w:pPr>
        <w:pStyle w:val="ListParagraph"/>
        <w:rPr>
          <w:color w:val="000000"/>
        </w:rPr>
      </w:pPr>
    </w:p>
    <w:p w14:paraId="50A07749" w14:textId="2C4B8D43" w:rsidR="00C65FDA" w:rsidRPr="004F5FB4" w:rsidRDefault="00032CD3" w:rsidP="00C65FDA">
      <w:pPr>
        <w:jc w:val="center"/>
        <w:rPr>
          <w:color w:val="000000"/>
        </w:rPr>
      </w:pPr>
      <w:r w:rsidRPr="004F5FB4">
        <w:rPr>
          <w:noProof/>
          <w:color w:val="000000"/>
          <w:lang w:eastAsia="de-DE"/>
        </w:rPr>
        <mc:AlternateContent>
          <mc:Choice Requires="wps">
            <w:drawing>
              <wp:anchor distT="0" distB="0" distL="114300" distR="114300" simplePos="0" relativeHeight="251658326" behindDoc="0" locked="0" layoutInCell="1" allowOverlap="1" wp14:anchorId="6959C805" wp14:editId="4B4189AD">
                <wp:simplePos x="0" y="0"/>
                <wp:positionH relativeFrom="column">
                  <wp:posOffset>1083310</wp:posOffset>
                </wp:positionH>
                <wp:positionV relativeFrom="paragraph">
                  <wp:posOffset>41275</wp:posOffset>
                </wp:positionV>
                <wp:extent cx="3618865" cy="339090"/>
                <wp:effectExtent l="0" t="3175" r="3175" b="635"/>
                <wp:wrapNone/>
                <wp:docPr id="100"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8865" cy="3390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4C177"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Auswahl und Vorbereitung der Injektionsstelle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9C805" id="_x0000_s1101" type="#_x0000_t202" style="position:absolute;left:0;text-align:left;margin-left:85.3pt;margin-top:3.25pt;width:284.95pt;height:26.7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" fillcolor="#656666" stroked="f">
                <v:textbox>
                  <w:txbxContent>
                    <w:p w14:paraId="0C34C177"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Auswahl und Vorbereitung der Injektionsstelle</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328" behindDoc="0" locked="0" layoutInCell="1" allowOverlap="1" wp14:anchorId="345B4421" wp14:editId="1C13DF3C">
                <wp:simplePos x="0" y="0"/>
                <wp:positionH relativeFrom="column">
                  <wp:posOffset>3189605</wp:posOffset>
                </wp:positionH>
                <wp:positionV relativeFrom="paragraph">
                  <wp:posOffset>1428750</wp:posOffset>
                </wp:positionV>
                <wp:extent cx="1521460" cy="668020"/>
                <wp:effectExtent l="0" t="0" r="3810" b="0"/>
                <wp:wrapNone/>
                <wp:docPr id="99"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668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8B5D4" w14:textId="77777777" w:rsidR="008F3710" w:rsidRPr="009A1F4C" w:rsidRDefault="008F3710" w:rsidP="00C65FDA">
                            <w:pPr>
                              <w:rPr>
                                <w:rFonts w:ascii="Arial" w:hAnsi="Arial" w:cs="Arial"/>
                                <w:b/>
                                <w:bCs/>
                                <w:color w:val="FF0000"/>
                                <w:sz w:val="20"/>
                                <w:szCs w:val="18"/>
                              </w:rPr>
                            </w:pPr>
                            <w:r>
                              <w:rPr>
                                <w:rFonts w:ascii="Arial" w:hAnsi="Arial" w:cs="Arial"/>
                                <w:b/>
                                <w:bCs/>
                                <w:color w:val="FF0000"/>
                                <w:sz w:val="20"/>
                                <w:szCs w:val="18"/>
                              </w:rPr>
                              <w:t>Oberschenkel</w:t>
                            </w:r>
                            <w:r w:rsidRPr="009A1F4C">
                              <w:rPr>
                                <w:rFonts w:ascii="Arial" w:hAnsi="Arial" w:cs="Arial"/>
                                <w:b/>
                                <w:bCs/>
                                <w:color w:val="FF0000"/>
                                <w:sz w:val="20"/>
                                <w:szCs w:val="18"/>
                              </w:rPr>
                              <w:t>:</w:t>
                            </w:r>
                          </w:p>
                          <w:p w14:paraId="1D543D64" w14:textId="77777777" w:rsidR="008F3710" w:rsidRPr="009A1F4C" w:rsidRDefault="008F3710" w:rsidP="00C65FDA">
                            <w:pPr>
                              <w:rPr>
                                <w:rFonts w:ascii="Arial" w:hAnsi="Arial" w:cs="Arial"/>
                                <w:sz w:val="20"/>
                                <w:szCs w:val="18"/>
                              </w:rPr>
                            </w:pPr>
                            <w:r>
                              <w:rPr>
                                <w:rFonts w:ascii="Arial" w:hAnsi="Arial" w:cs="Arial"/>
                                <w:sz w:val="20"/>
                                <w:szCs w:val="18"/>
                              </w:rPr>
                              <w:t>Vorderseite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B4421" id="Text Box 261" o:spid="_x0000_s1102" type="#_x0000_t202" style="position:absolute;left:0;text-align:left;margin-left:251.15pt;margin-top:112.5pt;width:119.8pt;height:52.6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" stroked="f">
                <v:textbox>
                  <w:txbxContent>
                    <w:p w14:paraId="02A8B5D4" w14:textId="77777777" w:rsidR="008F3710" w:rsidRPr="009A1F4C" w:rsidRDefault="008F3710" w:rsidP="00C65FDA">
                      <w:pPr>
                        <w:rPr>
                          <w:rFonts w:ascii="Arial" w:hAnsi="Arial" w:cs="Arial"/>
                          <w:b/>
                          <w:bCs/>
                          <w:color w:val="FF0000"/>
                          <w:sz w:val="20"/>
                          <w:szCs w:val="18"/>
                        </w:rPr>
                      </w:pPr>
                      <w:r>
                        <w:rPr>
                          <w:rFonts w:ascii="Arial" w:hAnsi="Arial" w:cs="Arial"/>
                          <w:b/>
                          <w:bCs/>
                          <w:color w:val="FF0000"/>
                          <w:sz w:val="20"/>
                          <w:szCs w:val="18"/>
                        </w:rPr>
                        <w:t>Oberschenkel</w:t>
                      </w:r>
                      <w:r w:rsidRPr="009A1F4C">
                        <w:rPr>
                          <w:rFonts w:ascii="Arial" w:hAnsi="Arial" w:cs="Arial"/>
                          <w:b/>
                          <w:bCs/>
                          <w:color w:val="FF0000"/>
                          <w:sz w:val="20"/>
                          <w:szCs w:val="18"/>
                        </w:rPr>
                        <w:t>:</w:t>
                      </w:r>
                    </w:p>
                    <w:p w14:paraId="1D543D64" w14:textId="77777777" w:rsidR="008F3710" w:rsidRPr="009A1F4C" w:rsidRDefault="008F3710" w:rsidP="00C65FDA">
                      <w:pPr>
                        <w:rPr>
                          <w:rFonts w:ascii="Arial" w:hAnsi="Arial" w:cs="Arial"/>
                          <w:sz w:val="20"/>
                          <w:szCs w:val="18"/>
                        </w:rPr>
                      </w:pPr>
                      <w:r>
                        <w:rPr>
                          <w:rFonts w:ascii="Arial" w:hAnsi="Arial" w:cs="Arial"/>
                          <w:sz w:val="20"/>
                          <w:szCs w:val="18"/>
                        </w:rPr>
                        <w:t>Vorderseite</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327" behindDoc="0" locked="0" layoutInCell="1" allowOverlap="1" wp14:anchorId="2C517770" wp14:editId="1AD289D8">
                <wp:simplePos x="0" y="0"/>
                <wp:positionH relativeFrom="column">
                  <wp:posOffset>3206750</wp:posOffset>
                </wp:positionH>
                <wp:positionV relativeFrom="paragraph">
                  <wp:posOffset>537210</wp:posOffset>
                </wp:positionV>
                <wp:extent cx="1564640" cy="834390"/>
                <wp:effectExtent l="0" t="3810" r="635" b="0"/>
                <wp:wrapNone/>
                <wp:docPr id="98"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834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7501F" w14:textId="77777777" w:rsidR="008F3710" w:rsidRPr="00687087" w:rsidRDefault="008F3710" w:rsidP="00C65FDA">
                            <w:pPr>
                              <w:rPr>
                                <w:rFonts w:ascii="Arial" w:hAnsi="Arial" w:cs="Arial"/>
                                <w:b/>
                                <w:bCs/>
                                <w:color w:val="FF0000"/>
                                <w:sz w:val="20"/>
                                <w:szCs w:val="20"/>
                              </w:rPr>
                            </w:pPr>
                            <w:r w:rsidRPr="00687087">
                              <w:rPr>
                                <w:rFonts w:ascii="Arial" w:hAnsi="Arial" w:cs="Arial"/>
                                <w:b/>
                                <w:bCs/>
                                <w:color w:val="FF0000"/>
                                <w:sz w:val="20"/>
                                <w:szCs w:val="20"/>
                              </w:rPr>
                              <w:t>Bauch:</w:t>
                            </w:r>
                          </w:p>
                          <w:p w14:paraId="2F898DE7" w14:textId="77777777" w:rsidR="008F3710" w:rsidRPr="00687087" w:rsidRDefault="008F3710" w:rsidP="00C65FDA">
                            <w:pPr>
                              <w:rPr>
                                <w:rFonts w:ascii="Arial" w:hAnsi="Arial" w:cs="Arial"/>
                                <w:sz w:val="20"/>
                                <w:szCs w:val="20"/>
                              </w:rPr>
                            </w:pPr>
                            <w:r w:rsidRPr="00687087">
                              <w:rPr>
                                <w:rFonts w:ascii="Arial" w:hAnsi="Arial" w:cs="Arial"/>
                                <w:sz w:val="20"/>
                                <w:szCs w:val="20"/>
                              </w:rPr>
                              <w:t>Wählen Sie eine Stelle, die mindestens 5 cm vom Bauchnabel entfernt 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17770" id="Text Box 259" o:spid="_x0000_s1103" type="#_x0000_t202" style="position:absolute;left:0;text-align:left;margin-left:252.5pt;margin-top:42.3pt;width:123.2pt;height:65.7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" stroked="f">
                <v:textbox>
                  <w:txbxContent>
                    <w:p w14:paraId="4CB7501F" w14:textId="77777777" w:rsidR="008F3710" w:rsidRPr="00687087" w:rsidRDefault="008F3710" w:rsidP="00C65FDA">
                      <w:pPr>
                        <w:rPr>
                          <w:rFonts w:ascii="Arial" w:hAnsi="Arial" w:cs="Arial"/>
                          <w:b/>
                          <w:bCs/>
                          <w:color w:val="FF0000"/>
                          <w:sz w:val="20"/>
                          <w:szCs w:val="20"/>
                        </w:rPr>
                      </w:pPr>
                      <w:r w:rsidRPr="00687087">
                        <w:rPr>
                          <w:rFonts w:ascii="Arial" w:hAnsi="Arial" w:cs="Arial"/>
                          <w:b/>
                          <w:bCs/>
                          <w:color w:val="FF0000"/>
                          <w:sz w:val="20"/>
                          <w:szCs w:val="20"/>
                        </w:rPr>
                        <w:t>Bauch:</w:t>
                      </w:r>
                    </w:p>
                    <w:p w14:paraId="2F898DE7" w14:textId="77777777" w:rsidR="008F3710" w:rsidRPr="00687087" w:rsidRDefault="008F3710" w:rsidP="00C65FDA">
                      <w:pPr>
                        <w:rPr>
                          <w:rFonts w:ascii="Arial" w:hAnsi="Arial" w:cs="Arial"/>
                          <w:sz w:val="20"/>
                          <w:szCs w:val="20"/>
                        </w:rPr>
                      </w:pPr>
                      <w:r w:rsidRPr="00687087">
                        <w:rPr>
                          <w:rFonts w:ascii="Arial" w:hAnsi="Arial" w:cs="Arial"/>
                          <w:sz w:val="20"/>
                          <w:szCs w:val="20"/>
                        </w:rPr>
                        <w:t>Wählen Sie eine Stelle, die mindestens 5 cm vom Bauchnabel entfernt ist.</w:t>
                      </w:r>
                    </w:p>
                  </w:txbxContent>
                </v:textbox>
              </v:shape>
            </w:pict>
          </mc:Fallback>
        </mc:AlternateContent>
      </w:r>
      <w:r w:rsidRPr="004F5FB4">
        <w:rPr>
          <w:noProof/>
          <w:color w:val="000000"/>
        </w:rPr>
        <w:drawing>
          <wp:inline distT="0" distB="0" distL="0" distR="0" wp14:anchorId="7D8F37FE" wp14:editId="14153FD2">
            <wp:extent cx="4752975" cy="2466975"/>
            <wp:effectExtent l="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2975" cy="2466975"/>
                    </a:xfrm>
                    <a:prstGeom prst="rect">
                      <a:avLst/>
                    </a:prstGeom>
                    <a:noFill/>
                    <a:ln>
                      <a:noFill/>
                    </a:ln>
                  </pic:spPr>
                </pic:pic>
              </a:graphicData>
            </a:graphic>
          </wp:inline>
        </w:drawing>
      </w:r>
    </w:p>
    <w:p w14:paraId="370D1CE3" w14:textId="77777777" w:rsidR="002953BE" w:rsidRPr="004F5FB4" w:rsidRDefault="002953BE" w:rsidP="00982118">
      <w:pPr>
        <w:pStyle w:val="ListParagraph"/>
        <w:ind w:left="0"/>
        <w:rPr>
          <w:color w:val="000000"/>
          <w:lang w:val="en-GB"/>
        </w:rPr>
      </w:pPr>
    </w:p>
    <w:p w14:paraId="0D1A037D" w14:textId="77777777" w:rsidR="002953BE" w:rsidRPr="004F5FB4" w:rsidRDefault="002953BE" w:rsidP="00E23160">
      <w:pPr>
        <w:pStyle w:val="ListParagraph"/>
        <w:numPr>
          <w:ilvl w:val="0"/>
          <w:numId w:val="35"/>
        </w:numPr>
        <w:ind w:left="562" w:hanging="562"/>
        <w:contextualSpacing/>
        <w:rPr>
          <w:color w:val="000000"/>
        </w:rPr>
      </w:pPr>
      <w:r w:rsidRPr="004F5FB4">
        <w:rPr>
          <w:color w:val="000000"/>
        </w:rPr>
        <w:t>Wählen Sie bei jeder Selbstinjektion eine andere Körperstelle aus.</w:t>
      </w:r>
    </w:p>
    <w:p w14:paraId="3A048FC7" w14:textId="77777777" w:rsidR="002953BE" w:rsidRPr="004F5FB4" w:rsidRDefault="002953BE" w:rsidP="00E23160">
      <w:pPr>
        <w:pStyle w:val="ListParagraph"/>
        <w:numPr>
          <w:ilvl w:val="0"/>
          <w:numId w:val="35"/>
        </w:numPr>
        <w:ind w:left="562" w:hanging="562"/>
        <w:contextualSpacing/>
        <w:rPr>
          <w:color w:val="000000"/>
        </w:rPr>
      </w:pPr>
      <w:r w:rsidRPr="004F5FB4">
        <w:rPr>
          <w:color w:val="000000"/>
        </w:rPr>
        <w:lastRenderedPageBreak/>
        <w:t xml:space="preserve">Spritzen Sie </w:t>
      </w:r>
      <w:r w:rsidRPr="004F5FB4">
        <w:rPr>
          <w:b/>
          <w:color w:val="000000"/>
        </w:rPr>
        <w:t xml:space="preserve">nicht </w:t>
      </w:r>
      <w:r w:rsidRPr="004F5FB4">
        <w:rPr>
          <w:color w:val="000000"/>
        </w:rPr>
        <w:t>in Körperstellen, an denen sich Knochen dicht unter der Haut befinden oder die Blutergüsse oder Rötungen aufweisen oder wund (berührungsempfindlich) oder verhärtet sind. Vermeiden Sie Injektionen in Hautstellen mit Narben oder Dehnungsstreifen.</w:t>
      </w:r>
    </w:p>
    <w:p w14:paraId="5C0C9610" w14:textId="77777777" w:rsidR="002953BE" w:rsidRPr="004F5FB4" w:rsidRDefault="002953BE" w:rsidP="00E23160">
      <w:pPr>
        <w:pStyle w:val="ListParagraph"/>
        <w:numPr>
          <w:ilvl w:val="0"/>
          <w:numId w:val="32"/>
        </w:numPr>
        <w:ind w:left="1124" w:hanging="562"/>
        <w:contextualSpacing/>
        <w:rPr>
          <w:color w:val="000000"/>
        </w:rPr>
      </w:pPr>
      <w:r w:rsidRPr="004F5FB4">
        <w:rPr>
          <w:color w:val="000000"/>
        </w:rPr>
        <w:t>Psoriasis-Patienten sollten nicht unmittelbar in Stellen mit erhabener, verdickter, geröteter, schuppender oder wunder Haut spritzen.</w:t>
      </w:r>
    </w:p>
    <w:p w14:paraId="69E5DCAB" w14:textId="77777777" w:rsidR="002953BE" w:rsidRPr="004F5FB4" w:rsidRDefault="002953BE" w:rsidP="00E23160">
      <w:pPr>
        <w:pStyle w:val="ListParagraph"/>
        <w:numPr>
          <w:ilvl w:val="0"/>
          <w:numId w:val="35"/>
        </w:numPr>
        <w:ind w:left="562" w:hanging="562"/>
        <w:contextualSpacing/>
        <w:rPr>
          <w:color w:val="000000"/>
        </w:rPr>
      </w:pPr>
      <w:r w:rsidRPr="004F5FB4">
        <w:rPr>
          <w:color w:val="000000"/>
        </w:rPr>
        <w:t xml:space="preserve">Spritzen Sie </w:t>
      </w:r>
      <w:r w:rsidRPr="004F5FB4">
        <w:rPr>
          <w:b/>
          <w:bCs/>
          <w:color w:val="000000"/>
        </w:rPr>
        <w:t>nicht</w:t>
      </w:r>
      <w:r w:rsidRPr="004F5FB4">
        <w:rPr>
          <w:color w:val="000000"/>
        </w:rPr>
        <w:t xml:space="preserve"> durch Kleidung.</w:t>
      </w:r>
    </w:p>
    <w:p w14:paraId="324F8BCD" w14:textId="77777777" w:rsidR="002953BE" w:rsidRPr="004F5FB4" w:rsidRDefault="002953BE" w:rsidP="00E23160">
      <w:pPr>
        <w:pStyle w:val="ListParagraph"/>
        <w:numPr>
          <w:ilvl w:val="0"/>
          <w:numId w:val="35"/>
        </w:numPr>
        <w:ind w:left="562" w:hanging="562"/>
        <w:contextualSpacing/>
        <w:rPr>
          <w:color w:val="000000"/>
        </w:rPr>
      </w:pPr>
      <w:r w:rsidRPr="004F5FB4">
        <w:rPr>
          <w:color w:val="000000"/>
        </w:rPr>
        <w:t>Wischen Sie die Haut an der gewählten Injektionsstelle mit einem Alkoholtupfer ab.</w:t>
      </w:r>
    </w:p>
    <w:p w14:paraId="30B2FEBB" w14:textId="77777777" w:rsidR="002953BE" w:rsidRPr="004F5FB4" w:rsidRDefault="002953BE" w:rsidP="00E23160">
      <w:pPr>
        <w:pStyle w:val="ListParagraph"/>
        <w:numPr>
          <w:ilvl w:val="0"/>
          <w:numId w:val="35"/>
        </w:numPr>
        <w:ind w:left="562" w:hanging="562"/>
        <w:contextualSpacing/>
        <w:rPr>
          <w:color w:val="000000"/>
        </w:rPr>
      </w:pPr>
      <w:r w:rsidRPr="004F5FB4">
        <w:rPr>
          <w:color w:val="000000"/>
        </w:rPr>
        <w:t>Warten Sie, bis die Haut an der Injektionsstelle getrocknet ist.</w:t>
      </w:r>
    </w:p>
    <w:p w14:paraId="5DE31BCE" w14:textId="77777777" w:rsidR="002953BE" w:rsidRPr="004F5FB4" w:rsidRDefault="002953BE" w:rsidP="00982118">
      <w:pPr>
        <w:rPr>
          <w:color w:val="000000"/>
        </w:rPr>
      </w:pPr>
    </w:p>
    <w:p w14:paraId="6CAE9FCD" w14:textId="77777777" w:rsidR="00C65FDA" w:rsidRPr="004F5FB4" w:rsidRDefault="00C65FDA" w:rsidP="00C65FDA">
      <w:pPr>
        <w:rPr>
          <w:color w:val="000000"/>
        </w:rPr>
      </w:pPr>
    </w:p>
    <w:p w14:paraId="02355FE1" w14:textId="4F656E33" w:rsidR="00C65FDA" w:rsidRPr="004F5FB4" w:rsidRDefault="00032CD3" w:rsidP="00C65FDA">
      <w:pPr>
        <w:jc w:val="center"/>
        <w:rPr>
          <w:color w:val="000000"/>
        </w:rPr>
      </w:pPr>
      <w:r w:rsidRPr="004F5FB4">
        <w:rPr>
          <w:noProof/>
          <w:color w:val="000000"/>
          <w:lang w:eastAsia="de-DE"/>
        </w:rPr>
        <mc:AlternateContent>
          <mc:Choice Requires="wps">
            <w:drawing>
              <wp:anchor distT="0" distB="0" distL="114300" distR="114300" simplePos="0" relativeHeight="251658329" behindDoc="0" locked="0" layoutInCell="1" allowOverlap="1" wp14:anchorId="4C5FC82C" wp14:editId="592A860C">
                <wp:simplePos x="0" y="0"/>
                <wp:positionH relativeFrom="column">
                  <wp:posOffset>1584325</wp:posOffset>
                </wp:positionH>
                <wp:positionV relativeFrom="paragraph">
                  <wp:posOffset>74295</wp:posOffset>
                </wp:positionV>
                <wp:extent cx="1705610" cy="250190"/>
                <wp:effectExtent l="3175" t="0" r="0" b="0"/>
                <wp:wrapNone/>
                <wp:docPr id="97"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B7C0A"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Nadelkappe entfernen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FC82C" id="Text Box 266" o:spid="_x0000_s1104" type="#_x0000_t202" style="position:absolute;left:0;text-align:left;margin-left:124.75pt;margin-top:5.85pt;width:134.3pt;height:19.7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" fillcolor="#656666" stroked="f">
                <v:textbox>
                  <w:txbxContent>
                    <w:p w14:paraId="197B7C0A"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Nadelkappe entfernen</w:t>
                      </w:r>
                    </w:p>
                  </w:txbxContent>
                </v:textbox>
              </v:shape>
            </w:pict>
          </mc:Fallback>
        </mc:AlternateContent>
      </w:r>
      <w:r w:rsidRPr="004F5FB4">
        <w:rPr>
          <w:noProof/>
          <w:color w:val="000000"/>
        </w:rPr>
        <w:drawing>
          <wp:inline distT="0" distB="0" distL="0" distR="0" wp14:anchorId="7A6407E0" wp14:editId="6455EE0A">
            <wp:extent cx="3838575" cy="2514600"/>
            <wp:effectExtent l="0" t="0" r="0" b="0"/>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8575" cy="2514600"/>
                    </a:xfrm>
                    <a:prstGeom prst="rect">
                      <a:avLst/>
                    </a:prstGeom>
                    <a:noFill/>
                    <a:ln>
                      <a:noFill/>
                    </a:ln>
                  </pic:spPr>
                </pic:pic>
              </a:graphicData>
            </a:graphic>
          </wp:inline>
        </w:drawing>
      </w:r>
    </w:p>
    <w:p w14:paraId="54ABFD80" w14:textId="77777777" w:rsidR="00C65FDA" w:rsidRPr="004F5FB4" w:rsidRDefault="00C65FDA" w:rsidP="00C65FDA">
      <w:pPr>
        <w:jc w:val="center"/>
        <w:rPr>
          <w:color w:val="000000"/>
        </w:rPr>
      </w:pPr>
    </w:p>
    <w:p w14:paraId="6528EB45" w14:textId="77777777" w:rsidR="002953BE" w:rsidRPr="004F5FB4" w:rsidRDefault="002953BE" w:rsidP="00982118">
      <w:pPr>
        <w:rPr>
          <w:color w:val="000000"/>
          <w:lang w:val="en-GB"/>
        </w:rPr>
      </w:pPr>
    </w:p>
    <w:p w14:paraId="6DD6A9C1"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Halten Sie die Fertigspritze am Spritzenzylinder fest. Ziehen Sie die Nadelkappe vorsichtig in einer geraden Bewegung nach oben und von Ihrem Körper weg von der Nadel, sobald Sie zur Injektion bereit sind.</w:t>
      </w:r>
    </w:p>
    <w:p w14:paraId="5F3B3C56"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 xml:space="preserve">Es ist normal, wenn beim Abnehmen der Nadelkappe ein paar Tropfen </w:t>
      </w:r>
      <w:r w:rsidR="00E1237B" w:rsidRPr="004F5FB4">
        <w:rPr>
          <w:color w:val="000000"/>
        </w:rPr>
        <w:t>Arzneimit</w:t>
      </w:r>
      <w:r w:rsidRPr="004F5FB4">
        <w:rPr>
          <w:color w:val="000000"/>
        </w:rPr>
        <w:t>t</w:t>
      </w:r>
      <w:r w:rsidR="00E1237B" w:rsidRPr="004F5FB4">
        <w:rPr>
          <w:color w:val="000000"/>
        </w:rPr>
        <w:t>el</w:t>
      </w:r>
      <w:r w:rsidRPr="004F5FB4">
        <w:rPr>
          <w:color w:val="000000"/>
        </w:rPr>
        <w:t xml:space="preserve"> an der Nadelspitze zu sehen sind.</w:t>
      </w:r>
    </w:p>
    <w:p w14:paraId="7E868661"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Werfen Sie die Nadelkappe in den Entsorgungsbehälter für scharfe und spitze Gegenstände.</w:t>
      </w:r>
    </w:p>
    <w:p w14:paraId="09DE40F6" w14:textId="77777777" w:rsidR="00885E80" w:rsidRPr="004F5FB4" w:rsidRDefault="00885E80" w:rsidP="00885E80">
      <w:pPr>
        <w:pStyle w:val="ListParagraph"/>
        <w:ind w:left="562"/>
        <w:contextualSpacing/>
        <w:rPr>
          <w:color w:val="000000"/>
        </w:rPr>
      </w:pPr>
      <w:r w:rsidRPr="004F5FB4">
        <w:rPr>
          <w:b/>
          <w:color w:val="000000"/>
        </w:rPr>
        <w:t>Hinweis:</w:t>
      </w:r>
      <w:r w:rsidRPr="004F5FB4">
        <w:rPr>
          <w:color w:val="000000"/>
        </w:rPr>
        <w:t xml:space="preserve"> Seien Sie vorsichtig bei der Handhabung der Fertigspritze, damit Sie sich nicht versehentlich stechen.</w:t>
      </w:r>
    </w:p>
    <w:p w14:paraId="2E6ECB73" w14:textId="77777777" w:rsidR="002953BE" w:rsidRPr="004F5FB4" w:rsidRDefault="002953BE" w:rsidP="00982118">
      <w:pPr>
        <w:rPr>
          <w:color w:val="000000"/>
        </w:rPr>
      </w:pPr>
    </w:p>
    <w:p w14:paraId="6B7FC973" w14:textId="77777777" w:rsidR="002953BE" w:rsidRPr="004F5FB4" w:rsidRDefault="002953BE" w:rsidP="00982118">
      <w:pPr>
        <w:rPr>
          <w:color w:val="000000"/>
        </w:rPr>
      </w:pPr>
    </w:p>
    <w:p w14:paraId="20603658" w14:textId="229C3366" w:rsidR="00C65FDA" w:rsidRPr="004F5FB4" w:rsidRDefault="00032CD3" w:rsidP="00C65FDA">
      <w:pPr>
        <w:jc w:val="center"/>
        <w:rPr>
          <w:color w:val="000000"/>
        </w:rPr>
      </w:pPr>
      <w:r w:rsidRPr="004F5FB4">
        <w:rPr>
          <w:noProof/>
          <w:color w:val="000000"/>
          <w:lang w:eastAsia="de-DE"/>
        </w:rPr>
        <mc:AlternateContent>
          <mc:Choice Requires="wps">
            <w:drawing>
              <wp:anchor distT="0" distB="0" distL="114300" distR="114300" simplePos="0" relativeHeight="251658330" behindDoc="0" locked="0" layoutInCell="1" allowOverlap="1" wp14:anchorId="118F1A93" wp14:editId="04FABFC9">
                <wp:simplePos x="0" y="0"/>
                <wp:positionH relativeFrom="column">
                  <wp:posOffset>1532890</wp:posOffset>
                </wp:positionH>
                <wp:positionV relativeFrom="paragraph">
                  <wp:posOffset>94615</wp:posOffset>
                </wp:positionV>
                <wp:extent cx="1290320" cy="276225"/>
                <wp:effectExtent l="0" t="0" r="0" b="635"/>
                <wp:wrapNone/>
                <wp:docPr id="9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7622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82305"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Nadel einstechen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F1A93" id="Text Box 268" o:spid="_x0000_s1105" type="#_x0000_t202" style="position:absolute;left:0;text-align:left;margin-left:120.7pt;margin-top:7.45pt;width:101.6pt;height:21.7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" fillcolor="#656666" stroked="f">
                <v:textbox>
                  <w:txbxContent>
                    <w:p w14:paraId="3E682305"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Nadel einstechen</w:t>
                      </w:r>
                    </w:p>
                  </w:txbxContent>
                </v:textbox>
              </v:shape>
            </w:pict>
          </mc:Fallback>
        </mc:AlternateContent>
      </w:r>
      <w:r w:rsidRPr="004F5FB4">
        <w:rPr>
          <w:noProof/>
          <w:color w:val="000000"/>
        </w:rPr>
        <w:drawing>
          <wp:inline distT="0" distB="0" distL="0" distR="0" wp14:anchorId="6A8F1F46" wp14:editId="3AE6DBC3">
            <wp:extent cx="3829050" cy="2514600"/>
            <wp:effectExtent l="0" t="0" r="0" b="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9050" cy="2514600"/>
                    </a:xfrm>
                    <a:prstGeom prst="rect">
                      <a:avLst/>
                    </a:prstGeom>
                    <a:noFill/>
                    <a:ln>
                      <a:noFill/>
                    </a:ln>
                  </pic:spPr>
                </pic:pic>
              </a:graphicData>
            </a:graphic>
          </wp:inline>
        </w:drawing>
      </w:r>
    </w:p>
    <w:p w14:paraId="2611814C" w14:textId="77777777" w:rsidR="002953BE" w:rsidRPr="004F5FB4" w:rsidRDefault="002953BE" w:rsidP="00982118">
      <w:pPr>
        <w:rPr>
          <w:color w:val="000000"/>
          <w:lang w:val="en-GB"/>
        </w:rPr>
      </w:pPr>
    </w:p>
    <w:p w14:paraId="089A0459"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Greifen Sie ein Stück der gereinigten Hautfläche mit der freien Hand, drücken Sie es behutsam etwas zusammen und halten Sie es fest.</w:t>
      </w:r>
    </w:p>
    <w:p w14:paraId="17A5859A"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lastRenderedPageBreak/>
        <w:t xml:space="preserve">Stechen Sie die Nadel in einem Winkel von 45 Grad, wie hier gezeigt, vollständig in die Haut. </w:t>
      </w:r>
    </w:p>
    <w:p w14:paraId="4403326C"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Sobald die Nadel eingedrungen ist, lassen Sie die festgehaltene Haut los.</w:t>
      </w:r>
    </w:p>
    <w:p w14:paraId="49B22C08" w14:textId="77777777" w:rsidR="00885E80" w:rsidRPr="004F5FB4" w:rsidRDefault="00885E80" w:rsidP="00687087">
      <w:pPr>
        <w:pStyle w:val="ListParagraph"/>
        <w:tabs>
          <w:tab w:val="left" w:pos="567"/>
        </w:tabs>
        <w:ind w:left="567"/>
        <w:contextualSpacing/>
        <w:rPr>
          <w:color w:val="000000"/>
        </w:rPr>
      </w:pPr>
      <w:r w:rsidRPr="004F5FB4">
        <w:rPr>
          <w:b/>
          <w:color w:val="000000"/>
        </w:rPr>
        <w:t>Wichtig:</w:t>
      </w:r>
      <w:r w:rsidRPr="004F5FB4">
        <w:rPr>
          <w:color w:val="000000"/>
        </w:rPr>
        <w:t xml:space="preserve"> Stechen Sie die Nadel </w:t>
      </w:r>
      <w:r w:rsidRPr="004F5FB4">
        <w:rPr>
          <w:b/>
          <w:color w:val="000000"/>
        </w:rPr>
        <w:t>nicht erneut</w:t>
      </w:r>
      <w:r w:rsidRPr="004F5FB4">
        <w:rPr>
          <w:color w:val="000000"/>
        </w:rPr>
        <w:t xml:space="preserve"> in </w:t>
      </w:r>
      <w:r w:rsidR="00E86ED7" w:rsidRPr="004F5FB4">
        <w:rPr>
          <w:color w:val="000000"/>
        </w:rPr>
        <w:t>Ihre</w:t>
      </w:r>
      <w:r w:rsidRPr="004F5FB4">
        <w:rPr>
          <w:color w:val="000000"/>
        </w:rPr>
        <w:t xml:space="preserve"> Haut ein. Wurde die Nadel bereits in die Haut eingestochen und Sie möchten eine andere Injektionsstelle auswählen, müssen Sie eine neue Fertigspritze verwenden.</w:t>
      </w:r>
    </w:p>
    <w:p w14:paraId="534FFDBB" w14:textId="77777777" w:rsidR="002953BE" w:rsidRPr="004F5FB4" w:rsidRDefault="002953BE" w:rsidP="00982118">
      <w:pPr>
        <w:rPr>
          <w:color w:val="000000"/>
        </w:rPr>
      </w:pPr>
    </w:p>
    <w:p w14:paraId="3EC5CC12" w14:textId="77777777" w:rsidR="002953BE" w:rsidRPr="004F5FB4" w:rsidRDefault="002953BE" w:rsidP="00982118">
      <w:pPr>
        <w:rPr>
          <w:color w:val="000000"/>
        </w:rPr>
      </w:pPr>
    </w:p>
    <w:p w14:paraId="45329FE9" w14:textId="60B1CE6A" w:rsidR="00C65FDA" w:rsidRPr="004F5FB4" w:rsidRDefault="00032CD3" w:rsidP="00C65FDA">
      <w:pPr>
        <w:jc w:val="center"/>
        <w:rPr>
          <w:b/>
          <w:color w:val="000000"/>
        </w:rPr>
      </w:pPr>
      <w:r w:rsidRPr="004F5FB4">
        <w:rPr>
          <w:noProof/>
          <w:color w:val="000000"/>
          <w:lang w:eastAsia="de-DE"/>
        </w:rPr>
        <mc:AlternateContent>
          <mc:Choice Requires="wps">
            <w:drawing>
              <wp:anchor distT="0" distB="0" distL="114300" distR="114300" simplePos="0" relativeHeight="251658331" behindDoc="0" locked="0" layoutInCell="1" allowOverlap="1" wp14:anchorId="39FB4408" wp14:editId="1F4622CD">
                <wp:simplePos x="0" y="0"/>
                <wp:positionH relativeFrom="column">
                  <wp:posOffset>1555750</wp:posOffset>
                </wp:positionH>
                <wp:positionV relativeFrom="paragraph">
                  <wp:posOffset>50165</wp:posOffset>
                </wp:positionV>
                <wp:extent cx="1628775" cy="289560"/>
                <wp:effectExtent l="3175" t="2540" r="0" b="3175"/>
                <wp:wrapNone/>
                <wp:docPr id="91"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D1F4F"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Arzneimittel injizieren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B4408" id="Text Box 270" o:spid="_x0000_s1106" type="#_x0000_t202" style="position:absolute;left:0;text-align:left;margin-left:122.5pt;margin-top:3.95pt;width:128.25pt;height:22.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" fillcolor="#656666" stroked="f">
                <v:textbox>
                  <w:txbxContent>
                    <w:p w14:paraId="73BD1F4F"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Arzneimittel injizieren</w:t>
                      </w:r>
                    </w:p>
                  </w:txbxContent>
                </v:textbox>
              </v:shape>
            </w:pict>
          </mc:Fallback>
        </mc:AlternateContent>
      </w:r>
      <w:r w:rsidRPr="004F5FB4">
        <w:rPr>
          <w:noProof/>
          <w:color w:val="000000"/>
        </w:rPr>
        <w:drawing>
          <wp:inline distT="0" distB="0" distL="0" distR="0" wp14:anchorId="0FAFA6DC" wp14:editId="28046267">
            <wp:extent cx="3829050" cy="2495550"/>
            <wp:effectExtent l="0" t="0" r="0" b="0"/>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29050" cy="2495550"/>
                    </a:xfrm>
                    <a:prstGeom prst="rect">
                      <a:avLst/>
                    </a:prstGeom>
                    <a:noFill/>
                    <a:ln>
                      <a:noFill/>
                    </a:ln>
                  </pic:spPr>
                </pic:pic>
              </a:graphicData>
            </a:graphic>
          </wp:inline>
        </w:drawing>
      </w:r>
    </w:p>
    <w:p w14:paraId="422D9186" w14:textId="77777777" w:rsidR="002953BE" w:rsidRDefault="002953BE" w:rsidP="00982118">
      <w:pPr>
        <w:pStyle w:val="ListParagraph"/>
        <w:rPr>
          <w:color w:val="000000"/>
          <w:lang w:val="en-GB"/>
        </w:rPr>
      </w:pPr>
    </w:p>
    <w:p w14:paraId="6934A063" w14:textId="77777777" w:rsidR="00A65FE9" w:rsidRPr="004F5FB4" w:rsidRDefault="00A65FE9" w:rsidP="00982118">
      <w:pPr>
        <w:pStyle w:val="ListParagraph"/>
        <w:rPr>
          <w:color w:val="000000"/>
          <w:lang w:val="en-GB"/>
        </w:rPr>
      </w:pPr>
    </w:p>
    <w:p w14:paraId="22F9E696"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Drücken Sie den Kolben langsam und gleichmäßig ganz herunter, bis die gesamte Flüssigkeit injiziert wurde und der Spritzenzylinder leer ist. Die Verabreichung der Dosis dauert in der Regel 2 bis 5 Sekunden.</w:t>
      </w:r>
    </w:p>
    <w:p w14:paraId="680FBC31" w14:textId="77777777" w:rsidR="00885E80" w:rsidRPr="004F5FB4" w:rsidRDefault="00885E80" w:rsidP="00885E80">
      <w:pPr>
        <w:pStyle w:val="ListParagraph"/>
        <w:ind w:left="562"/>
        <w:contextualSpacing/>
        <w:rPr>
          <w:color w:val="000000"/>
        </w:rPr>
      </w:pPr>
      <w:r w:rsidRPr="004F5FB4">
        <w:rPr>
          <w:b/>
          <w:color w:val="000000"/>
        </w:rPr>
        <w:t>Hinweis:</w:t>
      </w:r>
      <w:r w:rsidRPr="004F5FB4">
        <w:rPr>
          <w:color w:val="000000"/>
        </w:rPr>
        <w:t xml:space="preserve"> Es wird empfohlen, die Fertigspritze nach dem vollständigen Herunterdrücken des Kolbens weitere 5 Sekunden lang in der Haut zu lassen.</w:t>
      </w:r>
    </w:p>
    <w:p w14:paraId="3EB38A61"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Ziehen Sie die Nadel in demselben Winkel aus der Haut, in dem Sie sie eingestochen haben</w:t>
      </w:r>
      <w:r w:rsidRPr="004F5FB4">
        <w:rPr>
          <w:bCs/>
          <w:color w:val="000000"/>
        </w:rPr>
        <w:t>.</w:t>
      </w:r>
    </w:p>
    <w:p w14:paraId="08D07845" w14:textId="77777777" w:rsidR="002953BE" w:rsidRPr="004F5FB4" w:rsidRDefault="002953BE" w:rsidP="00982118">
      <w:pPr>
        <w:rPr>
          <w:color w:val="000000"/>
        </w:rPr>
      </w:pPr>
    </w:p>
    <w:p w14:paraId="40A2980D" w14:textId="77777777" w:rsidR="002953BE" w:rsidRPr="004F5FB4" w:rsidRDefault="002953BE" w:rsidP="00982118">
      <w:pPr>
        <w:rPr>
          <w:color w:val="000000"/>
        </w:rPr>
      </w:pPr>
    </w:p>
    <w:p w14:paraId="38B01246" w14:textId="3347700B" w:rsidR="00C65FDA" w:rsidRPr="004F5FB4" w:rsidRDefault="00032CD3" w:rsidP="00C65FDA">
      <w:pPr>
        <w:jc w:val="center"/>
        <w:rPr>
          <w:b/>
          <w:color w:val="000000"/>
        </w:rPr>
      </w:pPr>
      <w:r w:rsidRPr="004F5FB4">
        <w:rPr>
          <w:noProof/>
          <w:color w:val="000000"/>
          <w:lang w:eastAsia="de-DE"/>
        </w:rPr>
        <mc:AlternateContent>
          <mc:Choice Requires="wps">
            <w:drawing>
              <wp:anchor distT="0" distB="0" distL="114300" distR="114300" simplePos="0" relativeHeight="251658332" behindDoc="0" locked="0" layoutInCell="1" allowOverlap="1" wp14:anchorId="776DBD72" wp14:editId="59231E1F">
                <wp:simplePos x="0" y="0"/>
                <wp:positionH relativeFrom="column">
                  <wp:posOffset>1499235</wp:posOffset>
                </wp:positionH>
                <wp:positionV relativeFrom="paragraph">
                  <wp:posOffset>93980</wp:posOffset>
                </wp:positionV>
                <wp:extent cx="1457960" cy="241935"/>
                <wp:effectExtent l="3810" t="0" r="0" b="0"/>
                <wp:wrapNone/>
                <wp:docPr id="90"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24193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75703"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Fertigspritze prüfen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BD72" id="Text Box 272" o:spid="_x0000_s1107" type="#_x0000_t202" style="position:absolute;left:0;text-align:left;margin-left:118.05pt;margin-top:7.4pt;width:114.8pt;height:19.0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" fillcolor="#656666" stroked="f">
                <v:textbox>
                  <w:txbxContent>
                    <w:p w14:paraId="44875703"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Fertigspritze prüfen</w:t>
                      </w:r>
                    </w:p>
                  </w:txbxContent>
                </v:textbox>
              </v:shape>
            </w:pict>
          </mc:Fallback>
        </mc:AlternateContent>
      </w:r>
      <w:r w:rsidRPr="004F5FB4">
        <w:rPr>
          <w:noProof/>
          <w:color w:val="000000"/>
        </w:rPr>
        <w:drawing>
          <wp:inline distT="0" distB="0" distL="0" distR="0" wp14:anchorId="60A10503" wp14:editId="783CA720">
            <wp:extent cx="3810000" cy="2524125"/>
            <wp:effectExtent l="0" t="0" r="0" b="0"/>
            <wp:docPr id="5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14:paraId="55B9E251" w14:textId="77777777" w:rsidR="002953BE" w:rsidRPr="004F5FB4" w:rsidRDefault="002953BE" w:rsidP="00982118">
      <w:pPr>
        <w:pStyle w:val="ListParagraph"/>
        <w:rPr>
          <w:color w:val="000000"/>
          <w:lang w:val="en-GB"/>
        </w:rPr>
      </w:pPr>
    </w:p>
    <w:p w14:paraId="572C23ED" w14:textId="77777777" w:rsidR="002953BE" w:rsidRPr="004F5FB4" w:rsidRDefault="002953BE" w:rsidP="00982118">
      <w:pPr>
        <w:pStyle w:val="ListParagraph"/>
        <w:rPr>
          <w:color w:val="000000"/>
          <w:lang w:val="en-GB"/>
        </w:rPr>
      </w:pPr>
    </w:p>
    <w:p w14:paraId="536B2785" w14:textId="77777777" w:rsidR="00885E80" w:rsidRPr="004F5FB4" w:rsidRDefault="00885E80" w:rsidP="00885E80">
      <w:pPr>
        <w:pStyle w:val="ListParagraph"/>
        <w:numPr>
          <w:ilvl w:val="0"/>
          <w:numId w:val="35"/>
        </w:numPr>
        <w:ind w:left="562" w:hanging="562"/>
        <w:contextualSpacing/>
        <w:rPr>
          <w:color w:val="000000"/>
        </w:rPr>
      </w:pPr>
      <w:r w:rsidRPr="004F5FB4">
        <w:rPr>
          <w:color w:val="000000"/>
        </w:rPr>
        <w:t>Vergewissern Sie sich, dass die Fertigspritze vollständig leer ist.</w:t>
      </w:r>
    </w:p>
    <w:p w14:paraId="50D7ECC9" w14:textId="77777777" w:rsidR="00885E80" w:rsidRPr="004F5FB4" w:rsidRDefault="00885E80" w:rsidP="00885E80">
      <w:pPr>
        <w:pStyle w:val="ListParagraph"/>
        <w:numPr>
          <w:ilvl w:val="0"/>
          <w:numId w:val="35"/>
        </w:numPr>
        <w:ind w:left="562" w:hanging="562"/>
        <w:contextualSpacing/>
        <w:rPr>
          <w:b/>
          <w:color w:val="000000"/>
        </w:rPr>
      </w:pPr>
      <w:r w:rsidRPr="004F5FB4">
        <w:rPr>
          <w:b/>
          <w:color w:val="000000"/>
        </w:rPr>
        <w:t>Stechen Sie dieselbe Nadel niemals erneut in die Haut ein.</w:t>
      </w:r>
    </w:p>
    <w:p w14:paraId="06A3C233" w14:textId="77777777" w:rsidR="00885E80" w:rsidRPr="004F5FB4" w:rsidRDefault="00885E80" w:rsidP="00885E80">
      <w:pPr>
        <w:pStyle w:val="ListParagraph"/>
        <w:numPr>
          <w:ilvl w:val="0"/>
          <w:numId w:val="35"/>
        </w:numPr>
        <w:ind w:left="562" w:hanging="562"/>
        <w:contextualSpacing/>
        <w:rPr>
          <w:b/>
          <w:color w:val="000000"/>
        </w:rPr>
      </w:pPr>
      <w:r w:rsidRPr="004F5FB4">
        <w:rPr>
          <w:b/>
          <w:color w:val="000000"/>
        </w:rPr>
        <w:t>Versuchen Sie niemals, die Nadelkappe wieder aufzusetzen.</w:t>
      </w:r>
    </w:p>
    <w:p w14:paraId="535DD693" w14:textId="77777777" w:rsidR="00885E80" w:rsidRPr="004F5FB4" w:rsidRDefault="00885E80" w:rsidP="00885E80">
      <w:pPr>
        <w:pStyle w:val="ListParagraph"/>
        <w:ind w:left="562"/>
        <w:contextualSpacing/>
        <w:rPr>
          <w:color w:val="000000"/>
        </w:rPr>
      </w:pPr>
      <w:r w:rsidRPr="004F5FB4">
        <w:rPr>
          <w:b/>
          <w:color w:val="000000"/>
        </w:rPr>
        <w:t>Hinweis:</w:t>
      </w:r>
      <w:r w:rsidRPr="004F5FB4">
        <w:rPr>
          <w:color w:val="000000"/>
        </w:rPr>
        <w:t xml:space="preserve"> Wenn sich der graue Stopfen nicht in der gezeigten Position befindet, wurde das Arzneimittel möglicherweise nicht vollständig injiziert. Sprechen Sie bitte umgehend mit Ihrem Arzt, dem medizinischen Fachpersonal oder Apotheker.</w:t>
      </w:r>
    </w:p>
    <w:p w14:paraId="51FD9A25" w14:textId="77777777" w:rsidR="002953BE" w:rsidRPr="004F5FB4" w:rsidRDefault="002953BE" w:rsidP="00E23160">
      <w:pPr>
        <w:pStyle w:val="ListParagraph"/>
        <w:ind w:left="0"/>
        <w:rPr>
          <w:color w:val="000000"/>
        </w:rPr>
      </w:pPr>
    </w:p>
    <w:p w14:paraId="090F67FE" w14:textId="77777777" w:rsidR="002953BE" w:rsidRPr="004F5FB4" w:rsidRDefault="002953BE" w:rsidP="00982118">
      <w:pPr>
        <w:rPr>
          <w:color w:val="000000"/>
        </w:rPr>
      </w:pPr>
    </w:p>
    <w:p w14:paraId="2F1539FD" w14:textId="42DB69BD" w:rsidR="00C65FDA" w:rsidRPr="004F5FB4" w:rsidRDefault="00032CD3" w:rsidP="00C65FDA">
      <w:pPr>
        <w:jc w:val="center"/>
        <w:rPr>
          <w:b/>
          <w:color w:val="000000"/>
        </w:rPr>
      </w:pPr>
      <w:r w:rsidRPr="004F5FB4">
        <w:rPr>
          <w:noProof/>
          <w:color w:val="000000"/>
          <w:lang w:eastAsia="de-DE"/>
        </w:rPr>
        <mc:AlternateContent>
          <mc:Choice Requires="wps">
            <w:drawing>
              <wp:anchor distT="0" distB="0" distL="114300" distR="114300" simplePos="0" relativeHeight="251658333" behindDoc="0" locked="0" layoutInCell="1" allowOverlap="1" wp14:anchorId="4809B6C0" wp14:editId="71FE464A">
                <wp:simplePos x="0" y="0"/>
                <wp:positionH relativeFrom="column">
                  <wp:posOffset>1435735</wp:posOffset>
                </wp:positionH>
                <wp:positionV relativeFrom="paragraph">
                  <wp:posOffset>48260</wp:posOffset>
                </wp:positionV>
                <wp:extent cx="2534920" cy="304800"/>
                <wp:effectExtent l="0" t="635" r="1270" b="0"/>
                <wp:wrapNone/>
                <wp:docPr id="89"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20"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F1A68"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Entsorgen der verwendeten Spritze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B6C0" id="Text Box 274" o:spid="_x0000_s1108" type="#_x0000_t202" style="position:absolute;left:0;text-align:left;margin-left:113.05pt;margin-top:3.8pt;width:199.6pt;height:24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" fillcolor="#656666" stroked="f">
                <v:textbox>
                  <w:txbxContent>
                    <w:p w14:paraId="091F1A68"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Entsorgen der verwendeten Spritze</w:t>
                      </w:r>
                    </w:p>
                  </w:txbxContent>
                </v:textbox>
              </v:shape>
            </w:pict>
          </mc:Fallback>
        </mc:AlternateContent>
      </w:r>
      <w:r w:rsidRPr="004F5FB4">
        <w:rPr>
          <w:noProof/>
          <w:color w:val="000000"/>
        </w:rPr>
        <w:drawing>
          <wp:inline distT="0" distB="0" distL="0" distR="0" wp14:anchorId="1C4A1BAF" wp14:editId="12A137A5">
            <wp:extent cx="3829050" cy="2466975"/>
            <wp:effectExtent l="0" t="0" r="0" b="0"/>
            <wp:docPr id="5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9050" cy="2466975"/>
                    </a:xfrm>
                    <a:prstGeom prst="rect">
                      <a:avLst/>
                    </a:prstGeom>
                    <a:noFill/>
                    <a:ln>
                      <a:noFill/>
                    </a:ln>
                  </pic:spPr>
                </pic:pic>
              </a:graphicData>
            </a:graphic>
          </wp:inline>
        </w:drawing>
      </w:r>
    </w:p>
    <w:p w14:paraId="5C5E7A06" w14:textId="77777777" w:rsidR="002953BE" w:rsidRPr="004F5FB4" w:rsidRDefault="002953BE" w:rsidP="00982118">
      <w:pPr>
        <w:rPr>
          <w:color w:val="000000"/>
          <w:lang w:val="en-GB"/>
        </w:rPr>
      </w:pPr>
    </w:p>
    <w:p w14:paraId="2F7C0D3A" w14:textId="77777777" w:rsidR="002953BE" w:rsidRPr="004F5FB4" w:rsidRDefault="002953BE" w:rsidP="00982118">
      <w:pPr>
        <w:rPr>
          <w:color w:val="000000"/>
          <w:lang w:val="en-GB"/>
        </w:rPr>
      </w:pPr>
    </w:p>
    <w:p w14:paraId="451423C4" w14:textId="77777777" w:rsidR="002953BE" w:rsidRPr="004F5FB4" w:rsidRDefault="002953BE" w:rsidP="00E23160">
      <w:pPr>
        <w:pStyle w:val="ListParagraph"/>
        <w:numPr>
          <w:ilvl w:val="0"/>
          <w:numId w:val="37"/>
        </w:numPr>
        <w:ind w:left="562" w:hanging="562"/>
        <w:contextualSpacing/>
        <w:rPr>
          <w:color w:val="000000"/>
        </w:rPr>
      </w:pPr>
      <w:r w:rsidRPr="004F5FB4">
        <w:rPr>
          <w:color w:val="000000"/>
        </w:rPr>
        <w:t>Entsorgen Sie die Spritze umgehend gemäß den Anweisungen Ihres Arztes</w:t>
      </w:r>
      <w:r w:rsidR="00885E80" w:rsidRPr="004F5FB4">
        <w:rPr>
          <w:color w:val="000000"/>
        </w:rPr>
        <w:t>, des medizinischen Fachpersonals</w:t>
      </w:r>
      <w:r w:rsidRPr="004F5FB4">
        <w:rPr>
          <w:color w:val="000000"/>
        </w:rPr>
        <w:t xml:space="preserve"> oder Apothekers und im Einklang mit vor Ort geltenden Gesundheits- und Sicherheitsvorschriften.</w:t>
      </w:r>
    </w:p>
    <w:p w14:paraId="30ACEACC" w14:textId="77777777" w:rsidR="002953BE" w:rsidRPr="004F5FB4" w:rsidRDefault="002953BE" w:rsidP="00982118">
      <w:pPr>
        <w:rPr>
          <w:color w:val="000000"/>
        </w:rPr>
      </w:pPr>
    </w:p>
    <w:p w14:paraId="74B870B8" w14:textId="77777777" w:rsidR="002953BE" w:rsidRPr="004F5FB4" w:rsidRDefault="002953BE" w:rsidP="00982118">
      <w:pPr>
        <w:rPr>
          <w:color w:val="000000"/>
        </w:rPr>
      </w:pPr>
    </w:p>
    <w:p w14:paraId="62C9302A" w14:textId="77777777" w:rsidR="00C65FDA" w:rsidRPr="004F5FB4" w:rsidRDefault="00C65FDA" w:rsidP="00C65FDA">
      <w:pPr>
        <w:rPr>
          <w:color w:val="000000"/>
        </w:rPr>
      </w:pPr>
    </w:p>
    <w:p w14:paraId="5B4995B2" w14:textId="7A22609D" w:rsidR="00C65FDA" w:rsidRPr="004F5FB4" w:rsidRDefault="00032CD3" w:rsidP="00C65FDA">
      <w:pPr>
        <w:jc w:val="center"/>
        <w:rPr>
          <w:b/>
          <w:color w:val="000000"/>
        </w:rPr>
      </w:pPr>
      <w:r w:rsidRPr="004F5FB4">
        <w:rPr>
          <w:noProof/>
          <w:color w:val="000000"/>
          <w:lang w:eastAsia="de-DE"/>
        </w:rPr>
        <mc:AlternateContent>
          <mc:Choice Requires="wps">
            <w:drawing>
              <wp:anchor distT="0" distB="0" distL="114300" distR="114300" simplePos="0" relativeHeight="251658334" behindDoc="0" locked="0" layoutInCell="1" allowOverlap="1" wp14:anchorId="37B4B2CD" wp14:editId="7F7D047E">
                <wp:simplePos x="0" y="0"/>
                <wp:positionH relativeFrom="column">
                  <wp:posOffset>1435735</wp:posOffset>
                </wp:positionH>
                <wp:positionV relativeFrom="paragraph">
                  <wp:posOffset>96520</wp:posOffset>
                </wp:positionV>
                <wp:extent cx="1553210" cy="290195"/>
                <wp:effectExtent l="0" t="1270" r="1905" b="3810"/>
                <wp:wrapNone/>
                <wp:docPr id="8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9019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8050A"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Nach der Injektion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4B2CD" id="Text Box 276" o:spid="_x0000_s1109" type="#_x0000_t202" style="position:absolute;left:0;text-align:left;margin-left:113.05pt;margin-top:7.6pt;width:122.3pt;height:22.8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" fillcolor="#656666" stroked="f">
                <v:textbox>
                  <w:txbxContent>
                    <w:p w14:paraId="2CC8050A" w14:textId="77777777" w:rsidR="008F3710" w:rsidRPr="009A1F4C" w:rsidRDefault="008F3710" w:rsidP="00C65FDA">
                      <w:pPr>
                        <w:rPr>
                          <w:rFonts w:ascii="Arial" w:hAnsi="Arial" w:cs="Arial"/>
                          <w:b/>
                          <w:bCs/>
                          <w:color w:val="FFFFFF"/>
                          <w:sz w:val="20"/>
                          <w:szCs w:val="18"/>
                        </w:rPr>
                      </w:pPr>
                      <w:r>
                        <w:rPr>
                          <w:rFonts w:ascii="Arial" w:hAnsi="Arial" w:cs="Arial"/>
                          <w:b/>
                          <w:bCs/>
                          <w:color w:val="FFFFFF"/>
                          <w:sz w:val="20"/>
                          <w:szCs w:val="18"/>
                        </w:rPr>
                        <w:t>Nach der Injektion</w:t>
                      </w:r>
                    </w:p>
                  </w:txbxContent>
                </v:textbox>
              </v:shape>
            </w:pict>
          </mc:Fallback>
        </mc:AlternateContent>
      </w:r>
      <w:r w:rsidRPr="004F5FB4">
        <w:rPr>
          <w:noProof/>
          <w:color w:val="000000"/>
        </w:rPr>
        <w:drawing>
          <wp:inline distT="0" distB="0" distL="0" distR="0" wp14:anchorId="6214C903" wp14:editId="1A6A0391">
            <wp:extent cx="3876675" cy="2505075"/>
            <wp:effectExtent l="0" t="0" r="0" b="0"/>
            <wp:docPr id="5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6675" cy="2505075"/>
                    </a:xfrm>
                    <a:prstGeom prst="rect">
                      <a:avLst/>
                    </a:prstGeom>
                    <a:noFill/>
                    <a:ln>
                      <a:noFill/>
                    </a:ln>
                  </pic:spPr>
                </pic:pic>
              </a:graphicData>
            </a:graphic>
          </wp:inline>
        </w:drawing>
      </w:r>
    </w:p>
    <w:p w14:paraId="3100B0B8" w14:textId="77777777" w:rsidR="002953BE" w:rsidRPr="004F5FB4" w:rsidRDefault="002953BE" w:rsidP="00982118">
      <w:pPr>
        <w:rPr>
          <w:color w:val="000000"/>
          <w:lang w:val="en-GB"/>
        </w:rPr>
      </w:pPr>
    </w:p>
    <w:p w14:paraId="028861A2" w14:textId="77777777" w:rsidR="002953BE" w:rsidRPr="004F5FB4" w:rsidRDefault="002953BE" w:rsidP="00982118">
      <w:pPr>
        <w:rPr>
          <w:color w:val="000000"/>
          <w:lang w:val="en-GB"/>
        </w:rPr>
      </w:pPr>
    </w:p>
    <w:p w14:paraId="45162EB6" w14:textId="77777777" w:rsidR="002953BE" w:rsidRPr="004F5FB4" w:rsidRDefault="002953BE" w:rsidP="00E23160">
      <w:pPr>
        <w:pStyle w:val="ListParagraph"/>
        <w:numPr>
          <w:ilvl w:val="0"/>
          <w:numId w:val="35"/>
        </w:numPr>
        <w:ind w:left="562" w:hanging="562"/>
        <w:contextualSpacing/>
        <w:rPr>
          <w:color w:val="000000"/>
        </w:rPr>
      </w:pPr>
      <w:r w:rsidRPr="004F5FB4">
        <w:rPr>
          <w:color w:val="000000"/>
        </w:rPr>
        <w:t xml:space="preserve">Prüfen Sie die Injektionsstelle sorgfältig. Wenn Blut austritt, drücken Sie ein sauberes Stück Gaze oder einen Wattebausch für einige Sekunden leicht auf die Haut. </w:t>
      </w:r>
    </w:p>
    <w:p w14:paraId="7F0AD20F" w14:textId="77777777" w:rsidR="002953BE" w:rsidRPr="004F5FB4" w:rsidRDefault="002953BE" w:rsidP="00E23160">
      <w:pPr>
        <w:pStyle w:val="ListParagraph"/>
        <w:numPr>
          <w:ilvl w:val="0"/>
          <w:numId w:val="35"/>
        </w:numPr>
        <w:ind w:left="562" w:hanging="562"/>
        <w:contextualSpacing/>
        <w:rPr>
          <w:color w:val="000000"/>
        </w:rPr>
      </w:pPr>
      <w:r w:rsidRPr="004F5FB4">
        <w:rPr>
          <w:color w:val="000000"/>
        </w:rPr>
        <w:t xml:space="preserve">Einstichstelle </w:t>
      </w:r>
      <w:r w:rsidRPr="004F5FB4">
        <w:rPr>
          <w:b/>
          <w:bCs/>
          <w:color w:val="000000"/>
        </w:rPr>
        <w:t>nicht</w:t>
      </w:r>
      <w:r w:rsidRPr="004F5FB4">
        <w:rPr>
          <w:color w:val="000000"/>
        </w:rPr>
        <w:t xml:space="preserve"> reiben.</w:t>
      </w:r>
    </w:p>
    <w:p w14:paraId="5D298767" w14:textId="77777777" w:rsidR="002953BE" w:rsidRPr="004F5FB4" w:rsidRDefault="002953BE" w:rsidP="00E23160">
      <w:pPr>
        <w:pStyle w:val="ListParagraph"/>
        <w:ind w:left="562" w:hanging="562"/>
        <w:contextualSpacing/>
        <w:rPr>
          <w:color w:val="000000"/>
        </w:rPr>
      </w:pPr>
      <w:r w:rsidRPr="004F5FB4">
        <w:rPr>
          <w:b/>
          <w:color w:val="000000"/>
        </w:rPr>
        <w:t xml:space="preserve">Hinweis: </w:t>
      </w:r>
      <w:r w:rsidRPr="004F5FB4">
        <w:rPr>
          <w:color w:val="000000"/>
        </w:rPr>
        <w:t>Bewahren Sie nicht verwendete Spritzen in der Originalverpackung im Kühlschrank auf.</w:t>
      </w:r>
    </w:p>
    <w:p w14:paraId="1D3C614C" w14:textId="77777777" w:rsidR="002953BE" w:rsidRPr="004F5FB4" w:rsidRDefault="002953BE" w:rsidP="00982118">
      <w:pPr>
        <w:rPr>
          <w:color w:val="000000"/>
        </w:rPr>
      </w:pPr>
    </w:p>
    <w:p w14:paraId="306D6326" w14:textId="77777777" w:rsidR="002953BE" w:rsidRPr="004F5FB4" w:rsidRDefault="002953BE" w:rsidP="00982118">
      <w:pPr>
        <w:rPr>
          <w:color w:val="000000"/>
        </w:rPr>
      </w:pPr>
    </w:p>
    <w:p w14:paraId="6F8167AB" w14:textId="77777777" w:rsidR="003E58A8" w:rsidRPr="004F5FB4" w:rsidRDefault="003E58A8" w:rsidP="00982118">
      <w:pPr>
        <w:rPr>
          <w:color w:val="000000"/>
        </w:rPr>
      </w:pPr>
      <w:r w:rsidRPr="004F5FB4">
        <w:rPr>
          <w:color w:val="000000"/>
        </w:rPr>
        <w:t>Siehe auch</w:t>
      </w:r>
    </w:p>
    <w:p w14:paraId="5272F42B" w14:textId="77777777" w:rsidR="005500A5" w:rsidRPr="004F5FB4" w:rsidRDefault="003E58A8" w:rsidP="00982118">
      <w:pPr>
        <w:rPr>
          <w:color w:val="000000"/>
        </w:rPr>
      </w:pPr>
      <w:r w:rsidRPr="004F5FB4">
        <w:rPr>
          <w:color w:val="000000"/>
        </w:rPr>
        <w:t>Gebrauchsinformation: Information für Patienten</w:t>
      </w:r>
    </w:p>
    <w:p w14:paraId="1F0E08F0" w14:textId="77777777" w:rsidR="00A65FE9" w:rsidRPr="004F5FB4" w:rsidRDefault="00BF6B69" w:rsidP="00A65FE9">
      <w:pPr>
        <w:jc w:val="center"/>
        <w:rPr>
          <w:b/>
          <w:color w:val="000000"/>
        </w:rPr>
      </w:pPr>
      <w:r w:rsidRPr="004F5FB4">
        <w:rPr>
          <w:color w:val="000000"/>
        </w:rPr>
        <w:br w:type="page"/>
      </w:r>
      <w:r w:rsidR="00A65FE9" w:rsidRPr="004F5FB4">
        <w:rPr>
          <w:b/>
          <w:color w:val="000000"/>
        </w:rPr>
        <w:lastRenderedPageBreak/>
        <w:t>Gebrauchsinformation: Information für Patienten</w:t>
      </w:r>
    </w:p>
    <w:p w14:paraId="7879A791" w14:textId="77777777" w:rsidR="00C46587" w:rsidRPr="004F5FB4" w:rsidRDefault="00C46587" w:rsidP="00982118">
      <w:pPr>
        <w:jc w:val="center"/>
        <w:rPr>
          <w:b/>
          <w:color w:val="000000"/>
        </w:rPr>
      </w:pPr>
    </w:p>
    <w:p w14:paraId="6E1E5158" w14:textId="77777777" w:rsidR="00C46587" w:rsidRPr="004F5FB4" w:rsidRDefault="006A1144" w:rsidP="00982118">
      <w:pPr>
        <w:jc w:val="center"/>
        <w:rPr>
          <w:b/>
          <w:color w:val="000000"/>
        </w:rPr>
      </w:pPr>
      <w:r w:rsidRPr="004F5FB4">
        <w:rPr>
          <w:b/>
          <w:color w:val="000000"/>
        </w:rPr>
        <w:t>Amsparity 40 mg Injektionslösung im Fertigpen</w:t>
      </w:r>
    </w:p>
    <w:p w14:paraId="1C239DEC" w14:textId="77777777" w:rsidR="00C46587" w:rsidRPr="004F5FB4" w:rsidRDefault="00C46587" w:rsidP="00982118">
      <w:pPr>
        <w:jc w:val="center"/>
        <w:rPr>
          <w:color w:val="000000"/>
        </w:rPr>
      </w:pPr>
      <w:r w:rsidRPr="004F5FB4">
        <w:rPr>
          <w:color w:val="000000"/>
        </w:rPr>
        <w:t>Adalimumab</w:t>
      </w:r>
    </w:p>
    <w:p w14:paraId="1D6E3171" w14:textId="77777777" w:rsidR="00D936BD" w:rsidRPr="004F5FB4" w:rsidRDefault="00D936BD" w:rsidP="00982118">
      <w:pPr>
        <w:jc w:val="center"/>
        <w:rPr>
          <w:color w:val="000000"/>
        </w:rPr>
      </w:pPr>
    </w:p>
    <w:p w14:paraId="276B7333" w14:textId="77777777" w:rsidR="00D936BD" w:rsidRPr="004F5FB4" w:rsidRDefault="00D936BD" w:rsidP="00982118">
      <w:pPr>
        <w:jc w:val="center"/>
        <w:rPr>
          <w:color w:val="000000"/>
        </w:rPr>
      </w:pPr>
    </w:p>
    <w:p w14:paraId="602F3960" w14:textId="1DD9F667" w:rsidR="00D936BD" w:rsidRPr="004F5FB4" w:rsidRDefault="00032CD3" w:rsidP="00982118">
      <w:pPr>
        <w:jc w:val="center"/>
        <w:rPr>
          <w:color w:val="000000"/>
        </w:rPr>
      </w:pPr>
      <w:r w:rsidRPr="004F5FB4">
        <w:rPr>
          <w:noProof/>
          <w:color w:val="000000"/>
          <w:lang w:val="en-GB"/>
        </w:rPr>
        <w:drawing>
          <wp:inline distT="0" distB="0" distL="0" distR="0" wp14:anchorId="2A3C2E27" wp14:editId="1E50D3CC">
            <wp:extent cx="4542790" cy="1143000"/>
            <wp:effectExtent l="0" t="0" r="0" b="0"/>
            <wp:docPr id="173" name="Bild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42790" cy="1143000"/>
                    </a:xfrm>
                    <a:prstGeom prst="rect">
                      <a:avLst/>
                    </a:prstGeom>
                    <a:noFill/>
                  </pic:spPr>
                </pic:pic>
              </a:graphicData>
            </a:graphic>
          </wp:inline>
        </w:drawing>
      </w:r>
    </w:p>
    <w:p w14:paraId="0EB90D84" w14:textId="77777777" w:rsidR="00AD6E0A" w:rsidRPr="004F5FB4" w:rsidRDefault="00AD6E0A" w:rsidP="00982118">
      <w:pPr>
        <w:rPr>
          <w:color w:val="000000"/>
        </w:rPr>
      </w:pPr>
    </w:p>
    <w:p w14:paraId="2A12E5FF" w14:textId="77777777" w:rsidR="00934A4A" w:rsidRPr="004F5FB4" w:rsidRDefault="00934A4A" w:rsidP="00982118">
      <w:pPr>
        <w:rPr>
          <w:b/>
          <w:color w:val="000000"/>
        </w:rPr>
      </w:pPr>
    </w:p>
    <w:p w14:paraId="320E2767" w14:textId="77777777" w:rsidR="00C46587" w:rsidRPr="004F5FB4" w:rsidRDefault="00C46587" w:rsidP="00982118">
      <w:pPr>
        <w:rPr>
          <w:b/>
          <w:color w:val="000000"/>
        </w:rPr>
      </w:pPr>
      <w:r w:rsidRPr="004F5FB4">
        <w:rPr>
          <w:b/>
          <w:color w:val="000000"/>
        </w:rPr>
        <w:t xml:space="preserve">Lesen Sie die gesamte Packungsbeilage sorgfältig durch, bevor Sie mit der Anwendung dieses Arzneimittels beginnen, denn sie enthält wichtige Informationen. </w:t>
      </w:r>
    </w:p>
    <w:p w14:paraId="640A63FF" w14:textId="77777777" w:rsidR="00C46587" w:rsidRPr="004F5FB4" w:rsidRDefault="00C46587" w:rsidP="00982118">
      <w:pPr>
        <w:numPr>
          <w:ilvl w:val="0"/>
          <w:numId w:val="4"/>
        </w:numPr>
        <w:ind w:left="562" w:hanging="562"/>
        <w:rPr>
          <w:color w:val="000000"/>
        </w:rPr>
      </w:pPr>
      <w:r w:rsidRPr="004F5FB4">
        <w:rPr>
          <w:color w:val="000000"/>
        </w:rPr>
        <w:t xml:space="preserve">Heben Sie die Packungsbeilage auf. Vielleicht möchten Sie diese später nochmals lesen. </w:t>
      </w:r>
    </w:p>
    <w:p w14:paraId="7DAB15B5" w14:textId="77777777" w:rsidR="00C46587" w:rsidRPr="004F5FB4" w:rsidRDefault="00C46587" w:rsidP="00982118">
      <w:pPr>
        <w:numPr>
          <w:ilvl w:val="0"/>
          <w:numId w:val="4"/>
        </w:numPr>
        <w:ind w:left="562" w:hanging="562"/>
        <w:rPr>
          <w:color w:val="000000"/>
        </w:rPr>
      </w:pPr>
      <w:r w:rsidRPr="004F5FB4">
        <w:rPr>
          <w:color w:val="000000"/>
        </w:rPr>
        <w:t xml:space="preserve">Ihr Arzt wird Ihnen auch einen Patientenpass aushändigen, der wichtige Informationen zur Sicherheit enthält, die Sie vor und während der Behandlung mit Amsparity beachten sollten. Führen Sie diesen Patientenpass mit sich. </w:t>
      </w:r>
    </w:p>
    <w:p w14:paraId="276CCC6C" w14:textId="77777777" w:rsidR="00C46587" w:rsidRPr="004F5FB4" w:rsidRDefault="00C46587" w:rsidP="00982118">
      <w:pPr>
        <w:numPr>
          <w:ilvl w:val="0"/>
          <w:numId w:val="4"/>
        </w:numPr>
        <w:ind w:left="562" w:hanging="562"/>
        <w:rPr>
          <w:color w:val="000000"/>
        </w:rPr>
      </w:pPr>
      <w:r w:rsidRPr="004F5FB4">
        <w:rPr>
          <w:color w:val="000000"/>
        </w:rPr>
        <w:t>Wenn Sie weitere Fragen haben, wenden Sie sich an Ihren Arzt oder Apotheker.</w:t>
      </w:r>
    </w:p>
    <w:p w14:paraId="13EB14E4" w14:textId="77777777" w:rsidR="00C46587" w:rsidRPr="004F5FB4" w:rsidRDefault="00C46587" w:rsidP="00982118">
      <w:pPr>
        <w:numPr>
          <w:ilvl w:val="0"/>
          <w:numId w:val="4"/>
        </w:numPr>
        <w:ind w:left="562" w:hanging="562"/>
        <w:rPr>
          <w:color w:val="000000"/>
        </w:rPr>
      </w:pPr>
      <w:r w:rsidRPr="004F5FB4">
        <w:rPr>
          <w:color w:val="000000"/>
        </w:rPr>
        <w:t>Dieses Arzneimittel wurde Ihnen persönlich verschrieben. Geben Sie es nicht an Dritte weiter. Es kann anderen Menschen schaden, auch wenn diese die gleichen Beschwerden haben wie Sie.</w:t>
      </w:r>
    </w:p>
    <w:p w14:paraId="3C8D3782" w14:textId="77777777" w:rsidR="00C46587" w:rsidRPr="004F5FB4" w:rsidRDefault="00C46587" w:rsidP="00982118">
      <w:pPr>
        <w:numPr>
          <w:ilvl w:val="0"/>
          <w:numId w:val="4"/>
        </w:numPr>
        <w:ind w:left="562" w:hanging="562"/>
        <w:rPr>
          <w:color w:val="000000"/>
        </w:rPr>
      </w:pPr>
      <w:r w:rsidRPr="004F5FB4">
        <w:rPr>
          <w:color w:val="000000"/>
        </w:rPr>
        <w:t>Wenn Sie Nebenwirkungen bemerken, wenden Sie sich an Ihren Arzt oder Apotheker. Dies gilt auch für Nebenwirkungen, die nicht in dieser Packungsbeilage angegeben sind. Siehe Abschnitt</w:t>
      </w:r>
      <w:r w:rsidR="00E05197" w:rsidRPr="004F5FB4">
        <w:rPr>
          <w:color w:val="000000"/>
        </w:rPr>
        <w:t> </w:t>
      </w:r>
      <w:r w:rsidRPr="004F5FB4">
        <w:rPr>
          <w:color w:val="000000"/>
        </w:rPr>
        <w:t xml:space="preserve">4. </w:t>
      </w:r>
    </w:p>
    <w:p w14:paraId="10975769" w14:textId="77777777" w:rsidR="00C46587" w:rsidRPr="004F5FB4" w:rsidRDefault="00C46587" w:rsidP="00982118">
      <w:pPr>
        <w:rPr>
          <w:color w:val="000000"/>
          <w:lang w:val="en-GB"/>
        </w:rPr>
      </w:pPr>
    </w:p>
    <w:p w14:paraId="1901212D" w14:textId="77777777" w:rsidR="00C46587" w:rsidRPr="004F5FB4" w:rsidRDefault="00C46587" w:rsidP="00982118">
      <w:pPr>
        <w:rPr>
          <w:b/>
          <w:color w:val="000000"/>
        </w:rPr>
      </w:pPr>
      <w:r w:rsidRPr="004F5FB4">
        <w:rPr>
          <w:b/>
          <w:color w:val="000000"/>
        </w:rPr>
        <w:t>Was in dieser Packungsbeilage steht</w:t>
      </w:r>
    </w:p>
    <w:p w14:paraId="5B628081" w14:textId="77777777" w:rsidR="006F2F61" w:rsidRPr="004F5FB4" w:rsidRDefault="006F2F61" w:rsidP="00982118">
      <w:pPr>
        <w:rPr>
          <w:b/>
          <w:color w:val="000000"/>
        </w:rPr>
      </w:pPr>
    </w:p>
    <w:p w14:paraId="6CE8C7CD" w14:textId="77777777" w:rsidR="00C46587" w:rsidRPr="004F5FB4" w:rsidRDefault="00C46587" w:rsidP="003533D2">
      <w:pPr>
        <w:numPr>
          <w:ilvl w:val="0"/>
          <w:numId w:val="69"/>
        </w:numPr>
        <w:ind w:left="567" w:hanging="567"/>
        <w:rPr>
          <w:color w:val="000000"/>
        </w:rPr>
      </w:pPr>
      <w:r w:rsidRPr="004F5FB4">
        <w:rPr>
          <w:color w:val="000000"/>
        </w:rPr>
        <w:t xml:space="preserve">Was ist Amsparity und wofür wird es angewendet? </w:t>
      </w:r>
    </w:p>
    <w:p w14:paraId="3945F5BD" w14:textId="77777777" w:rsidR="00C46587" w:rsidRPr="004F5FB4" w:rsidRDefault="00C46587" w:rsidP="003533D2">
      <w:pPr>
        <w:numPr>
          <w:ilvl w:val="0"/>
          <w:numId w:val="69"/>
        </w:numPr>
        <w:ind w:left="567" w:hanging="567"/>
        <w:rPr>
          <w:color w:val="000000"/>
        </w:rPr>
      </w:pPr>
      <w:r w:rsidRPr="004F5FB4">
        <w:rPr>
          <w:color w:val="000000"/>
        </w:rPr>
        <w:t xml:space="preserve">Was sollten Sie vor der Anwendung von Amsparity beachten? </w:t>
      </w:r>
    </w:p>
    <w:p w14:paraId="4BF12DA6" w14:textId="77777777" w:rsidR="00C46587" w:rsidRPr="004F5FB4" w:rsidRDefault="00C46587" w:rsidP="003533D2">
      <w:pPr>
        <w:numPr>
          <w:ilvl w:val="0"/>
          <w:numId w:val="69"/>
        </w:numPr>
        <w:ind w:left="567" w:hanging="567"/>
        <w:rPr>
          <w:color w:val="000000"/>
        </w:rPr>
      </w:pPr>
      <w:r w:rsidRPr="004F5FB4">
        <w:rPr>
          <w:color w:val="000000"/>
        </w:rPr>
        <w:t xml:space="preserve">Wie ist Amsparity anzuwenden? </w:t>
      </w:r>
    </w:p>
    <w:p w14:paraId="7E7118E9" w14:textId="77777777" w:rsidR="00C46587" w:rsidRPr="004F5FB4" w:rsidRDefault="00C46587" w:rsidP="003533D2">
      <w:pPr>
        <w:numPr>
          <w:ilvl w:val="0"/>
          <w:numId w:val="69"/>
        </w:numPr>
        <w:ind w:left="567" w:hanging="567"/>
        <w:rPr>
          <w:color w:val="000000"/>
        </w:rPr>
      </w:pPr>
      <w:r w:rsidRPr="004F5FB4">
        <w:rPr>
          <w:color w:val="000000"/>
        </w:rPr>
        <w:t xml:space="preserve">Welche Nebenwirkungen sind möglich? </w:t>
      </w:r>
    </w:p>
    <w:p w14:paraId="53D59A27" w14:textId="77777777" w:rsidR="00C46587" w:rsidRPr="004F5FB4" w:rsidRDefault="00C46587" w:rsidP="003533D2">
      <w:pPr>
        <w:numPr>
          <w:ilvl w:val="0"/>
          <w:numId w:val="69"/>
        </w:numPr>
        <w:ind w:left="567" w:hanging="567"/>
        <w:rPr>
          <w:color w:val="000000"/>
        </w:rPr>
      </w:pPr>
      <w:r w:rsidRPr="004F5FB4">
        <w:rPr>
          <w:color w:val="000000"/>
        </w:rPr>
        <w:t xml:space="preserve">Wie ist Amsparity aufzubewahren? </w:t>
      </w:r>
    </w:p>
    <w:p w14:paraId="4487BF95" w14:textId="77777777" w:rsidR="00C46587" w:rsidRPr="004F5FB4" w:rsidRDefault="00C46587" w:rsidP="003533D2">
      <w:pPr>
        <w:numPr>
          <w:ilvl w:val="0"/>
          <w:numId w:val="69"/>
        </w:numPr>
        <w:ind w:left="567" w:hanging="567"/>
        <w:rPr>
          <w:color w:val="000000"/>
        </w:rPr>
      </w:pPr>
      <w:r w:rsidRPr="004F5FB4">
        <w:rPr>
          <w:color w:val="000000"/>
        </w:rPr>
        <w:t xml:space="preserve">Inhalt der Packung und weitere Informationen </w:t>
      </w:r>
    </w:p>
    <w:p w14:paraId="26CD82CF" w14:textId="77777777" w:rsidR="00C46587" w:rsidRPr="004F5FB4" w:rsidRDefault="00C46587" w:rsidP="00982118">
      <w:pPr>
        <w:rPr>
          <w:color w:val="000000"/>
        </w:rPr>
      </w:pPr>
    </w:p>
    <w:p w14:paraId="35200436" w14:textId="77777777" w:rsidR="00C46587" w:rsidRPr="004F5FB4" w:rsidRDefault="00C46587" w:rsidP="00982118">
      <w:pPr>
        <w:rPr>
          <w:color w:val="000000"/>
        </w:rPr>
      </w:pPr>
    </w:p>
    <w:p w14:paraId="284E4A42" w14:textId="77777777" w:rsidR="00C46587" w:rsidRPr="004F5FB4" w:rsidRDefault="00C46587" w:rsidP="00982118">
      <w:pPr>
        <w:tabs>
          <w:tab w:val="left" w:pos="562"/>
        </w:tabs>
        <w:rPr>
          <w:b/>
          <w:color w:val="000000"/>
        </w:rPr>
      </w:pPr>
      <w:r w:rsidRPr="004F5FB4">
        <w:rPr>
          <w:b/>
          <w:color w:val="000000"/>
        </w:rPr>
        <w:t>1</w:t>
      </w:r>
      <w:r w:rsidR="006F2F61" w:rsidRPr="004F5FB4">
        <w:rPr>
          <w:b/>
          <w:color w:val="000000"/>
        </w:rPr>
        <w:t>.</w:t>
      </w:r>
      <w:r w:rsidRPr="004F5FB4">
        <w:rPr>
          <w:b/>
          <w:color w:val="000000"/>
        </w:rPr>
        <w:tab/>
        <w:t xml:space="preserve">Was ist Amsparity und wofür wird es angewendet? </w:t>
      </w:r>
    </w:p>
    <w:p w14:paraId="5E839A1F" w14:textId="77777777" w:rsidR="00C46587" w:rsidRPr="004F5FB4" w:rsidRDefault="00C46587" w:rsidP="00982118">
      <w:pPr>
        <w:rPr>
          <w:color w:val="000000"/>
        </w:rPr>
      </w:pPr>
    </w:p>
    <w:p w14:paraId="79BC706C" w14:textId="77777777" w:rsidR="00410BCA" w:rsidRPr="004F5FB4" w:rsidRDefault="006A1144" w:rsidP="00982118">
      <w:pPr>
        <w:rPr>
          <w:color w:val="000000"/>
        </w:rPr>
      </w:pPr>
      <w:r w:rsidRPr="004F5FB4">
        <w:rPr>
          <w:color w:val="000000"/>
        </w:rPr>
        <w:t>Amsparity enthält den Wirkstoff Adalimumab, ein Arzneimittel, das auf das Abwehrsystem (Immunsystem) Ihres Körpers einwirkt.</w:t>
      </w:r>
    </w:p>
    <w:p w14:paraId="4D31E548" w14:textId="77777777" w:rsidR="00410BCA" w:rsidRPr="004F5FB4" w:rsidRDefault="00410BCA" w:rsidP="00982118">
      <w:pPr>
        <w:rPr>
          <w:color w:val="000000"/>
        </w:rPr>
      </w:pPr>
    </w:p>
    <w:p w14:paraId="0E35D35A" w14:textId="77777777" w:rsidR="00410BCA" w:rsidRPr="004F5FB4" w:rsidRDefault="006A1144" w:rsidP="00982118">
      <w:pPr>
        <w:rPr>
          <w:color w:val="000000"/>
        </w:rPr>
      </w:pPr>
      <w:r w:rsidRPr="004F5FB4">
        <w:rPr>
          <w:color w:val="000000"/>
        </w:rPr>
        <w:t>Amsparity ist für die Behandlung folgender entzündlicher Erkrankungen vorgesehen:</w:t>
      </w:r>
    </w:p>
    <w:p w14:paraId="41F9CF27" w14:textId="77777777" w:rsidR="00410BCA" w:rsidRPr="004F5FB4" w:rsidRDefault="00500F12" w:rsidP="00982118">
      <w:pPr>
        <w:numPr>
          <w:ilvl w:val="0"/>
          <w:numId w:val="20"/>
        </w:numPr>
        <w:ind w:left="360"/>
        <w:rPr>
          <w:color w:val="000000"/>
        </w:rPr>
      </w:pPr>
      <w:r w:rsidRPr="004F5FB4">
        <w:rPr>
          <w:color w:val="000000"/>
        </w:rPr>
        <w:t>r</w:t>
      </w:r>
      <w:r w:rsidR="00D01810" w:rsidRPr="004F5FB4">
        <w:rPr>
          <w:color w:val="000000"/>
        </w:rPr>
        <w:t xml:space="preserve">heumatoide Arthritis, </w:t>
      </w:r>
    </w:p>
    <w:p w14:paraId="278CF27F" w14:textId="77777777" w:rsidR="00410BCA" w:rsidRPr="004F5FB4" w:rsidRDefault="00500F12" w:rsidP="00982118">
      <w:pPr>
        <w:numPr>
          <w:ilvl w:val="0"/>
          <w:numId w:val="20"/>
        </w:numPr>
        <w:ind w:left="360"/>
        <w:rPr>
          <w:color w:val="000000"/>
        </w:rPr>
      </w:pPr>
      <w:r w:rsidRPr="004F5FB4">
        <w:rPr>
          <w:color w:val="000000"/>
        </w:rPr>
        <w:t>p</w:t>
      </w:r>
      <w:r w:rsidR="00D01810" w:rsidRPr="004F5FB4">
        <w:rPr>
          <w:color w:val="000000"/>
        </w:rPr>
        <w:t xml:space="preserve">olyartikuläre juvenile idiopathische Arthritis, </w:t>
      </w:r>
    </w:p>
    <w:p w14:paraId="653FB81E" w14:textId="77777777" w:rsidR="00410BCA" w:rsidRPr="004F5FB4" w:rsidRDefault="001C0964" w:rsidP="00982118">
      <w:pPr>
        <w:numPr>
          <w:ilvl w:val="0"/>
          <w:numId w:val="20"/>
        </w:numPr>
        <w:ind w:left="360"/>
        <w:rPr>
          <w:color w:val="000000"/>
        </w:rPr>
      </w:pPr>
      <w:r w:rsidRPr="004F5FB4">
        <w:rPr>
          <w:color w:val="000000"/>
        </w:rPr>
        <w:t xml:space="preserve">Enthesitis-assoziierte Arthritis bei Kindern und Jugendlichen, </w:t>
      </w:r>
    </w:p>
    <w:p w14:paraId="588749C3" w14:textId="77777777" w:rsidR="00410BCA" w:rsidRPr="004F5FB4" w:rsidRDefault="00F3221E" w:rsidP="00982118">
      <w:pPr>
        <w:numPr>
          <w:ilvl w:val="0"/>
          <w:numId w:val="20"/>
        </w:numPr>
        <w:ind w:left="360"/>
        <w:rPr>
          <w:color w:val="000000"/>
        </w:rPr>
      </w:pPr>
      <w:r w:rsidRPr="004F5FB4">
        <w:rPr>
          <w:color w:val="000000"/>
        </w:rPr>
        <w:t>a</w:t>
      </w:r>
      <w:r w:rsidR="00D01810" w:rsidRPr="004F5FB4">
        <w:rPr>
          <w:color w:val="000000"/>
        </w:rPr>
        <w:t xml:space="preserve">nkylosierende Spondylitis, </w:t>
      </w:r>
    </w:p>
    <w:p w14:paraId="5925A923" w14:textId="77777777" w:rsidR="00410BCA" w:rsidRPr="004F5FB4" w:rsidRDefault="00F3221E" w:rsidP="00982118">
      <w:pPr>
        <w:numPr>
          <w:ilvl w:val="0"/>
          <w:numId w:val="20"/>
        </w:numPr>
        <w:ind w:left="360"/>
        <w:rPr>
          <w:color w:val="000000"/>
        </w:rPr>
      </w:pPr>
      <w:r w:rsidRPr="004F5FB4">
        <w:rPr>
          <w:color w:val="000000"/>
        </w:rPr>
        <w:t>a</w:t>
      </w:r>
      <w:r w:rsidR="00D01810" w:rsidRPr="004F5FB4">
        <w:rPr>
          <w:color w:val="000000"/>
        </w:rPr>
        <w:t>xiale Spondyloarthritis, bei der im Röntgenbild noch keine Verknöcherung nachweisbar ist</w:t>
      </w:r>
      <w:r w:rsidR="00DF4170" w:rsidRPr="004F5FB4">
        <w:rPr>
          <w:color w:val="000000"/>
        </w:rPr>
        <w:t>,</w:t>
      </w:r>
      <w:r w:rsidR="00D01810" w:rsidRPr="004F5FB4">
        <w:rPr>
          <w:color w:val="000000"/>
        </w:rPr>
        <w:t xml:space="preserve"> </w:t>
      </w:r>
    </w:p>
    <w:p w14:paraId="14D681C1" w14:textId="77777777" w:rsidR="00410BCA" w:rsidRPr="004F5FB4" w:rsidRDefault="00D01810" w:rsidP="00982118">
      <w:pPr>
        <w:numPr>
          <w:ilvl w:val="0"/>
          <w:numId w:val="20"/>
        </w:numPr>
        <w:ind w:left="360"/>
        <w:rPr>
          <w:color w:val="000000"/>
        </w:rPr>
      </w:pPr>
      <w:r w:rsidRPr="004F5FB4">
        <w:rPr>
          <w:color w:val="000000"/>
        </w:rPr>
        <w:t xml:space="preserve">Psoriasis-Arthritis, </w:t>
      </w:r>
    </w:p>
    <w:p w14:paraId="043C7B05" w14:textId="77777777" w:rsidR="00410BCA" w:rsidRPr="004F5FB4" w:rsidRDefault="00D01810" w:rsidP="00982118">
      <w:pPr>
        <w:numPr>
          <w:ilvl w:val="0"/>
          <w:numId w:val="20"/>
        </w:numPr>
        <w:ind w:left="360"/>
        <w:rPr>
          <w:color w:val="000000"/>
        </w:rPr>
      </w:pPr>
      <w:r w:rsidRPr="004F5FB4">
        <w:rPr>
          <w:color w:val="000000"/>
        </w:rPr>
        <w:t xml:space="preserve">Psoriasis, </w:t>
      </w:r>
    </w:p>
    <w:p w14:paraId="1F48213F" w14:textId="77777777" w:rsidR="00410BCA" w:rsidRPr="004F5FB4" w:rsidRDefault="00D01810" w:rsidP="00982118">
      <w:pPr>
        <w:numPr>
          <w:ilvl w:val="0"/>
          <w:numId w:val="20"/>
        </w:numPr>
        <w:ind w:left="360"/>
        <w:rPr>
          <w:color w:val="000000"/>
        </w:rPr>
      </w:pPr>
      <w:r w:rsidRPr="004F5FB4">
        <w:rPr>
          <w:color w:val="000000"/>
        </w:rPr>
        <w:t xml:space="preserve">Hidradenitis suppurativa (Acne inversa), </w:t>
      </w:r>
    </w:p>
    <w:p w14:paraId="2D302ABB" w14:textId="77777777" w:rsidR="00410BCA" w:rsidRPr="004F5FB4" w:rsidRDefault="00D01810" w:rsidP="00982118">
      <w:pPr>
        <w:numPr>
          <w:ilvl w:val="0"/>
          <w:numId w:val="20"/>
        </w:numPr>
        <w:ind w:left="360"/>
        <w:rPr>
          <w:color w:val="000000"/>
        </w:rPr>
      </w:pPr>
      <w:r w:rsidRPr="004F5FB4">
        <w:rPr>
          <w:color w:val="000000"/>
        </w:rPr>
        <w:t xml:space="preserve">Morbus Crohn, </w:t>
      </w:r>
    </w:p>
    <w:p w14:paraId="2BE40E4B" w14:textId="77777777" w:rsidR="00410BCA" w:rsidRPr="004F5FB4" w:rsidRDefault="00D01810" w:rsidP="00982118">
      <w:pPr>
        <w:numPr>
          <w:ilvl w:val="0"/>
          <w:numId w:val="20"/>
        </w:numPr>
        <w:ind w:left="360"/>
        <w:rPr>
          <w:color w:val="000000"/>
        </w:rPr>
      </w:pPr>
      <w:r w:rsidRPr="004F5FB4">
        <w:rPr>
          <w:color w:val="000000"/>
        </w:rPr>
        <w:t xml:space="preserve">Colitis ulcerosa, </w:t>
      </w:r>
    </w:p>
    <w:p w14:paraId="67051C39" w14:textId="77777777" w:rsidR="00410BCA" w:rsidRPr="004F5FB4" w:rsidRDefault="00F3221E" w:rsidP="00982118">
      <w:pPr>
        <w:numPr>
          <w:ilvl w:val="0"/>
          <w:numId w:val="20"/>
        </w:numPr>
        <w:ind w:left="360"/>
        <w:rPr>
          <w:color w:val="000000"/>
        </w:rPr>
      </w:pPr>
      <w:r w:rsidRPr="004F5FB4">
        <w:rPr>
          <w:color w:val="000000"/>
        </w:rPr>
        <w:t>n</w:t>
      </w:r>
      <w:r w:rsidR="00D01810" w:rsidRPr="004F5FB4">
        <w:rPr>
          <w:color w:val="000000"/>
        </w:rPr>
        <w:t xml:space="preserve">icht infektiöse Uveitis. </w:t>
      </w:r>
    </w:p>
    <w:p w14:paraId="4A18B3C3" w14:textId="77777777" w:rsidR="00410BCA" w:rsidRPr="004F5FB4" w:rsidRDefault="00410BCA" w:rsidP="00982118">
      <w:pPr>
        <w:rPr>
          <w:color w:val="000000"/>
          <w:lang w:val="en-GB"/>
        </w:rPr>
      </w:pPr>
    </w:p>
    <w:p w14:paraId="30B51FC0" w14:textId="77777777" w:rsidR="00410BCA" w:rsidRPr="004F5FB4" w:rsidRDefault="00C46587" w:rsidP="00982118">
      <w:pPr>
        <w:rPr>
          <w:color w:val="000000"/>
        </w:rPr>
      </w:pPr>
      <w:r w:rsidRPr="004F5FB4">
        <w:rPr>
          <w:color w:val="000000"/>
        </w:rPr>
        <w:lastRenderedPageBreak/>
        <w:t xml:space="preserve">Der Wirkstoff von Amsparity, Adalimumab, ist ein monoklonaler Antikörper. Monoklonale Antikörper sind Eiweiße, die sich an ein bestimmtes Ziel im Körper anheften. </w:t>
      </w:r>
    </w:p>
    <w:p w14:paraId="2F8FCF69" w14:textId="77777777" w:rsidR="00410BCA" w:rsidRPr="004F5FB4" w:rsidRDefault="00410BCA" w:rsidP="00982118">
      <w:pPr>
        <w:rPr>
          <w:color w:val="000000"/>
        </w:rPr>
      </w:pPr>
    </w:p>
    <w:p w14:paraId="3B14ADA3" w14:textId="77777777" w:rsidR="00C46587" w:rsidRPr="004F5FB4" w:rsidRDefault="00410BCA" w:rsidP="00982118">
      <w:pPr>
        <w:rPr>
          <w:color w:val="000000"/>
        </w:rPr>
      </w:pPr>
      <w:r w:rsidRPr="004F5FB4">
        <w:rPr>
          <w:color w:val="000000"/>
        </w:rPr>
        <w:t>Das Ziel von Adalimumab ist das Eiweiß Tumornekrosefaktor-alpha (TNFα). TNFα ist beteiligt an Abwehrreaktionen des Körpers. Bei den oben genannten Erkrankungen ist die Menge an TNFα erhöht. Amsparity heftet sich an TNFα und verringert dadurch die entzündlichen Vorgänge bei diesen Erkrankungen.</w:t>
      </w:r>
    </w:p>
    <w:p w14:paraId="23560C6D" w14:textId="77777777" w:rsidR="00C46587" w:rsidRPr="004F5FB4" w:rsidRDefault="00C46587" w:rsidP="00982118">
      <w:pPr>
        <w:rPr>
          <w:color w:val="000000"/>
        </w:rPr>
      </w:pPr>
    </w:p>
    <w:p w14:paraId="37276CA4" w14:textId="77777777" w:rsidR="00C46587" w:rsidRPr="004F5FB4" w:rsidRDefault="00C46587" w:rsidP="00982118">
      <w:pPr>
        <w:keepNext/>
        <w:rPr>
          <w:color w:val="000000"/>
          <w:u w:val="single"/>
        </w:rPr>
      </w:pPr>
      <w:r w:rsidRPr="004F5FB4">
        <w:rPr>
          <w:color w:val="000000"/>
          <w:u w:val="single"/>
        </w:rPr>
        <w:t>Rheumatoide Arthritis</w:t>
      </w:r>
    </w:p>
    <w:p w14:paraId="7E7FAE82" w14:textId="77777777" w:rsidR="00C46587" w:rsidRPr="004F5FB4" w:rsidRDefault="00C46587" w:rsidP="00982118">
      <w:pPr>
        <w:rPr>
          <w:color w:val="000000"/>
        </w:rPr>
      </w:pPr>
    </w:p>
    <w:p w14:paraId="0356B6C1" w14:textId="77777777" w:rsidR="00C46587" w:rsidRPr="004F5FB4" w:rsidRDefault="00C46587" w:rsidP="00982118">
      <w:pPr>
        <w:rPr>
          <w:color w:val="000000"/>
        </w:rPr>
      </w:pPr>
      <w:r w:rsidRPr="004F5FB4">
        <w:rPr>
          <w:color w:val="000000"/>
        </w:rPr>
        <w:t xml:space="preserve">Die rheumatoide Arthritis ist eine entzündliche Erkrankung der Gelenke. </w:t>
      </w:r>
    </w:p>
    <w:p w14:paraId="30ADB19A" w14:textId="77777777" w:rsidR="00C46587" w:rsidRPr="004F5FB4" w:rsidRDefault="00C46587" w:rsidP="00982118">
      <w:pPr>
        <w:rPr>
          <w:color w:val="000000"/>
        </w:rPr>
      </w:pPr>
    </w:p>
    <w:p w14:paraId="12833039" w14:textId="77777777" w:rsidR="00C46587" w:rsidRPr="004F5FB4" w:rsidRDefault="006A1144" w:rsidP="00982118">
      <w:pPr>
        <w:rPr>
          <w:color w:val="000000"/>
        </w:rPr>
      </w:pPr>
      <w:r w:rsidRPr="004F5FB4">
        <w:rPr>
          <w:color w:val="000000"/>
        </w:rPr>
        <w:t xml:space="preserve">Amsparity wird angewendet, um die rheumatoide Arthritis bei Erwachsenen zu behandeln. Wenn Sie eine mäßige bis schwere aktive rheumatoide Arthritis haben, werden Ihnen möglicherweise zunächst andere krankheitsmodifizierende Arzneimittel, wie z. B. Methotrexat, verabreicht. Wenn diese Arzneimittel nicht ausreichend gut wirken, erhalten Sie Amsparity zur Behandlung Ihrer rheumatoiden Arthritis. </w:t>
      </w:r>
    </w:p>
    <w:p w14:paraId="4DDDB4ED" w14:textId="77777777" w:rsidR="00C46587" w:rsidRPr="004F5FB4" w:rsidRDefault="00C46587" w:rsidP="00982118">
      <w:pPr>
        <w:rPr>
          <w:color w:val="000000"/>
        </w:rPr>
      </w:pPr>
    </w:p>
    <w:p w14:paraId="4D72C71B" w14:textId="77777777" w:rsidR="00C46587" w:rsidRPr="004F5FB4" w:rsidRDefault="006A1144" w:rsidP="00982118">
      <w:pPr>
        <w:rPr>
          <w:color w:val="000000"/>
        </w:rPr>
      </w:pPr>
      <w:r w:rsidRPr="004F5FB4">
        <w:rPr>
          <w:color w:val="000000"/>
        </w:rPr>
        <w:t xml:space="preserve">Amsparity kann auch zur Behandlung einer schweren aktiven und fortschreitenden (progressiven) rheumatoiden Arthritis ohne vorherige Methotrexat-Behandlung eingesetzt werden. </w:t>
      </w:r>
    </w:p>
    <w:p w14:paraId="474D3CF0" w14:textId="77777777" w:rsidR="00C46587" w:rsidRPr="004F5FB4" w:rsidRDefault="00C46587" w:rsidP="00982118">
      <w:pPr>
        <w:rPr>
          <w:color w:val="000000"/>
        </w:rPr>
      </w:pPr>
    </w:p>
    <w:p w14:paraId="79278CC4" w14:textId="77777777" w:rsidR="00C46587" w:rsidRPr="004F5FB4" w:rsidRDefault="006A1144" w:rsidP="00982118">
      <w:pPr>
        <w:rPr>
          <w:color w:val="000000"/>
        </w:rPr>
      </w:pPr>
      <w:r w:rsidRPr="004F5FB4">
        <w:rPr>
          <w:color w:val="000000"/>
        </w:rPr>
        <w:t xml:space="preserve">Amsparity kann das Fortschreiten der durch die Erkrankung verursachten Knorpel- und Knochenschädigungen der Gelenke verlangsamen und die körperliche Funktionsfähigkeit verbessern. </w:t>
      </w:r>
    </w:p>
    <w:p w14:paraId="7D502346" w14:textId="77777777" w:rsidR="00C46587" w:rsidRPr="004F5FB4" w:rsidRDefault="00C46587" w:rsidP="00982118">
      <w:pPr>
        <w:rPr>
          <w:color w:val="000000"/>
        </w:rPr>
      </w:pPr>
    </w:p>
    <w:p w14:paraId="0666402D" w14:textId="77777777" w:rsidR="00C46587" w:rsidRPr="004F5FB4" w:rsidRDefault="00C46587" w:rsidP="00982118">
      <w:pPr>
        <w:rPr>
          <w:color w:val="000000"/>
        </w:rPr>
      </w:pPr>
      <w:r w:rsidRPr="004F5FB4">
        <w:rPr>
          <w:color w:val="000000"/>
        </w:rPr>
        <w:t xml:space="preserve">Amsparity wird üblicherweise mit Methotrexat verwendet. Falls Ihr Arzt entscheidet, dass Methotrexat nicht für Sie geeignet ist, kann Amsparity auch alleine angewendet werden. </w:t>
      </w:r>
    </w:p>
    <w:p w14:paraId="1BB8A8AF" w14:textId="77777777" w:rsidR="00C46587" w:rsidRPr="004F5FB4" w:rsidRDefault="00C46587" w:rsidP="00982118">
      <w:pPr>
        <w:rPr>
          <w:color w:val="000000"/>
        </w:rPr>
      </w:pPr>
    </w:p>
    <w:p w14:paraId="162C0D1B" w14:textId="77777777" w:rsidR="00056D0F" w:rsidRPr="004F5FB4" w:rsidRDefault="00056D0F" w:rsidP="00056D0F">
      <w:pPr>
        <w:pStyle w:val="BodyText"/>
        <w:keepNext/>
        <w:widowControl/>
        <w:kinsoku w:val="0"/>
        <w:overflowPunct w:val="0"/>
        <w:ind w:left="0"/>
        <w:rPr>
          <w:color w:val="000000"/>
          <w:u w:val="single"/>
        </w:rPr>
      </w:pPr>
      <w:r w:rsidRPr="004F5FB4">
        <w:rPr>
          <w:color w:val="000000"/>
          <w:u w:val="single"/>
        </w:rPr>
        <w:t>Polyartikuläre juvenile idiopathische Arthritis</w:t>
      </w:r>
    </w:p>
    <w:p w14:paraId="32FF7BE2" w14:textId="77777777" w:rsidR="00056D0F" w:rsidRPr="004F5FB4" w:rsidRDefault="00056D0F" w:rsidP="00056D0F">
      <w:pPr>
        <w:pStyle w:val="BodyText"/>
        <w:keepNext/>
        <w:widowControl/>
        <w:kinsoku w:val="0"/>
        <w:overflowPunct w:val="0"/>
        <w:ind w:left="0"/>
        <w:rPr>
          <w:color w:val="000000"/>
        </w:rPr>
      </w:pPr>
    </w:p>
    <w:p w14:paraId="0E4053FD" w14:textId="77777777" w:rsidR="00056D0F" w:rsidRPr="004F5FB4" w:rsidRDefault="00056D0F" w:rsidP="00056D0F">
      <w:pPr>
        <w:pStyle w:val="BodyText"/>
        <w:widowControl/>
        <w:kinsoku w:val="0"/>
        <w:overflowPunct w:val="0"/>
        <w:ind w:left="0"/>
        <w:rPr>
          <w:color w:val="000000"/>
        </w:rPr>
      </w:pPr>
      <w:r w:rsidRPr="004F5FB4">
        <w:rPr>
          <w:color w:val="000000"/>
        </w:rPr>
        <w:t>Die polyartikuläre juvenile idiopathische Arthritis ist eine entzündliche Erkrankung der Gelenke, die üblicherweise das erste Mal in der Kindheit auftritt.</w:t>
      </w:r>
    </w:p>
    <w:p w14:paraId="54E2BDF1" w14:textId="77777777" w:rsidR="00056D0F" w:rsidRPr="004F5FB4" w:rsidRDefault="00056D0F" w:rsidP="00056D0F">
      <w:pPr>
        <w:pStyle w:val="BodyText"/>
        <w:widowControl/>
        <w:kinsoku w:val="0"/>
        <w:overflowPunct w:val="0"/>
        <w:ind w:left="0"/>
        <w:rPr>
          <w:color w:val="000000"/>
        </w:rPr>
      </w:pPr>
    </w:p>
    <w:p w14:paraId="199DA6C3" w14:textId="77777777" w:rsidR="00056D0F" w:rsidRPr="004F5FB4" w:rsidRDefault="00056D0F" w:rsidP="00056D0F">
      <w:pPr>
        <w:pStyle w:val="BodyText"/>
        <w:widowControl/>
        <w:kinsoku w:val="0"/>
        <w:overflowPunct w:val="0"/>
        <w:ind w:left="0"/>
        <w:rPr>
          <w:color w:val="000000"/>
        </w:rPr>
      </w:pPr>
      <w:r w:rsidRPr="004F5FB4">
        <w:rPr>
          <w:color w:val="000000"/>
        </w:rPr>
        <w:t>Amsparity wird angewendet, um die polyartikuläre idiopathische Arthritis bei Kindern und Jugendlichen im Alter von 2 bis 17 Jahren zu behandeln. Möglicherweise bekommt Ihr Kind zunächst andere Arzneimittel (Basistherapeutika wie Methotrexat). Wenn diese nicht ausreichend wirken, erhält Ihr Kind Amsparity, um die polyartikuläre juvenile idiopathische Arthritis zu behandeln.</w:t>
      </w:r>
    </w:p>
    <w:p w14:paraId="50134302" w14:textId="77777777" w:rsidR="00056D0F" w:rsidRPr="004F5FB4" w:rsidRDefault="00056D0F" w:rsidP="00056D0F">
      <w:pPr>
        <w:pStyle w:val="BodyText"/>
        <w:widowControl/>
        <w:kinsoku w:val="0"/>
        <w:overflowPunct w:val="0"/>
        <w:ind w:left="0"/>
        <w:rPr>
          <w:color w:val="000000"/>
        </w:rPr>
      </w:pPr>
    </w:p>
    <w:p w14:paraId="0DFE7819" w14:textId="77777777" w:rsidR="00056D0F" w:rsidRPr="004F5FB4" w:rsidRDefault="00056D0F" w:rsidP="00056D0F">
      <w:pPr>
        <w:pStyle w:val="BodyText"/>
        <w:keepNext/>
        <w:widowControl/>
        <w:kinsoku w:val="0"/>
        <w:overflowPunct w:val="0"/>
        <w:ind w:left="0"/>
        <w:rPr>
          <w:color w:val="000000"/>
          <w:u w:val="single"/>
        </w:rPr>
      </w:pPr>
      <w:r w:rsidRPr="004F5FB4">
        <w:rPr>
          <w:color w:val="000000"/>
          <w:u w:val="single"/>
        </w:rPr>
        <w:t>Enthesitis-assoziierte Arthritis bei Kindern und Jugendlichen</w:t>
      </w:r>
    </w:p>
    <w:p w14:paraId="76521EC9" w14:textId="77777777" w:rsidR="00056D0F" w:rsidRPr="004F5FB4" w:rsidRDefault="00056D0F" w:rsidP="00056D0F">
      <w:pPr>
        <w:pStyle w:val="BodyText"/>
        <w:keepNext/>
        <w:widowControl/>
        <w:kinsoku w:val="0"/>
        <w:overflowPunct w:val="0"/>
        <w:ind w:left="0"/>
        <w:rPr>
          <w:color w:val="000000"/>
        </w:rPr>
      </w:pPr>
    </w:p>
    <w:p w14:paraId="4773FEB4" w14:textId="77777777" w:rsidR="00056D0F" w:rsidRPr="004F5FB4" w:rsidRDefault="00056D0F" w:rsidP="00056D0F">
      <w:pPr>
        <w:pStyle w:val="BodyText"/>
        <w:widowControl/>
        <w:kinsoku w:val="0"/>
        <w:overflowPunct w:val="0"/>
        <w:ind w:left="0"/>
        <w:rPr>
          <w:color w:val="000000"/>
        </w:rPr>
      </w:pPr>
      <w:r w:rsidRPr="004F5FB4">
        <w:rPr>
          <w:color w:val="000000"/>
        </w:rPr>
        <w:t xml:space="preserve">Die Enthesitis-assoziierte Arthritis bei Kindern und Jugendlichen ist eine entzündliche Erkrankung der Gelenke und </w:t>
      </w:r>
      <w:r w:rsidR="008A10B4" w:rsidRPr="004F5FB4">
        <w:rPr>
          <w:color w:val="000000"/>
        </w:rPr>
        <w:t xml:space="preserve">der </w:t>
      </w:r>
      <w:r w:rsidRPr="004F5FB4">
        <w:rPr>
          <w:color w:val="000000"/>
        </w:rPr>
        <w:t>Übergänge von Sehnen auf Knochen.</w:t>
      </w:r>
    </w:p>
    <w:p w14:paraId="47FF18A1" w14:textId="77777777" w:rsidR="00056D0F" w:rsidRPr="004F5FB4" w:rsidRDefault="00056D0F" w:rsidP="00056D0F">
      <w:pPr>
        <w:pStyle w:val="BodyText"/>
        <w:widowControl/>
        <w:kinsoku w:val="0"/>
        <w:overflowPunct w:val="0"/>
        <w:ind w:left="0"/>
        <w:rPr>
          <w:color w:val="000000"/>
        </w:rPr>
      </w:pPr>
    </w:p>
    <w:p w14:paraId="2060BF24" w14:textId="77777777" w:rsidR="00056D0F" w:rsidRPr="004F5FB4" w:rsidRDefault="00056D0F" w:rsidP="00056D0F">
      <w:pPr>
        <w:pStyle w:val="BodyText"/>
        <w:widowControl/>
        <w:kinsoku w:val="0"/>
        <w:overflowPunct w:val="0"/>
        <w:ind w:left="0"/>
        <w:rPr>
          <w:color w:val="000000"/>
        </w:rPr>
      </w:pPr>
      <w:r w:rsidRPr="004F5FB4">
        <w:rPr>
          <w:color w:val="000000"/>
        </w:rPr>
        <w:t>Amsparity wird angewendet, um Enthesitis-assoziierte Arthritis bei Kindern und Jugendlichen im Alter von 6 bis 17 Jahren zu behandeln. Möglicherweise bekommt Ihr Kind zunächst andere Arzneimittel (Basistherapeutika wie</w:t>
      </w:r>
      <w:r w:rsidRPr="004F5FB4" w:rsidDel="00183DF2">
        <w:rPr>
          <w:color w:val="000000"/>
        </w:rPr>
        <w:t xml:space="preserve"> </w:t>
      </w:r>
      <w:r w:rsidRPr="004F5FB4">
        <w:rPr>
          <w:color w:val="000000"/>
        </w:rPr>
        <w:t>Methotrexat). Wenn diese nicht ausreichend wirken, erhält Ihr Kind Amsparity, um die Enthesitis-assoziierte Arthritis zu behandeln.</w:t>
      </w:r>
    </w:p>
    <w:p w14:paraId="3A919C13" w14:textId="77777777" w:rsidR="00C46587" w:rsidRPr="004F5FB4" w:rsidRDefault="00C46587" w:rsidP="00982118">
      <w:pPr>
        <w:rPr>
          <w:color w:val="000000"/>
        </w:rPr>
      </w:pPr>
    </w:p>
    <w:p w14:paraId="7F1D5020" w14:textId="77777777" w:rsidR="00C46587" w:rsidRPr="004F5FB4" w:rsidRDefault="00C46587" w:rsidP="00982118">
      <w:pPr>
        <w:rPr>
          <w:color w:val="000000"/>
          <w:u w:val="single"/>
        </w:rPr>
      </w:pPr>
      <w:r w:rsidRPr="004F5FB4">
        <w:rPr>
          <w:color w:val="000000"/>
          <w:u w:val="single"/>
        </w:rPr>
        <w:t>Ankylosierende Spondylitis und axiale Spondyloarthritis, bei der im Röntgenbild noch keine Verknöcherung nachweisbar ist</w:t>
      </w:r>
    </w:p>
    <w:p w14:paraId="2297E9EA" w14:textId="77777777" w:rsidR="00C46587" w:rsidRPr="004F5FB4" w:rsidRDefault="00C46587" w:rsidP="00982118">
      <w:pPr>
        <w:rPr>
          <w:color w:val="000000"/>
        </w:rPr>
      </w:pPr>
    </w:p>
    <w:p w14:paraId="38F58D73" w14:textId="77777777" w:rsidR="00C46587" w:rsidRPr="004F5FB4" w:rsidRDefault="00C46587" w:rsidP="00982118">
      <w:pPr>
        <w:rPr>
          <w:color w:val="000000"/>
        </w:rPr>
      </w:pPr>
      <w:r w:rsidRPr="004F5FB4">
        <w:rPr>
          <w:color w:val="000000"/>
        </w:rPr>
        <w:t xml:space="preserve">Die ankylosierende Spondylitis und axiale Spondyloarthritis, bei der im Röntgenbild noch keine Verknöcherung nachweisbar ist, sind entzündliche Erkrankungen der Wirbelsäule. </w:t>
      </w:r>
    </w:p>
    <w:p w14:paraId="3F404DA5" w14:textId="77777777" w:rsidR="00C46587" w:rsidRPr="004F5FB4" w:rsidRDefault="00C46587" w:rsidP="00982118">
      <w:pPr>
        <w:rPr>
          <w:color w:val="000000"/>
        </w:rPr>
      </w:pPr>
    </w:p>
    <w:p w14:paraId="20EF76C1" w14:textId="77777777" w:rsidR="00C46587" w:rsidRPr="004F5FB4" w:rsidRDefault="00593D53" w:rsidP="00982118">
      <w:pPr>
        <w:rPr>
          <w:color w:val="000000"/>
        </w:rPr>
      </w:pPr>
      <w:r w:rsidRPr="004F5FB4">
        <w:rPr>
          <w:color w:val="000000"/>
        </w:rPr>
        <w:t xml:space="preserve">Amsparity wird bei Erwachsenen zur Behandlung dieser Krankheiten angewendet. Wenn Sie eine ankylosierende Spondylitis oder axiale Spondyloarthritis, bei der im Röntgenbild noch keine Verknöcherung nachweisbar ist, haben, werden Sie zunächst mit anderen Arzneimitteln behandelt. </w:t>
      </w:r>
      <w:r w:rsidRPr="004F5FB4">
        <w:rPr>
          <w:color w:val="000000"/>
        </w:rPr>
        <w:lastRenderedPageBreak/>
        <w:t xml:space="preserve">Wenn diese nicht ausreichend wirken, erhalten Sie Amsparity, um die Anzeichen und Beschwerden Ihrer Krankheit zu lindern. </w:t>
      </w:r>
    </w:p>
    <w:p w14:paraId="1DAB8C5A" w14:textId="77777777" w:rsidR="00C46587" w:rsidRPr="004F5FB4" w:rsidRDefault="00C46587" w:rsidP="00982118">
      <w:pPr>
        <w:rPr>
          <w:color w:val="000000"/>
        </w:rPr>
      </w:pPr>
    </w:p>
    <w:p w14:paraId="5934220D" w14:textId="77777777" w:rsidR="00C46587" w:rsidRPr="004F5FB4" w:rsidRDefault="00C46587" w:rsidP="00982118">
      <w:pPr>
        <w:rPr>
          <w:color w:val="000000"/>
          <w:u w:val="single"/>
        </w:rPr>
      </w:pPr>
      <w:r w:rsidRPr="004F5FB4">
        <w:rPr>
          <w:color w:val="000000"/>
          <w:u w:val="single"/>
        </w:rPr>
        <w:t>Psoriasis-Arthritis</w:t>
      </w:r>
    </w:p>
    <w:p w14:paraId="400B1FE5" w14:textId="77777777" w:rsidR="00C46587" w:rsidRPr="004F5FB4" w:rsidRDefault="00C46587" w:rsidP="00982118">
      <w:pPr>
        <w:rPr>
          <w:color w:val="000000"/>
        </w:rPr>
      </w:pPr>
    </w:p>
    <w:p w14:paraId="05D35F80" w14:textId="77777777" w:rsidR="00C46587" w:rsidRPr="004F5FB4" w:rsidRDefault="00C46587" w:rsidP="00982118">
      <w:pPr>
        <w:rPr>
          <w:color w:val="000000"/>
        </w:rPr>
      </w:pPr>
      <w:r w:rsidRPr="004F5FB4">
        <w:rPr>
          <w:color w:val="000000"/>
        </w:rPr>
        <w:t xml:space="preserve">Die Psoriasis-Arthritis ist eine Entzündung der Gelenke, die in Verbindung mit Schuppenflechte </w:t>
      </w:r>
      <w:r w:rsidRPr="004F5FB4">
        <w:rPr>
          <w:i/>
          <w:color w:val="000000"/>
        </w:rPr>
        <w:t>(Psoriasis)</w:t>
      </w:r>
      <w:r w:rsidRPr="004F5FB4">
        <w:rPr>
          <w:color w:val="000000"/>
        </w:rPr>
        <w:t xml:space="preserve"> auftritt. </w:t>
      </w:r>
    </w:p>
    <w:p w14:paraId="190353AC" w14:textId="77777777" w:rsidR="00C46587" w:rsidRPr="004F5FB4" w:rsidRDefault="00C46587" w:rsidP="00982118">
      <w:pPr>
        <w:rPr>
          <w:color w:val="000000"/>
        </w:rPr>
      </w:pPr>
    </w:p>
    <w:p w14:paraId="2FAD9A5E" w14:textId="77777777" w:rsidR="00C46587" w:rsidRPr="004F5FB4" w:rsidRDefault="006A1144" w:rsidP="00982118">
      <w:pPr>
        <w:rPr>
          <w:color w:val="000000"/>
        </w:rPr>
      </w:pPr>
      <w:r w:rsidRPr="004F5FB4">
        <w:rPr>
          <w:color w:val="000000"/>
        </w:rPr>
        <w:t xml:space="preserve">Amsparity wird angewendet, um Psoriasis-Arthritis bei Erwachsenen zu behandeln. Amsparity kann das Fortschreiten der durch die Erkrankung verursachten Knorpel- und Knochenschädigungen der Gelenke verlangsamen und die körperliche Funktionsfähigkeit verbessern. </w:t>
      </w:r>
    </w:p>
    <w:p w14:paraId="3207DA6C" w14:textId="77777777" w:rsidR="00C46587" w:rsidRPr="004F5FB4" w:rsidRDefault="00C46587" w:rsidP="00982118">
      <w:pPr>
        <w:rPr>
          <w:color w:val="000000"/>
        </w:rPr>
      </w:pPr>
    </w:p>
    <w:p w14:paraId="725325A4" w14:textId="77777777" w:rsidR="00C46587" w:rsidRPr="004F5FB4" w:rsidRDefault="00C46587" w:rsidP="00982118">
      <w:pPr>
        <w:keepNext/>
        <w:rPr>
          <w:color w:val="000000"/>
          <w:u w:val="single"/>
        </w:rPr>
      </w:pPr>
      <w:r w:rsidRPr="004F5FB4">
        <w:rPr>
          <w:color w:val="000000"/>
          <w:u w:val="single"/>
        </w:rPr>
        <w:t>Plaque-Psoriasis bei Erwachsenen, Kindern und Jugendlichen</w:t>
      </w:r>
    </w:p>
    <w:p w14:paraId="7AD7FE8F" w14:textId="77777777" w:rsidR="00C46587" w:rsidRPr="004F5FB4" w:rsidRDefault="00C46587" w:rsidP="00982118">
      <w:pPr>
        <w:keepNext/>
        <w:rPr>
          <w:color w:val="000000"/>
        </w:rPr>
      </w:pPr>
    </w:p>
    <w:p w14:paraId="4B4DA910" w14:textId="77777777" w:rsidR="00C46587" w:rsidRPr="004F5FB4" w:rsidRDefault="00C46587" w:rsidP="00982118">
      <w:pPr>
        <w:keepNext/>
        <w:rPr>
          <w:color w:val="000000"/>
        </w:rPr>
      </w:pPr>
      <w:r w:rsidRPr="004F5FB4">
        <w:rPr>
          <w:color w:val="000000"/>
        </w:rPr>
        <w:t xml:space="preserve">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sich vom Nagelbett abheben, was schmerzhaft sein kann. Es wird angenommen, dass die Schuppenflechte durch ein Problem mit dem körpereigenen Abwehrsystem verursacht wird. Dadurch kommt es zu einer vermehrten Produktion von Hautzellen. </w:t>
      </w:r>
    </w:p>
    <w:p w14:paraId="7D5BA10D" w14:textId="77777777" w:rsidR="00C46587" w:rsidRPr="004F5FB4" w:rsidRDefault="00C46587" w:rsidP="00982118">
      <w:pPr>
        <w:rPr>
          <w:color w:val="000000"/>
        </w:rPr>
      </w:pPr>
    </w:p>
    <w:p w14:paraId="3F3E728C" w14:textId="77777777" w:rsidR="00C46587" w:rsidRPr="004F5FB4" w:rsidRDefault="006A1144" w:rsidP="00982118">
      <w:pPr>
        <w:rPr>
          <w:color w:val="000000"/>
        </w:rPr>
      </w:pPr>
      <w:r w:rsidRPr="004F5FB4">
        <w:rPr>
          <w:color w:val="000000"/>
        </w:rPr>
        <w:t xml:space="preserve">Amsparity wird angewendet, um die mittelschwere bis schwere Plaque-Psoriasis bei Erwachsenen zu behandeln. Amsparity wird außerdem angewendet, um die schwere chronische Plaque-Psoriasis bei Kindern und Jugendlichen zwischen 4 und 17 Jahren zu behandeln, bei denen Medikamente, die auf die Haut aufgetragen werden, und Behandlungen mit UV-Licht entweder nicht sehr gut gewirkt haben oder nicht geeignet sind. </w:t>
      </w:r>
    </w:p>
    <w:p w14:paraId="59BD4464" w14:textId="77777777" w:rsidR="00C46587" w:rsidRPr="004F5FB4" w:rsidRDefault="00C46587" w:rsidP="00982118">
      <w:pPr>
        <w:rPr>
          <w:color w:val="000000"/>
        </w:rPr>
      </w:pPr>
    </w:p>
    <w:p w14:paraId="4CF5A0DF" w14:textId="77777777" w:rsidR="00C46587" w:rsidRPr="004F5FB4" w:rsidRDefault="00C46587" w:rsidP="00982118">
      <w:pPr>
        <w:keepNext/>
        <w:rPr>
          <w:color w:val="000000"/>
          <w:u w:val="single"/>
        </w:rPr>
      </w:pPr>
      <w:r w:rsidRPr="004F5FB4">
        <w:rPr>
          <w:color w:val="000000"/>
          <w:u w:val="single"/>
        </w:rPr>
        <w:t>Hidradenitis suppurativa (Acne inversa) bei Erwachsenen und Jugendlichen</w:t>
      </w:r>
    </w:p>
    <w:p w14:paraId="06295E1C" w14:textId="77777777" w:rsidR="00C46587" w:rsidRPr="004F5FB4" w:rsidRDefault="00C46587" w:rsidP="00982118">
      <w:pPr>
        <w:rPr>
          <w:color w:val="000000"/>
        </w:rPr>
      </w:pPr>
    </w:p>
    <w:p w14:paraId="7C0C1C81" w14:textId="77777777" w:rsidR="00C46587" w:rsidRPr="004F5FB4" w:rsidRDefault="00C46587" w:rsidP="00982118">
      <w:pPr>
        <w:rPr>
          <w:color w:val="000000"/>
        </w:rPr>
      </w:pPr>
      <w:r w:rsidRPr="004F5FB4">
        <w:rPr>
          <w:color w:val="000000"/>
        </w:rPr>
        <w:t>Hidradenitis suppurativa (manchmal auch als Acne inversa bezeichnet) ist eine chronische und oft schmerzhafte entzündliche Hauterkrankung. Zu den Beschwerden gehören unter anderem druckempfindliche Knötchen und Eiteransammlungen (Abszesse), aus denen Eiter austreten kann. Am häufigsten sind bestimmte Bereiche der Haut betroffen, wie z.</w:t>
      </w:r>
      <w:r w:rsidR="00B91676" w:rsidRPr="004F5FB4">
        <w:rPr>
          <w:color w:val="000000"/>
        </w:rPr>
        <w:t> </w:t>
      </w:r>
      <w:r w:rsidRPr="004F5FB4">
        <w:rPr>
          <w:color w:val="000000"/>
        </w:rPr>
        <w:t xml:space="preserve">B. unter den Brüsten, unter den Achseln, an den Innenseiten der Oberschenkel, in der Leistengegend und am Gesäß. An den betroffenen Stellen kann es auch zu Vernarbungen kommen. </w:t>
      </w:r>
    </w:p>
    <w:p w14:paraId="77AE73E0" w14:textId="77777777" w:rsidR="00C46587" w:rsidRPr="004F5FB4" w:rsidRDefault="00C46587" w:rsidP="00982118">
      <w:pPr>
        <w:rPr>
          <w:color w:val="000000"/>
        </w:rPr>
      </w:pPr>
    </w:p>
    <w:p w14:paraId="7AA051AE" w14:textId="77777777" w:rsidR="00C46587" w:rsidRPr="004F5FB4" w:rsidRDefault="006A1144" w:rsidP="00982118">
      <w:pPr>
        <w:rPr>
          <w:color w:val="000000"/>
        </w:rPr>
      </w:pPr>
      <w:r w:rsidRPr="004F5FB4">
        <w:rPr>
          <w:color w:val="000000"/>
        </w:rPr>
        <w:t>Amsparity wird zur Behandlung der Hidradenitis suppurativa bei Erwachsenen und Jugendlichen ab einem Alter von 12</w:t>
      </w:r>
      <w:r w:rsidR="00B91676" w:rsidRPr="004F5FB4">
        <w:rPr>
          <w:color w:val="000000"/>
        </w:rPr>
        <w:t> </w:t>
      </w:r>
      <w:r w:rsidRPr="004F5FB4">
        <w:rPr>
          <w:color w:val="000000"/>
        </w:rPr>
        <w:t xml:space="preserve">Jahren angewendet. Amsparity kann die Anzahl Ihrer Knötchen und Eiteransammlungen verringern und kann die Schmerzen, die oft mit dieser Erkrankung einhergehen, lindern. Möglicherweise bekommen Sie zunächst andere Arzneimittel. Wenn diese Arzneimittel nicht ausreichend gut wirken, erhalten Sie Amsparity. </w:t>
      </w:r>
    </w:p>
    <w:p w14:paraId="736A8368" w14:textId="77777777" w:rsidR="00A457FE" w:rsidRPr="004F5FB4" w:rsidRDefault="00A457FE" w:rsidP="00982118">
      <w:pPr>
        <w:rPr>
          <w:color w:val="000000"/>
          <w:u w:val="single"/>
        </w:rPr>
      </w:pPr>
    </w:p>
    <w:p w14:paraId="58402F15" w14:textId="77777777" w:rsidR="00C46587" w:rsidRPr="004F5FB4" w:rsidRDefault="00C46587" w:rsidP="00982118">
      <w:pPr>
        <w:rPr>
          <w:color w:val="000000"/>
          <w:u w:val="single"/>
        </w:rPr>
      </w:pPr>
      <w:r w:rsidRPr="004F5FB4">
        <w:rPr>
          <w:color w:val="000000"/>
          <w:u w:val="single"/>
        </w:rPr>
        <w:t>Morbus Crohn bei Erwachsenen, Kindern und Jugendlichen</w:t>
      </w:r>
    </w:p>
    <w:p w14:paraId="315B0DAC" w14:textId="77777777" w:rsidR="00C46587" w:rsidRPr="004F5FB4" w:rsidRDefault="00C46587" w:rsidP="00982118">
      <w:pPr>
        <w:rPr>
          <w:color w:val="000000"/>
        </w:rPr>
      </w:pPr>
    </w:p>
    <w:p w14:paraId="0D285F8C" w14:textId="77777777" w:rsidR="00C46587" w:rsidRPr="004F5FB4" w:rsidRDefault="00C46587" w:rsidP="00982118">
      <w:pPr>
        <w:rPr>
          <w:color w:val="000000"/>
        </w:rPr>
      </w:pPr>
      <w:r w:rsidRPr="004F5FB4">
        <w:rPr>
          <w:color w:val="000000"/>
        </w:rPr>
        <w:t xml:space="preserve">Morbus Crohn ist eine entzündliche Erkrankung des Darms. </w:t>
      </w:r>
    </w:p>
    <w:p w14:paraId="60E62C17" w14:textId="77777777" w:rsidR="00C46587" w:rsidRPr="004F5FB4" w:rsidRDefault="00C46587" w:rsidP="00982118">
      <w:pPr>
        <w:rPr>
          <w:color w:val="000000"/>
        </w:rPr>
      </w:pPr>
    </w:p>
    <w:p w14:paraId="79364AF7" w14:textId="77777777" w:rsidR="00764B9A" w:rsidRPr="004F5FB4" w:rsidRDefault="006A1144" w:rsidP="00982118">
      <w:pPr>
        <w:rPr>
          <w:color w:val="000000"/>
        </w:rPr>
      </w:pPr>
      <w:r w:rsidRPr="004F5FB4">
        <w:rPr>
          <w:color w:val="000000"/>
        </w:rPr>
        <w:t>Amsparity wird angewendet zur Behandlung von Morbus Crohn bei Erwachsenen, Kindern und Jugendlichen zwischen 6 und 17</w:t>
      </w:r>
      <w:r w:rsidR="00B91676" w:rsidRPr="004F5FB4">
        <w:rPr>
          <w:color w:val="000000"/>
        </w:rPr>
        <w:t> </w:t>
      </w:r>
      <w:r w:rsidRPr="004F5FB4">
        <w:rPr>
          <w:color w:val="000000"/>
        </w:rPr>
        <w:t xml:space="preserve">Jahren. </w:t>
      </w:r>
    </w:p>
    <w:p w14:paraId="32E6D30D" w14:textId="77777777" w:rsidR="00764B9A" w:rsidRPr="004F5FB4" w:rsidRDefault="00764B9A" w:rsidP="00982118">
      <w:pPr>
        <w:rPr>
          <w:color w:val="000000"/>
        </w:rPr>
      </w:pPr>
    </w:p>
    <w:p w14:paraId="5C3B7429" w14:textId="77777777" w:rsidR="00C46587" w:rsidRPr="004F5FB4" w:rsidRDefault="00C46587" w:rsidP="00982118">
      <w:pPr>
        <w:rPr>
          <w:color w:val="000000"/>
        </w:rPr>
      </w:pPr>
      <w:r w:rsidRPr="004F5FB4">
        <w:rPr>
          <w:color w:val="000000"/>
        </w:rPr>
        <w:t xml:space="preserve">Wenn Sie an Morbus Crohn erkrankt sind, werden Sie zunächst mit anderen Arzneimitteln behandelt. Wenn Sie nicht ausreichend auf diese Arzneimittel ansprechen, erhalten Sie Amsparity, um die Anzeichen und Beschwerden von Morbus Crohn zu vermindern. </w:t>
      </w:r>
    </w:p>
    <w:p w14:paraId="6FE42BF2" w14:textId="77777777" w:rsidR="00C46587" w:rsidRPr="004F5FB4" w:rsidRDefault="00C46587" w:rsidP="00982118">
      <w:pPr>
        <w:rPr>
          <w:color w:val="000000"/>
        </w:rPr>
      </w:pPr>
    </w:p>
    <w:p w14:paraId="1F76E810" w14:textId="77777777" w:rsidR="00315E6C" w:rsidRPr="004F5FB4" w:rsidRDefault="00315E6C" w:rsidP="00315E6C">
      <w:pPr>
        <w:keepNext/>
        <w:rPr>
          <w:color w:val="000000"/>
        </w:rPr>
      </w:pPr>
      <w:r w:rsidRPr="004F5FB4">
        <w:rPr>
          <w:color w:val="000000"/>
          <w:u w:val="single"/>
        </w:rPr>
        <w:t>Colitis ulcerosa</w:t>
      </w:r>
      <w:r w:rsidRPr="008419B6">
        <w:rPr>
          <w:color w:val="000000"/>
          <w:u w:val="single"/>
        </w:rPr>
        <w:t xml:space="preserve"> bei </w:t>
      </w:r>
      <w:r>
        <w:rPr>
          <w:color w:val="000000"/>
          <w:u w:val="single"/>
        </w:rPr>
        <w:t>Erwachsenen</w:t>
      </w:r>
      <w:r w:rsidR="00CE6758">
        <w:rPr>
          <w:color w:val="000000"/>
          <w:u w:val="single"/>
        </w:rPr>
        <w:t xml:space="preserve">, </w:t>
      </w:r>
      <w:r w:rsidRPr="008419B6">
        <w:rPr>
          <w:color w:val="000000"/>
          <w:u w:val="single"/>
        </w:rPr>
        <w:t>Kindern und Jugendlichen</w:t>
      </w:r>
    </w:p>
    <w:p w14:paraId="2FB17F1C" w14:textId="77777777" w:rsidR="00315E6C" w:rsidRPr="004F5FB4" w:rsidRDefault="00315E6C" w:rsidP="00315E6C">
      <w:pPr>
        <w:keepNext/>
        <w:rPr>
          <w:color w:val="000000"/>
        </w:rPr>
      </w:pPr>
    </w:p>
    <w:p w14:paraId="47663215" w14:textId="77777777" w:rsidR="00315E6C" w:rsidRPr="004F5FB4" w:rsidRDefault="00315E6C" w:rsidP="00315E6C">
      <w:pPr>
        <w:rPr>
          <w:color w:val="000000"/>
        </w:rPr>
      </w:pPr>
      <w:r w:rsidRPr="004F5FB4">
        <w:rPr>
          <w:color w:val="000000"/>
        </w:rPr>
        <w:t>Colitis ulcerosa ist eine entzündliche Erkrankung des D</w:t>
      </w:r>
      <w:r>
        <w:rPr>
          <w:color w:val="000000"/>
        </w:rPr>
        <w:t>ickd</w:t>
      </w:r>
      <w:r w:rsidRPr="004F5FB4">
        <w:rPr>
          <w:color w:val="000000"/>
        </w:rPr>
        <w:t xml:space="preserve">arms. </w:t>
      </w:r>
    </w:p>
    <w:p w14:paraId="369C3276" w14:textId="77777777" w:rsidR="00315E6C" w:rsidRPr="004F5FB4" w:rsidRDefault="00315E6C" w:rsidP="00315E6C">
      <w:pPr>
        <w:rPr>
          <w:color w:val="000000"/>
        </w:rPr>
      </w:pPr>
    </w:p>
    <w:p w14:paraId="2148A2C0" w14:textId="77777777" w:rsidR="00315E6C" w:rsidRDefault="00315E6C" w:rsidP="00315E6C">
      <w:r w:rsidRPr="004F5FB4">
        <w:rPr>
          <w:color w:val="000000"/>
        </w:rPr>
        <w:lastRenderedPageBreak/>
        <w:t xml:space="preserve">Amsparity wird angewendet, um </w:t>
      </w:r>
      <w:r>
        <w:rPr>
          <w:color w:val="000000"/>
        </w:rPr>
        <w:t xml:space="preserve">mittelschwere bis schwere </w:t>
      </w:r>
      <w:r w:rsidRPr="004F5FB4">
        <w:rPr>
          <w:color w:val="000000"/>
        </w:rPr>
        <w:t xml:space="preserve">Colitis ulcerosa bei Erwachsenen </w:t>
      </w:r>
      <w:r>
        <w:rPr>
          <w:color w:val="000000"/>
        </w:rPr>
        <w:t xml:space="preserve">und </w:t>
      </w:r>
      <w:r w:rsidR="00F44C46">
        <w:rPr>
          <w:color w:val="000000"/>
        </w:rPr>
        <w:t xml:space="preserve">bei </w:t>
      </w:r>
      <w:r>
        <w:rPr>
          <w:color w:val="000000"/>
        </w:rPr>
        <w:t xml:space="preserve">Kindern und Jugendlichen zwischen 6 und 17 Jahren </w:t>
      </w:r>
      <w:r w:rsidRPr="004F5FB4">
        <w:rPr>
          <w:color w:val="000000"/>
        </w:rPr>
        <w:t xml:space="preserve">zu behandeln. Wenn Sie an Colitis ulcerosa erkrankt sind, erhalten Sie </w:t>
      </w:r>
      <w:r>
        <w:rPr>
          <w:color w:val="000000"/>
        </w:rPr>
        <w:t xml:space="preserve">möglicherweise </w:t>
      </w:r>
      <w:r w:rsidRPr="004F5FB4">
        <w:rPr>
          <w:color w:val="000000"/>
        </w:rPr>
        <w:t xml:space="preserve">zuerst andere Arzneimittel. Wenn </w:t>
      </w:r>
      <w:r w:rsidR="00F44C46">
        <w:rPr>
          <w:color w:val="000000"/>
        </w:rPr>
        <w:t>Sie</w:t>
      </w:r>
      <w:r w:rsidRPr="004F5FB4">
        <w:rPr>
          <w:color w:val="000000"/>
        </w:rPr>
        <w:t xml:space="preserve"> nicht ausreichend </w:t>
      </w:r>
      <w:r w:rsidR="00F44C46">
        <w:rPr>
          <w:color w:val="000000"/>
        </w:rPr>
        <w:t>auf diese Arzneimittel ansprechen</w:t>
      </w:r>
      <w:r w:rsidRPr="004F5FB4">
        <w:rPr>
          <w:color w:val="000000"/>
        </w:rPr>
        <w:t xml:space="preserve">, erhalten Sie Amsparity, um die Anzeichen und Beschwerden Ihrer </w:t>
      </w:r>
      <w:r w:rsidR="00F44C46">
        <w:rPr>
          <w:color w:val="000000"/>
        </w:rPr>
        <w:t>Erkrankung</w:t>
      </w:r>
      <w:r w:rsidRPr="004F5FB4">
        <w:rPr>
          <w:color w:val="000000"/>
        </w:rPr>
        <w:t xml:space="preserve"> zu </w:t>
      </w:r>
      <w:r w:rsidR="00F44C46">
        <w:rPr>
          <w:color w:val="000000"/>
        </w:rPr>
        <w:t>vermindern</w:t>
      </w:r>
      <w:r w:rsidRPr="004F5FB4">
        <w:rPr>
          <w:color w:val="000000"/>
        </w:rPr>
        <w:t>.</w:t>
      </w:r>
    </w:p>
    <w:p w14:paraId="7A9856F8" w14:textId="77777777" w:rsidR="00C46587" w:rsidRPr="004F5FB4" w:rsidRDefault="00C46587" w:rsidP="00982118">
      <w:pPr>
        <w:rPr>
          <w:color w:val="000000"/>
        </w:rPr>
      </w:pPr>
    </w:p>
    <w:p w14:paraId="414D6347" w14:textId="77777777" w:rsidR="00C46587" w:rsidRPr="004F5FB4" w:rsidRDefault="00C87F8F" w:rsidP="00982118">
      <w:pPr>
        <w:rPr>
          <w:color w:val="000000"/>
          <w:u w:val="single"/>
        </w:rPr>
      </w:pPr>
      <w:r w:rsidRPr="004F5FB4">
        <w:rPr>
          <w:color w:val="000000"/>
          <w:u w:val="single"/>
        </w:rPr>
        <w:t>Nicht infektiöse Uveitis bei Erwachsenen, Kindern und Jugendlichen</w:t>
      </w:r>
    </w:p>
    <w:p w14:paraId="50E665F2" w14:textId="77777777" w:rsidR="00250F9D" w:rsidRPr="004F5FB4" w:rsidRDefault="00250F9D" w:rsidP="00982118">
      <w:pPr>
        <w:rPr>
          <w:color w:val="000000"/>
        </w:rPr>
      </w:pPr>
    </w:p>
    <w:p w14:paraId="31E1D5DF" w14:textId="77777777" w:rsidR="00C46587" w:rsidRPr="004F5FB4" w:rsidRDefault="00C46587" w:rsidP="00982118">
      <w:pPr>
        <w:rPr>
          <w:color w:val="000000"/>
        </w:rPr>
      </w:pPr>
      <w:r w:rsidRPr="004F5FB4">
        <w:rPr>
          <w:color w:val="000000"/>
        </w:rPr>
        <w:t>Die nicht infektiöse Uveitis ist eine entzündliche Erkrankung, die bestimmte Teile des Auges betrifft. Diese Entzündung kann dazu führen, dass man schlechter sieht und/</w:t>
      </w:r>
      <w:r w:rsidR="00DE533F" w:rsidRPr="004F5FB4">
        <w:rPr>
          <w:color w:val="000000"/>
        </w:rPr>
        <w:t xml:space="preserve"> </w:t>
      </w:r>
      <w:r w:rsidRPr="004F5FB4">
        <w:rPr>
          <w:color w:val="000000"/>
        </w:rPr>
        <w:t>oder dass man Schwebeteile sieht (schwarze Punkte oder Schlieren, die sich durch das Blickfeld bewegen). Amsparity wirkt, indem es diese Entzündung verringert.</w:t>
      </w:r>
    </w:p>
    <w:p w14:paraId="3FD6A780" w14:textId="77777777" w:rsidR="00C46587" w:rsidRPr="004F5FB4" w:rsidRDefault="00C46587" w:rsidP="00982118">
      <w:pPr>
        <w:rPr>
          <w:color w:val="000000"/>
        </w:rPr>
      </w:pPr>
    </w:p>
    <w:p w14:paraId="28E4AB06" w14:textId="77777777" w:rsidR="00C87F8F" w:rsidRPr="004F5FB4" w:rsidRDefault="006A1144" w:rsidP="00982118">
      <w:pPr>
        <w:rPr>
          <w:color w:val="000000"/>
        </w:rPr>
      </w:pPr>
      <w:r w:rsidRPr="004F5FB4">
        <w:rPr>
          <w:color w:val="000000"/>
        </w:rPr>
        <w:t>Amsparity wird angewendet zur Behandlung von:</w:t>
      </w:r>
    </w:p>
    <w:p w14:paraId="6781D0A1" w14:textId="77777777" w:rsidR="00C87F8F" w:rsidRPr="004F5FB4" w:rsidRDefault="00D64D24"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Erwachsenen mit nicht infektiöser Uveitis mit einer Entzündung im hinteren Bereich des Auges</w:t>
      </w:r>
      <w:r w:rsidR="00DE533F" w:rsidRPr="004F5FB4">
        <w:rPr>
          <w:color w:val="000000"/>
        </w:rPr>
        <w:t>,</w:t>
      </w:r>
    </w:p>
    <w:p w14:paraId="7A2DAD51" w14:textId="77777777" w:rsidR="00250F9D" w:rsidRPr="004F5FB4" w:rsidRDefault="00D64D24"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Kindern ab 2</w:t>
      </w:r>
      <w:r w:rsidR="00B91676" w:rsidRPr="004F5FB4">
        <w:rPr>
          <w:color w:val="000000"/>
        </w:rPr>
        <w:t> </w:t>
      </w:r>
      <w:r w:rsidRPr="004F5FB4">
        <w:rPr>
          <w:color w:val="000000"/>
        </w:rPr>
        <w:t xml:space="preserve">Jahren mit chronischer nicht infektiöser Uveitis mit einer Entzündung im vorderen Bereich des Auges. </w:t>
      </w:r>
    </w:p>
    <w:p w14:paraId="455EEDCB" w14:textId="77777777" w:rsidR="00C87F8F" w:rsidRPr="004F5FB4" w:rsidRDefault="00C87F8F" w:rsidP="00982118">
      <w:pPr>
        <w:rPr>
          <w:color w:val="000000"/>
        </w:rPr>
      </w:pPr>
    </w:p>
    <w:p w14:paraId="65D557D7" w14:textId="77777777" w:rsidR="001C0964" w:rsidRPr="004F5FB4" w:rsidRDefault="001C0964" w:rsidP="00982118">
      <w:pPr>
        <w:pStyle w:val="BodyText"/>
        <w:widowControl/>
        <w:kinsoku w:val="0"/>
        <w:overflowPunct w:val="0"/>
        <w:ind w:left="0" w:right="354"/>
        <w:rPr>
          <w:color w:val="000000"/>
        </w:rPr>
      </w:pPr>
      <w:r w:rsidRPr="004F5FB4">
        <w:rPr>
          <w:color w:val="000000"/>
        </w:rPr>
        <w:t>Möglicherweise bekommen Sie zunächst andere Arzneimittel. Wenn diese nicht ausreichend wirken, erhalten Sie Amsparity, um die Anzeichen und Beschwerden Ihrer Krankheit zu lindern.</w:t>
      </w:r>
    </w:p>
    <w:p w14:paraId="4497BDCE" w14:textId="77777777" w:rsidR="00C46587" w:rsidRPr="004F5FB4" w:rsidRDefault="00C46587" w:rsidP="00982118">
      <w:pPr>
        <w:rPr>
          <w:color w:val="000000"/>
        </w:rPr>
      </w:pPr>
    </w:p>
    <w:p w14:paraId="0C59547E" w14:textId="77777777" w:rsidR="00C46587" w:rsidRPr="004F5FB4" w:rsidRDefault="00C46587" w:rsidP="00982118">
      <w:pPr>
        <w:rPr>
          <w:color w:val="000000"/>
        </w:rPr>
      </w:pPr>
    </w:p>
    <w:p w14:paraId="5A0B1248" w14:textId="77777777" w:rsidR="00C46587" w:rsidRPr="004F5FB4" w:rsidRDefault="00C46587" w:rsidP="00982118">
      <w:pPr>
        <w:tabs>
          <w:tab w:val="left" w:pos="562"/>
        </w:tabs>
        <w:rPr>
          <w:b/>
          <w:color w:val="000000"/>
        </w:rPr>
      </w:pPr>
      <w:r w:rsidRPr="004F5FB4">
        <w:rPr>
          <w:b/>
          <w:color w:val="000000"/>
        </w:rPr>
        <w:t>2.</w:t>
      </w:r>
      <w:r w:rsidRPr="004F5FB4">
        <w:rPr>
          <w:b/>
          <w:color w:val="000000"/>
        </w:rPr>
        <w:tab/>
        <w:t xml:space="preserve">Was sollten Sie vor der Anwendung von Amsparity beachten? </w:t>
      </w:r>
    </w:p>
    <w:p w14:paraId="75C929F2" w14:textId="77777777" w:rsidR="00C46587" w:rsidRPr="004F5FB4" w:rsidRDefault="00C46587" w:rsidP="00982118">
      <w:pPr>
        <w:rPr>
          <w:color w:val="000000"/>
        </w:rPr>
      </w:pPr>
    </w:p>
    <w:p w14:paraId="415B284B" w14:textId="77777777" w:rsidR="00C46587" w:rsidRPr="004F5FB4" w:rsidRDefault="00C46587" w:rsidP="00982118">
      <w:pPr>
        <w:rPr>
          <w:b/>
          <w:color w:val="000000"/>
        </w:rPr>
      </w:pPr>
      <w:r w:rsidRPr="004F5FB4">
        <w:rPr>
          <w:b/>
          <w:color w:val="000000"/>
        </w:rPr>
        <w:t xml:space="preserve">Amsparity darf nicht angewendet werden, </w:t>
      </w:r>
    </w:p>
    <w:p w14:paraId="612596FE" w14:textId="77777777" w:rsidR="00C46587" w:rsidRPr="004F5FB4" w:rsidRDefault="00C46587" w:rsidP="00982118">
      <w:pPr>
        <w:rPr>
          <w:color w:val="000000"/>
        </w:rPr>
      </w:pPr>
    </w:p>
    <w:p w14:paraId="7A1E6EA1" w14:textId="77777777" w:rsidR="00C46587" w:rsidRPr="004F5FB4" w:rsidRDefault="00D64D24"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wenn Sie allergisch gegen Adalimumab oder einen der in Abschnitt</w:t>
      </w:r>
      <w:r w:rsidR="00A87FE1" w:rsidRPr="004F5FB4">
        <w:rPr>
          <w:color w:val="000000"/>
        </w:rPr>
        <w:t> </w:t>
      </w:r>
      <w:r w:rsidRPr="004F5FB4">
        <w:rPr>
          <w:color w:val="000000"/>
        </w:rPr>
        <w:t>6. genannten sonstigen Bestandteile dieses Arzneimittels sind</w:t>
      </w:r>
      <w:r w:rsidR="006F2F61" w:rsidRPr="004F5FB4">
        <w:rPr>
          <w:color w:val="000000"/>
        </w:rPr>
        <w:t>,</w:t>
      </w:r>
    </w:p>
    <w:p w14:paraId="7C8706F4" w14:textId="77777777" w:rsidR="00C46587" w:rsidRPr="004F5FB4" w:rsidRDefault="00C46587" w:rsidP="00764B9A">
      <w:pPr>
        <w:pStyle w:val="BodyText"/>
        <w:widowControl/>
        <w:kinsoku w:val="0"/>
        <w:overflowPunct w:val="0"/>
        <w:autoSpaceDE w:val="0"/>
        <w:autoSpaceDN w:val="0"/>
        <w:adjustRightInd w:val="0"/>
        <w:ind w:left="562"/>
        <w:rPr>
          <w:color w:val="000000"/>
        </w:rPr>
      </w:pPr>
    </w:p>
    <w:p w14:paraId="6322B134" w14:textId="77777777" w:rsidR="00C46587" w:rsidRPr="004F5FB4" w:rsidRDefault="00D64D24"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Sie an einer schweren Infektion erkrankt sind, einschließlich aktiver Tuberkulose, Blutvergiftung </w:t>
      </w:r>
      <w:r w:rsidRPr="004F5FB4">
        <w:rPr>
          <w:i/>
          <w:color w:val="000000"/>
        </w:rPr>
        <w:t>(Sepsis)</w:t>
      </w:r>
      <w:r w:rsidRPr="004F5FB4">
        <w:rPr>
          <w:color w:val="000000"/>
        </w:rPr>
        <w:t xml:space="preserve"> oder ungewöhnlicher Infektionen, die bei einem geschwächten Immunsystem entstehen </w:t>
      </w:r>
      <w:r w:rsidRPr="004F5FB4">
        <w:rPr>
          <w:i/>
          <w:color w:val="000000"/>
        </w:rPr>
        <w:t>(opportunistische Infektionen)</w:t>
      </w:r>
      <w:r w:rsidRPr="004F5FB4">
        <w:rPr>
          <w:color w:val="000000"/>
        </w:rPr>
        <w:t xml:space="preserve">. Es ist wichtig, dass Sie Ihren Arzt informieren, wenn bei Ihnen Anzeichen von Infektionen vorliegen, z. B. Fieber, Wunden, Abgeschlagenheit, Zahnprobleme (siehe „Warnhinweise und Vorsichtsmaßnahmen“). </w:t>
      </w:r>
    </w:p>
    <w:p w14:paraId="44F50DC1" w14:textId="77777777" w:rsidR="00C46587" w:rsidRPr="004F5FB4" w:rsidRDefault="00C46587" w:rsidP="00764B9A">
      <w:pPr>
        <w:pStyle w:val="BodyText"/>
        <w:widowControl/>
        <w:kinsoku w:val="0"/>
        <w:overflowPunct w:val="0"/>
        <w:autoSpaceDE w:val="0"/>
        <w:autoSpaceDN w:val="0"/>
        <w:adjustRightInd w:val="0"/>
        <w:ind w:left="562"/>
        <w:rPr>
          <w:color w:val="000000"/>
        </w:rPr>
      </w:pPr>
    </w:p>
    <w:p w14:paraId="081D743E" w14:textId="77777777" w:rsidR="00C46587" w:rsidRPr="004F5FB4" w:rsidRDefault="006F2F61"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w</w:t>
      </w:r>
      <w:r w:rsidR="00D64D24" w:rsidRPr="004F5FB4">
        <w:rPr>
          <w:color w:val="000000"/>
        </w:rPr>
        <w:t xml:space="preserve">enn Sie an mäßiger bis schwerer Herzschwäche </w:t>
      </w:r>
      <w:r w:rsidR="00D64D24" w:rsidRPr="004F5FB4">
        <w:rPr>
          <w:i/>
          <w:color w:val="000000"/>
        </w:rPr>
        <w:t>(Herzinsuffizienz)</w:t>
      </w:r>
      <w:r w:rsidR="00D64D24" w:rsidRPr="004F5FB4">
        <w:rPr>
          <w:color w:val="000000"/>
        </w:rPr>
        <w:t xml:space="preserve"> erkrankt sind. Es ist wichtig, dass Sie Ihrem Arzt über zurückliegende oder bestehende ernsthafte Herzbeschwerden berichten (siehe „Warnhinweise und Vorsichtsmaßnahmen“). </w:t>
      </w:r>
    </w:p>
    <w:p w14:paraId="6D011ACE" w14:textId="77777777" w:rsidR="00C46587" w:rsidRPr="004F5FB4" w:rsidRDefault="00C46587" w:rsidP="00982118">
      <w:pPr>
        <w:rPr>
          <w:color w:val="000000"/>
        </w:rPr>
      </w:pPr>
    </w:p>
    <w:p w14:paraId="5E6E3816" w14:textId="77777777" w:rsidR="00C46587" w:rsidRPr="004F5FB4" w:rsidRDefault="00C46587" w:rsidP="00982118">
      <w:pPr>
        <w:keepNext/>
        <w:rPr>
          <w:color w:val="000000"/>
        </w:rPr>
      </w:pPr>
      <w:r w:rsidRPr="004F5FB4">
        <w:rPr>
          <w:b/>
          <w:color w:val="000000"/>
        </w:rPr>
        <w:t xml:space="preserve">Warnhinweise und Vorsichtsmaßnahmen </w:t>
      </w:r>
    </w:p>
    <w:p w14:paraId="456A8985" w14:textId="77777777" w:rsidR="00C46587" w:rsidRPr="004F5FB4" w:rsidRDefault="00C46587" w:rsidP="00982118">
      <w:pPr>
        <w:rPr>
          <w:color w:val="000000"/>
        </w:rPr>
      </w:pPr>
      <w:r w:rsidRPr="004F5FB4">
        <w:rPr>
          <w:color w:val="000000"/>
        </w:rPr>
        <w:t xml:space="preserve">Bitte sprechen Sie mit Ihrem Arzt oder Apotheker, bevor Sie Amsparity anwenden. </w:t>
      </w:r>
    </w:p>
    <w:p w14:paraId="232A91E1" w14:textId="77777777" w:rsidR="00C46587" w:rsidRPr="004F5FB4" w:rsidRDefault="00C46587" w:rsidP="00982118">
      <w:pPr>
        <w:rPr>
          <w:color w:val="000000"/>
        </w:rPr>
      </w:pPr>
    </w:p>
    <w:p w14:paraId="332B210F" w14:textId="77777777" w:rsidR="005123EE" w:rsidRPr="004F5FB4" w:rsidRDefault="005123EE" w:rsidP="00764B9A">
      <w:pPr>
        <w:pStyle w:val="BodyText"/>
        <w:widowControl/>
        <w:ind w:left="0" w:right="-3"/>
        <w:rPr>
          <w:color w:val="000000"/>
        </w:rPr>
      </w:pPr>
      <w:r w:rsidRPr="004F5FB4">
        <w:rPr>
          <w:color w:val="000000"/>
        </w:rPr>
        <w:t>Es ist wichtig, dass Sie und Ihr Arzt den Markennamen und die Chargenbezeichnung des Arzneimittels notieren.</w:t>
      </w:r>
    </w:p>
    <w:p w14:paraId="189FF865" w14:textId="77777777" w:rsidR="005123EE" w:rsidRPr="004F5FB4" w:rsidRDefault="005123EE" w:rsidP="00982118">
      <w:pPr>
        <w:rPr>
          <w:color w:val="000000"/>
        </w:rPr>
      </w:pPr>
    </w:p>
    <w:p w14:paraId="4C08FA28" w14:textId="77777777" w:rsidR="00D64D24" w:rsidRPr="004F5FB4" w:rsidRDefault="00D64D24" w:rsidP="00982118">
      <w:pPr>
        <w:rPr>
          <w:color w:val="000000"/>
          <w:u w:val="single"/>
        </w:rPr>
      </w:pPr>
      <w:r w:rsidRPr="004F5FB4">
        <w:rPr>
          <w:color w:val="000000"/>
          <w:u w:val="single"/>
        </w:rPr>
        <w:t>Allergische Reaktionen</w:t>
      </w:r>
    </w:p>
    <w:p w14:paraId="0F71A49B" w14:textId="77777777" w:rsidR="00D64D24" w:rsidRPr="00F577F5" w:rsidRDefault="00D64D24" w:rsidP="00982118">
      <w:pPr>
        <w:rPr>
          <w:color w:val="000000"/>
        </w:rPr>
      </w:pPr>
    </w:p>
    <w:p w14:paraId="15C47A25" w14:textId="77777777" w:rsidR="00C46587" w:rsidRPr="004F5FB4" w:rsidRDefault="00C46587" w:rsidP="00764B9A">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Sollten Sie allergische Reaktionen bekommen mit Anzeichen wie Engegefühl in der Brust, pfeifende Atemgeräusche, Schwindel, Schwellungen oder Hautausschlag, spritzen Sie sich kein weiteres Amsparity mehr und setzen Sie sich unverzüglich mit Ihrem Arzt in Verbindung, da diese Reaktionen in seltenen Fällen lebensbedrohlich sein können. </w:t>
      </w:r>
    </w:p>
    <w:p w14:paraId="2D8E9AE2" w14:textId="77777777" w:rsidR="00C46587" w:rsidRPr="004F5FB4" w:rsidRDefault="00C46587" w:rsidP="00982118">
      <w:pPr>
        <w:rPr>
          <w:color w:val="000000"/>
        </w:rPr>
      </w:pPr>
    </w:p>
    <w:p w14:paraId="52D8A7D7" w14:textId="77777777" w:rsidR="00D64D24" w:rsidRPr="004F5FB4" w:rsidRDefault="00D64D24" w:rsidP="00A65FE9">
      <w:pPr>
        <w:keepNext/>
        <w:keepLines/>
        <w:rPr>
          <w:color w:val="000000"/>
          <w:u w:val="single"/>
        </w:rPr>
      </w:pPr>
      <w:r w:rsidRPr="004F5FB4">
        <w:rPr>
          <w:color w:val="000000"/>
          <w:u w:val="single"/>
        </w:rPr>
        <w:t>Infektionen</w:t>
      </w:r>
    </w:p>
    <w:p w14:paraId="5CABD7D8" w14:textId="77777777" w:rsidR="00D64D24" w:rsidRPr="004F5FB4" w:rsidRDefault="00D64D24" w:rsidP="00A65FE9">
      <w:pPr>
        <w:keepNext/>
        <w:keepLines/>
        <w:rPr>
          <w:color w:val="000000"/>
          <w:lang w:val="en-GB"/>
        </w:rPr>
      </w:pPr>
    </w:p>
    <w:p w14:paraId="47845328" w14:textId="77777777" w:rsidR="00C46587" w:rsidRPr="004F5FB4" w:rsidRDefault="00C46587" w:rsidP="000B37D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Wenn Sie eine Infektion haben, sprechen Sie mit Ihrem Arzt, bevor Sie mit der Amsparity-Behandlung beginnen. Auch dann, wenn Sie die Infektion schon länger haben, oder die </w:t>
      </w:r>
      <w:r w:rsidRPr="004F5FB4">
        <w:rPr>
          <w:color w:val="000000"/>
        </w:rPr>
        <w:lastRenderedPageBreak/>
        <w:t>Infektion örtlich begrenzt ist (z.</w:t>
      </w:r>
      <w:r w:rsidR="00B91676" w:rsidRPr="004F5FB4">
        <w:rPr>
          <w:color w:val="000000"/>
        </w:rPr>
        <w:t> </w:t>
      </w:r>
      <w:r w:rsidRPr="004F5FB4">
        <w:rPr>
          <w:color w:val="000000"/>
        </w:rPr>
        <w:t xml:space="preserve">B. ein Unterschenkelgeschwür). Wenn Sie unsicher sind, fragen Sie Ihren Arzt. </w:t>
      </w:r>
    </w:p>
    <w:p w14:paraId="3A770FA1" w14:textId="77777777" w:rsidR="00C46587" w:rsidRPr="004F5FB4" w:rsidRDefault="00C46587" w:rsidP="00982118">
      <w:pPr>
        <w:ind w:left="720"/>
        <w:rPr>
          <w:color w:val="000000"/>
        </w:rPr>
      </w:pPr>
    </w:p>
    <w:p w14:paraId="049F7520" w14:textId="77777777" w:rsidR="00C46587" w:rsidRPr="004F5FB4" w:rsidRDefault="00C46587" w:rsidP="000B37DD">
      <w:pPr>
        <w:pStyle w:val="BodyText"/>
        <w:widowControl/>
        <w:numPr>
          <w:ilvl w:val="1"/>
          <w:numId w:val="22"/>
        </w:numPr>
        <w:kinsoku w:val="0"/>
        <w:overflowPunct w:val="0"/>
        <w:autoSpaceDE w:val="0"/>
        <w:autoSpaceDN w:val="0"/>
        <w:adjustRightInd w:val="0"/>
        <w:ind w:left="562" w:hanging="562"/>
        <w:rPr>
          <w:color w:val="000000"/>
        </w:rPr>
      </w:pPr>
      <w:r w:rsidRPr="004F5FB4">
        <w:rPr>
          <w:color w:val="000000"/>
        </w:rPr>
        <w:t xml:space="preserve">Während der Behandlung mit Amsparity können Sie leichter an Infektionen erkranken. Dieses Risiko kann sich zusätzlich erhöhen, wenn Sie Probleme mit Ihrer Lunge haben. Diese Infektionen können schwerwiegend sein und umfassen Tuberkulose, Infektionen, die durch Viren, Pilze, Parasiten oder Bakterien verursacht werden, oder andere Infektionen, die auftreten, wenn die Widerstandskraft gegenüber Krankheiten vermindert ist (opportunistische Infektionen durch ungewöhnliche infektiöse Organismen), sowie Blutvergiftung </w:t>
      </w:r>
      <w:r w:rsidRPr="004F5FB4">
        <w:rPr>
          <w:i/>
          <w:color w:val="000000"/>
        </w:rPr>
        <w:t>(Sepsis)</w:t>
      </w:r>
      <w:r w:rsidRPr="004F5FB4">
        <w:rPr>
          <w:color w:val="000000"/>
        </w:rPr>
        <w:t xml:space="preserve">. Diese Infektionen können in seltenen Fällen lebensbedrohlich sein. Es ist wichtig, dass Sie Ihren Arzt informieren, wenn bei Ihnen Anzeichen wie Fieber, Wunden, Abgeschlagenheit oder Zahnprobleme auftreten. Ihr Arzt wird Ihnen möglicherweise empfehlen, die Anwendung von Amsparity für eine bestimmte Zeit zu unterbrechen. </w:t>
      </w:r>
    </w:p>
    <w:p w14:paraId="745CF3BC" w14:textId="77777777" w:rsidR="00C46587" w:rsidRPr="004F5FB4" w:rsidRDefault="00C46587" w:rsidP="00982118">
      <w:pPr>
        <w:rPr>
          <w:color w:val="000000"/>
        </w:rPr>
      </w:pPr>
    </w:p>
    <w:p w14:paraId="2CFF6C75" w14:textId="77777777" w:rsidR="00D64D24" w:rsidRPr="004F5FB4" w:rsidRDefault="00D64D24" w:rsidP="00982118">
      <w:pPr>
        <w:rPr>
          <w:color w:val="000000"/>
          <w:u w:val="single"/>
        </w:rPr>
      </w:pPr>
      <w:r w:rsidRPr="004F5FB4">
        <w:rPr>
          <w:color w:val="000000"/>
          <w:u w:val="single"/>
        </w:rPr>
        <w:t>Tuberkulose</w:t>
      </w:r>
    </w:p>
    <w:p w14:paraId="5DF09367" w14:textId="77777777" w:rsidR="00D64D24" w:rsidRPr="004F5FB4" w:rsidRDefault="00D64D24" w:rsidP="00982118">
      <w:pPr>
        <w:rPr>
          <w:color w:val="000000"/>
          <w:lang w:val="en-GB"/>
        </w:rPr>
      </w:pPr>
    </w:p>
    <w:p w14:paraId="7153BA85" w14:textId="77777777" w:rsidR="00AA4681" w:rsidRPr="004F5FB4" w:rsidRDefault="00C46587" w:rsidP="000B37DD">
      <w:pPr>
        <w:numPr>
          <w:ilvl w:val="0"/>
          <w:numId w:val="5"/>
        </w:numPr>
        <w:kinsoku w:val="0"/>
        <w:overflowPunct w:val="0"/>
        <w:autoSpaceDE w:val="0"/>
        <w:autoSpaceDN w:val="0"/>
        <w:adjustRightInd w:val="0"/>
        <w:ind w:left="562" w:hanging="562"/>
        <w:rPr>
          <w:color w:val="000000"/>
        </w:rPr>
      </w:pPr>
      <w:r w:rsidRPr="004F5FB4">
        <w:rPr>
          <w:color w:val="000000"/>
        </w:rPr>
        <w:t>Ihr Arzt wird Sie vor Beginn der Behandlung mit Amsparity auf Anzeichen und Krankheitserscheinungen einer Tuberkulose untersuchen, da bei mit Adalimumab behandelten Patienten von Tuberkulosefällen berichtet wurde. Zu dieser gründlichen Untersuchung gehören die Aufnahme einer umfassenden medizinischen Vorgeschichte von Ihnen und geeignete Tests (z.</w:t>
      </w:r>
      <w:r w:rsidR="00B91676" w:rsidRPr="004F5FB4">
        <w:rPr>
          <w:color w:val="000000"/>
        </w:rPr>
        <w:t> </w:t>
      </w:r>
      <w:r w:rsidRPr="004F5FB4">
        <w:rPr>
          <w:color w:val="000000"/>
        </w:rPr>
        <w:t>B. eine Röntgen</w:t>
      </w:r>
      <w:r w:rsidRPr="004F5FB4">
        <w:rPr>
          <w:color w:val="000000"/>
        </w:rPr>
        <w:noBreakHyphen/>
        <w:t xml:space="preserve">Aufnahme des Brustkorbs und ein Tuberkulintest). Die Durchführung und Ergebnisse dieser Tests sollten in Ihrem Patientenpass dokumentiert werden. </w:t>
      </w:r>
    </w:p>
    <w:p w14:paraId="342773EF" w14:textId="77777777" w:rsidR="00AA4681" w:rsidRPr="004F5FB4" w:rsidRDefault="00AA4681" w:rsidP="00AA4681">
      <w:pPr>
        <w:kinsoku w:val="0"/>
        <w:overflowPunct w:val="0"/>
        <w:autoSpaceDE w:val="0"/>
        <w:autoSpaceDN w:val="0"/>
        <w:adjustRightInd w:val="0"/>
        <w:rPr>
          <w:color w:val="000000"/>
        </w:rPr>
      </w:pPr>
    </w:p>
    <w:p w14:paraId="689755CA" w14:textId="77777777" w:rsidR="00AA4681" w:rsidRPr="004F5FB4" w:rsidRDefault="00C46587" w:rsidP="000B37DD">
      <w:pPr>
        <w:numPr>
          <w:ilvl w:val="0"/>
          <w:numId w:val="5"/>
        </w:numPr>
        <w:kinsoku w:val="0"/>
        <w:overflowPunct w:val="0"/>
        <w:autoSpaceDE w:val="0"/>
        <w:autoSpaceDN w:val="0"/>
        <w:adjustRightInd w:val="0"/>
        <w:ind w:left="562" w:hanging="562"/>
        <w:rPr>
          <w:color w:val="000000"/>
        </w:rPr>
      </w:pPr>
      <w:r w:rsidRPr="004F5FB4">
        <w:rPr>
          <w:color w:val="000000"/>
        </w:rPr>
        <w:t xml:space="preserve">Es ist sehr wichtig, dass Sie Ihren Arzt informieren, wenn Sie jemals Tuberkulose hatten oder in engem Kontakt mit jemandem waren, der Tuberkulose hatte. </w:t>
      </w:r>
    </w:p>
    <w:p w14:paraId="10C3088B" w14:textId="77777777" w:rsidR="00AA4681" w:rsidRPr="004F5FB4" w:rsidRDefault="00AA4681" w:rsidP="00AA4681">
      <w:pPr>
        <w:kinsoku w:val="0"/>
        <w:overflowPunct w:val="0"/>
        <w:autoSpaceDE w:val="0"/>
        <w:autoSpaceDN w:val="0"/>
        <w:adjustRightInd w:val="0"/>
        <w:rPr>
          <w:color w:val="000000"/>
        </w:rPr>
      </w:pPr>
    </w:p>
    <w:p w14:paraId="252B6E07" w14:textId="77777777" w:rsidR="00AA4681" w:rsidRPr="004F5FB4" w:rsidRDefault="00C46587" w:rsidP="000B37DD">
      <w:pPr>
        <w:numPr>
          <w:ilvl w:val="0"/>
          <w:numId w:val="5"/>
        </w:numPr>
        <w:kinsoku w:val="0"/>
        <w:overflowPunct w:val="0"/>
        <w:autoSpaceDE w:val="0"/>
        <w:autoSpaceDN w:val="0"/>
        <w:adjustRightInd w:val="0"/>
        <w:ind w:left="562" w:hanging="562"/>
        <w:rPr>
          <w:color w:val="000000"/>
        </w:rPr>
      </w:pPr>
      <w:r w:rsidRPr="004F5FB4">
        <w:rPr>
          <w:color w:val="000000"/>
        </w:rPr>
        <w:t xml:space="preserve">Tuberkulose kann sich während der Behandlung entwickeln, sogar dann, wenn Sie eine vorbeugende Behandlung gegen Tuberkulose bekommen haben. </w:t>
      </w:r>
    </w:p>
    <w:p w14:paraId="0E28B87F" w14:textId="77777777" w:rsidR="00AA4681" w:rsidRPr="004F5FB4" w:rsidRDefault="00AA4681" w:rsidP="00AA4681">
      <w:pPr>
        <w:kinsoku w:val="0"/>
        <w:overflowPunct w:val="0"/>
        <w:autoSpaceDE w:val="0"/>
        <w:autoSpaceDN w:val="0"/>
        <w:adjustRightInd w:val="0"/>
        <w:rPr>
          <w:color w:val="000000"/>
        </w:rPr>
      </w:pPr>
    </w:p>
    <w:p w14:paraId="4B3A8B38" w14:textId="77777777" w:rsidR="00C46587" w:rsidRPr="004F5FB4" w:rsidRDefault="00C46587" w:rsidP="000B37DD">
      <w:pPr>
        <w:numPr>
          <w:ilvl w:val="0"/>
          <w:numId w:val="5"/>
        </w:numPr>
        <w:kinsoku w:val="0"/>
        <w:overflowPunct w:val="0"/>
        <w:autoSpaceDE w:val="0"/>
        <w:autoSpaceDN w:val="0"/>
        <w:adjustRightInd w:val="0"/>
        <w:ind w:left="562" w:hanging="562"/>
        <w:rPr>
          <w:color w:val="000000"/>
        </w:rPr>
      </w:pPr>
      <w:r w:rsidRPr="004F5FB4">
        <w:rPr>
          <w:color w:val="000000"/>
        </w:rPr>
        <w:t>Benachrichtigen Sie unverzüglich Ihren Arzt, wenn bei Ihnen Anzeichen einer Tuberkulose oder einer anderen Infektion während oder nach der Behandlung auftreten. Anzeichen einer Tuberkulose können z.</w:t>
      </w:r>
      <w:r w:rsidR="00B91676" w:rsidRPr="004F5FB4">
        <w:rPr>
          <w:color w:val="000000"/>
        </w:rPr>
        <w:t> </w:t>
      </w:r>
      <w:r w:rsidRPr="004F5FB4">
        <w:rPr>
          <w:color w:val="000000"/>
        </w:rPr>
        <w:t xml:space="preserve">B. sein: anhaltender Husten, Gewichtsverlust, das Gefühl, keine Energie zu haben, leichtes Fieber. </w:t>
      </w:r>
    </w:p>
    <w:p w14:paraId="1FFBCE32" w14:textId="77777777" w:rsidR="00C46587" w:rsidRPr="004F5FB4" w:rsidRDefault="00C46587" w:rsidP="00982118">
      <w:pPr>
        <w:rPr>
          <w:color w:val="000000"/>
        </w:rPr>
      </w:pPr>
    </w:p>
    <w:p w14:paraId="1A220864" w14:textId="77777777" w:rsidR="00286BBD" w:rsidRPr="004F5FB4" w:rsidRDefault="00286BBD" w:rsidP="00982118">
      <w:pPr>
        <w:keepNext/>
        <w:rPr>
          <w:color w:val="000000"/>
          <w:u w:val="single"/>
        </w:rPr>
      </w:pPr>
      <w:r w:rsidRPr="004F5FB4">
        <w:rPr>
          <w:color w:val="000000"/>
          <w:u w:val="single"/>
        </w:rPr>
        <w:t>Reisen/</w:t>
      </w:r>
      <w:r w:rsidR="00DE533F" w:rsidRPr="004F5FB4">
        <w:rPr>
          <w:color w:val="000000"/>
          <w:u w:val="single"/>
        </w:rPr>
        <w:t xml:space="preserve"> </w:t>
      </w:r>
      <w:r w:rsidRPr="004F5FB4">
        <w:rPr>
          <w:color w:val="000000"/>
          <w:u w:val="single"/>
        </w:rPr>
        <w:t>wiederkehrende Infektionen</w:t>
      </w:r>
    </w:p>
    <w:p w14:paraId="26A8AEF5" w14:textId="77777777" w:rsidR="00286BBD" w:rsidRPr="004F5FB4" w:rsidRDefault="00286BBD" w:rsidP="00982118">
      <w:pPr>
        <w:keepNext/>
        <w:rPr>
          <w:color w:val="000000"/>
          <w:lang w:val="en-GB"/>
        </w:rPr>
      </w:pPr>
    </w:p>
    <w:p w14:paraId="304CC38C" w14:textId="77777777" w:rsidR="00C46587" w:rsidRPr="004F5FB4" w:rsidRDefault="00286BBD" w:rsidP="00AA4681">
      <w:pPr>
        <w:numPr>
          <w:ilvl w:val="0"/>
          <w:numId w:val="5"/>
        </w:numPr>
        <w:ind w:left="562" w:hanging="562"/>
        <w:rPr>
          <w:color w:val="000000"/>
        </w:rPr>
      </w:pPr>
      <w:r w:rsidRPr="004F5FB4">
        <w:rPr>
          <w:color w:val="000000"/>
        </w:rPr>
        <w:t xml:space="preserve">Informieren Sie Ihren Arzt, wenn Sie in Regionen gelebt haben oder gereist sind, in denen Pilzinfektionen häufig vorkommen (z. B. </w:t>
      </w:r>
      <w:r w:rsidRPr="004F5FB4">
        <w:rPr>
          <w:i/>
          <w:color w:val="000000"/>
        </w:rPr>
        <w:t>Histoplasmose, Kokzidioidomykose</w:t>
      </w:r>
      <w:r w:rsidRPr="004F5FB4">
        <w:rPr>
          <w:color w:val="000000"/>
        </w:rPr>
        <w:t xml:space="preserve"> oder</w:t>
      </w:r>
      <w:r w:rsidRPr="004F5FB4">
        <w:rPr>
          <w:i/>
          <w:color w:val="000000"/>
        </w:rPr>
        <w:t xml:space="preserve"> Blastomykose</w:t>
      </w:r>
      <w:r w:rsidRPr="004F5FB4">
        <w:rPr>
          <w:color w:val="000000"/>
        </w:rPr>
        <w:t xml:space="preserve">). </w:t>
      </w:r>
    </w:p>
    <w:p w14:paraId="0BF6A3D6" w14:textId="77777777" w:rsidR="00C46587" w:rsidRPr="004F5FB4" w:rsidRDefault="00C46587" w:rsidP="00AA4681">
      <w:pPr>
        <w:ind w:left="562" w:hanging="562"/>
        <w:rPr>
          <w:color w:val="000000"/>
        </w:rPr>
      </w:pPr>
    </w:p>
    <w:p w14:paraId="0FF7F148" w14:textId="77777777" w:rsidR="00C46587" w:rsidRPr="004F5FB4" w:rsidRDefault="00286BBD" w:rsidP="00AA4681">
      <w:pPr>
        <w:numPr>
          <w:ilvl w:val="0"/>
          <w:numId w:val="5"/>
        </w:numPr>
        <w:ind w:left="562" w:hanging="562"/>
        <w:rPr>
          <w:color w:val="000000"/>
        </w:rPr>
      </w:pPr>
      <w:r w:rsidRPr="004F5FB4">
        <w:rPr>
          <w:color w:val="000000"/>
        </w:rPr>
        <w:t xml:space="preserve">Informieren Sie Ihren Arzt, wenn Sie in der Vergangenheit Infektionen gehabt haben, die immer wieder aufgetreten sind, oder wenn Sie andere Krankheiten gehabt haben, die das Risiko einer Infektion erhöhen. </w:t>
      </w:r>
    </w:p>
    <w:p w14:paraId="35F014E6" w14:textId="77777777" w:rsidR="006A0B43" w:rsidRPr="004F5FB4" w:rsidRDefault="006A0B43" w:rsidP="00AA4681">
      <w:pPr>
        <w:ind w:left="562" w:hanging="562"/>
        <w:rPr>
          <w:color w:val="000000"/>
        </w:rPr>
      </w:pPr>
    </w:p>
    <w:p w14:paraId="565E88CE" w14:textId="77777777" w:rsidR="006A0B43" w:rsidRPr="004F5FB4" w:rsidRDefault="006A0B43" w:rsidP="00AA4681">
      <w:pPr>
        <w:numPr>
          <w:ilvl w:val="0"/>
          <w:numId w:val="5"/>
        </w:numPr>
        <w:ind w:left="562" w:hanging="562"/>
        <w:rPr>
          <w:color w:val="000000"/>
        </w:rPr>
      </w:pPr>
      <w:r w:rsidRPr="004F5FB4">
        <w:rPr>
          <w:color w:val="000000"/>
        </w:rPr>
        <w:t>Sie sollten daher besonders auf Anzeichen einer Infektion achten, während Sie mit Amsparity behandelt werden. Es ist wichtig, dass Sie Ihren Arzt informieren, wenn Sie Symptome von Infektionen bemerken wie Fieber, Wunden, Gefühl der Müdigkeit oder Zahnprobleme.</w:t>
      </w:r>
    </w:p>
    <w:p w14:paraId="03B32B18" w14:textId="77777777" w:rsidR="00C46587" w:rsidRPr="004F5FB4" w:rsidRDefault="00C46587" w:rsidP="00AA4681">
      <w:pPr>
        <w:ind w:left="562" w:hanging="562"/>
        <w:rPr>
          <w:color w:val="000000"/>
        </w:rPr>
      </w:pPr>
    </w:p>
    <w:p w14:paraId="0B88EC8C" w14:textId="77777777" w:rsidR="00286BBD" w:rsidRPr="004F5FB4" w:rsidRDefault="00286BBD" w:rsidP="00771BD7">
      <w:pPr>
        <w:keepNext/>
        <w:rPr>
          <w:color w:val="000000"/>
          <w:u w:val="single"/>
        </w:rPr>
      </w:pPr>
      <w:r w:rsidRPr="004F5FB4">
        <w:rPr>
          <w:color w:val="000000"/>
          <w:u w:val="single"/>
        </w:rPr>
        <w:t>Hepatitis-B-Virus</w:t>
      </w:r>
    </w:p>
    <w:p w14:paraId="1EE76C83" w14:textId="77777777" w:rsidR="00286BBD" w:rsidRPr="004F5FB4" w:rsidRDefault="00286BBD" w:rsidP="00771BD7">
      <w:pPr>
        <w:keepNext/>
        <w:rPr>
          <w:color w:val="000000"/>
          <w:lang w:val="en-GB"/>
        </w:rPr>
      </w:pPr>
    </w:p>
    <w:p w14:paraId="2F3A932A" w14:textId="77777777" w:rsidR="00C46587" w:rsidRPr="004F5FB4" w:rsidRDefault="00286BBD" w:rsidP="00771BD7">
      <w:pPr>
        <w:numPr>
          <w:ilvl w:val="0"/>
          <w:numId w:val="5"/>
        </w:numPr>
        <w:ind w:left="562" w:hanging="562"/>
        <w:rPr>
          <w:color w:val="000000"/>
        </w:rPr>
      </w:pPr>
      <w:r w:rsidRPr="004F5FB4">
        <w:rPr>
          <w:color w:val="000000"/>
        </w:rPr>
        <w:t>Informieren Sie Ihren Arzt, wenn Sie Träger des Hepatitis-B-Virus (HBV) sind, wenn Sie eine aktive HBV-Infektion haben oder wenn Sie glauben, dass Sie ein erhöhtes Risiko für eine HBV-Infektion haben. Ihr Arzt sollte Sie auf HBV untersuchen. Adalimumab kann zu einem erneuten Ausbruch einer HBV-Infektion bei Personen führen, die dieses Virus tragen. In einigen seltenen Fällen, besonders bei der zusätzlichen Anwendung von weiteren Arzneimitteln, die das körpereigene Abwehrsystem unterdrücken, kann der erneute Ausbruch einer HBV</w:t>
      </w:r>
      <w:r w:rsidRPr="004F5FB4">
        <w:rPr>
          <w:color w:val="000000"/>
        </w:rPr>
        <w:noBreakHyphen/>
        <w:t xml:space="preserve">Infektion lebensbedrohend sein. </w:t>
      </w:r>
    </w:p>
    <w:p w14:paraId="752C8739" w14:textId="77777777" w:rsidR="00C46587" w:rsidRPr="004F5FB4" w:rsidRDefault="00C46587" w:rsidP="00982118">
      <w:pPr>
        <w:rPr>
          <w:color w:val="000000"/>
        </w:rPr>
      </w:pPr>
    </w:p>
    <w:p w14:paraId="484C9529" w14:textId="77777777" w:rsidR="00773E7E" w:rsidRPr="004F5FB4" w:rsidRDefault="00773E7E" w:rsidP="00982118">
      <w:pPr>
        <w:keepNext/>
        <w:rPr>
          <w:color w:val="000000"/>
          <w:u w:val="single"/>
        </w:rPr>
      </w:pPr>
      <w:r w:rsidRPr="004F5FB4">
        <w:rPr>
          <w:color w:val="000000"/>
          <w:u w:val="single"/>
        </w:rPr>
        <w:t>Alter über 65 Jahre</w:t>
      </w:r>
    </w:p>
    <w:p w14:paraId="3D031EAF" w14:textId="77777777" w:rsidR="00773E7E" w:rsidRPr="004F5FB4" w:rsidRDefault="00773E7E" w:rsidP="00982118">
      <w:pPr>
        <w:rPr>
          <w:color w:val="000000"/>
          <w:lang w:val="en-GB"/>
        </w:rPr>
      </w:pPr>
    </w:p>
    <w:p w14:paraId="3BBD02C8" w14:textId="77777777" w:rsidR="00C46587" w:rsidRPr="004F5FB4" w:rsidRDefault="00C46587" w:rsidP="00AA4681">
      <w:pPr>
        <w:numPr>
          <w:ilvl w:val="0"/>
          <w:numId w:val="5"/>
        </w:numPr>
        <w:ind w:left="562" w:hanging="562"/>
        <w:rPr>
          <w:color w:val="000000"/>
        </w:rPr>
      </w:pPr>
      <w:r w:rsidRPr="004F5FB4">
        <w:rPr>
          <w:color w:val="000000"/>
        </w:rPr>
        <w:t>Wenn Sie über 65</w:t>
      </w:r>
      <w:r w:rsidR="00B91676" w:rsidRPr="004F5FB4">
        <w:rPr>
          <w:color w:val="000000"/>
        </w:rPr>
        <w:t> </w:t>
      </w:r>
      <w:r w:rsidRPr="004F5FB4">
        <w:rPr>
          <w:color w:val="000000"/>
        </w:rPr>
        <w:t xml:space="preserve">Jahre alt sind, können Sie für Infektionen anfälliger sein, während Sie Amsparity nehmen. Sie und Ihr Arzt sollten daher besonders auf Anzeichen einer Infektion achten, während Sie mit Amsparity behandelt werden. Es ist wichtig, dass Sie Ihren Arzt informieren, wenn Sie Symptome von Infektionen bemerken wie Fieber, Wunden, Gefühl der Müdigkeit oder Zahnprobleme. </w:t>
      </w:r>
    </w:p>
    <w:p w14:paraId="5D207903" w14:textId="77777777" w:rsidR="00C46587" w:rsidRPr="004F5FB4" w:rsidRDefault="00C46587" w:rsidP="00982118">
      <w:pPr>
        <w:rPr>
          <w:color w:val="000000"/>
        </w:rPr>
      </w:pPr>
    </w:p>
    <w:p w14:paraId="41CF576F" w14:textId="77777777" w:rsidR="00773E7E" w:rsidRPr="004F5FB4" w:rsidRDefault="00773E7E" w:rsidP="00982118">
      <w:pPr>
        <w:keepNext/>
        <w:rPr>
          <w:color w:val="000000"/>
          <w:u w:val="single"/>
        </w:rPr>
      </w:pPr>
      <w:r w:rsidRPr="004F5FB4">
        <w:rPr>
          <w:color w:val="000000"/>
          <w:u w:val="single"/>
        </w:rPr>
        <w:t>Operationen oder Zahnbehandlungen</w:t>
      </w:r>
    </w:p>
    <w:p w14:paraId="4A5A1404" w14:textId="77777777" w:rsidR="00773E7E" w:rsidRPr="004F5FB4" w:rsidRDefault="00773E7E" w:rsidP="00982118">
      <w:pPr>
        <w:rPr>
          <w:color w:val="000000"/>
          <w:lang w:val="en-GB"/>
        </w:rPr>
      </w:pPr>
    </w:p>
    <w:p w14:paraId="7CBEBD5C" w14:textId="77777777" w:rsidR="00C46587" w:rsidRPr="004F5FB4" w:rsidRDefault="00C46587" w:rsidP="00AA4681">
      <w:pPr>
        <w:numPr>
          <w:ilvl w:val="0"/>
          <w:numId w:val="5"/>
        </w:numPr>
        <w:ind w:left="562" w:hanging="562"/>
        <w:rPr>
          <w:color w:val="000000"/>
        </w:rPr>
      </w:pPr>
      <w:r w:rsidRPr="004F5FB4">
        <w:rPr>
          <w:color w:val="000000"/>
        </w:rPr>
        <w:t xml:space="preserve">Informieren Sie bitte Ihren Arzt vor einer Operation oder einer Zahnbehandlung über Ihre Behandlung mit Amsparity. Ihr Arzt wird Ihnen möglicherweise empfehlen, die Anwendung von Amsparity für eine bestimmte Zeit zu unterbrechen. </w:t>
      </w:r>
    </w:p>
    <w:p w14:paraId="3C735F71" w14:textId="77777777" w:rsidR="00C46587" w:rsidRPr="004F5FB4" w:rsidRDefault="00C46587" w:rsidP="00982118">
      <w:pPr>
        <w:rPr>
          <w:color w:val="000000"/>
        </w:rPr>
      </w:pPr>
    </w:p>
    <w:p w14:paraId="312156FB" w14:textId="77777777" w:rsidR="00773E7E" w:rsidRPr="004F5FB4" w:rsidRDefault="00773E7E" w:rsidP="00982118">
      <w:pPr>
        <w:keepNext/>
        <w:rPr>
          <w:color w:val="000000"/>
          <w:u w:val="single"/>
        </w:rPr>
      </w:pPr>
      <w:r w:rsidRPr="004F5FB4">
        <w:rPr>
          <w:color w:val="000000"/>
          <w:u w:val="single"/>
        </w:rPr>
        <w:t>Demyelinisierende Erkrankungen</w:t>
      </w:r>
    </w:p>
    <w:p w14:paraId="6712A85C" w14:textId="77777777" w:rsidR="00773E7E" w:rsidRPr="004F5FB4" w:rsidRDefault="00773E7E" w:rsidP="00982118">
      <w:pPr>
        <w:rPr>
          <w:color w:val="000000"/>
          <w:lang w:val="en-GB"/>
        </w:rPr>
      </w:pPr>
    </w:p>
    <w:p w14:paraId="51D1AEB5" w14:textId="77777777" w:rsidR="00C46587" w:rsidRPr="004F5FB4" w:rsidRDefault="00C46587" w:rsidP="00A63F9C">
      <w:pPr>
        <w:numPr>
          <w:ilvl w:val="0"/>
          <w:numId w:val="5"/>
        </w:numPr>
        <w:ind w:left="562" w:hanging="562"/>
        <w:rPr>
          <w:color w:val="000000"/>
        </w:rPr>
      </w:pPr>
      <w:r w:rsidRPr="004F5FB4">
        <w:rPr>
          <w:color w:val="000000"/>
        </w:rPr>
        <w:t>Wenn Sie gerade eine Erkrankung entwickeln oder bereits haben, die die isolierende Schicht um die Nervenzellen beeinflusst (wie z.</w:t>
      </w:r>
      <w:r w:rsidR="00B91676" w:rsidRPr="004F5FB4">
        <w:rPr>
          <w:color w:val="000000"/>
        </w:rPr>
        <w:t> </w:t>
      </w:r>
      <w:r w:rsidRPr="004F5FB4">
        <w:rPr>
          <w:color w:val="000000"/>
        </w:rPr>
        <w:t xml:space="preserve">B. </w:t>
      </w:r>
      <w:r w:rsidR="00A63F9C" w:rsidRPr="004F5FB4">
        <w:rPr>
          <w:i/>
          <w:color w:val="000000"/>
        </w:rPr>
        <w:t>M</w:t>
      </w:r>
      <w:r w:rsidRPr="004F5FB4">
        <w:rPr>
          <w:i/>
          <w:color w:val="000000"/>
        </w:rPr>
        <w:t>ultiple Sklerose</w:t>
      </w:r>
      <w:r w:rsidRPr="004F5FB4">
        <w:rPr>
          <w:color w:val="000000"/>
        </w:rPr>
        <w:t xml:space="preserve">), wird Ihr Arzt entscheiden, ob Sie Amsparity anwenden bzw. weiter anwenden sollten. Informieren Sie sofort Ihren Arzt, wenn Sie schlechter sehen, wenn sich Ihre Arme oder Beine kraftlos anfühlen oder wenn sich Körperteile taub oder kribbelig anfühlen. </w:t>
      </w:r>
    </w:p>
    <w:p w14:paraId="7428350F" w14:textId="77777777" w:rsidR="00C46587" w:rsidRPr="004F5FB4" w:rsidRDefault="00C46587" w:rsidP="00982118">
      <w:pPr>
        <w:rPr>
          <w:color w:val="000000"/>
        </w:rPr>
      </w:pPr>
    </w:p>
    <w:p w14:paraId="45888273" w14:textId="77777777" w:rsidR="008C4629" w:rsidRPr="004F5FB4" w:rsidRDefault="008C4629" w:rsidP="00982118">
      <w:pPr>
        <w:keepNext/>
        <w:rPr>
          <w:color w:val="000000"/>
          <w:u w:val="single"/>
        </w:rPr>
      </w:pPr>
      <w:r w:rsidRPr="004F5FB4">
        <w:rPr>
          <w:color w:val="000000"/>
          <w:u w:val="single"/>
        </w:rPr>
        <w:t>Impfungen</w:t>
      </w:r>
    </w:p>
    <w:p w14:paraId="21015550" w14:textId="77777777" w:rsidR="008C4629" w:rsidRPr="004F5FB4" w:rsidRDefault="008C4629" w:rsidP="00982118">
      <w:pPr>
        <w:rPr>
          <w:color w:val="000000"/>
          <w:lang w:val="en-GB"/>
        </w:rPr>
      </w:pPr>
    </w:p>
    <w:p w14:paraId="4B32A83E" w14:textId="77777777" w:rsidR="00C46587" w:rsidRPr="004F5FB4" w:rsidRDefault="00C46587" w:rsidP="00AA4681">
      <w:pPr>
        <w:numPr>
          <w:ilvl w:val="0"/>
          <w:numId w:val="5"/>
        </w:numPr>
        <w:ind w:left="562" w:hanging="562"/>
        <w:rPr>
          <w:color w:val="000000"/>
        </w:rPr>
      </w:pPr>
      <w:r w:rsidRPr="004F5FB4">
        <w:rPr>
          <w:color w:val="000000"/>
        </w:rPr>
        <w:t xml:space="preserve">Gewisse Impfstoffe enthalten lebende, aber abgeschwächte Formen von Bakterien oder Viren, die Krankheiten verursachen können; diese Impfstoffe sollten während der Behandlung mit Amsparity nicht verwendet werden. Besprechen Sie jede Impfung vorher mit Ihrem Arzt. Bei Kindern und Jugendlichen wird empfohlen, nach Möglichkeit vor Behandlungsbeginn mit Amsparity alle für ihr Alter festgelegten Impfungen auf den aktuellen Stand zu bringen. Wenn Sie Amsparity während der Schwangerschaft erhalten, hat Ihr Säugling eventuell ein erhöhtes Risiko, während der ersten 5 Monate nach der letzten Amsparity-Dosis, die Sie während der Schwangerschaft erhalten, eine Infektion zu bekommen. Es ist wichtig, dass Sie den Ärzten des Kindes und anderem Fachpersonal im Gesundheitswesen mitteilen, dass Sie Amsparity während der Schwangerschaft bekommen haben, sodass diese darüber entscheiden können, ob Ihr Säugling eine Impfung erhalten sollte. </w:t>
      </w:r>
    </w:p>
    <w:p w14:paraId="716D259E" w14:textId="77777777" w:rsidR="00C46587" w:rsidRPr="004F5FB4" w:rsidRDefault="00C46587" w:rsidP="00982118">
      <w:pPr>
        <w:rPr>
          <w:color w:val="000000"/>
        </w:rPr>
      </w:pPr>
    </w:p>
    <w:p w14:paraId="0349091A" w14:textId="77777777" w:rsidR="001A798D" w:rsidRPr="004F5FB4" w:rsidRDefault="001A798D" w:rsidP="00982118">
      <w:pPr>
        <w:keepNext/>
        <w:rPr>
          <w:color w:val="000000"/>
          <w:u w:val="single"/>
        </w:rPr>
      </w:pPr>
      <w:r w:rsidRPr="004F5FB4">
        <w:rPr>
          <w:color w:val="000000"/>
          <w:u w:val="single"/>
        </w:rPr>
        <w:t>Herzschwäche</w:t>
      </w:r>
    </w:p>
    <w:p w14:paraId="23EED0BC" w14:textId="77777777" w:rsidR="001A798D" w:rsidRPr="004F5FB4" w:rsidRDefault="001A798D" w:rsidP="00982118">
      <w:pPr>
        <w:keepNext/>
        <w:rPr>
          <w:color w:val="000000"/>
          <w:lang w:val="en-GB"/>
        </w:rPr>
      </w:pPr>
    </w:p>
    <w:p w14:paraId="1BCA8F2C" w14:textId="77777777" w:rsidR="00C46587" w:rsidRPr="004F5FB4" w:rsidRDefault="001A798D" w:rsidP="00AA4681">
      <w:pPr>
        <w:numPr>
          <w:ilvl w:val="0"/>
          <w:numId w:val="5"/>
        </w:numPr>
        <w:ind w:left="562" w:hanging="562"/>
        <w:rPr>
          <w:color w:val="000000"/>
        </w:rPr>
      </w:pPr>
      <w:r w:rsidRPr="004F5FB4">
        <w:rPr>
          <w:color w:val="000000"/>
        </w:rPr>
        <w:t>Es ist wichtig, dass Sie Ihren Arzt darüber informieren, wenn Sie schwerwiegende Herzprobleme haben oder gehabt haben. Wenn Sie eine leichte Herzschwäche (Herzinsuffizienz) haben und mit Amsparity behandelt werden, muss Ihre Herzschwäche sorgfältig durch Ihren Arzt überwacht werden. Entwickeln Sie neue oder sich verschlechternde Symptome einer Herzschwäche (z.</w:t>
      </w:r>
      <w:r w:rsidR="00B91676" w:rsidRPr="004F5FB4">
        <w:rPr>
          <w:color w:val="000000"/>
        </w:rPr>
        <w:t> </w:t>
      </w:r>
      <w:r w:rsidRPr="004F5FB4">
        <w:rPr>
          <w:color w:val="000000"/>
        </w:rPr>
        <w:t xml:space="preserve">B. Kurzatmigkeit oder Anschwellen der Füße), müssen Sie sofort mit Ihrem Arzt sprechen. </w:t>
      </w:r>
    </w:p>
    <w:p w14:paraId="44E3516B" w14:textId="77777777" w:rsidR="00C46587" w:rsidRPr="004F5FB4" w:rsidRDefault="00C46587" w:rsidP="00982118">
      <w:pPr>
        <w:rPr>
          <w:color w:val="000000"/>
        </w:rPr>
      </w:pPr>
    </w:p>
    <w:p w14:paraId="5FB745D1" w14:textId="77777777" w:rsidR="001A798D" w:rsidRPr="004F5FB4" w:rsidRDefault="001A798D" w:rsidP="00D46BF7">
      <w:pPr>
        <w:keepNext/>
        <w:rPr>
          <w:color w:val="000000"/>
          <w:u w:val="single"/>
        </w:rPr>
      </w:pPr>
      <w:r w:rsidRPr="004F5FB4">
        <w:rPr>
          <w:color w:val="000000"/>
          <w:u w:val="single"/>
        </w:rPr>
        <w:t>Fieber, blaue Flecke, Blutungen, blasses Aussehen</w:t>
      </w:r>
    </w:p>
    <w:p w14:paraId="14FE5BDD" w14:textId="77777777" w:rsidR="001A798D" w:rsidRPr="004F5FB4" w:rsidRDefault="001A798D" w:rsidP="00D46BF7">
      <w:pPr>
        <w:keepNext/>
        <w:rPr>
          <w:color w:val="000000"/>
        </w:rPr>
      </w:pPr>
    </w:p>
    <w:p w14:paraId="7D16E734" w14:textId="77777777" w:rsidR="00C46587" w:rsidRPr="004F5FB4" w:rsidRDefault="00C46587" w:rsidP="00AA4681">
      <w:pPr>
        <w:numPr>
          <w:ilvl w:val="0"/>
          <w:numId w:val="5"/>
        </w:numPr>
        <w:ind w:left="562" w:hanging="562"/>
        <w:rPr>
          <w:color w:val="000000"/>
        </w:rPr>
      </w:pPr>
      <w:r w:rsidRPr="004F5FB4">
        <w:rPr>
          <w:color w:val="000000"/>
        </w:rPr>
        <w:t xml:space="preserve">Bei einigen Patienten kann die körpereigene Produktion von bestimmten Blutzellen vermindert sein. Diese Blutzellen helfen bei der Bekämpfung von Infektionen oder beim Stoppen von Blutungen. Wenn Sie anhaltendes Fieber bekommen, sehr leicht blaue Flecken entwickeln oder bluten oder sehr blass aussehen, benachrichtigen Sie umgehend Ihren Arzt. Ihr Arzt wird möglicherweise entscheiden, die Behandlung zu beenden. </w:t>
      </w:r>
    </w:p>
    <w:p w14:paraId="72B09F63" w14:textId="77777777" w:rsidR="00C46587" w:rsidRPr="004F5FB4" w:rsidRDefault="00C46587" w:rsidP="00982118">
      <w:pPr>
        <w:rPr>
          <w:color w:val="000000"/>
          <w:lang w:val="en-GB"/>
        </w:rPr>
      </w:pPr>
    </w:p>
    <w:p w14:paraId="7CDF8F93" w14:textId="77777777" w:rsidR="00166693" w:rsidRPr="004F5FB4" w:rsidRDefault="00166693" w:rsidP="00982118">
      <w:pPr>
        <w:keepNext/>
        <w:rPr>
          <w:color w:val="000000"/>
          <w:u w:val="single"/>
        </w:rPr>
      </w:pPr>
      <w:r w:rsidRPr="004F5FB4">
        <w:rPr>
          <w:color w:val="000000"/>
          <w:u w:val="single"/>
        </w:rPr>
        <w:t>Krebs</w:t>
      </w:r>
    </w:p>
    <w:p w14:paraId="2793E8EC" w14:textId="77777777" w:rsidR="00166693" w:rsidRPr="004F5FB4" w:rsidRDefault="00166693" w:rsidP="00982118">
      <w:pPr>
        <w:rPr>
          <w:color w:val="000000"/>
          <w:lang w:val="en-GB"/>
        </w:rPr>
      </w:pPr>
    </w:p>
    <w:p w14:paraId="705B7C93" w14:textId="77777777" w:rsidR="00166693" w:rsidRPr="004F5FB4" w:rsidRDefault="00C46587" w:rsidP="00AA4681">
      <w:pPr>
        <w:numPr>
          <w:ilvl w:val="0"/>
          <w:numId w:val="5"/>
        </w:numPr>
        <w:ind w:left="562" w:hanging="562"/>
        <w:rPr>
          <w:color w:val="000000"/>
        </w:rPr>
      </w:pPr>
      <w:r w:rsidRPr="004F5FB4">
        <w:rPr>
          <w:color w:val="000000"/>
        </w:rPr>
        <w:lastRenderedPageBreak/>
        <w:t xml:space="preserve">Es gab sehr selten Fälle bestimmter Krebsarten bei Kindern und Erwachsenen, die Adalimumab oder andere TNFα-Hemmer erhielten. Patienten mit schwereren Verlaufsformen der rheumatoiden Arthritis und langjährig bestehender Erkrankung können ein im Vergleich zum Durchschnitt erhöhtes Risiko aufweisen für die Entwicklung eines Lymphoms (Krebs, der das Lymphsystem betrifft) und von Leukämie (Krebs, der das Blut und das Knochenmark betrifft). Wenn Sie Amsparity anwenden, kann sich Ihr Risiko, Lymphome, Leukämie oder andere Krebsformen zu entwickeln, möglicherweise erhöhen. In Ausnahmefällen wurde bei Patienten, die mit Adalimumab behandelt wurden, eine seltene und schwere Form des Lymphoms beobachtet. Einige dieser Patienten wurden gleichzeitig mit dem Wirkstoff Azathioprin oder Mercaptopurin behandelt. Informieren Sie Ihren Arzt, wenn Sie Azathioprin oder Mercaptopurin zusammen mit Amsparity einnehmen. </w:t>
      </w:r>
    </w:p>
    <w:p w14:paraId="00C70140" w14:textId="77777777" w:rsidR="00166693" w:rsidRPr="004F5FB4" w:rsidRDefault="00166693" w:rsidP="00AA4681">
      <w:pPr>
        <w:ind w:left="562" w:hanging="562"/>
        <w:rPr>
          <w:color w:val="000000"/>
        </w:rPr>
      </w:pPr>
    </w:p>
    <w:p w14:paraId="6D87B2D0" w14:textId="77777777" w:rsidR="00C46587" w:rsidRPr="004F5FB4" w:rsidRDefault="00166693" w:rsidP="002F19E7">
      <w:pPr>
        <w:numPr>
          <w:ilvl w:val="0"/>
          <w:numId w:val="5"/>
        </w:numPr>
        <w:ind w:left="562" w:hanging="562"/>
        <w:rPr>
          <w:color w:val="000000"/>
        </w:rPr>
      </w:pPr>
      <w:r w:rsidRPr="004F5FB4">
        <w:rPr>
          <w:color w:val="000000"/>
        </w:rPr>
        <w:t xml:space="preserve">Darüber hinaus wurden bei Patienten unter Adalimumab-Therapie Fälle mit Hauttumoren, die keine Melanome waren, beobachtet. Falls während oder nach der Behandlung neue Hautschädigungen auftreten oder sich das Aussehen bereits bestehender Hautschädigungen verändert, informieren Sie bitte Ihren Arzt. </w:t>
      </w:r>
    </w:p>
    <w:p w14:paraId="09E3C91B" w14:textId="77777777" w:rsidR="00C46587" w:rsidRPr="004F5FB4" w:rsidRDefault="00C46587" w:rsidP="00AA4681">
      <w:pPr>
        <w:ind w:left="562" w:hanging="562"/>
        <w:rPr>
          <w:color w:val="000000"/>
        </w:rPr>
      </w:pPr>
    </w:p>
    <w:p w14:paraId="02A6D346" w14:textId="77777777" w:rsidR="00C46587" w:rsidRPr="004F5FB4" w:rsidRDefault="00C46587" w:rsidP="00AA4681">
      <w:pPr>
        <w:numPr>
          <w:ilvl w:val="0"/>
          <w:numId w:val="5"/>
        </w:numPr>
        <w:ind w:left="562" w:hanging="562"/>
        <w:rPr>
          <w:color w:val="000000"/>
        </w:rPr>
      </w:pPr>
      <w:r w:rsidRPr="004F5FB4">
        <w:rPr>
          <w:color w:val="000000"/>
        </w:rPr>
        <w:t xml:space="preserve">Bei Patienten mit einer besonderen Art von Lungenerkrankung, der chronischen obstruktiven Lungenerkrankung (COPD), sind unter Behandlung mit einem anderen TNFα-Hemmer Fälle von Krebs aufgetreten. Unter diesen Fällen waren keine Lymphome. Wenn Sie COPD haben oder wenn Sie stark rauchen, sollten Sie mit Ihrem Arzt besprechen, ob die Behandlung mit einem TNFα -Hemmer für Sie geeignet ist. </w:t>
      </w:r>
    </w:p>
    <w:p w14:paraId="5503DC53" w14:textId="77777777" w:rsidR="00ED39CA" w:rsidRPr="004F5FB4" w:rsidRDefault="00ED39CA" w:rsidP="00AA4681">
      <w:pPr>
        <w:ind w:left="562" w:hanging="562"/>
        <w:rPr>
          <w:color w:val="000000"/>
        </w:rPr>
      </w:pPr>
    </w:p>
    <w:p w14:paraId="10284954" w14:textId="77777777" w:rsidR="0083756D" w:rsidRPr="004F5FB4" w:rsidRDefault="0083756D" w:rsidP="00982118">
      <w:pPr>
        <w:pStyle w:val="BodyText"/>
        <w:widowControl/>
        <w:kinsoku w:val="0"/>
        <w:overflowPunct w:val="0"/>
        <w:ind w:left="110"/>
        <w:rPr>
          <w:color w:val="000000"/>
        </w:rPr>
      </w:pPr>
      <w:r w:rsidRPr="004F5FB4">
        <w:rPr>
          <w:color w:val="000000"/>
          <w:u w:val="single"/>
        </w:rPr>
        <w:t>Autoimmunerkrankung</w:t>
      </w:r>
    </w:p>
    <w:p w14:paraId="7491D894" w14:textId="77777777" w:rsidR="0083756D" w:rsidRPr="004F5FB4" w:rsidRDefault="0083756D" w:rsidP="00982118">
      <w:pPr>
        <w:rPr>
          <w:color w:val="000000"/>
          <w:lang w:val="en-GB"/>
        </w:rPr>
      </w:pPr>
    </w:p>
    <w:p w14:paraId="1A2EA765" w14:textId="77777777" w:rsidR="00ED39CA" w:rsidRPr="004F5FB4" w:rsidRDefault="00ED39CA" w:rsidP="00AA4681">
      <w:pPr>
        <w:numPr>
          <w:ilvl w:val="0"/>
          <w:numId w:val="5"/>
        </w:numPr>
        <w:ind w:left="562" w:hanging="562"/>
        <w:rPr>
          <w:color w:val="000000"/>
        </w:rPr>
      </w:pPr>
      <w:r w:rsidRPr="004F5FB4">
        <w:rPr>
          <w:color w:val="000000"/>
        </w:rPr>
        <w:t>In seltenen Fällen kann die Behandlung mit Amsparity ein lupusähnliches Syndrom auslösen. Kontaktieren Sie Ihren Arzt, falls Symptome wie ein anhaltender, nicht erklärbarer Hautausschlag, Fieber, Gelenkschmerzen oder Müdigkeit auftreten.</w:t>
      </w:r>
    </w:p>
    <w:p w14:paraId="0AD88A76" w14:textId="77777777" w:rsidR="00AD6E0A" w:rsidRPr="004F5FB4" w:rsidRDefault="00AD6E0A" w:rsidP="00982118">
      <w:pPr>
        <w:rPr>
          <w:color w:val="000000"/>
        </w:rPr>
      </w:pPr>
    </w:p>
    <w:p w14:paraId="30449042" w14:textId="77777777" w:rsidR="00C46587" w:rsidRPr="004F5FB4" w:rsidRDefault="00C46587" w:rsidP="00982118">
      <w:pPr>
        <w:keepNext/>
        <w:rPr>
          <w:b/>
          <w:color w:val="000000"/>
        </w:rPr>
      </w:pPr>
      <w:r w:rsidRPr="004F5FB4">
        <w:rPr>
          <w:b/>
          <w:color w:val="000000"/>
        </w:rPr>
        <w:t xml:space="preserve">Anwendung von Amsparity zusammen mit anderen Arzneimitteln </w:t>
      </w:r>
    </w:p>
    <w:p w14:paraId="515F0114" w14:textId="77777777" w:rsidR="00C46587" w:rsidRPr="004F5FB4" w:rsidRDefault="00C46587" w:rsidP="00982118">
      <w:pPr>
        <w:keepNext/>
        <w:rPr>
          <w:color w:val="000000"/>
        </w:rPr>
      </w:pPr>
    </w:p>
    <w:p w14:paraId="44B93295" w14:textId="77777777" w:rsidR="00C46587" w:rsidRPr="004F5FB4" w:rsidRDefault="00C46587" w:rsidP="00982118">
      <w:pPr>
        <w:rPr>
          <w:color w:val="000000"/>
        </w:rPr>
      </w:pPr>
      <w:r w:rsidRPr="004F5FB4">
        <w:rPr>
          <w:color w:val="000000"/>
        </w:rPr>
        <w:t xml:space="preserve">Informieren Sie Ihren Arzt oder Apotheker, wenn Sie andere Arzneimittel einnehmen, kürzlich andere Arzneimittel eingenommen haben oder wenn Sie beabsichtigen, andere Arzneimittel einzunehmen. </w:t>
      </w:r>
    </w:p>
    <w:p w14:paraId="0FD66190" w14:textId="77777777" w:rsidR="00C46587" w:rsidRPr="004F5FB4" w:rsidRDefault="00C46587" w:rsidP="00982118">
      <w:pPr>
        <w:rPr>
          <w:color w:val="000000"/>
        </w:rPr>
      </w:pPr>
    </w:p>
    <w:p w14:paraId="2E698637" w14:textId="77777777" w:rsidR="00C46587" w:rsidRPr="004F5FB4" w:rsidRDefault="006A1144" w:rsidP="00982118">
      <w:pPr>
        <w:rPr>
          <w:color w:val="000000"/>
        </w:rPr>
      </w:pPr>
      <w:r w:rsidRPr="004F5FB4">
        <w:rPr>
          <w:color w:val="000000"/>
        </w:rPr>
        <w:t xml:space="preserve">Amsparity kann zusammen mit Methotrexat oder bestimmten krankheitsmodifizierenden Antirheumatika (zum Beispiel Sulfasalazin, Hydroxychloroquin, Leflunomid und injizierbaren Goldzubereitungen), mit Kortikosteroiden oder Schmerzmitteln, einschließlich nicht steroidhaltiger entzündungshemmender Antirheumatika (NSAR), verwendet werden. </w:t>
      </w:r>
    </w:p>
    <w:p w14:paraId="214EA89A" w14:textId="77777777" w:rsidR="00C46587" w:rsidRPr="004F5FB4" w:rsidRDefault="00C46587" w:rsidP="00982118">
      <w:pPr>
        <w:rPr>
          <w:color w:val="000000"/>
        </w:rPr>
      </w:pPr>
    </w:p>
    <w:p w14:paraId="61A6CD65" w14:textId="77777777" w:rsidR="00C46587" w:rsidRPr="004F5FB4" w:rsidRDefault="00C46587" w:rsidP="00982118">
      <w:pPr>
        <w:rPr>
          <w:color w:val="000000"/>
        </w:rPr>
      </w:pPr>
      <w:r w:rsidRPr="004F5FB4">
        <w:rPr>
          <w:color w:val="000000"/>
        </w:rPr>
        <w:t>Sie dürfen Amsparity nicht zusammen mit Arzneimitteln verwenden, die als Wirkstoffe Anakinra oder Abatacept enthalten, da ein erhöhtes Risiko einer schwerwiegenden Infektion besteht. Die Kombination von Adalimumab und anderen TNF</w:t>
      </w:r>
      <w:r w:rsidRPr="004F5FB4">
        <w:rPr>
          <w:color w:val="000000"/>
        </w:rPr>
        <w:noBreakHyphen/>
        <w:t xml:space="preserve">Antagonisten mit Anakinra oder Abatacept wird aufgrund des möglicherweise erhöhten Risikos für Infektionen, einschließlich schwerwiegender Infektionen, und anderer möglicher Arzneimittelwechselwirkungen, nicht empfohlen. Sollten Sie Fragen haben, wenden Sie sich bitte an Ihren Arzt. </w:t>
      </w:r>
    </w:p>
    <w:p w14:paraId="57229766" w14:textId="77777777" w:rsidR="00C46587" w:rsidRPr="004F5FB4" w:rsidRDefault="00C46587" w:rsidP="00982118">
      <w:pPr>
        <w:rPr>
          <w:color w:val="000000"/>
        </w:rPr>
      </w:pPr>
    </w:p>
    <w:p w14:paraId="6516F99F" w14:textId="77777777" w:rsidR="00C46587" w:rsidRPr="004F5FB4" w:rsidRDefault="00C46587" w:rsidP="00771BD7">
      <w:pPr>
        <w:keepNext/>
        <w:rPr>
          <w:b/>
          <w:color w:val="000000"/>
        </w:rPr>
      </w:pPr>
      <w:r w:rsidRPr="004F5FB4">
        <w:rPr>
          <w:b/>
          <w:color w:val="000000"/>
        </w:rPr>
        <w:t xml:space="preserve">Schwangerschaft und Stillzeit </w:t>
      </w:r>
    </w:p>
    <w:p w14:paraId="3D73333C" w14:textId="77777777" w:rsidR="00C46587" w:rsidRPr="004F5FB4" w:rsidRDefault="00C46587" w:rsidP="00982118">
      <w:pPr>
        <w:rPr>
          <w:color w:val="000000"/>
        </w:rPr>
      </w:pPr>
    </w:p>
    <w:p w14:paraId="078162E9" w14:textId="77777777" w:rsidR="00A65294" w:rsidRPr="004F5FB4" w:rsidRDefault="00A65294" w:rsidP="00EF065D">
      <w:pPr>
        <w:autoSpaceDE w:val="0"/>
        <w:autoSpaceDN w:val="0"/>
        <w:adjustRightInd w:val="0"/>
        <w:rPr>
          <w:color w:val="000000"/>
        </w:rPr>
      </w:pPr>
      <w:r w:rsidRPr="004F5FB4">
        <w:rPr>
          <w:color w:val="000000"/>
        </w:rPr>
        <w:t>Sie sollten eine geeignete Verhütungsmethode in Erwägung ziehen, um nicht schwanger zu werden, und bis mindestens 5</w:t>
      </w:r>
      <w:r w:rsidR="00B91676" w:rsidRPr="004F5FB4">
        <w:rPr>
          <w:color w:val="000000"/>
        </w:rPr>
        <w:t> </w:t>
      </w:r>
      <w:r w:rsidRPr="004F5FB4">
        <w:rPr>
          <w:color w:val="000000"/>
        </w:rPr>
        <w:t>Monate nach der letzten Dosis von Amsparity verhüten.</w:t>
      </w:r>
    </w:p>
    <w:p w14:paraId="09BC3D85" w14:textId="77777777" w:rsidR="00EF065D" w:rsidRPr="004F5FB4" w:rsidRDefault="00EF065D" w:rsidP="00EF065D">
      <w:pPr>
        <w:autoSpaceDE w:val="0"/>
        <w:autoSpaceDN w:val="0"/>
        <w:adjustRightInd w:val="0"/>
        <w:rPr>
          <w:color w:val="000000"/>
        </w:rPr>
      </w:pPr>
    </w:p>
    <w:p w14:paraId="1590C5A0" w14:textId="77777777" w:rsidR="00A65294" w:rsidRPr="004F5FB4" w:rsidRDefault="00A65294" w:rsidP="00EF065D">
      <w:pPr>
        <w:autoSpaceDE w:val="0"/>
        <w:autoSpaceDN w:val="0"/>
        <w:adjustRightInd w:val="0"/>
        <w:rPr>
          <w:color w:val="000000"/>
        </w:rPr>
      </w:pPr>
      <w:r w:rsidRPr="004F5FB4">
        <w:rPr>
          <w:color w:val="000000"/>
        </w:rPr>
        <w:t>Wenn Sie schwanger sind, vermuten, schwanger zu sein, oder beabsichtigen, schwanger zu werden, fragen Sie Ihren Arzt zur Anwendung dieses Arzneimittels um Rat.</w:t>
      </w:r>
    </w:p>
    <w:p w14:paraId="6DFA4857" w14:textId="77777777" w:rsidR="00EF065D" w:rsidRPr="004F5FB4" w:rsidRDefault="00EF065D" w:rsidP="00EF065D">
      <w:pPr>
        <w:autoSpaceDE w:val="0"/>
        <w:autoSpaceDN w:val="0"/>
        <w:adjustRightInd w:val="0"/>
        <w:rPr>
          <w:color w:val="000000"/>
        </w:rPr>
      </w:pPr>
    </w:p>
    <w:p w14:paraId="35B61ACE" w14:textId="77777777" w:rsidR="00A65294" w:rsidRPr="004F5FB4" w:rsidRDefault="006A1144" w:rsidP="00EF065D">
      <w:pPr>
        <w:autoSpaceDE w:val="0"/>
        <w:autoSpaceDN w:val="0"/>
        <w:adjustRightInd w:val="0"/>
        <w:rPr>
          <w:color w:val="000000"/>
        </w:rPr>
      </w:pPr>
      <w:r w:rsidRPr="004F5FB4">
        <w:rPr>
          <w:color w:val="000000"/>
        </w:rPr>
        <w:t>Amsparity sollte während einer Schwangerschaft nur angewendet werden, wenn dies erforderlich ist.</w:t>
      </w:r>
    </w:p>
    <w:p w14:paraId="262F2B93" w14:textId="77777777" w:rsidR="00EF065D" w:rsidRPr="004F5FB4" w:rsidRDefault="00EF065D" w:rsidP="00EF065D">
      <w:pPr>
        <w:autoSpaceDE w:val="0"/>
        <w:autoSpaceDN w:val="0"/>
        <w:adjustRightInd w:val="0"/>
        <w:rPr>
          <w:color w:val="000000"/>
        </w:rPr>
      </w:pPr>
    </w:p>
    <w:p w14:paraId="7AA77EF7" w14:textId="77777777" w:rsidR="00A65294" w:rsidRPr="004F5FB4" w:rsidRDefault="00A65294" w:rsidP="00EF065D">
      <w:pPr>
        <w:autoSpaceDE w:val="0"/>
        <w:autoSpaceDN w:val="0"/>
        <w:adjustRightInd w:val="0"/>
        <w:rPr>
          <w:color w:val="000000"/>
        </w:rPr>
      </w:pPr>
      <w:r w:rsidRPr="004F5FB4">
        <w:rPr>
          <w:color w:val="000000"/>
        </w:rPr>
        <w:lastRenderedPageBreak/>
        <w:t>Laut einer Studie mit Schwangeren bestand bei Kindern von Müttern, die während der Schwangerschaft mit Adalimumab behandelt wurden, kein höheres Risiko für Geburtsfehler als bei Kindern von Müttern mit der gleichen Erkrankung, die nicht mit Adalimumab behandelt wurden.</w:t>
      </w:r>
    </w:p>
    <w:p w14:paraId="06BEBE66" w14:textId="77777777" w:rsidR="00EF065D" w:rsidRPr="004F5FB4" w:rsidRDefault="00EF065D" w:rsidP="00EF065D">
      <w:pPr>
        <w:autoSpaceDE w:val="0"/>
        <w:autoSpaceDN w:val="0"/>
        <w:adjustRightInd w:val="0"/>
        <w:rPr>
          <w:color w:val="000000"/>
        </w:rPr>
      </w:pPr>
    </w:p>
    <w:p w14:paraId="5E9AFB7C" w14:textId="77777777" w:rsidR="00A65294" w:rsidRPr="004F5FB4" w:rsidRDefault="006A1144" w:rsidP="00EF065D">
      <w:pPr>
        <w:autoSpaceDE w:val="0"/>
        <w:autoSpaceDN w:val="0"/>
        <w:adjustRightInd w:val="0"/>
        <w:rPr>
          <w:color w:val="000000"/>
        </w:rPr>
      </w:pPr>
      <w:r w:rsidRPr="004F5FB4">
        <w:rPr>
          <w:color w:val="000000"/>
        </w:rPr>
        <w:t>Amsparity kann während der Stillzeit angewendet werden.</w:t>
      </w:r>
    </w:p>
    <w:p w14:paraId="7AAEB93B" w14:textId="77777777" w:rsidR="00EF065D" w:rsidRPr="004F5FB4" w:rsidRDefault="00EF065D" w:rsidP="00EF065D">
      <w:pPr>
        <w:autoSpaceDE w:val="0"/>
        <w:autoSpaceDN w:val="0"/>
        <w:adjustRightInd w:val="0"/>
        <w:rPr>
          <w:color w:val="000000"/>
        </w:rPr>
      </w:pPr>
    </w:p>
    <w:p w14:paraId="1C050FEF" w14:textId="77777777" w:rsidR="00A65294" w:rsidRPr="004F5FB4" w:rsidRDefault="00A65294" w:rsidP="00EF065D">
      <w:pPr>
        <w:autoSpaceDE w:val="0"/>
        <w:autoSpaceDN w:val="0"/>
        <w:adjustRightInd w:val="0"/>
        <w:rPr>
          <w:color w:val="000000"/>
        </w:rPr>
      </w:pPr>
      <w:r w:rsidRPr="004F5FB4">
        <w:rPr>
          <w:color w:val="000000"/>
        </w:rPr>
        <w:t>Wenn Sie Amsparity während einer Schwangerschaft erhalten, hat Ihr Säugling eventuell ein erhöhtes Risiko, eine Infektion zu bekommen. Es ist wichtig, dass Sie vor einer Impfung Ihres Säuglings die Ärzte des Kindes und anderes Fachpersonal im Gesundheitswesen darüber informieren, dass Sie Amsparity während der Schwangerschaft angewendet haben. Weitere Information siehe im Abschnitt zu Impfungen unter „Warnhinweise und Vorsichtsmaßnahmen“.</w:t>
      </w:r>
    </w:p>
    <w:p w14:paraId="09411546" w14:textId="77777777" w:rsidR="00C46587" w:rsidRPr="004F5FB4" w:rsidRDefault="00C46587" w:rsidP="00982118">
      <w:pPr>
        <w:rPr>
          <w:color w:val="000000"/>
        </w:rPr>
      </w:pPr>
    </w:p>
    <w:p w14:paraId="20D9E2EB" w14:textId="77777777" w:rsidR="00C46587" w:rsidRPr="004F5FB4" w:rsidRDefault="00C46587" w:rsidP="00E936BC">
      <w:pPr>
        <w:keepNext/>
        <w:rPr>
          <w:b/>
          <w:color w:val="000000"/>
        </w:rPr>
      </w:pPr>
      <w:r w:rsidRPr="004F5FB4">
        <w:rPr>
          <w:b/>
          <w:color w:val="000000"/>
        </w:rPr>
        <w:t xml:space="preserve">Verkehrstüchtigkeit und Fähigkeit zum Bedienen von Maschinen </w:t>
      </w:r>
    </w:p>
    <w:p w14:paraId="61E30598" w14:textId="77777777" w:rsidR="00C46587" w:rsidRPr="004F5FB4" w:rsidRDefault="00C46587" w:rsidP="00E936BC">
      <w:pPr>
        <w:keepNext/>
        <w:rPr>
          <w:color w:val="000000"/>
        </w:rPr>
      </w:pPr>
    </w:p>
    <w:p w14:paraId="5D5A8936" w14:textId="77777777" w:rsidR="00C46587" w:rsidRPr="004F5FB4" w:rsidRDefault="006A1144" w:rsidP="00982118">
      <w:pPr>
        <w:rPr>
          <w:color w:val="000000"/>
        </w:rPr>
      </w:pPr>
      <w:r w:rsidRPr="004F5FB4">
        <w:rPr>
          <w:color w:val="000000"/>
        </w:rPr>
        <w:t xml:space="preserve">Amsparity kann einen geringen Einfluss auf Ihre Verkehrstüchtigkeit und das Bedienen von Maschinen haben. Bei der Anwendung von Amsparity kann das Sehvermögen beeinträchtigt sein und es kann das Gefühl auftreten, dass sich der Raum dreht (Drehschwindel). </w:t>
      </w:r>
    </w:p>
    <w:p w14:paraId="754EB328" w14:textId="77777777" w:rsidR="00ED39CA" w:rsidRPr="004F5FB4" w:rsidRDefault="00ED39CA" w:rsidP="00982118">
      <w:pPr>
        <w:rPr>
          <w:color w:val="000000"/>
        </w:rPr>
      </w:pPr>
    </w:p>
    <w:p w14:paraId="728311F8" w14:textId="77777777" w:rsidR="00967326" w:rsidRPr="007F47A9" w:rsidRDefault="00967326" w:rsidP="00967326">
      <w:pPr>
        <w:keepNext/>
        <w:rPr>
          <w:b/>
        </w:rPr>
      </w:pPr>
      <w:r>
        <w:rPr>
          <w:b/>
        </w:rPr>
        <w:t>Amsparity enthält Polysorbat 80</w:t>
      </w:r>
    </w:p>
    <w:p w14:paraId="29554158" w14:textId="77777777" w:rsidR="00967326" w:rsidRPr="00272A84" w:rsidRDefault="00967326" w:rsidP="00967326"/>
    <w:p w14:paraId="46B89653" w14:textId="77777777" w:rsidR="00967326" w:rsidRPr="007F47A9" w:rsidRDefault="00967326" w:rsidP="00967326">
      <w:r>
        <w:t>Dieses Arzneimittel enthält 0,16 mg Polysorbat 80 pro Einzeldosis-Fertigpen mit 0,8 ml, entsprechend 0,2 mg/ml Polysorbat 80. Polysorbate können allergische Reaktionen hervorrufen. Informieren Sie Ihren Arzt, wenn Sie bekannte Allergien haben.</w:t>
      </w:r>
    </w:p>
    <w:p w14:paraId="326BC153" w14:textId="77777777" w:rsidR="00967326" w:rsidRPr="00EC03BF" w:rsidRDefault="00967326" w:rsidP="00967326">
      <w:pPr>
        <w:keepNext/>
        <w:rPr>
          <w:b/>
        </w:rPr>
      </w:pPr>
    </w:p>
    <w:p w14:paraId="673BFDDD" w14:textId="77777777" w:rsidR="00ED39CA" w:rsidRPr="004F5FB4" w:rsidRDefault="006A1144" w:rsidP="00982118">
      <w:pPr>
        <w:rPr>
          <w:b/>
          <w:color w:val="000000"/>
        </w:rPr>
      </w:pPr>
      <w:r w:rsidRPr="004F5FB4">
        <w:rPr>
          <w:b/>
          <w:color w:val="000000"/>
        </w:rPr>
        <w:t>Amsparity enthält Natrium</w:t>
      </w:r>
    </w:p>
    <w:p w14:paraId="0386FCB4" w14:textId="77777777" w:rsidR="00ED39CA" w:rsidRPr="004F5FB4" w:rsidRDefault="00ED39CA" w:rsidP="00982118">
      <w:pPr>
        <w:rPr>
          <w:color w:val="000000"/>
        </w:rPr>
      </w:pPr>
    </w:p>
    <w:p w14:paraId="6C992AB4" w14:textId="77777777" w:rsidR="00ED39CA" w:rsidRPr="004F5FB4" w:rsidRDefault="00ED39CA" w:rsidP="00982118">
      <w:pPr>
        <w:rPr>
          <w:color w:val="000000"/>
        </w:rPr>
      </w:pPr>
      <w:r w:rsidRPr="004F5FB4">
        <w:rPr>
          <w:color w:val="000000"/>
        </w:rPr>
        <w:t>Dieses Arzneimittel enthält weniger als 1 mmol Natrium (23 mg) pro 0,8</w:t>
      </w:r>
      <w:r w:rsidRPr="004F5FB4">
        <w:rPr>
          <w:color w:val="000000"/>
        </w:rPr>
        <w:noBreakHyphen/>
        <w:t>ml-Dosis, d</w:t>
      </w:r>
      <w:r w:rsidR="006F2F61" w:rsidRPr="004F5FB4">
        <w:rPr>
          <w:color w:val="000000"/>
        </w:rPr>
        <w:t>. </w:t>
      </w:r>
      <w:r w:rsidRPr="004F5FB4">
        <w:rPr>
          <w:color w:val="000000"/>
        </w:rPr>
        <w:t>h</w:t>
      </w:r>
      <w:r w:rsidR="006F2F61" w:rsidRPr="004F5FB4">
        <w:rPr>
          <w:color w:val="000000"/>
        </w:rPr>
        <w:t>.,</w:t>
      </w:r>
      <w:r w:rsidRPr="004F5FB4">
        <w:rPr>
          <w:color w:val="000000"/>
        </w:rPr>
        <w:t xml:space="preserve"> es ist nahezu „natriumfrei“.</w:t>
      </w:r>
    </w:p>
    <w:p w14:paraId="4B0826C3" w14:textId="77777777" w:rsidR="00C46587" w:rsidRPr="004F5FB4" w:rsidRDefault="00C46587" w:rsidP="00982118">
      <w:pPr>
        <w:rPr>
          <w:color w:val="000000"/>
        </w:rPr>
      </w:pPr>
    </w:p>
    <w:p w14:paraId="12C3EBEC" w14:textId="77777777" w:rsidR="00C46587" w:rsidRPr="004F5FB4" w:rsidRDefault="00C46587" w:rsidP="00982118">
      <w:pPr>
        <w:rPr>
          <w:color w:val="000000"/>
        </w:rPr>
      </w:pPr>
    </w:p>
    <w:p w14:paraId="013E717D" w14:textId="77777777" w:rsidR="00C46587" w:rsidRPr="004F5FB4" w:rsidRDefault="00C46587" w:rsidP="00982118">
      <w:pPr>
        <w:keepNext/>
        <w:tabs>
          <w:tab w:val="left" w:pos="562"/>
        </w:tabs>
        <w:rPr>
          <w:b/>
          <w:color w:val="000000"/>
        </w:rPr>
      </w:pPr>
      <w:r w:rsidRPr="004F5FB4">
        <w:rPr>
          <w:b/>
          <w:color w:val="000000"/>
        </w:rPr>
        <w:t>3</w:t>
      </w:r>
      <w:r w:rsidR="006F2F61" w:rsidRPr="004F5FB4">
        <w:rPr>
          <w:b/>
          <w:color w:val="000000"/>
        </w:rPr>
        <w:t>.</w:t>
      </w:r>
      <w:r w:rsidRPr="004F5FB4">
        <w:rPr>
          <w:b/>
          <w:color w:val="000000"/>
        </w:rPr>
        <w:tab/>
        <w:t xml:space="preserve">Wie ist Amsparity anzuwenden? </w:t>
      </w:r>
    </w:p>
    <w:p w14:paraId="53947717" w14:textId="77777777" w:rsidR="00C46587" w:rsidRPr="004F5FB4" w:rsidRDefault="00C46587" w:rsidP="00982118">
      <w:pPr>
        <w:keepNext/>
        <w:rPr>
          <w:color w:val="000000"/>
        </w:rPr>
      </w:pPr>
    </w:p>
    <w:p w14:paraId="01A98D6B" w14:textId="77777777" w:rsidR="00ED39CA" w:rsidRPr="004F5FB4" w:rsidRDefault="00C46587" w:rsidP="00982118">
      <w:pPr>
        <w:keepNext/>
        <w:rPr>
          <w:color w:val="000000"/>
        </w:rPr>
      </w:pPr>
      <w:r w:rsidRPr="004F5FB4">
        <w:rPr>
          <w:color w:val="000000"/>
        </w:rPr>
        <w:t>Wenden Sie dieses Arzneimittel immer genau nach Absprache mit Ihrem Arzt oder Apotheker an. Fragen Sie bei Ihrem Arzt oder Apotheker nach, wenn Sie sich nicht sicher sind. Ihr Arzt kann Amsparity in einer anderen Stärke verschreiben, wenn Sie eine andere Dosierung benötigen.</w:t>
      </w:r>
    </w:p>
    <w:p w14:paraId="60A2FB90" w14:textId="77777777" w:rsidR="00C46587" w:rsidRPr="004F5FB4" w:rsidRDefault="00C46587" w:rsidP="00982118">
      <w:pPr>
        <w:rPr>
          <w:color w:val="000000"/>
        </w:rPr>
      </w:pPr>
    </w:p>
    <w:p w14:paraId="6799BE45" w14:textId="77777777" w:rsidR="00C46587" w:rsidRPr="004F5FB4" w:rsidRDefault="0010036E" w:rsidP="00982118">
      <w:pPr>
        <w:rPr>
          <w:color w:val="000000"/>
        </w:rPr>
      </w:pPr>
      <w:r w:rsidRPr="004F5FB4">
        <w:rPr>
          <w:color w:val="000000"/>
        </w:rPr>
        <w:t>Amsparity wird unter die Haut gespritzt (subkutane Anwendung).</w:t>
      </w:r>
    </w:p>
    <w:p w14:paraId="10254525" w14:textId="77777777" w:rsidR="0010036E" w:rsidRPr="004F5FB4" w:rsidRDefault="0010036E" w:rsidP="00982118">
      <w:pPr>
        <w:rPr>
          <w:color w:val="000000"/>
        </w:rPr>
      </w:pPr>
    </w:p>
    <w:p w14:paraId="00DA5B63" w14:textId="77777777" w:rsidR="00C46587" w:rsidRPr="004F5FB4" w:rsidRDefault="00C46587" w:rsidP="00982118">
      <w:pPr>
        <w:rPr>
          <w:color w:val="000000"/>
          <w:u w:val="single"/>
        </w:rPr>
      </w:pPr>
      <w:r w:rsidRPr="004F5FB4">
        <w:rPr>
          <w:color w:val="000000"/>
          <w:u w:val="single"/>
        </w:rPr>
        <w:t>Erwachsene mit rheumatoider Arthritis, Psoriasis-Arthritis, ankylosierender Spondylitis oder axialer Spondyloarthritis, bei der im Röntgenbild noch keine Verknöcherung nachweisbar ist</w:t>
      </w:r>
    </w:p>
    <w:p w14:paraId="53F08841" w14:textId="77777777" w:rsidR="00C46587" w:rsidRPr="004F5FB4" w:rsidRDefault="00C46587" w:rsidP="00982118">
      <w:pPr>
        <w:rPr>
          <w:color w:val="000000"/>
        </w:rPr>
      </w:pPr>
    </w:p>
    <w:p w14:paraId="4DA814A8" w14:textId="77777777" w:rsidR="00C46587" w:rsidRPr="004F5FB4" w:rsidRDefault="00C46587" w:rsidP="00982118">
      <w:pPr>
        <w:rPr>
          <w:color w:val="000000"/>
        </w:rPr>
      </w:pPr>
      <w:r w:rsidRPr="004F5FB4">
        <w:rPr>
          <w:color w:val="000000"/>
        </w:rPr>
        <w:t>Die übliche Dosis für Erwachsene mit rheumatoider Arthritis, ankylosierender Spondylitis, axialer Spondyloarthritis, bei der im Röntgenbild noch keine Verknöcherung nachweisbar ist</w:t>
      </w:r>
      <w:r w:rsidR="00221355" w:rsidRPr="004F5FB4">
        <w:rPr>
          <w:color w:val="000000"/>
        </w:rPr>
        <w:t>,</w:t>
      </w:r>
      <w:r w:rsidRPr="004F5FB4">
        <w:rPr>
          <w:color w:val="000000"/>
        </w:rPr>
        <w:t xml:space="preserve"> und für Patienten mit Psoriasis-Arthritis beträgt 40 mg Adalimumab, die alle zwei Wochen als Einzeldosis verabreicht wird. </w:t>
      </w:r>
    </w:p>
    <w:p w14:paraId="442D5DAD" w14:textId="77777777" w:rsidR="00C46587" w:rsidRPr="004F5FB4" w:rsidRDefault="00C46587" w:rsidP="00982118">
      <w:pPr>
        <w:rPr>
          <w:color w:val="000000"/>
        </w:rPr>
      </w:pPr>
    </w:p>
    <w:p w14:paraId="1B6F9E3A" w14:textId="77777777" w:rsidR="00C46587" w:rsidRPr="004F5FB4" w:rsidRDefault="00C46587" w:rsidP="00982118">
      <w:pPr>
        <w:rPr>
          <w:color w:val="000000"/>
        </w:rPr>
      </w:pPr>
      <w:r w:rsidRPr="004F5FB4">
        <w:rPr>
          <w:color w:val="000000"/>
        </w:rPr>
        <w:t xml:space="preserve">Bei rheumatoider Arthritis wird die Gabe von Methotrexat während der Anwendung von Amsparity fortgesetzt. Sollte Ihr Arzt die Gabe von Methotrexat als nicht geeignet erachten, kann Amsparity auch alleine angewendet werden. </w:t>
      </w:r>
    </w:p>
    <w:p w14:paraId="2415CB86" w14:textId="77777777" w:rsidR="00C46587" w:rsidRPr="004F5FB4" w:rsidRDefault="00C46587" w:rsidP="00982118">
      <w:pPr>
        <w:rPr>
          <w:color w:val="000000"/>
        </w:rPr>
      </w:pPr>
    </w:p>
    <w:p w14:paraId="732D8CD9" w14:textId="77777777" w:rsidR="00C46587" w:rsidRPr="004F5FB4" w:rsidRDefault="00C46587" w:rsidP="00982118">
      <w:pPr>
        <w:rPr>
          <w:color w:val="000000"/>
        </w:rPr>
      </w:pPr>
      <w:r w:rsidRPr="004F5FB4">
        <w:rPr>
          <w:color w:val="000000"/>
        </w:rPr>
        <w:t>Falls Sie an rheumatoider Arthritis erkrankt sind und kein Methotrexat begleitend zu Ihrer Behandlung mit Amsparity erhalten, kann Ihr Arzt sich für eine Adalimumab-Gabe von 40 mg jede Woche oder 80</w:t>
      </w:r>
      <w:r w:rsidR="00B91676" w:rsidRPr="004F5FB4">
        <w:rPr>
          <w:color w:val="000000"/>
        </w:rPr>
        <w:t> </w:t>
      </w:r>
      <w:r w:rsidRPr="004F5FB4">
        <w:rPr>
          <w:color w:val="000000"/>
        </w:rPr>
        <w:t xml:space="preserve">mg jede zweite Woche entscheiden. </w:t>
      </w:r>
    </w:p>
    <w:p w14:paraId="35815160" w14:textId="77777777" w:rsidR="00C46587" w:rsidRPr="004F5FB4" w:rsidRDefault="00C46587" w:rsidP="00982118">
      <w:pPr>
        <w:rPr>
          <w:color w:val="000000"/>
        </w:rPr>
      </w:pPr>
    </w:p>
    <w:p w14:paraId="3D1BA31F" w14:textId="77777777" w:rsidR="00C46587" w:rsidRPr="004F5FB4" w:rsidRDefault="00C46587" w:rsidP="00982118">
      <w:pPr>
        <w:keepNext/>
        <w:rPr>
          <w:color w:val="000000"/>
          <w:u w:val="single"/>
        </w:rPr>
      </w:pPr>
      <w:r w:rsidRPr="004F5FB4">
        <w:rPr>
          <w:color w:val="000000"/>
          <w:u w:val="single"/>
        </w:rPr>
        <w:lastRenderedPageBreak/>
        <w:t>Kinder, Jugendliche und Erwachsene mit polyartikulärer juveniler idiopathischer Arthritis</w:t>
      </w:r>
    </w:p>
    <w:p w14:paraId="684DAE88" w14:textId="77777777" w:rsidR="00C46587" w:rsidRPr="004F5FB4" w:rsidRDefault="00C46587" w:rsidP="00982118">
      <w:pPr>
        <w:keepNext/>
        <w:rPr>
          <w:color w:val="000000"/>
        </w:rPr>
      </w:pPr>
    </w:p>
    <w:p w14:paraId="072D822F" w14:textId="77777777" w:rsidR="00ED39CA" w:rsidRPr="004F5FB4" w:rsidRDefault="00ED39CA" w:rsidP="00982118">
      <w:pPr>
        <w:keepNext/>
        <w:rPr>
          <w:i/>
          <w:color w:val="000000"/>
        </w:rPr>
      </w:pPr>
      <w:r w:rsidRPr="004F5FB4">
        <w:rPr>
          <w:i/>
          <w:color w:val="000000"/>
        </w:rPr>
        <w:t>Kinder ab 2</w:t>
      </w:r>
      <w:r w:rsidR="00B91676" w:rsidRPr="004F5FB4">
        <w:rPr>
          <w:i/>
          <w:color w:val="000000"/>
        </w:rPr>
        <w:t> </w:t>
      </w:r>
      <w:r w:rsidRPr="004F5FB4">
        <w:rPr>
          <w:i/>
          <w:color w:val="000000"/>
        </w:rPr>
        <w:t>Jahren und Jugendliche mit einem Körpergewicht zwischen 10 kg und unter 30 kg</w:t>
      </w:r>
    </w:p>
    <w:p w14:paraId="77E7F254" w14:textId="77777777" w:rsidR="00ED39CA" w:rsidRPr="004F5FB4" w:rsidRDefault="00ED39CA" w:rsidP="00982118">
      <w:pPr>
        <w:keepNext/>
        <w:rPr>
          <w:color w:val="000000"/>
        </w:rPr>
      </w:pPr>
    </w:p>
    <w:p w14:paraId="184875A2" w14:textId="77777777" w:rsidR="00C46587" w:rsidRPr="004F5FB4" w:rsidRDefault="00C46587" w:rsidP="00982118">
      <w:pPr>
        <w:rPr>
          <w:color w:val="000000"/>
        </w:rPr>
      </w:pPr>
      <w:r w:rsidRPr="004F5FB4">
        <w:rPr>
          <w:color w:val="000000"/>
        </w:rPr>
        <w:t xml:space="preserve">Die empfohlene Dosierung von Amsparity beträgt 20 mg jede zweite Woche. </w:t>
      </w:r>
    </w:p>
    <w:p w14:paraId="2ED577BB" w14:textId="77777777" w:rsidR="00ED39CA" w:rsidRPr="004F5FB4" w:rsidRDefault="00ED39CA" w:rsidP="00982118">
      <w:pPr>
        <w:rPr>
          <w:i/>
          <w:color w:val="000000"/>
        </w:rPr>
      </w:pPr>
    </w:p>
    <w:p w14:paraId="4E5F1D65" w14:textId="77777777" w:rsidR="00ED39CA" w:rsidRPr="004F5FB4" w:rsidRDefault="00ED39CA" w:rsidP="0017564C">
      <w:pPr>
        <w:keepNext/>
        <w:rPr>
          <w:i/>
          <w:color w:val="000000"/>
        </w:rPr>
      </w:pPr>
      <w:r w:rsidRPr="004F5FB4">
        <w:rPr>
          <w:i/>
          <w:color w:val="000000"/>
        </w:rPr>
        <w:t>Kinder ab 2</w:t>
      </w:r>
      <w:r w:rsidR="00B91676" w:rsidRPr="004F5FB4">
        <w:rPr>
          <w:i/>
          <w:color w:val="000000"/>
        </w:rPr>
        <w:t> </w:t>
      </w:r>
      <w:r w:rsidRPr="004F5FB4">
        <w:rPr>
          <w:i/>
          <w:color w:val="000000"/>
        </w:rPr>
        <w:t>Jahren, Jugendliche und Erwachsene mit einem Körpergewicht von 30 kg oder mehr</w:t>
      </w:r>
    </w:p>
    <w:p w14:paraId="31F78B14" w14:textId="77777777" w:rsidR="00ED39CA" w:rsidRPr="004F5FB4" w:rsidRDefault="00ED39CA" w:rsidP="0017564C">
      <w:pPr>
        <w:keepNext/>
        <w:rPr>
          <w:color w:val="000000"/>
        </w:rPr>
      </w:pPr>
    </w:p>
    <w:p w14:paraId="009F3A83" w14:textId="77777777" w:rsidR="00C46587" w:rsidRPr="004F5FB4" w:rsidRDefault="00C46587" w:rsidP="0017564C">
      <w:pPr>
        <w:keepNext/>
        <w:rPr>
          <w:color w:val="000000"/>
        </w:rPr>
      </w:pPr>
      <w:r w:rsidRPr="004F5FB4">
        <w:rPr>
          <w:color w:val="000000"/>
        </w:rPr>
        <w:t xml:space="preserve">Die empfohlene Dosierung von Amsparity beträgt 40 mg jede zweite Woche. </w:t>
      </w:r>
    </w:p>
    <w:p w14:paraId="77946890" w14:textId="77777777" w:rsidR="00C46587" w:rsidRPr="004F5FB4" w:rsidRDefault="00C46587" w:rsidP="00982118">
      <w:pPr>
        <w:rPr>
          <w:color w:val="000000"/>
        </w:rPr>
      </w:pPr>
    </w:p>
    <w:p w14:paraId="137C4644" w14:textId="77777777" w:rsidR="00C46587" w:rsidRPr="004F5FB4" w:rsidRDefault="00C46587" w:rsidP="00982118">
      <w:pPr>
        <w:rPr>
          <w:color w:val="000000"/>
          <w:u w:val="single"/>
        </w:rPr>
      </w:pPr>
      <w:r w:rsidRPr="004F5FB4">
        <w:rPr>
          <w:color w:val="000000"/>
          <w:u w:val="single"/>
        </w:rPr>
        <w:t>Kinder, Jugendliche und Erwachsene mit Enthesitis</w:t>
      </w:r>
      <w:r w:rsidRPr="004F5FB4">
        <w:rPr>
          <w:color w:val="000000"/>
          <w:u w:val="single"/>
        </w:rPr>
        <w:noBreakHyphen/>
        <w:t>assoziierter Arthritis</w:t>
      </w:r>
    </w:p>
    <w:p w14:paraId="21A05793" w14:textId="77777777" w:rsidR="00C46587" w:rsidRPr="004F5FB4" w:rsidRDefault="00C46587" w:rsidP="00982118">
      <w:pPr>
        <w:rPr>
          <w:color w:val="000000"/>
        </w:rPr>
      </w:pPr>
    </w:p>
    <w:p w14:paraId="1F4C7713" w14:textId="77777777" w:rsidR="00ED39CA" w:rsidRPr="004F5FB4" w:rsidRDefault="00ED39CA" w:rsidP="00982118">
      <w:pPr>
        <w:rPr>
          <w:i/>
          <w:color w:val="000000"/>
        </w:rPr>
      </w:pPr>
      <w:r w:rsidRPr="004F5FB4">
        <w:rPr>
          <w:i/>
          <w:color w:val="000000"/>
        </w:rPr>
        <w:t>Kinder ab 6</w:t>
      </w:r>
      <w:r w:rsidR="00B91676" w:rsidRPr="004F5FB4">
        <w:rPr>
          <w:i/>
          <w:color w:val="000000"/>
        </w:rPr>
        <w:t> </w:t>
      </w:r>
      <w:r w:rsidRPr="004F5FB4">
        <w:rPr>
          <w:i/>
          <w:color w:val="000000"/>
        </w:rPr>
        <w:t>Jahren und Jugendliche mit einem Körpergewicht zwischen 15 kg und unter 30 kg</w:t>
      </w:r>
    </w:p>
    <w:p w14:paraId="5380D11E" w14:textId="77777777" w:rsidR="00ED39CA" w:rsidRPr="004F5FB4" w:rsidRDefault="00ED39CA" w:rsidP="00982118">
      <w:pPr>
        <w:rPr>
          <w:color w:val="000000"/>
        </w:rPr>
      </w:pPr>
    </w:p>
    <w:p w14:paraId="0FE3551A" w14:textId="77777777" w:rsidR="00ED39CA" w:rsidRPr="004F5FB4" w:rsidRDefault="00ED39CA" w:rsidP="00982118">
      <w:pPr>
        <w:rPr>
          <w:color w:val="000000"/>
        </w:rPr>
      </w:pPr>
      <w:r w:rsidRPr="004F5FB4">
        <w:rPr>
          <w:color w:val="000000"/>
        </w:rPr>
        <w:t>Die empfohlene Dosierung von Amsparity beträgt 20 mg jede zweite Woche.</w:t>
      </w:r>
    </w:p>
    <w:p w14:paraId="1F447AD3" w14:textId="77777777" w:rsidR="00ED39CA" w:rsidRPr="004F5FB4" w:rsidRDefault="00ED39CA" w:rsidP="00982118">
      <w:pPr>
        <w:rPr>
          <w:color w:val="000000"/>
        </w:rPr>
      </w:pPr>
    </w:p>
    <w:p w14:paraId="2128A2DB" w14:textId="77777777" w:rsidR="00ED39CA" w:rsidRPr="004F5FB4" w:rsidRDefault="00ED39CA" w:rsidP="00982118">
      <w:pPr>
        <w:rPr>
          <w:i/>
          <w:color w:val="000000"/>
        </w:rPr>
      </w:pPr>
      <w:r w:rsidRPr="004F5FB4">
        <w:rPr>
          <w:i/>
          <w:color w:val="000000"/>
        </w:rPr>
        <w:t>Kinder ab 6</w:t>
      </w:r>
      <w:r w:rsidR="00B91676" w:rsidRPr="004F5FB4">
        <w:rPr>
          <w:i/>
          <w:color w:val="000000"/>
        </w:rPr>
        <w:t> </w:t>
      </w:r>
      <w:r w:rsidRPr="004F5FB4">
        <w:rPr>
          <w:i/>
          <w:color w:val="000000"/>
        </w:rPr>
        <w:t>Jahren, Jugendliche und Erwachsene mit einem Körpergewicht von 30 kg oder mehr</w:t>
      </w:r>
    </w:p>
    <w:p w14:paraId="2EFC79DC" w14:textId="77777777" w:rsidR="00ED39CA" w:rsidRPr="004F5FB4" w:rsidRDefault="00ED39CA" w:rsidP="00982118">
      <w:pPr>
        <w:rPr>
          <w:color w:val="000000"/>
        </w:rPr>
      </w:pPr>
    </w:p>
    <w:p w14:paraId="26DBBFA5" w14:textId="77777777" w:rsidR="00C46587" w:rsidRPr="004F5FB4" w:rsidRDefault="00C46587" w:rsidP="00982118">
      <w:pPr>
        <w:rPr>
          <w:color w:val="000000"/>
        </w:rPr>
      </w:pPr>
      <w:r w:rsidRPr="004F5FB4">
        <w:rPr>
          <w:color w:val="000000"/>
        </w:rPr>
        <w:t xml:space="preserve">Die empfohlene Dosierung von Amsparity beträgt 40 mg jede zweite Woche. </w:t>
      </w:r>
    </w:p>
    <w:p w14:paraId="5753E4CC" w14:textId="77777777" w:rsidR="00C46587" w:rsidRPr="004F5FB4" w:rsidRDefault="00C46587" w:rsidP="00982118">
      <w:pPr>
        <w:rPr>
          <w:color w:val="000000"/>
        </w:rPr>
      </w:pPr>
    </w:p>
    <w:p w14:paraId="487D475E" w14:textId="77777777" w:rsidR="00C46587" w:rsidRPr="004F5FB4" w:rsidRDefault="00C46587" w:rsidP="00982118">
      <w:pPr>
        <w:rPr>
          <w:color w:val="000000"/>
          <w:u w:val="single"/>
        </w:rPr>
      </w:pPr>
      <w:r w:rsidRPr="004F5FB4">
        <w:rPr>
          <w:color w:val="000000"/>
          <w:u w:val="single"/>
        </w:rPr>
        <w:t>Erwachsene mit Psoriasis</w:t>
      </w:r>
    </w:p>
    <w:p w14:paraId="0927B226" w14:textId="77777777" w:rsidR="00C46587" w:rsidRPr="004F5FB4" w:rsidRDefault="00C46587" w:rsidP="00982118">
      <w:pPr>
        <w:rPr>
          <w:color w:val="000000"/>
        </w:rPr>
      </w:pPr>
    </w:p>
    <w:p w14:paraId="52EA1CD7" w14:textId="77777777" w:rsidR="00C46587" w:rsidRPr="004F5FB4" w:rsidRDefault="00C46587" w:rsidP="00982118">
      <w:pPr>
        <w:rPr>
          <w:color w:val="000000"/>
        </w:rPr>
      </w:pPr>
      <w:r w:rsidRPr="004F5FB4">
        <w:rPr>
          <w:color w:val="000000"/>
        </w:rPr>
        <w:t>Die übliche Dosierung für erwachsene Psoriasispatienten ist eine Anfangsdosis von 80 mg (als zwei Injektionen von 40</w:t>
      </w:r>
      <w:r w:rsidR="00B91676" w:rsidRPr="004F5FB4">
        <w:rPr>
          <w:color w:val="000000"/>
        </w:rPr>
        <w:t> </w:t>
      </w:r>
      <w:r w:rsidRPr="004F5FB4">
        <w:rPr>
          <w:color w:val="000000"/>
        </w:rPr>
        <w:t>mg an einem Tag), gefolgt von 40</w:t>
      </w:r>
      <w:r w:rsidR="00B91676" w:rsidRPr="004F5FB4">
        <w:rPr>
          <w:color w:val="000000"/>
        </w:rPr>
        <w:t> </w:t>
      </w:r>
      <w:r w:rsidRPr="004F5FB4">
        <w:rPr>
          <w:color w:val="000000"/>
        </w:rPr>
        <w:t xml:space="preserve">mg jede zweite Woche, beginnend eine Woche nach der Anfangsdosis. Sie sollten Amsparity so lange anwenden, wie Ihr Arzt es Ihnen gesagt hat. Wenn die Dosis nicht ausreichend wirkt, kann Ihr Arzt die Dosierung auf 40 mg jede Woche oder 80 mg jede zweite Woche erhöhen. </w:t>
      </w:r>
    </w:p>
    <w:p w14:paraId="7A61576B" w14:textId="77777777" w:rsidR="00C46587" w:rsidRPr="004F5FB4" w:rsidRDefault="00C46587" w:rsidP="00982118">
      <w:pPr>
        <w:rPr>
          <w:color w:val="000000"/>
        </w:rPr>
      </w:pPr>
    </w:p>
    <w:p w14:paraId="0363929F" w14:textId="77777777" w:rsidR="00C46587" w:rsidRPr="004F5FB4" w:rsidRDefault="00C46587" w:rsidP="00982118">
      <w:pPr>
        <w:rPr>
          <w:color w:val="000000"/>
          <w:u w:val="single"/>
        </w:rPr>
      </w:pPr>
      <w:r w:rsidRPr="004F5FB4">
        <w:rPr>
          <w:color w:val="000000"/>
          <w:u w:val="single"/>
        </w:rPr>
        <w:t>Kinder und Jugendliche mit Plaque-Psoriasis</w:t>
      </w:r>
    </w:p>
    <w:p w14:paraId="1DFC7CDC" w14:textId="77777777" w:rsidR="00C46587" w:rsidRPr="004F5FB4" w:rsidRDefault="00C46587" w:rsidP="00982118">
      <w:pPr>
        <w:rPr>
          <w:color w:val="000000"/>
        </w:rPr>
      </w:pPr>
    </w:p>
    <w:p w14:paraId="7A4EC601" w14:textId="77777777" w:rsidR="00ED39CA" w:rsidRPr="004F5FB4" w:rsidRDefault="00ED39CA" w:rsidP="00982118">
      <w:pPr>
        <w:rPr>
          <w:i/>
          <w:color w:val="000000"/>
        </w:rPr>
      </w:pPr>
      <w:r w:rsidRPr="004F5FB4">
        <w:rPr>
          <w:i/>
          <w:color w:val="000000"/>
        </w:rPr>
        <w:t>Kinder und Jugendliche zwischen 4 und 17</w:t>
      </w:r>
      <w:r w:rsidR="00B91676" w:rsidRPr="004F5FB4">
        <w:rPr>
          <w:i/>
          <w:color w:val="000000"/>
        </w:rPr>
        <w:t> </w:t>
      </w:r>
      <w:r w:rsidRPr="004F5FB4">
        <w:rPr>
          <w:i/>
          <w:color w:val="000000"/>
        </w:rPr>
        <w:t>Jahren mit einem Körpergewicht zwischen 15 kg und unter 30 kg</w:t>
      </w:r>
    </w:p>
    <w:p w14:paraId="3B0F1C82" w14:textId="77777777" w:rsidR="00ED39CA" w:rsidRPr="004F5FB4" w:rsidRDefault="00ED39CA" w:rsidP="00982118">
      <w:pPr>
        <w:rPr>
          <w:color w:val="000000"/>
        </w:rPr>
      </w:pPr>
    </w:p>
    <w:p w14:paraId="4DC582B7" w14:textId="77777777" w:rsidR="00ED39CA" w:rsidRPr="004F5FB4" w:rsidRDefault="00C46587" w:rsidP="00982118">
      <w:pPr>
        <w:rPr>
          <w:color w:val="000000"/>
        </w:rPr>
      </w:pPr>
      <w:r w:rsidRPr="004F5FB4">
        <w:rPr>
          <w:color w:val="000000"/>
        </w:rPr>
        <w:t xml:space="preserve">Die empfohlene Anfangsdosis von Amsparity beträgt 20 mg, gefolgt von 20 mg eine Woche später. Danach beträgt die übliche Dosis 20 mg jede zweite Woche. </w:t>
      </w:r>
    </w:p>
    <w:p w14:paraId="2D347801" w14:textId="77777777" w:rsidR="00ED39CA" w:rsidRPr="004F5FB4" w:rsidRDefault="00ED39CA" w:rsidP="00982118">
      <w:pPr>
        <w:rPr>
          <w:color w:val="000000"/>
        </w:rPr>
      </w:pPr>
    </w:p>
    <w:p w14:paraId="50EC89D1" w14:textId="77777777" w:rsidR="00ED39CA" w:rsidRPr="004F5FB4" w:rsidRDefault="00ED39CA" w:rsidP="00982118">
      <w:pPr>
        <w:rPr>
          <w:i/>
          <w:color w:val="000000"/>
        </w:rPr>
      </w:pPr>
      <w:r w:rsidRPr="004F5FB4">
        <w:rPr>
          <w:i/>
          <w:color w:val="000000"/>
        </w:rPr>
        <w:t>Kinder und Jugendliche zwischen 4 und 17</w:t>
      </w:r>
      <w:r w:rsidR="00B91676" w:rsidRPr="004F5FB4">
        <w:rPr>
          <w:i/>
          <w:color w:val="000000"/>
        </w:rPr>
        <w:t> </w:t>
      </w:r>
      <w:r w:rsidRPr="004F5FB4">
        <w:rPr>
          <w:i/>
          <w:color w:val="000000"/>
        </w:rPr>
        <w:t>Jahren mit einem Körpergewicht von 30 kg oder mehr</w:t>
      </w:r>
    </w:p>
    <w:p w14:paraId="1D6FED65" w14:textId="77777777" w:rsidR="00ED39CA" w:rsidRPr="004F5FB4" w:rsidRDefault="00ED39CA" w:rsidP="00982118">
      <w:pPr>
        <w:rPr>
          <w:color w:val="000000"/>
        </w:rPr>
      </w:pPr>
    </w:p>
    <w:p w14:paraId="69F306B1" w14:textId="77777777" w:rsidR="00ED39CA" w:rsidRPr="004F5FB4" w:rsidRDefault="00ED39CA" w:rsidP="00982118">
      <w:pPr>
        <w:rPr>
          <w:color w:val="000000"/>
        </w:rPr>
      </w:pPr>
      <w:r w:rsidRPr="004F5FB4">
        <w:rPr>
          <w:color w:val="000000"/>
        </w:rPr>
        <w:t>Die empfohlene Anfangsdosis von Amsparity beträgt 40 mg, gefolgt von 40 mg eine Woche später. Danach beträgt die übliche Dosis 40 mg jede zweite Woche.</w:t>
      </w:r>
    </w:p>
    <w:p w14:paraId="2B54ADB0" w14:textId="77777777" w:rsidR="00C46587" w:rsidRPr="004F5FB4" w:rsidRDefault="00C46587" w:rsidP="00982118">
      <w:pPr>
        <w:rPr>
          <w:color w:val="000000"/>
        </w:rPr>
      </w:pPr>
    </w:p>
    <w:p w14:paraId="6A97F64D" w14:textId="77777777" w:rsidR="00C46587" w:rsidRPr="004F5FB4" w:rsidRDefault="00C46587" w:rsidP="00982118">
      <w:pPr>
        <w:rPr>
          <w:color w:val="000000"/>
          <w:u w:val="single"/>
        </w:rPr>
      </w:pPr>
      <w:r w:rsidRPr="004F5FB4">
        <w:rPr>
          <w:color w:val="000000"/>
          <w:u w:val="single"/>
        </w:rPr>
        <w:t xml:space="preserve">Erwachsene mit Hidradenitis suppurativa (Acne inversa) </w:t>
      </w:r>
    </w:p>
    <w:p w14:paraId="62D0DF1B" w14:textId="77777777" w:rsidR="00C46587" w:rsidRPr="004F5FB4" w:rsidRDefault="00C46587" w:rsidP="00982118">
      <w:pPr>
        <w:rPr>
          <w:color w:val="000000"/>
        </w:rPr>
      </w:pPr>
    </w:p>
    <w:p w14:paraId="020C07AC" w14:textId="77777777" w:rsidR="00C46587" w:rsidRPr="004F5FB4" w:rsidRDefault="00C46587" w:rsidP="00982118">
      <w:pPr>
        <w:rPr>
          <w:color w:val="000000"/>
        </w:rPr>
      </w:pPr>
      <w:r w:rsidRPr="004F5FB4">
        <w:rPr>
          <w:color w:val="000000"/>
        </w:rPr>
        <w:t>Die übliche Dosierung für Hidradenitis suppurativa ist eine Anfangsdosis von 160 mg (als vier Injektionen von 40</w:t>
      </w:r>
      <w:r w:rsidR="00B91676" w:rsidRPr="004F5FB4">
        <w:rPr>
          <w:color w:val="000000"/>
        </w:rPr>
        <w:t> </w:t>
      </w:r>
      <w:r w:rsidRPr="004F5FB4">
        <w:rPr>
          <w:color w:val="000000"/>
        </w:rPr>
        <w:t>mg an einem Tag oder als zwei Injektionen von 40</w:t>
      </w:r>
      <w:r w:rsidR="00B91676" w:rsidRPr="004F5FB4">
        <w:rPr>
          <w:color w:val="000000"/>
        </w:rPr>
        <w:t> </w:t>
      </w:r>
      <w:r w:rsidRPr="004F5FB4">
        <w:rPr>
          <w:color w:val="000000"/>
        </w:rPr>
        <w:t>mg pro Tag an zwei aufeinanderfolgenden Tagen), gefolgt von einer Dosis von 80 mg (als zwei Injektionen von 40</w:t>
      </w:r>
      <w:r w:rsidR="00B91676" w:rsidRPr="004F5FB4">
        <w:rPr>
          <w:color w:val="000000"/>
        </w:rPr>
        <w:t> </w:t>
      </w:r>
      <w:r w:rsidRPr="004F5FB4">
        <w:rPr>
          <w:color w:val="000000"/>
        </w:rPr>
        <w:t>mg an einem Tag) zwei Wochen später. Nach zwei weiteren Wochen wird die Behandlung mit einer Dosierung von 40 mg jede Woche oder 80</w:t>
      </w:r>
      <w:r w:rsidR="00B91676" w:rsidRPr="004F5FB4">
        <w:rPr>
          <w:color w:val="000000"/>
        </w:rPr>
        <w:t> </w:t>
      </w:r>
      <w:r w:rsidRPr="004F5FB4">
        <w:rPr>
          <w:color w:val="000000"/>
        </w:rPr>
        <w:t xml:space="preserve">mg jede zweite Woche nach Anweisung Ihres Arztes fortgesetzt. Es wird empfohlen, dass Sie an den betroffenen Stellen täglich eine antiseptische Waschlösung anwenden. </w:t>
      </w:r>
    </w:p>
    <w:p w14:paraId="228F0470" w14:textId="77777777" w:rsidR="00C46587" w:rsidRPr="004F5FB4" w:rsidRDefault="00C46587" w:rsidP="00982118">
      <w:pPr>
        <w:rPr>
          <w:color w:val="000000"/>
        </w:rPr>
      </w:pPr>
    </w:p>
    <w:p w14:paraId="63AA03F2" w14:textId="77777777" w:rsidR="00C46587" w:rsidRPr="004F5FB4" w:rsidRDefault="00C46587" w:rsidP="00982118">
      <w:pPr>
        <w:keepNext/>
        <w:rPr>
          <w:color w:val="000000"/>
          <w:u w:val="single"/>
        </w:rPr>
      </w:pPr>
      <w:r w:rsidRPr="004F5FB4">
        <w:rPr>
          <w:color w:val="000000"/>
          <w:u w:val="single"/>
        </w:rPr>
        <w:t>Jugendliche mit Hidradenitis suppurativa (Acne inversa) zwischen 12 und 17</w:t>
      </w:r>
      <w:r w:rsidR="00B91676" w:rsidRPr="004F5FB4">
        <w:rPr>
          <w:color w:val="000000"/>
          <w:u w:val="single"/>
        </w:rPr>
        <w:t> </w:t>
      </w:r>
      <w:r w:rsidRPr="004F5FB4">
        <w:rPr>
          <w:color w:val="000000"/>
          <w:u w:val="single"/>
        </w:rPr>
        <w:t xml:space="preserve">Jahren mit einem Körpergewicht von 30 kg oder mehr </w:t>
      </w:r>
    </w:p>
    <w:p w14:paraId="0C6641CB" w14:textId="77777777" w:rsidR="00C46587" w:rsidRPr="004F5FB4" w:rsidRDefault="00C46587" w:rsidP="00982118">
      <w:pPr>
        <w:keepNext/>
        <w:rPr>
          <w:color w:val="000000"/>
        </w:rPr>
      </w:pPr>
    </w:p>
    <w:p w14:paraId="49F6CB48" w14:textId="77777777" w:rsidR="00C46587" w:rsidRPr="004F5FB4" w:rsidRDefault="00C46587" w:rsidP="00982118">
      <w:pPr>
        <w:rPr>
          <w:color w:val="000000"/>
        </w:rPr>
      </w:pPr>
      <w:r w:rsidRPr="004F5FB4">
        <w:rPr>
          <w:color w:val="000000"/>
        </w:rPr>
        <w:t>Die empfohlene Anfangsdosis von Amsparity beträgt 80 mg (als zwei Injektionen von 40</w:t>
      </w:r>
      <w:r w:rsidR="00B91676" w:rsidRPr="004F5FB4">
        <w:rPr>
          <w:color w:val="000000"/>
        </w:rPr>
        <w:t> </w:t>
      </w:r>
      <w:r w:rsidRPr="004F5FB4">
        <w:rPr>
          <w:color w:val="000000"/>
        </w:rPr>
        <w:t>mg an einem Tag). Nach einer Woche werden 40</w:t>
      </w:r>
      <w:r w:rsidR="00B91676" w:rsidRPr="004F5FB4">
        <w:rPr>
          <w:color w:val="000000"/>
        </w:rPr>
        <w:t> </w:t>
      </w:r>
      <w:r w:rsidRPr="004F5FB4">
        <w:rPr>
          <w:color w:val="000000"/>
        </w:rPr>
        <w:t xml:space="preserve">mg jede zweite Woche verabreicht. Wenn die Dosis nicht </w:t>
      </w:r>
      <w:r w:rsidRPr="004F5FB4">
        <w:rPr>
          <w:color w:val="000000"/>
        </w:rPr>
        <w:lastRenderedPageBreak/>
        <w:t xml:space="preserve">ausreichend wirkt, kann Ihr Arzt die Dosierung auf 40 mg jede Woche oder 80 mg jede zweite Woche erhöhen. </w:t>
      </w:r>
    </w:p>
    <w:p w14:paraId="1BE16E63" w14:textId="77777777" w:rsidR="00C46587" w:rsidRPr="004F5FB4" w:rsidRDefault="00C46587" w:rsidP="00982118">
      <w:pPr>
        <w:rPr>
          <w:color w:val="000000"/>
        </w:rPr>
      </w:pPr>
    </w:p>
    <w:p w14:paraId="32548EA7" w14:textId="77777777" w:rsidR="00C46587" w:rsidRPr="004F5FB4" w:rsidRDefault="00C46587" w:rsidP="00982118">
      <w:pPr>
        <w:rPr>
          <w:color w:val="000000"/>
        </w:rPr>
      </w:pPr>
      <w:r w:rsidRPr="004F5FB4">
        <w:rPr>
          <w:color w:val="000000"/>
        </w:rPr>
        <w:t xml:space="preserve">Es wird empfohlen, dass Sie an den betroffenen Stellen täglich eine antiseptische Waschlösung anwenden. </w:t>
      </w:r>
    </w:p>
    <w:p w14:paraId="70F16978" w14:textId="77777777" w:rsidR="00C46587" w:rsidRPr="004F5FB4" w:rsidRDefault="00C46587" w:rsidP="00982118">
      <w:pPr>
        <w:rPr>
          <w:color w:val="000000"/>
        </w:rPr>
      </w:pPr>
    </w:p>
    <w:p w14:paraId="78680166" w14:textId="77777777" w:rsidR="00C46587" w:rsidRPr="004F5FB4" w:rsidRDefault="00C46587" w:rsidP="00982118">
      <w:pPr>
        <w:keepNext/>
        <w:rPr>
          <w:color w:val="000000"/>
        </w:rPr>
      </w:pPr>
      <w:r w:rsidRPr="004F5FB4">
        <w:rPr>
          <w:color w:val="000000"/>
          <w:u w:val="single"/>
        </w:rPr>
        <w:t>Erwachsene mit Morbus Crohn</w:t>
      </w:r>
      <w:r w:rsidRPr="004F5FB4">
        <w:rPr>
          <w:color w:val="000000"/>
        </w:rPr>
        <w:t xml:space="preserve"> </w:t>
      </w:r>
    </w:p>
    <w:p w14:paraId="490A99F8" w14:textId="77777777" w:rsidR="00C46587" w:rsidRPr="004F5FB4" w:rsidRDefault="00C46587" w:rsidP="00982118">
      <w:pPr>
        <w:keepNext/>
        <w:rPr>
          <w:color w:val="000000"/>
        </w:rPr>
      </w:pPr>
    </w:p>
    <w:p w14:paraId="36C198EF" w14:textId="77777777" w:rsidR="00C46587" w:rsidRPr="004F5FB4" w:rsidRDefault="00C46587" w:rsidP="00982118">
      <w:pPr>
        <w:rPr>
          <w:color w:val="000000"/>
        </w:rPr>
      </w:pPr>
      <w:r w:rsidRPr="004F5FB4">
        <w:rPr>
          <w:color w:val="000000"/>
        </w:rPr>
        <w:t>Die übliche Dosierung für Morbus Crohn ist zu Beginn 80 mg (als zwei Injektionen von 40</w:t>
      </w:r>
      <w:r w:rsidR="00B91676" w:rsidRPr="004F5FB4">
        <w:rPr>
          <w:color w:val="000000"/>
        </w:rPr>
        <w:t> </w:t>
      </w:r>
      <w:r w:rsidRPr="004F5FB4">
        <w:rPr>
          <w:color w:val="000000"/>
        </w:rPr>
        <w:t>mg an einem Tag), zwei Wochen später 40</w:t>
      </w:r>
      <w:r w:rsidR="00B91676" w:rsidRPr="004F5FB4">
        <w:rPr>
          <w:color w:val="000000"/>
        </w:rPr>
        <w:t> </w:t>
      </w:r>
      <w:r w:rsidRPr="004F5FB4">
        <w:rPr>
          <w:color w:val="000000"/>
        </w:rPr>
        <w:t>mg und danach 40</w:t>
      </w:r>
      <w:r w:rsidR="00B91676" w:rsidRPr="004F5FB4">
        <w:rPr>
          <w:color w:val="000000"/>
        </w:rPr>
        <w:t> </w:t>
      </w:r>
      <w:r w:rsidRPr="004F5FB4">
        <w:rPr>
          <w:color w:val="000000"/>
        </w:rPr>
        <w:t>mg alle zwei Wochen. Wenn ein schnelleres Eintreten der Wirkung erforderlich ist, kann Ihnen Ihr Arzt eine Anfangsdosis von 160 mg (als vier Injektionen von 40</w:t>
      </w:r>
      <w:r w:rsidR="00B91676" w:rsidRPr="004F5FB4">
        <w:rPr>
          <w:color w:val="000000"/>
        </w:rPr>
        <w:t> </w:t>
      </w:r>
      <w:r w:rsidRPr="004F5FB4">
        <w:rPr>
          <w:color w:val="000000"/>
        </w:rPr>
        <w:t>mg an einem Tag oder zwei Injektionen von 40</w:t>
      </w:r>
      <w:r w:rsidR="00B91676" w:rsidRPr="004F5FB4">
        <w:rPr>
          <w:color w:val="000000"/>
        </w:rPr>
        <w:t> </w:t>
      </w:r>
      <w:r w:rsidRPr="004F5FB4">
        <w:rPr>
          <w:color w:val="000000"/>
        </w:rPr>
        <w:t>mg pro Tag an zwei aufeinanderfolgenden Tagen) verschreiben, gefolgt von 80 mg (als zwei Injektionen von 40</w:t>
      </w:r>
      <w:r w:rsidR="00B91676" w:rsidRPr="004F5FB4">
        <w:rPr>
          <w:color w:val="000000"/>
        </w:rPr>
        <w:t> </w:t>
      </w:r>
      <w:r w:rsidRPr="004F5FB4">
        <w:rPr>
          <w:color w:val="000000"/>
        </w:rPr>
        <w:t>mg an einem Tag) zwei Wochen später und danach 40</w:t>
      </w:r>
      <w:r w:rsidR="00B91676" w:rsidRPr="004F5FB4">
        <w:rPr>
          <w:color w:val="000000"/>
        </w:rPr>
        <w:t> </w:t>
      </w:r>
      <w:r w:rsidRPr="004F5FB4">
        <w:rPr>
          <w:color w:val="000000"/>
        </w:rPr>
        <w:t xml:space="preserve">mg jede zweite Woche. Wenn die Dosis nicht ausreichend wirkt, kann Ihr Arzt die Dosierung auf 40 mg jede Woche oder 80 mg jede zweite Woche erhöhen. </w:t>
      </w:r>
    </w:p>
    <w:p w14:paraId="3C14DA7F" w14:textId="77777777" w:rsidR="00C46587" w:rsidRPr="004F5FB4" w:rsidRDefault="00C46587" w:rsidP="00982118">
      <w:pPr>
        <w:rPr>
          <w:color w:val="000000"/>
        </w:rPr>
      </w:pPr>
    </w:p>
    <w:p w14:paraId="070F1388" w14:textId="77777777" w:rsidR="00C46587" w:rsidRPr="004F5FB4" w:rsidRDefault="00C46587" w:rsidP="00982118">
      <w:pPr>
        <w:rPr>
          <w:color w:val="000000"/>
        </w:rPr>
      </w:pPr>
      <w:r w:rsidRPr="004F5FB4">
        <w:rPr>
          <w:color w:val="000000"/>
          <w:u w:val="single"/>
        </w:rPr>
        <w:t>Kinder und Jugendliche mit Morbus Crohn</w:t>
      </w:r>
      <w:r w:rsidRPr="004F5FB4">
        <w:rPr>
          <w:color w:val="000000"/>
        </w:rPr>
        <w:t xml:space="preserve"> </w:t>
      </w:r>
    </w:p>
    <w:p w14:paraId="686CF044" w14:textId="77777777" w:rsidR="00C46587" w:rsidRPr="004F5FB4" w:rsidRDefault="00C46587" w:rsidP="00982118">
      <w:pPr>
        <w:rPr>
          <w:color w:val="000000"/>
        </w:rPr>
      </w:pPr>
    </w:p>
    <w:p w14:paraId="364A52D2" w14:textId="77777777" w:rsidR="00C46587" w:rsidRPr="004F5FB4" w:rsidRDefault="00C46587" w:rsidP="00982118">
      <w:pPr>
        <w:rPr>
          <w:i/>
          <w:color w:val="000000"/>
        </w:rPr>
      </w:pPr>
      <w:r w:rsidRPr="004F5FB4">
        <w:rPr>
          <w:i/>
          <w:color w:val="000000"/>
        </w:rPr>
        <w:t xml:space="preserve">Kinder und Jugendliche zwischen 6 und 17 Jahren mit einem Körpergewicht unter 40 kg </w:t>
      </w:r>
    </w:p>
    <w:p w14:paraId="5C580E44" w14:textId="77777777" w:rsidR="00C46587" w:rsidRPr="004F5FB4" w:rsidRDefault="00C46587" w:rsidP="00982118">
      <w:pPr>
        <w:rPr>
          <w:color w:val="000000"/>
        </w:rPr>
      </w:pPr>
    </w:p>
    <w:p w14:paraId="39282796" w14:textId="77777777" w:rsidR="00ED39CA" w:rsidRPr="004F5FB4" w:rsidRDefault="00C46587" w:rsidP="00982118">
      <w:pPr>
        <w:rPr>
          <w:color w:val="000000"/>
        </w:rPr>
      </w:pPr>
      <w:r w:rsidRPr="004F5FB4">
        <w:rPr>
          <w:color w:val="000000"/>
        </w:rPr>
        <w:t>Die übliche Dosierung beträgt zu Beginn 40 mg, gefolgt von 20 mg zwei Wochen später. Wenn ein schnelleres Eintreten der Wirkung erforderlich ist, kann der Arzt des Kindes eine Anfangsdosis von 80 mg (als zwei Injektionen von 40</w:t>
      </w:r>
      <w:r w:rsidR="00B91676" w:rsidRPr="004F5FB4">
        <w:rPr>
          <w:color w:val="000000"/>
        </w:rPr>
        <w:t> </w:t>
      </w:r>
      <w:r w:rsidRPr="004F5FB4">
        <w:rPr>
          <w:color w:val="000000"/>
        </w:rPr>
        <w:t>mg an einem Tag) verschreiben, gefolgt von 40</w:t>
      </w:r>
      <w:r w:rsidR="00B91676" w:rsidRPr="004F5FB4">
        <w:rPr>
          <w:color w:val="000000"/>
        </w:rPr>
        <w:t> </w:t>
      </w:r>
      <w:r w:rsidRPr="004F5FB4">
        <w:rPr>
          <w:color w:val="000000"/>
        </w:rPr>
        <w:t xml:space="preserve">mg zwei Wochen später. </w:t>
      </w:r>
    </w:p>
    <w:p w14:paraId="54837A03" w14:textId="77777777" w:rsidR="00ED39CA" w:rsidRPr="004F5FB4" w:rsidRDefault="00ED39CA" w:rsidP="00982118">
      <w:pPr>
        <w:rPr>
          <w:color w:val="000000"/>
        </w:rPr>
      </w:pPr>
    </w:p>
    <w:p w14:paraId="52EC9ABB" w14:textId="77777777" w:rsidR="00C46587" w:rsidRPr="004F5FB4" w:rsidRDefault="00C46587" w:rsidP="00982118">
      <w:pPr>
        <w:rPr>
          <w:color w:val="000000"/>
        </w:rPr>
      </w:pPr>
      <w:r w:rsidRPr="004F5FB4">
        <w:rPr>
          <w:color w:val="000000"/>
        </w:rPr>
        <w:t xml:space="preserve">Danach beträgt die übliche Dosis 20 mg jede zweite Woche. Wenn die Dosis nicht ausreichend wirkt, kann der Arzt Ihres Kindes die Dosishäufigkeit auf 20 mg jede Woche erhöhen. </w:t>
      </w:r>
    </w:p>
    <w:p w14:paraId="59F8E960" w14:textId="77777777" w:rsidR="00C46587" w:rsidRPr="004F5FB4" w:rsidRDefault="00C46587" w:rsidP="00982118">
      <w:pPr>
        <w:rPr>
          <w:color w:val="000000"/>
        </w:rPr>
      </w:pPr>
    </w:p>
    <w:p w14:paraId="3D1DE1DD" w14:textId="77777777" w:rsidR="00C46587" w:rsidRPr="004F5FB4" w:rsidRDefault="00C46587" w:rsidP="00982118">
      <w:pPr>
        <w:rPr>
          <w:i/>
          <w:color w:val="000000"/>
        </w:rPr>
      </w:pPr>
      <w:r w:rsidRPr="004F5FB4">
        <w:rPr>
          <w:i/>
          <w:color w:val="000000"/>
        </w:rPr>
        <w:t>Kinder und Jugendliche zwischen 6 und 17</w:t>
      </w:r>
      <w:r w:rsidR="00B91676" w:rsidRPr="004F5FB4">
        <w:rPr>
          <w:i/>
          <w:color w:val="000000"/>
        </w:rPr>
        <w:t> </w:t>
      </w:r>
      <w:r w:rsidRPr="004F5FB4">
        <w:rPr>
          <w:i/>
          <w:color w:val="000000"/>
        </w:rPr>
        <w:t>Jahren mit einem Körpergewicht von 40 kg oder mehr</w:t>
      </w:r>
    </w:p>
    <w:p w14:paraId="3E6EBAE5" w14:textId="77777777" w:rsidR="00C46587" w:rsidRPr="004F5FB4" w:rsidRDefault="00C46587" w:rsidP="00982118">
      <w:pPr>
        <w:rPr>
          <w:color w:val="000000"/>
        </w:rPr>
      </w:pPr>
    </w:p>
    <w:p w14:paraId="3904B457" w14:textId="77777777" w:rsidR="00C46587" w:rsidRPr="004F5FB4" w:rsidRDefault="00C46587" w:rsidP="00982118">
      <w:pPr>
        <w:rPr>
          <w:color w:val="000000"/>
        </w:rPr>
      </w:pPr>
      <w:r w:rsidRPr="004F5FB4">
        <w:rPr>
          <w:color w:val="000000"/>
        </w:rPr>
        <w:t>Die übliche Dosierung beträgt zu Beginn 80 mg (als zwei Injektionen von 40</w:t>
      </w:r>
      <w:r w:rsidR="00B91676" w:rsidRPr="004F5FB4">
        <w:rPr>
          <w:color w:val="000000"/>
        </w:rPr>
        <w:t> </w:t>
      </w:r>
      <w:r w:rsidRPr="004F5FB4">
        <w:rPr>
          <w:color w:val="000000"/>
        </w:rPr>
        <w:t>mg an einem Tag), gefolgt von 40</w:t>
      </w:r>
      <w:r w:rsidR="00B91676" w:rsidRPr="004F5FB4">
        <w:rPr>
          <w:color w:val="000000"/>
        </w:rPr>
        <w:t> </w:t>
      </w:r>
      <w:r w:rsidRPr="004F5FB4">
        <w:rPr>
          <w:color w:val="000000"/>
        </w:rPr>
        <w:t xml:space="preserve">mg zwei Wochen später. Wenn ein schnelleres Eintreten der Wirkung erforderlich ist, kann der Arzt des Kindes eine Anfangsdosis von 160 mg (als vier Injektionen von 40 mg an einem Tag oder als zwei Injektionen von 40 mg pro Tag an zwei aufeinanderfolgenden Tagen) verschreiben, gefolgt von 80 mg (als zwei Injektionen von 40 mg an einem Tag) zwei Wochen später. </w:t>
      </w:r>
    </w:p>
    <w:p w14:paraId="04873C95" w14:textId="77777777" w:rsidR="00C46587" w:rsidRPr="004F5FB4" w:rsidRDefault="00C46587" w:rsidP="00982118">
      <w:pPr>
        <w:rPr>
          <w:color w:val="000000"/>
        </w:rPr>
      </w:pPr>
    </w:p>
    <w:p w14:paraId="532BE4D6" w14:textId="77777777" w:rsidR="00C46587" w:rsidRPr="004F5FB4" w:rsidRDefault="00C46587" w:rsidP="00982118">
      <w:pPr>
        <w:rPr>
          <w:color w:val="000000"/>
        </w:rPr>
      </w:pPr>
      <w:r w:rsidRPr="004F5FB4">
        <w:rPr>
          <w:color w:val="000000"/>
        </w:rPr>
        <w:t xml:space="preserve">Danach beträgt die übliche Dosis 40 mg jede zweite Woche. Wenn die Dosis nicht ausreichend wirkt, kann Ihr Arzt die Dosierung auf 40 mg jede Woche oder 80 mg jede zweite Woche erhöhen. </w:t>
      </w:r>
    </w:p>
    <w:p w14:paraId="55F6D53C" w14:textId="77777777" w:rsidR="00C46587" w:rsidRPr="004F5FB4" w:rsidRDefault="00C46587" w:rsidP="00982118">
      <w:pPr>
        <w:rPr>
          <w:color w:val="000000"/>
        </w:rPr>
      </w:pPr>
    </w:p>
    <w:p w14:paraId="795F436C" w14:textId="77777777" w:rsidR="00C46587" w:rsidRPr="004F5FB4" w:rsidRDefault="00C46587" w:rsidP="00982118">
      <w:pPr>
        <w:rPr>
          <w:color w:val="000000"/>
          <w:u w:val="single"/>
        </w:rPr>
      </w:pPr>
      <w:r w:rsidRPr="004F5FB4">
        <w:rPr>
          <w:color w:val="000000"/>
          <w:u w:val="single"/>
        </w:rPr>
        <w:t>Erwachsene mit Colitis ulcerosa</w:t>
      </w:r>
    </w:p>
    <w:p w14:paraId="56AA8443" w14:textId="77777777" w:rsidR="00C46587" w:rsidRPr="004F5FB4" w:rsidRDefault="00C46587" w:rsidP="00982118">
      <w:pPr>
        <w:rPr>
          <w:color w:val="000000"/>
        </w:rPr>
      </w:pPr>
    </w:p>
    <w:p w14:paraId="66A0EC42" w14:textId="77777777" w:rsidR="00C46587" w:rsidRPr="004F5FB4" w:rsidRDefault="00C46587" w:rsidP="00982118">
      <w:pPr>
        <w:rPr>
          <w:color w:val="000000"/>
        </w:rPr>
      </w:pPr>
      <w:r w:rsidRPr="004F5FB4">
        <w:rPr>
          <w:color w:val="000000"/>
        </w:rPr>
        <w:t xml:space="preserve">Die übliche Dosis von Amsparity beträgt für Erwachsene mit Colitis ulcerosa zu Beginn 160 mg (als vier Injektionen von 40 mg an einem Tag oder als zwei Injektionen von 40 mg pro Tag an zwei aufeinanderfolgenden Tagen), gefolgt von 80 mg (als zwei Injektionen von 40 mg an einem Tag) zwei Wochen später und danach 40 mg jede zweite Woche. Wenn die Dosis nicht ausreichend wirkt, kann Ihr Arzt die Dosierung auf 40 mg jede Woche oder 80 mg jede zweite Woche erhöhen. </w:t>
      </w:r>
    </w:p>
    <w:p w14:paraId="46948BB9" w14:textId="77777777" w:rsidR="00C46587" w:rsidRDefault="00C46587" w:rsidP="00982118">
      <w:pPr>
        <w:rPr>
          <w:color w:val="000000"/>
        </w:rPr>
      </w:pPr>
    </w:p>
    <w:p w14:paraId="4BC119B0" w14:textId="77777777" w:rsidR="00AA754E" w:rsidRPr="00AA754E" w:rsidRDefault="00AA754E" w:rsidP="00AA754E">
      <w:pPr>
        <w:keepNext/>
        <w:rPr>
          <w:color w:val="000000"/>
          <w:u w:val="single"/>
        </w:rPr>
      </w:pPr>
      <w:r w:rsidRPr="00AA754E">
        <w:rPr>
          <w:color w:val="000000"/>
          <w:u w:val="single"/>
        </w:rPr>
        <w:lastRenderedPageBreak/>
        <w:t>Kinder und Jugendliche mit Colitis ulcerosa</w:t>
      </w:r>
    </w:p>
    <w:p w14:paraId="4A035AD7" w14:textId="77777777" w:rsidR="00AA754E" w:rsidRPr="00AA754E" w:rsidRDefault="00AA754E" w:rsidP="00AA754E">
      <w:pPr>
        <w:keepNext/>
        <w:rPr>
          <w:i/>
          <w:iCs/>
          <w:color w:val="000000"/>
        </w:rPr>
      </w:pPr>
    </w:p>
    <w:p w14:paraId="7DC0C524" w14:textId="77777777" w:rsidR="00AA754E" w:rsidRPr="00AA754E" w:rsidRDefault="00AA754E" w:rsidP="00AA754E">
      <w:pPr>
        <w:keepNext/>
        <w:rPr>
          <w:i/>
          <w:iCs/>
          <w:color w:val="000000"/>
        </w:rPr>
      </w:pPr>
      <w:r w:rsidRPr="00AA754E">
        <w:rPr>
          <w:i/>
          <w:iCs/>
          <w:color w:val="000000"/>
        </w:rPr>
        <w:t>Kinder und Jugendliche ab 6 Jahren mit einem Körpergewicht unter 40 kg</w:t>
      </w:r>
    </w:p>
    <w:p w14:paraId="6757EA84" w14:textId="77777777" w:rsidR="00AA754E" w:rsidRPr="00AA754E" w:rsidRDefault="00AA754E" w:rsidP="00AA754E">
      <w:pPr>
        <w:keepNext/>
        <w:rPr>
          <w:color w:val="000000"/>
        </w:rPr>
      </w:pPr>
    </w:p>
    <w:p w14:paraId="32CCAE49" w14:textId="77777777" w:rsidR="00AA754E" w:rsidRPr="00AA754E" w:rsidRDefault="00AA754E" w:rsidP="00AA754E">
      <w:pPr>
        <w:keepNext/>
        <w:rPr>
          <w:color w:val="000000"/>
        </w:rPr>
      </w:pPr>
      <w:r w:rsidRPr="00AA754E">
        <w:rPr>
          <w:color w:val="000000"/>
        </w:rPr>
        <w:t xml:space="preserve">Die </w:t>
      </w:r>
      <w:r w:rsidRPr="00AA754E">
        <w:rPr>
          <w:rFonts w:hint="eastAsia"/>
          <w:color w:val="000000"/>
        </w:rPr>
        <w:t>ü</w:t>
      </w:r>
      <w:r w:rsidRPr="00AA754E">
        <w:rPr>
          <w:color w:val="000000"/>
        </w:rPr>
        <w:t>bliche Dosierung von Amsparity betr</w:t>
      </w:r>
      <w:r w:rsidRPr="00AA754E">
        <w:rPr>
          <w:rFonts w:hint="eastAsia"/>
          <w:color w:val="000000"/>
        </w:rPr>
        <w:t>ä</w:t>
      </w:r>
      <w:r w:rsidRPr="00AA754E">
        <w:rPr>
          <w:color w:val="000000"/>
        </w:rPr>
        <w:t>gt zu Beginn 80 mg (als zwei Injektionen von 40 mg an einem Tag), gefolgt von 40 mg (als eine Injektion von 40 mg) zwei Wochen sp</w:t>
      </w:r>
      <w:r w:rsidRPr="00AA754E">
        <w:rPr>
          <w:rFonts w:hint="eastAsia"/>
          <w:color w:val="000000"/>
        </w:rPr>
        <w:t>ä</w:t>
      </w:r>
      <w:r w:rsidRPr="00AA754E">
        <w:rPr>
          <w:color w:val="000000"/>
        </w:rPr>
        <w:t>ter. Danach betr</w:t>
      </w:r>
      <w:r w:rsidRPr="00AA754E">
        <w:rPr>
          <w:rFonts w:hint="eastAsia"/>
          <w:color w:val="000000"/>
        </w:rPr>
        <w:t>ä</w:t>
      </w:r>
      <w:r w:rsidRPr="00AA754E">
        <w:rPr>
          <w:color w:val="000000"/>
        </w:rPr>
        <w:t xml:space="preserve">gt die </w:t>
      </w:r>
      <w:r w:rsidRPr="00AA754E">
        <w:rPr>
          <w:rFonts w:hint="eastAsia"/>
          <w:color w:val="000000"/>
        </w:rPr>
        <w:t>ü</w:t>
      </w:r>
      <w:r w:rsidRPr="00AA754E">
        <w:rPr>
          <w:color w:val="000000"/>
        </w:rPr>
        <w:t>bliche Dosierung 40 mg jede zweite Woche.</w:t>
      </w:r>
    </w:p>
    <w:p w14:paraId="7146E24F" w14:textId="77777777" w:rsidR="00AA754E" w:rsidRPr="00AA754E" w:rsidRDefault="00AA754E" w:rsidP="00AA754E">
      <w:pPr>
        <w:keepNext/>
        <w:rPr>
          <w:color w:val="000000"/>
        </w:rPr>
      </w:pPr>
    </w:p>
    <w:p w14:paraId="4764EEF4" w14:textId="77777777" w:rsidR="00AA754E" w:rsidRPr="00AA754E" w:rsidRDefault="00AA754E" w:rsidP="00AA754E">
      <w:pPr>
        <w:keepNext/>
        <w:rPr>
          <w:color w:val="000000"/>
        </w:rPr>
      </w:pPr>
      <w:r w:rsidRPr="00AA754E">
        <w:rPr>
          <w:color w:val="000000"/>
        </w:rPr>
        <w:t>Patienten, die 18 Jahre alt werden, w</w:t>
      </w:r>
      <w:r w:rsidRPr="00AA754E">
        <w:rPr>
          <w:rFonts w:hint="eastAsia"/>
          <w:color w:val="000000"/>
        </w:rPr>
        <w:t>ä</w:t>
      </w:r>
      <w:r w:rsidRPr="00AA754E">
        <w:rPr>
          <w:color w:val="000000"/>
        </w:rPr>
        <w:t>hrend sie jede zweite Woche 40 mg erhalten, sollten die verschriebene Dosis weiterhin spritzen.</w:t>
      </w:r>
    </w:p>
    <w:p w14:paraId="062FE308" w14:textId="77777777" w:rsidR="00AA754E" w:rsidRPr="00AA754E" w:rsidRDefault="00AA754E" w:rsidP="00AA754E">
      <w:pPr>
        <w:keepNext/>
        <w:rPr>
          <w:color w:val="000000"/>
        </w:rPr>
      </w:pPr>
    </w:p>
    <w:p w14:paraId="76255BF5" w14:textId="77777777" w:rsidR="00AA754E" w:rsidRPr="00AA754E" w:rsidRDefault="00AA754E" w:rsidP="00AA754E">
      <w:pPr>
        <w:rPr>
          <w:i/>
          <w:iCs/>
          <w:color w:val="000000"/>
        </w:rPr>
      </w:pPr>
      <w:r w:rsidRPr="00AA754E">
        <w:rPr>
          <w:i/>
          <w:iCs/>
          <w:color w:val="000000"/>
        </w:rPr>
        <w:t>Kinder und Jugendliche ab 6 Jahren mit einem Körpergewicht von 40 kg oder mehr</w:t>
      </w:r>
    </w:p>
    <w:p w14:paraId="1245ACBC" w14:textId="77777777" w:rsidR="00AA754E" w:rsidRPr="00AA754E" w:rsidRDefault="00AA754E" w:rsidP="00AA754E">
      <w:pPr>
        <w:rPr>
          <w:color w:val="000000"/>
        </w:rPr>
      </w:pPr>
    </w:p>
    <w:p w14:paraId="16005CF9" w14:textId="77777777" w:rsidR="00AA754E" w:rsidRPr="00AA754E" w:rsidRDefault="00AA754E" w:rsidP="00AA754E">
      <w:pPr>
        <w:rPr>
          <w:color w:val="000000"/>
        </w:rPr>
      </w:pPr>
      <w:r w:rsidRPr="00AA754E">
        <w:rPr>
          <w:color w:val="000000"/>
        </w:rPr>
        <w:t xml:space="preserve">Die </w:t>
      </w:r>
      <w:r w:rsidRPr="00AA754E">
        <w:rPr>
          <w:rFonts w:hint="eastAsia"/>
          <w:color w:val="000000"/>
        </w:rPr>
        <w:t>ü</w:t>
      </w:r>
      <w:r w:rsidRPr="00AA754E">
        <w:rPr>
          <w:color w:val="000000"/>
        </w:rPr>
        <w:t>bliche Dosierung von Amsparity betr</w:t>
      </w:r>
      <w:r w:rsidRPr="00AA754E">
        <w:rPr>
          <w:rFonts w:hint="eastAsia"/>
          <w:color w:val="000000"/>
        </w:rPr>
        <w:t>ä</w:t>
      </w:r>
      <w:r w:rsidRPr="00AA754E">
        <w:rPr>
          <w:color w:val="000000"/>
        </w:rPr>
        <w:t>gt zu Beginn 160 mg (als vier Injektionen von 40 mg an einem Tag oder als zwei Injektionen von 40 mg pro Tag an zwei aufeinanderfolgenden Tagen), gefolgt von 80 mg (als zwei Injektionen von 40 mg an einem Tag) zwei Wochen sp</w:t>
      </w:r>
      <w:r w:rsidRPr="00AA754E">
        <w:rPr>
          <w:rFonts w:hint="eastAsia"/>
          <w:color w:val="000000"/>
        </w:rPr>
        <w:t>ä</w:t>
      </w:r>
      <w:r w:rsidRPr="00AA754E">
        <w:rPr>
          <w:color w:val="000000"/>
        </w:rPr>
        <w:t>ter. Danach betr</w:t>
      </w:r>
      <w:r w:rsidRPr="00AA754E">
        <w:rPr>
          <w:rFonts w:hint="eastAsia"/>
          <w:color w:val="000000"/>
        </w:rPr>
        <w:t>ä</w:t>
      </w:r>
      <w:r w:rsidRPr="00AA754E">
        <w:rPr>
          <w:color w:val="000000"/>
        </w:rPr>
        <w:t xml:space="preserve">gt die </w:t>
      </w:r>
      <w:r w:rsidRPr="00AA754E">
        <w:rPr>
          <w:rFonts w:hint="eastAsia"/>
          <w:color w:val="000000"/>
        </w:rPr>
        <w:t>ü</w:t>
      </w:r>
      <w:r w:rsidRPr="00AA754E">
        <w:rPr>
          <w:color w:val="000000"/>
        </w:rPr>
        <w:t>bliche Dosierung 80 mg jede zweite Woche.</w:t>
      </w:r>
    </w:p>
    <w:p w14:paraId="26FB8A89" w14:textId="77777777" w:rsidR="00AA754E" w:rsidRPr="00AA754E" w:rsidRDefault="00AA754E" w:rsidP="00AA754E">
      <w:pPr>
        <w:rPr>
          <w:color w:val="000000"/>
        </w:rPr>
      </w:pPr>
    </w:p>
    <w:p w14:paraId="1AFE6797" w14:textId="77777777" w:rsidR="00AA754E" w:rsidRPr="00AA754E" w:rsidRDefault="00AA754E" w:rsidP="00AA754E">
      <w:pPr>
        <w:rPr>
          <w:color w:val="000000"/>
        </w:rPr>
      </w:pPr>
      <w:r w:rsidRPr="00AA754E">
        <w:rPr>
          <w:color w:val="000000"/>
        </w:rPr>
        <w:t>Patienten, die 18 Jahre alt werden, w</w:t>
      </w:r>
      <w:r w:rsidRPr="00AA754E">
        <w:rPr>
          <w:rFonts w:hint="eastAsia"/>
          <w:color w:val="000000"/>
        </w:rPr>
        <w:t>ä</w:t>
      </w:r>
      <w:r w:rsidRPr="00AA754E">
        <w:rPr>
          <w:color w:val="000000"/>
        </w:rPr>
        <w:t>hrend sie jede zweite Woche 80 mg erhalten, sollten die verschriebene Dosis weiterhin spritzen.</w:t>
      </w:r>
    </w:p>
    <w:p w14:paraId="2CD8B9B7" w14:textId="77777777" w:rsidR="00AA754E" w:rsidRPr="004F5FB4" w:rsidRDefault="00AA754E" w:rsidP="00982118">
      <w:pPr>
        <w:rPr>
          <w:color w:val="000000"/>
        </w:rPr>
      </w:pPr>
    </w:p>
    <w:p w14:paraId="11595B41" w14:textId="77777777" w:rsidR="00C46587" w:rsidRPr="004F5FB4" w:rsidRDefault="00C46587" w:rsidP="00982118">
      <w:pPr>
        <w:keepNext/>
        <w:rPr>
          <w:color w:val="000000"/>
          <w:u w:val="single"/>
        </w:rPr>
      </w:pPr>
      <w:r w:rsidRPr="004F5FB4">
        <w:rPr>
          <w:color w:val="000000"/>
          <w:u w:val="single"/>
        </w:rPr>
        <w:t>Erwachsene mit nicht infektiöser Uveitis</w:t>
      </w:r>
    </w:p>
    <w:p w14:paraId="2C0E81D0" w14:textId="77777777" w:rsidR="00C46587" w:rsidRPr="004F5FB4" w:rsidRDefault="00C46587" w:rsidP="00982118">
      <w:pPr>
        <w:keepNext/>
        <w:rPr>
          <w:color w:val="000000"/>
        </w:rPr>
      </w:pPr>
    </w:p>
    <w:p w14:paraId="4396E10E" w14:textId="77777777" w:rsidR="00C46587" w:rsidRPr="004F5FB4" w:rsidRDefault="00C46587" w:rsidP="00982118">
      <w:pPr>
        <w:keepNext/>
        <w:rPr>
          <w:color w:val="000000"/>
        </w:rPr>
      </w:pPr>
      <w:r w:rsidRPr="004F5FB4">
        <w:rPr>
          <w:color w:val="000000"/>
        </w:rPr>
        <w:t>Die übliche Dosierung von Amsparity für Erwachsene mit nicht infektiöser Uveitis beträgt 80 mg (als zwei Injektionen von 40 mg an einem Tag) als Anfangsdosis, gefolgt von 40 mg eine Woche später und danach 40</w:t>
      </w:r>
      <w:r w:rsidR="007E3AA5" w:rsidRPr="004F5FB4">
        <w:rPr>
          <w:color w:val="000000"/>
        </w:rPr>
        <w:t> </w:t>
      </w:r>
      <w:r w:rsidRPr="004F5FB4">
        <w:rPr>
          <w:color w:val="000000"/>
        </w:rPr>
        <w:t xml:space="preserve">mg alle zwei Wochen. Sie sollten Amsparity so lange anwenden, wie Ihr Arzt es Ihnen gesagt hat. </w:t>
      </w:r>
    </w:p>
    <w:p w14:paraId="0E449D6C" w14:textId="77777777" w:rsidR="00C46587" w:rsidRPr="004F5FB4" w:rsidRDefault="00C46587" w:rsidP="00982118">
      <w:pPr>
        <w:rPr>
          <w:color w:val="000000"/>
        </w:rPr>
      </w:pPr>
    </w:p>
    <w:p w14:paraId="7957E8B6" w14:textId="77777777" w:rsidR="00C46587" w:rsidRPr="004F5FB4" w:rsidRDefault="00C46587" w:rsidP="00982118">
      <w:pPr>
        <w:rPr>
          <w:color w:val="000000"/>
        </w:rPr>
      </w:pPr>
      <w:r w:rsidRPr="004F5FB4">
        <w:rPr>
          <w:color w:val="000000"/>
        </w:rPr>
        <w:t xml:space="preserve">Bei nicht infektiöser Uveitis können Kortikosteroide oder andere Arzneimittel, die das körpereigene Abwehrsystem beeinflussen, während der Behandlung mit Amsparity weiter angewendet werden. Amsparity kann auch alleine angewendet werden. </w:t>
      </w:r>
    </w:p>
    <w:p w14:paraId="3C877BF6" w14:textId="77777777" w:rsidR="00C46587" w:rsidRPr="004F5FB4" w:rsidRDefault="00C46587" w:rsidP="00982118">
      <w:pPr>
        <w:rPr>
          <w:color w:val="000000"/>
        </w:rPr>
      </w:pPr>
    </w:p>
    <w:p w14:paraId="34AB714C" w14:textId="77777777" w:rsidR="00143CBB" w:rsidRPr="004F5FB4" w:rsidRDefault="00143CBB" w:rsidP="00982118">
      <w:pPr>
        <w:keepNext/>
        <w:rPr>
          <w:color w:val="000000"/>
          <w:u w:val="single"/>
        </w:rPr>
      </w:pPr>
      <w:r w:rsidRPr="004F5FB4">
        <w:rPr>
          <w:color w:val="000000"/>
          <w:u w:val="single"/>
        </w:rPr>
        <w:t>Kinder ab 2</w:t>
      </w:r>
      <w:r w:rsidR="007E3AA5" w:rsidRPr="004F5FB4">
        <w:rPr>
          <w:color w:val="000000"/>
          <w:u w:val="single"/>
        </w:rPr>
        <w:t> </w:t>
      </w:r>
      <w:r w:rsidRPr="004F5FB4">
        <w:rPr>
          <w:color w:val="000000"/>
          <w:u w:val="single"/>
        </w:rPr>
        <w:t>Jahren und Jugendliche mit chronischer nicht infektiöser Uveitis</w:t>
      </w:r>
    </w:p>
    <w:p w14:paraId="30263DC9" w14:textId="77777777" w:rsidR="00143CBB" w:rsidRPr="004F5FB4" w:rsidRDefault="00143CBB" w:rsidP="00982118">
      <w:pPr>
        <w:keepNext/>
        <w:rPr>
          <w:color w:val="000000"/>
          <w:u w:val="single"/>
        </w:rPr>
      </w:pPr>
    </w:p>
    <w:p w14:paraId="461D254E" w14:textId="77777777" w:rsidR="00143CBB" w:rsidRPr="004F5FB4" w:rsidRDefault="00143CBB" w:rsidP="00982118">
      <w:pPr>
        <w:rPr>
          <w:i/>
          <w:color w:val="000000"/>
        </w:rPr>
      </w:pPr>
      <w:r w:rsidRPr="004F5FB4">
        <w:rPr>
          <w:i/>
          <w:color w:val="000000"/>
        </w:rPr>
        <w:t>Kinder ab 2</w:t>
      </w:r>
      <w:r w:rsidR="007E3AA5" w:rsidRPr="004F5FB4">
        <w:rPr>
          <w:i/>
          <w:color w:val="000000"/>
        </w:rPr>
        <w:t> </w:t>
      </w:r>
      <w:r w:rsidRPr="004F5FB4">
        <w:rPr>
          <w:i/>
          <w:color w:val="000000"/>
        </w:rPr>
        <w:t>Jahren und Jugendliche mit einem Körpergewicht unter 30</w:t>
      </w:r>
      <w:r w:rsidR="007E3AA5" w:rsidRPr="004F5FB4">
        <w:rPr>
          <w:i/>
          <w:color w:val="000000"/>
        </w:rPr>
        <w:t> </w:t>
      </w:r>
      <w:r w:rsidRPr="004F5FB4">
        <w:rPr>
          <w:i/>
          <w:color w:val="000000"/>
        </w:rPr>
        <w:t>kg</w:t>
      </w:r>
    </w:p>
    <w:p w14:paraId="672D00A5" w14:textId="77777777" w:rsidR="00143CBB" w:rsidRPr="004F5FB4" w:rsidRDefault="00143CBB" w:rsidP="00982118">
      <w:pPr>
        <w:rPr>
          <w:color w:val="000000"/>
        </w:rPr>
      </w:pPr>
    </w:p>
    <w:p w14:paraId="447E9594" w14:textId="77777777" w:rsidR="00143CBB" w:rsidRPr="004F5FB4" w:rsidRDefault="00143CBB" w:rsidP="00982118">
      <w:pPr>
        <w:rPr>
          <w:color w:val="000000"/>
        </w:rPr>
      </w:pPr>
      <w:r w:rsidRPr="004F5FB4">
        <w:rPr>
          <w:color w:val="000000"/>
        </w:rPr>
        <w:t>Die übliche Dosierung von Amsparity beträgt 20</w:t>
      </w:r>
      <w:r w:rsidR="007E3AA5" w:rsidRPr="004F5FB4">
        <w:rPr>
          <w:color w:val="000000"/>
        </w:rPr>
        <w:t> </w:t>
      </w:r>
      <w:r w:rsidRPr="004F5FB4">
        <w:rPr>
          <w:color w:val="000000"/>
        </w:rPr>
        <w:t>mg alle 2</w:t>
      </w:r>
      <w:r w:rsidR="007E3AA5" w:rsidRPr="004F5FB4">
        <w:rPr>
          <w:color w:val="000000"/>
        </w:rPr>
        <w:t> </w:t>
      </w:r>
      <w:r w:rsidRPr="004F5FB4">
        <w:rPr>
          <w:color w:val="000000"/>
        </w:rPr>
        <w:t>Wochen gemeinsam mit Methotrexat.</w:t>
      </w:r>
    </w:p>
    <w:p w14:paraId="473D2E39" w14:textId="77777777" w:rsidR="00143CBB" w:rsidRPr="004F5FB4" w:rsidRDefault="00143CBB" w:rsidP="00982118">
      <w:pPr>
        <w:rPr>
          <w:color w:val="000000"/>
        </w:rPr>
      </w:pPr>
    </w:p>
    <w:p w14:paraId="11232A49" w14:textId="77777777" w:rsidR="00143CBB" w:rsidRPr="004F5FB4" w:rsidRDefault="00143CBB" w:rsidP="00982118">
      <w:pPr>
        <w:rPr>
          <w:color w:val="000000"/>
        </w:rPr>
      </w:pPr>
      <w:r w:rsidRPr="004F5FB4">
        <w:rPr>
          <w:color w:val="000000"/>
        </w:rPr>
        <w:t>Der Arzt Ihres Kindes kann auch eine Anfangsdosis von 40</w:t>
      </w:r>
      <w:r w:rsidR="007E3AA5" w:rsidRPr="004F5FB4">
        <w:rPr>
          <w:color w:val="000000"/>
        </w:rPr>
        <w:t> </w:t>
      </w:r>
      <w:r w:rsidRPr="004F5FB4">
        <w:rPr>
          <w:color w:val="000000"/>
        </w:rPr>
        <w:t>mg verschreiben, die eine Woche vor Beginn der üblichen Dosis verabreicht werden kann.</w:t>
      </w:r>
    </w:p>
    <w:p w14:paraId="0D19E360" w14:textId="77777777" w:rsidR="00143CBB" w:rsidRPr="004F5FB4" w:rsidRDefault="00143CBB" w:rsidP="00982118">
      <w:pPr>
        <w:rPr>
          <w:color w:val="000000"/>
          <w:u w:val="single"/>
        </w:rPr>
      </w:pPr>
    </w:p>
    <w:p w14:paraId="35349DD6" w14:textId="77777777" w:rsidR="00143CBB" w:rsidRPr="004F5FB4" w:rsidRDefault="00143CBB" w:rsidP="00982118">
      <w:pPr>
        <w:keepNext/>
        <w:rPr>
          <w:i/>
          <w:color w:val="000000"/>
        </w:rPr>
      </w:pPr>
      <w:r w:rsidRPr="004F5FB4">
        <w:rPr>
          <w:i/>
          <w:color w:val="000000"/>
        </w:rPr>
        <w:t>Kinder ab 2</w:t>
      </w:r>
      <w:r w:rsidR="007E3AA5" w:rsidRPr="004F5FB4">
        <w:rPr>
          <w:i/>
          <w:color w:val="000000"/>
        </w:rPr>
        <w:t> </w:t>
      </w:r>
      <w:r w:rsidRPr="004F5FB4">
        <w:rPr>
          <w:i/>
          <w:color w:val="000000"/>
        </w:rPr>
        <w:t>Jahren und Jugendliche mit einem Gewicht von 30</w:t>
      </w:r>
      <w:r w:rsidR="007E3AA5" w:rsidRPr="004F5FB4">
        <w:rPr>
          <w:i/>
          <w:color w:val="000000"/>
        </w:rPr>
        <w:t> </w:t>
      </w:r>
      <w:r w:rsidRPr="004F5FB4">
        <w:rPr>
          <w:i/>
          <w:color w:val="000000"/>
        </w:rPr>
        <w:t>kg oder mehr</w:t>
      </w:r>
    </w:p>
    <w:p w14:paraId="3E97EAEA" w14:textId="77777777" w:rsidR="00143CBB" w:rsidRPr="004F5FB4" w:rsidRDefault="00143CBB" w:rsidP="00982118">
      <w:pPr>
        <w:keepNext/>
        <w:rPr>
          <w:color w:val="000000"/>
        </w:rPr>
      </w:pPr>
    </w:p>
    <w:p w14:paraId="651BFA7B" w14:textId="77777777" w:rsidR="00143CBB" w:rsidRPr="004F5FB4" w:rsidRDefault="00143CBB" w:rsidP="00982118">
      <w:pPr>
        <w:rPr>
          <w:color w:val="000000"/>
        </w:rPr>
      </w:pPr>
      <w:r w:rsidRPr="004F5FB4">
        <w:rPr>
          <w:color w:val="000000"/>
        </w:rPr>
        <w:t>Die übliche Dosierung von Amsparity beträgt 40</w:t>
      </w:r>
      <w:r w:rsidR="007E3AA5" w:rsidRPr="004F5FB4">
        <w:rPr>
          <w:color w:val="000000"/>
        </w:rPr>
        <w:t> </w:t>
      </w:r>
      <w:r w:rsidRPr="004F5FB4">
        <w:rPr>
          <w:color w:val="000000"/>
        </w:rPr>
        <w:t>mg alle 2</w:t>
      </w:r>
      <w:r w:rsidR="007E3AA5" w:rsidRPr="004F5FB4">
        <w:rPr>
          <w:color w:val="000000"/>
        </w:rPr>
        <w:t> </w:t>
      </w:r>
      <w:r w:rsidRPr="004F5FB4">
        <w:rPr>
          <w:color w:val="000000"/>
        </w:rPr>
        <w:t>Wochen gemeinsam mit Methotrexat.</w:t>
      </w:r>
    </w:p>
    <w:p w14:paraId="7D653AF7" w14:textId="77777777" w:rsidR="00143CBB" w:rsidRPr="004F5FB4" w:rsidRDefault="00143CBB" w:rsidP="00982118">
      <w:pPr>
        <w:rPr>
          <w:color w:val="000000"/>
        </w:rPr>
      </w:pPr>
    </w:p>
    <w:p w14:paraId="2F94005B" w14:textId="77777777" w:rsidR="00143CBB" w:rsidRPr="004F5FB4" w:rsidRDefault="00143CBB" w:rsidP="00982118">
      <w:pPr>
        <w:rPr>
          <w:color w:val="000000"/>
        </w:rPr>
      </w:pPr>
      <w:r w:rsidRPr="004F5FB4">
        <w:rPr>
          <w:color w:val="000000"/>
        </w:rPr>
        <w:t>Der Arzt Ihres Kindes kann auch eine Anfangsdosis von 80</w:t>
      </w:r>
      <w:r w:rsidR="007E3AA5" w:rsidRPr="004F5FB4">
        <w:rPr>
          <w:color w:val="000000"/>
        </w:rPr>
        <w:t> </w:t>
      </w:r>
      <w:r w:rsidRPr="004F5FB4">
        <w:rPr>
          <w:color w:val="000000"/>
        </w:rPr>
        <w:t>mg verschreiben, die eine Woche vor Beginn der üblichen Dosis verabreicht werden kann.</w:t>
      </w:r>
    </w:p>
    <w:p w14:paraId="5BDE68D1" w14:textId="77777777" w:rsidR="00C46587" w:rsidRPr="004F5FB4" w:rsidRDefault="00C46587" w:rsidP="00982118">
      <w:pPr>
        <w:rPr>
          <w:color w:val="000000"/>
        </w:rPr>
      </w:pPr>
    </w:p>
    <w:p w14:paraId="7E67F7E2" w14:textId="77777777" w:rsidR="00C46587" w:rsidRPr="004F5FB4" w:rsidRDefault="00C46587" w:rsidP="00982118">
      <w:pPr>
        <w:keepNext/>
        <w:rPr>
          <w:b/>
          <w:color w:val="000000"/>
        </w:rPr>
      </w:pPr>
      <w:r w:rsidRPr="004F5FB4">
        <w:rPr>
          <w:b/>
          <w:color w:val="000000"/>
        </w:rPr>
        <w:t xml:space="preserve">Art der Anwendung </w:t>
      </w:r>
    </w:p>
    <w:p w14:paraId="759D90C2" w14:textId="77777777" w:rsidR="00C46587" w:rsidRPr="004F5FB4" w:rsidRDefault="00C46587" w:rsidP="00982118">
      <w:pPr>
        <w:keepNext/>
        <w:rPr>
          <w:color w:val="000000"/>
        </w:rPr>
      </w:pPr>
    </w:p>
    <w:p w14:paraId="38C765D4" w14:textId="77777777" w:rsidR="00C46587" w:rsidRPr="004F5FB4" w:rsidRDefault="006A1144" w:rsidP="00982118">
      <w:pPr>
        <w:rPr>
          <w:color w:val="000000"/>
        </w:rPr>
      </w:pPr>
      <w:r w:rsidRPr="004F5FB4">
        <w:rPr>
          <w:color w:val="000000"/>
        </w:rPr>
        <w:t xml:space="preserve">Amsparity wird unter die Haut gespritzt (subkutane Injektion). </w:t>
      </w:r>
    </w:p>
    <w:p w14:paraId="549A3986" w14:textId="77777777" w:rsidR="00C46587" w:rsidRPr="004F5FB4" w:rsidRDefault="00C46587" w:rsidP="00982118">
      <w:pPr>
        <w:rPr>
          <w:color w:val="000000"/>
        </w:rPr>
      </w:pPr>
    </w:p>
    <w:p w14:paraId="3B9DBCC5" w14:textId="77777777" w:rsidR="005D12B7" w:rsidRPr="00F60620" w:rsidRDefault="005D12B7" w:rsidP="00F60620">
      <w:pPr>
        <w:keepNext/>
        <w:rPr>
          <w:b/>
          <w:color w:val="000000"/>
        </w:rPr>
      </w:pPr>
      <w:r w:rsidRPr="00F60620">
        <w:rPr>
          <w:b/>
          <w:color w:val="000000"/>
        </w:rPr>
        <w:t xml:space="preserve">Eine genaue Anleitung, wie Amsparity gespritzt wird, finden Sie in den Anweisungen für die Anwendung am Ende dieser Packungsbeilage. </w:t>
      </w:r>
    </w:p>
    <w:p w14:paraId="2D5FAB68" w14:textId="77777777" w:rsidR="00C33D47" w:rsidRPr="004F5FB4" w:rsidRDefault="00C33D47" w:rsidP="00982118">
      <w:pPr>
        <w:rPr>
          <w:b/>
          <w:color w:val="000000"/>
        </w:rPr>
      </w:pPr>
    </w:p>
    <w:p w14:paraId="4A3F8674" w14:textId="77777777" w:rsidR="00C46587" w:rsidRPr="004F5FB4" w:rsidRDefault="00C46587" w:rsidP="00982118">
      <w:pPr>
        <w:keepNext/>
        <w:rPr>
          <w:b/>
          <w:color w:val="000000"/>
        </w:rPr>
      </w:pPr>
      <w:r w:rsidRPr="004F5FB4">
        <w:rPr>
          <w:b/>
          <w:color w:val="000000"/>
        </w:rPr>
        <w:t>Wenn Sie eine größere Menge von Amsparity angewendet haben, als Sie sollten</w:t>
      </w:r>
    </w:p>
    <w:p w14:paraId="0215E989" w14:textId="77777777" w:rsidR="00C46587" w:rsidRPr="004F5FB4" w:rsidRDefault="00C46587" w:rsidP="00982118">
      <w:pPr>
        <w:rPr>
          <w:color w:val="000000"/>
        </w:rPr>
      </w:pPr>
    </w:p>
    <w:p w14:paraId="1DACD4A2" w14:textId="77777777" w:rsidR="00C46587" w:rsidRPr="004F5FB4" w:rsidRDefault="00C46587" w:rsidP="00982118">
      <w:pPr>
        <w:rPr>
          <w:color w:val="000000"/>
        </w:rPr>
      </w:pPr>
      <w:r w:rsidRPr="004F5FB4">
        <w:rPr>
          <w:color w:val="000000"/>
        </w:rPr>
        <w:lastRenderedPageBreak/>
        <w:t xml:space="preserve">Wenn Sie Amsparity versehentlich häufiger </w:t>
      </w:r>
      <w:r w:rsidR="002800C8" w:rsidRPr="004F5FB4">
        <w:rPr>
          <w:color w:val="000000"/>
        </w:rPr>
        <w:t>ge</w:t>
      </w:r>
      <w:r w:rsidRPr="004F5FB4">
        <w:rPr>
          <w:color w:val="000000"/>
        </w:rPr>
        <w:t>spritz</w:t>
      </w:r>
      <w:r w:rsidR="002800C8" w:rsidRPr="004F5FB4">
        <w:rPr>
          <w:color w:val="000000"/>
        </w:rPr>
        <w:t>t haben,</w:t>
      </w:r>
      <w:r w:rsidRPr="004F5FB4">
        <w:rPr>
          <w:color w:val="000000"/>
        </w:rPr>
        <w:t xml:space="preserve"> als Sie sollten, informieren Sie Ihren Arzt oder Apotheker darüber, dass Sie eine größere Menge angewendet haben als erforderlich. Nehmen Sie immer den Umkarton des Arzneimittels mit, auch wenn er leer ist. </w:t>
      </w:r>
    </w:p>
    <w:p w14:paraId="0A66169C" w14:textId="77777777" w:rsidR="00C46587" w:rsidRPr="004F5FB4" w:rsidRDefault="00C46587" w:rsidP="00982118">
      <w:pPr>
        <w:rPr>
          <w:color w:val="000000"/>
        </w:rPr>
      </w:pPr>
    </w:p>
    <w:p w14:paraId="097E1B4B" w14:textId="77777777" w:rsidR="00C46587" w:rsidRPr="004F5FB4" w:rsidRDefault="00C46587" w:rsidP="00982118">
      <w:pPr>
        <w:rPr>
          <w:b/>
          <w:color w:val="000000"/>
        </w:rPr>
      </w:pPr>
      <w:r w:rsidRPr="004F5FB4">
        <w:rPr>
          <w:b/>
          <w:color w:val="000000"/>
        </w:rPr>
        <w:t>Wenn Sie die Anwendung von Amsparity vergessen haben</w:t>
      </w:r>
    </w:p>
    <w:p w14:paraId="45E9BDB3" w14:textId="77777777" w:rsidR="00C46587" w:rsidRPr="004F5FB4" w:rsidRDefault="00C46587" w:rsidP="00982118">
      <w:pPr>
        <w:rPr>
          <w:color w:val="000000"/>
        </w:rPr>
      </w:pPr>
    </w:p>
    <w:p w14:paraId="331F515F" w14:textId="77777777" w:rsidR="00C46587" w:rsidRPr="004F5FB4" w:rsidRDefault="00C46587" w:rsidP="00982118">
      <w:pPr>
        <w:rPr>
          <w:color w:val="000000"/>
        </w:rPr>
      </w:pPr>
      <w:r w:rsidRPr="004F5FB4">
        <w:rPr>
          <w:color w:val="000000"/>
        </w:rPr>
        <w:t xml:space="preserve">Wenn Sie einmal eine Injektion vergessen haben, sollten Sie die nächste Amsparity-Dosis spritzen, sobald Ihnen dies auffällt. Spritzen Sie Ihre darauffolgende Dosis an dem ursprünglich vorgesehenen Tag, wie Sie es getan hätten, wenn Sie die Injektion nicht vergessen hätten. </w:t>
      </w:r>
    </w:p>
    <w:p w14:paraId="53817F14" w14:textId="77777777" w:rsidR="00C46587" w:rsidRPr="004F5FB4" w:rsidRDefault="00C46587" w:rsidP="00982118">
      <w:pPr>
        <w:rPr>
          <w:color w:val="000000"/>
        </w:rPr>
      </w:pPr>
    </w:p>
    <w:p w14:paraId="29F50CBE" w14:textId="77777777" w:rsidR="00C46587" w:rsidRPr="004F5FB4" w:rsidRDefault="00C46587" w:rsidP="00982118">
      <w:pPr>
        <w:keepNext/>
        <w:rPr>
          <w:b/>
          <w:color w:val="000000"/>
        </w:rPr>
      </w:pPr>
      <w:r w:rsidRPr="004F5FB4">
        <w:rPr>
          <w:b/>
          <w:color w:val="000000"/>
        </w:rPr>
        <w:t>Wenn Sie die Anwendung von Amsparity abbrechen</w:t>
      </w:r>
    </w:p>
    <w:p w14:paraId="38F68CC5" w14:textId="77777777" w:rsidR="00C46587" w:rsidRPr="004F5FB4" w:rsidRDefault="00C46587" w:rsidP="00982118">
      <w:pPr>
        <w:keepNext/>
        <w:rPr>
          <w:color w:val="000000"/>
        </w:rPr>
      </w:pPr>
    </w:p>
    <w:p w14:paraId="658340CC" w14:textId="77777777" w:rsidR="00C46587" w:rsidRPr="004F5FB4" w:rsidRDefault="00C46587" w:rsidP="00982118">
      <w:pPr>
        <w:keepNext/>
        <w:rPr>
          <w:color w:val="000000"/>
        </w:rPr>
      </w:pPr>
      <w:r w:rsidRPr="004F5FB4">
        <w:rPr>
          <w:color w:val="000000"/>
        </w:rPr>
        <w:t xml:space="preserve">Die Entscheidung, die Anwendung von Amsparity abzubrechen, müssen Sie mit Ihrem Arzt besprechen. Die Symptome Ihrer Erkrankung können nach Abbruch der Behandlung zurückkehren. </w:t>
      </w:r>
    </w:p>
    <w:p w14:paraId="7759CD23" w14:textId="77777777" w:rsidR="00C46587" w:rsidRPr="004F5FB4" w:rsidRDefault="00C46587" w:rsidP="00982118">
      <w:pPr>
        <w:rPr>
          <w:color w:val="000000"/>
        </w:rPr>
      </w:pPr>
    </w:p>
    <w:p w14:paraId="4B1FC1A8" w14:textId="77777777" w:rsidR="00C46587" w:rsidRPr="004F5FB4" w:rsidRDefault="000E7C79" w:rsidP="00982118">
      <w:pPr>
        <w:rPr>
          <w:color w:val="000000"/>
        </w:rPr>
      </w:pPr>
      <w:r w:rsidRPr="004F5FB4">
        <w:rPr>
          <w:color w:val="000000"/>
        </w:rPr>
        <w:t>Wenn Sie weitere Fragen zur Anwendung dieses Arzneimittels haben, wenden Sie sich an Ihren Arzt oder Apotheker.</w:t>
      </w:r>
      <w:r w:rsidR="00C46587" w:rsidRPr="004F5FB4">
        <w:rPr>
          <w:color w:val="000000"/>
        </w:rPr>
        <w:t xml:space="preserve"> </w:t>
      </w:r>
    </w:p>
    <w:p w14:paraId="1C55334F" w14:textId="77777777" w:rsidR="00C46587" w:rsidRPr="004F5FB4" w:rsidRDefault="00C46587" w:rsidP="00982118">
      <w:pPr>
        <w:rPr>
          <w:color w:val="000000"/>
        </w:rPr>
      </w:pPr>
    </w:p>
    <w:p w14:paraId="0B9E190C" w14:textId="77777777" w:rsidR="00C46587" w:rsidRPr="004F5FB4" w:rsidRDefault="00C46587" w:rsidP="00982118">
      <w:pPr>
        <w:rPr>
          <w:color w:val="000000"/>
        </w:rPr>
      </w:pPr>
    </w:p>
    <w:p w14:paraId="4B338F71" w14:textId="77777777" w:rsidR="00C46587" w:rsidRPr="004F5FB4" w:rsidRDefault="00C46587" w:rsidP="00982118">
      <w:pPr>
        <w:keepNext/>
        <w:tabs>
          <w:tab w:val="left" w:pos="562"/>
        </w:tabs>
        <w:rPr>
          <w:b/>
          <w:color w:val="000000"/>
        </w:rPr>
      </w:pPr>
      <w:r w:rsidRPr="004F5FB4">
        <w:rPr>
          <w:b/>
          <w:color w:val="000000"/>
        </w:rPr>
        <w:t>4.</w:t>
      </w:r>
      <w:r w:rsidRPr="004F5FB4">
        <w:rPr>
          <w:b/>
          <w:color w:val="000000"/>
        </w:rPr>
        <w:tab/>
        <w:t xml:space="preserve">Welche Nebenwirkungen sind möglich? </w:t>
      </w:r>
    </w:p>
    <w:p w14:paraId="1412B0BA" w14:textId="77777777" w:rsidR="00C46587" w:rsidRPr="004F5FB4" w:rsidRDefault="00C46587" w:rsidP="00982118">
      <w:pPr>
        <w:rPr>
          <w:color w:val="000000"/>
        </w:rPr>
      </w:pPr>
    </w:p>
    <w:p w14:paraId="2C129EC5" w14:textId="77777777" w:rsidR="00C46587" w:rsidRPr="004F5FB4" w:rsidRDefault="00C46587" w:rsidP="00982118">
      <w:pPr>
        <w:rPr>
          <w:color w:val="000000"/>
        </w:rPr>
      </w:pPr>
      <w:r w:rsidRPr="004F5FB4">
        <w:rPr>
          <w:color w:val="000000"/>
        </w:rPr>
        <w:t xml:space="preserve">Wie alle Arzneimittel kann auch dieses Arzneimittel Nebenwirkungen haben, die aber nicht bei jedem auftreten müssen. Die meisten Nebenwirkungen sind leicht bis mäßig ausgeprägt. Einige können jedoch auch schwerwiegend sein und müssen behandelt werden. Nebenwirkungen können mindestens bis vier Monate nach der letzten Injektion von Amsparity auftreten. </w:t>
      </w:r>
    </w:p>
    <w:p w14:paraId="6161C52E" w14:textId="77777777" w:rsidR="00C46587" w:rsidRPr="004F5FB4" w:rsidRDefault="00C46587" w:rsidP="00982118">
      <w:pPr>
        <w:rPr>
          <w:color w:val="000000"/>
        </w:rPr>
      </w:pPr>
    </w:p>
    <w:p w14:paraId="7ED658D6" w14:textId="77777777" w:rsidR="00C46587" w:rsidRPr="004F5FB4" w:rsidRDefault="00833EAC" w:rsidP="00A65FE9">
      <w:pPr>
        <w:keepNext/>
        <w:keepLines/>
        <w:rPr>
          <w:color w:val="000000"/>
        </w:rPr>
      </w:pPr>
      <w:r w:rsidRPr="004F5FB4">
        <w:rPr>
          <w:b/>
          <w:color w:val="000000"/>
        </w:rPr>
        <w:t>Nehmen Sie unverzüglich ärztliche Hilfe in Anspruch</w:t>
      </w:r>
      <w:r w:rsidRPr="004F5FB4">
        <w:rPr>
          <w:color w:val="000000"/>
        </w:rPr>
        <w:t>, wenn Sie eines der folgenden Anzeichen bemerken:</w:t>
      </w:r>
    </w:p>
    <w:p w14:paraId="001B15DD" w14:textId="77777777" w:rsidR="00194625" w:rsidRPr="004F5FB4" w:rsidRDefault="00194625" w:rsidP="00982118">
      <w:pPr>
        <w:rPr>
          <w:color w:val="000000"/>
        </w:rPr>
      </w:pPr>
    </w:p>
    <w:p w14:paraId="2A22662D" w14:textId="77777777" w:rsidR="00C46587" w:rsidRPr="004F5FB4" w:rsidRDefault="00813BE8" w:rsidP="00982118">
      <w:pPr>
        <w:numPr>
          <w:ilvl w:val="0"/>
          <w:numId w:val="7"/>
        </w:numPr>
        <w:ind w:left="562" w:hanging="562"/>
        <w:rPr>
          <w:color w:val="000000"/>
        </w:rPr>
      </w:pPr>
      <w:r w:rsidRPr="004F5FB4">
        <w:rPr>
          <w:color w:val="000000"/>
        </w:rPr>
        <w:t>s</w:t>
      </w:r>
      <w:r w:rsidR="00BC4E87" w:rsidRPr="004F5FB4">
        <w:rPr>
          <w:color w:val="000000"/>
        </w:rPr>
        <w:t>tarker Hautausschlag, Nesselsucht oder andere Anzeichen einer allergischen Reaktion</w:t>
      </w:r>
      <w:r w:rsidRPr="004F5FB4">
        <w:rPr>
          <w:color w:val="000000"/>
        </w:rPr>
        <w:t>,</w:t>
      </w:r>
    </w:p>
    <w:p w14:paraId="04B68A3E" w14:textId="77777777" w:rsidR="00C46587" w:rsidRPr="004F5FB4" w:rsidRDefault="00BC4E87" w:rsidP="00982118">
      <w:pPr>
        <w:numPr>
          <w:ilvl w:val="0"/>
          <w:numId w:val="7"/>
        </w:numPr>
        <w:ind w:left="562" w:hanging="562"/>
        <w:rPr>
          <w:color w:val="000000"/>
        </w:rPr>
      </w:pPr>
      <w:r w:rsidRPr="004F5FB4">
        <w:rPr>
          <w:color w:val="000000"/>
        </w:rPr>
        <w:t>Schwellung im Gesicht, an Händen oder Füßen</w:t>
      </w:r>
      <w:r w:rsidR="00813BE8" w:rsidRPr="004F5FB4">
        <w:rPr>
          <w:color w:val="000000"/>
        </w:rPr>
        <w:t>,</w:t>
      </w:r>
    </w:p>
    <w:p w14:paraId="69E22FBB" w14:textId="77777777" w:rsidR="00C46587" w:rsidRPr="004F5FB4" w:rsidRDefault="00BC4E87" w:rsidP="00982118">
      <w:pPr>
        <w:numPr>
          <w:ilvl w:val="0"/>
          <w:numId w:val="7"/>
        </w:numPr>
        <w:ind w:left="562" w:hanging="562"/>
        <w:rPr>
          <w:color w:val="000000"/>
        </w:rPr>
      </w:pPr>
      <w:r w:rsidRPr="004F5FB4">
        <w:rPr>
          <w:color w:val="000000"/>
        </w:rPr>
        <w:t>Schwierigkeiten beim Atmen oder Schlucken</w:t>
      </w:r>
      <w:r w:rsidR="00813BE8" w:rsidRPr="004F5FB4">
        <w:rPr>
          <w:color w:val="000000"/>
        </w:rPr>
        <w:t>,</w:t>
      </w:r>
    </w:p>
    <w:p w14:paraId="254E1684" w14:textId="77777777" w:rsidR="00C46587" w:rsidRPr="004F5FB4" w:rsidRDefault="00BC4E87" w:rsidP="00982118">
      <w:pPr>
        <w:numPr>
          <w:ilvl w:val="0"/>
          <w:numId w:val="7"/>
        </w:numPr>
        <w:ind w:left="562" w:hanging="562"/>
        <w:rPr>
          <w:color w:val="000000"/>
        </w:rPr>
      </w:pPr>
      <w:r w:rsidRPr="004F5FB4">
        <w:rPr>
          <w:color w:val="000000"/>
        </w:rPr>
        <w:t xml:space="preserve">Kurzatmigkeit bei Belastung oder im Liegen oder Schwellung der Füße. </w:t>
      </w:r>
    </w:p>
    <w:p w14:paraId="3FC289EA" w14:textId="77777777" w:rsidR="00F1050B" w:rsidRPr="004F5FB4" w:rsidRDefault="00F1050B" w:rsidP="00982118">
      <w:pPr>
        <w:rPr>
          <w:color w:val="000000"/>
        </w:rPr>
      </w:pPr>
    </w:p>
    <w:p w14:paraId="2531A62F" w14:textId="77777777" w:rsidR="00C46587" w:rsidRPr="004F5FB4" w:rsidRDefault="00C46587" w:rsidP="00982118">
      <w:pPr>
        <w:rPr>
          <w:color w:val="000000"/>
        </w:rPr>
      </w:pPr>
      <w:r w:rsidRPr="004F5FB4">
        <w:rPr>
          <w:b/>
          <w:bCs/>
          <w:color w:val="000000"/>
        </w:rPr>
        <w:t>Benachrichtigen Sie so bald wie möglich Ihren Arzt</w:t>
      </w:r>
      <w:r w:rsidRPr="004F5FB4">
        <w:rPr>
          <w:color w:val="000000"/>
        </w:rPr>
        <w:t>, wenn Sie eines der folgenden Anzeichen bemerken:</w:t>
      </w:r>
    </w:p>
    <w:p w14:paraId="7CC11A2F" w14:textId="77777777" w:rsidR="00194625" w:rsidRPr="004F5FB4" w:rsidRDefault="00194625" w:rsidP="00982118">
      <w:pPr>
        <w:rPr>
          <w:color w:val="000000"/>
        </w:rPr>
      </w:pPr>
    </w:p>
    <w:p w14:paraId="1716775C" w14:textId="77777777" w:rsidR="00C46587" w:rsidRPr="004F5FB4" w:rsidRDefault="00BC4E87" w:rsidP="00982118">
      <w:pPr>
        <w:numPr>
          <w:ilvl w:val="0"/>
          <w:numId w:val="7"/>
        </w:numPr>
        <w:ind w:left="562" w:hanging="562"/>
        <w:rPr>
          <w:color w:val="000000"/>
        </w:rPr>
      </w:pPr>
      <w:r w:rsidRPr="004F5FB4">
        <w:rPr>
          <w:color w:val="000000"/>
        </w:rPr>
        <w:t>Anzeichen und Symptome einer Infektion wie Fieber, Krankheitsgefühl, Wunden, Zahnprobleme, Brennen beim Wasserlassen, Gefühl der Schwäche oder Müdigkeit oder Husten</w:t>
      </w:r>
      <w:r w:rsidR="00813BE8" w:rsidRPr="004F5FB4">
        <w:rPr>
          <w:color w:val="000000"/>
        </w:rPr>
        <w:t>,</w:t>
      </w:r>
    </w:p>
    <w:p w14:paraId="53EDC8AE" w14:textId="77777777" w:rsidR="00C46587" w:rsidRPr="004F5FB4" w:rsidRDefault="00833EAC" w:rsidP="00982118">
      <w:pPr>
        <w:numPr>
          <w:ilvl w:val="0"/>
          <w:numId w:val="7"/>
        </w:numPr>
        <w:ind w:left="562" w:hanging="562"/>
        <w:rPr>
          <w:color w:val="000000"/>
        </w:rPr>
      </w:pPr>
      <w:r w:rsidRPr="004F5FB4">
        <w:rPr>
          <w:color w:val="000000"/>
        </w:rPr>
        <w:t>Symptome von Nervenproblemen wie Kribbeln, Taubheit, Doppeltsehen oder Schwäche in Armen oder Beinen</w:t>
      </w:r>
      <w:r w:rsidR="00813BE8" w:rsidRPr="004F5FB4">
        <w:rPr>
          <w:color w:val="000000"/>
        </w:rPr>
        <w:t>,</w:t>
      </w:r>
    </w:p>
    <w:p w14:paraId="6438A741" w14:textId="77777777" w:rsidR="00C46587" w:rsidRPr="004F5FB4" w:rsidRDefault="00766ABD" w:rsidP="00982118">
      <w:pPr>
        <w:numPr>
          <w:ilvl w:val="0"/>
          <w:numId w:val="7"/>
        </w:numPr>
        <w:ind w:left="562" w:hanging="562"/>
        <w:rPr>
          <w:color w:val="000000"/>
        </w:rPr>
      </w:pPr>
      <w:r w:rsidRPr="004F5FB4">
        <w:rPr>
          <w:color w:val="000000"/>
        </w:rPr>
        <w:t>Zeichen von Hautkrebs wie eine Beule oder offene Wunden, die nicht abheilen</w:t>
      </w:r>
      <w:r w:rsidR="00813BE8" w:rsidRPr="004F5FB4">
        <w:rPr>
          <w:color w:val="000000"/>
        </w:rPr>
        <w:t>,</w:t>
      </w:r>
    </w:p>
    <w:p w14:paraId="6C7565F7" w14:textId="77777777" w:rsidR="00C46587" w:rsidRPr="004F5FB4" w:rsidRDefault="00BC4E87" w:rsidP="00982118">
      <w:pPr>
        <w:numPr>
          <w:ilvl w:val="0"/>
          <w:numId w:val="7"/>
        </w:numPr>
        <w:ind w:left="562" w:hanging="562"/>
        <w:rPr>
          <w:color w:val="000000"/>
        </w:rPr>
      </w:pPr>
      <w:r w:rsidRPr="004F5FB4">
        <w:rPr>
          <w:color w:val="000000"/>
        </w:rPr>
        <w:t>Anzeichen und Krankheitserscheinungen, die auf eine mögliche Erkrankung des blutbildenden Systems hinweisen, wie anhaltendes Fieber, Blutergüsse, Blutungen, Blässe</w:t>
      </w:r>
      <w:r w:rsidR="00E05197" w:rsidRPr="004F5FB4">
        <w:rPr>
          <w:color w:val="000000"/>
        </w:rPr>
        <w:t>.</w:t>
      </w:r>
      <w:r w:rsidRPr="004F5FB4">
        <w:rPr>
          <w:color w:val="000000"/>
        </w:rPr>
        <w:t xml:space="preserve"> </w:t>
      </w:r>
    </w:p>
    <w:p w14:paraId="6ED5B082" w14:textId="77777777" w:rsidR="00C46587" w:rsidRPr="004F5FB4" w:rsidRDefault="00C46587" w:rsidP="00982118">
      <w:pPr>
        <w:rPr>
          <w:color w:val="000000"/>
        </w:rPr>
      </w:pPr>
    </w:p>
    <w:p w14:paraId="16E16E21" w14:textId="77777777" w:rsidR="00C46587" w:rsidRPr="004F5FB4" w:rsidRDefault="0023665E" w:rsidP="00982118">
      <w:pPr>
        <w:rPr>
          <w:color w:val="000000"/>
        </w:rPr>
      </w:pPr>
      <w:r w:rsidRPr="004F5FB4">
        <w:rPr>
          <w:color w:val="000000"/>
        </w:rPr>
        <w:t xml:space="preserve">Die oben beschriebenen Anzeichen </w:t>
      </w:r>
      <w:r w:rsidR="008D5B23" w:rsidRPr="004F5FB4">
        <w:rPr>
          <w:color w:val="000000"/>
        </w:rPr>
        <w:t xml:space="preserve">und Symptome </w:t>
      </w:r>
      <w:r w:rsidRPr="004F5FB4">
        <w:rPr>
          <w:color w:val="000000"/>
        </w:rPr>
        <w:t xml:space="preserve">können ein Hinweis sein auf die nachfolgend aufgelisteten Nebenwirkungen, die mit Adalimumab beobachtet wurden. </w:t>
      </w:r>
    </w:p>
    <w:p w14:paraId="614AA80D" w14:textId="77777777" w:rsidR="00F1050B" w:rsidRPr="004F5FB4" w:rsidRDefault="00F1050B" w:rsidP="00982118">
      <w:pPr>
        <w:rPr>
          <w:color w:val="000000"/>
        </w:rPr>
      </w:pPr>
    </w:p>
    <w:p w14:paraId="081DE02E" w14:textId="77777777" w:rsidR="00C46587" w:rsidRPr="004F5FB4" w:rsidRDefault="00C46587" w:rsidP="00982118">
      <w:pPr>
        <w:rPr>
          <w:color w:val="000000"/>
        </w:rPr>
      </w:pPr>
      <w:r w:rsidRPr="004F5FB4">
        <w:rPr>
          <w:b/>
          <w:bCs/>
          <w:color w:val="000000"/>
        </w:rPr>
        <w:t>Sehr häufig</w:t>
      </w:r>
      <w:r w:rsidRPr="004F5FB4">
        <w:rPr>
          <w:color w:val="000000"/>
        </w:rPr>
        <w:t xml:space="preserve"> (kann mehr als 1von 10</w:t>
      </w:r>
      <w:r w:rsidR="007E3AA5" w:rsidRPr="004F5FB4">
        <w:rPr>
          <w:color w:val="000000"/>
        </w:rPr>
        <w:t> </w:t>
      </w:r>
      <w:r w:rsidR="00AF525D" w:rsidRPr="004F5FB4">
        <w:rPr>
          <w:color w:val="000000"/>
        </w:rPr>
        <w:t xml:space="preserve">Behandelten </w:t>
      </w:r>
      <w:r w:rsidRPr="004F5FB4">
        <w:rPr>
          <w:color w:val="000000"/>
        </w:rPr>
        <w:t>betreffen)</w:t>
      </w:r>
    </w:p>
    <w:p w14:paraId="7D2DF5EF" w14:textId="77777777" w:rsidR="00C46587" w:rsidRPr="004F5FB4" w:rsidRDefault="00C46587" w:rsidP="00982118">
      <w:pPr>
        <w:rPr>
          <w:color w:val="000000"/>
        </w:rPr>
      </w:pPr>
    </w:p>
    <w:p w14:paraId="6740DEFD" w14:textId="77777777" w:rsidR="00C46587" w:rsidRPr="004F5FB4" w:rsidRDefault="00C46587" w:rsidP="00982118">
      <w:pPr>
        <w:numPr>
          <w:ilvl w:val="0"/>
          <w:numId w:val="7"/>
        </w:numPr>
        <w:ind w:left="562" w:hanging="562"/>
        <w:rPr>
          <w:color w:val="000000"/>
        </w:rPr>
      </w:pPr>
      <w:r w:rsidRPr="004F5FB4">
        <w:rPr>
          <w:color w:val="000000"/>
        </w:rPr>
        <w:t>Reaktionen an der Injektionsstelle (einschließlich Schmerz, Schwellung, Rötung oder Juckreiz)</w:t>
      </w:r>
      <w:r w:rsidR="00813BE8" w:rsidRPr="004F5FB4">
        <w:rPr>
          <w:color w:val="000000"/>
        </w:rPr>
        <w:t>,</w:t>
      </w:r>
    </w:p>
    <w:p w14:paraId="3EB771D8" w14:textId="77777777" w:rsidR="00C46587" w:rsidRPr="004F5FB4" w:rsidRDefault="00C46587" w:rsidP="00982118">
      <w:pPr>
        <w:numPr>
          <w:ilvl w:val="0"/>
          <w:numId w:val="7"/>
        </w:numPr>
        <w:ind w:left="562" w:hanging="562"/>
        <w:rPr>
          <w:color w:val="000000"/>
        </w:rPr>
      </w:pPr>
      <w:r w:rsidRPr="004F5FB4">
        <w:rPr>
          <w:color w:val="000000"/>
        </w:rPr>
        <w:t>Infektionen der Atemwege (einschließlich Erkältung, Fließschnupfen, Infektion der Nasennebenhöhlen, Lungenentzündung)</w:t>
      </w:r>
      <w:r w:rsidR="00813BE8" w:rsidRPr="004F5FB4">
        <w:rPr>
          <w:color w:val="000000"/>
        </w:rPr>
        <w:t>,</w:t>
      </w:r>
    </w:p>
    <w:p w14:paraId="1E972E75" w14:textId="77777777" w:rsidR="00C46587" w:rsidRPr="004F5FB4" w:rsidRDefault="00C46587" w:rsidP="00982118">
      <w:pPr>
        <w:numPr>
          <w:ilvl w:val="0"/>
          <w:numId w:val="7"/>
        </w:numPr>
        <w:ind w:left="562" w:hanging="562"/>
        <w:rPr>
          <w:color w:val="000000"/>
        </w:rPr>
      </w:pPr>
      <w:r w:rsidRPr="004F5FB4">
        <w:rPr>
          <w:color w:val="000000"/>
        </w:rPr>
        <w:t>Kopfschmerzen</w:t>
      </w:r>
      <w:r w:rsidR="00813BE8" w:rsidRPr="004F5FB4">
        <w:rPr>
          <w:color w:val="000000"/>
        </w:rPr>
        <w:t>,</w:t>
      </w:r>
    </w:p>
    <w:p w14:paraId="28DE00D1" w14:textId="77777777" w:rsidR="00C46587" w:rsidRPr="004F5FB4" w:rsidRDefault="00C46587" w:rsidP="00982118">
      <w:pPr>
        <w:numPr>
          <w:ilvl w:val="0"/>
          <w:numId w:val="7"/>
        </w:numPr>
        <w:ind w:left="562" w:hanging="562"/>
        <w:rPr>
          <w:color w:val="000000"/>
        </w:rPr>
      </w:pPr>
      <w:r w:rsidRPr="004F5FB4">
        <w:rPr>
          <w:color w:val="000000"/>
        </w:rPr>
        <w:t>Bauchschmerzen</w:t>
      </w:r>
      <w:r w:rsidR="00813BE8" w:rsidRPr="004F5FB4">
        <w:rPr>
          <w:color w:val="000000"/>
        </w:rPr>
        <w:t>,</w:t>
      </w:r>
    </w:p>
    <w:p w14:paraId="67D2223F" w14:textId="77777777" w:rsidR="00C46587" w:rsidRPr="004F5FB4" w:rsidRDefault="00C46587" w:rsidP="00982118">
      <w:pPr>
        <w:numPr>
          <w:ilvl w:val="0"/>
          <w:numId w:val="7"/>
        </w:numPr>
        <w:ind w:left="562" w:hanging="562"/>
        <w:rPr>
          <w:color w:val="000000"/>
        </w:rPr>
      </w:pPr>
      <w:r w:rsidRPr="004F5FB4">
        <w:rPr>
          <w:color w:val="000000"/>
        </w:rPr>
        <w:t>Übelkeit und Erbrechen</w:t>
      </w:r>
      <w:r w:rsidR="00813BE8" w:rsidRPr="004F5FB4">
        <w:rPr>
          <w:color w:val="000000"/>
        </w:rPr>
        <w:t>,</w:t>
      </w:r>
    </w:p>
    <w:p w14:paraId="0378C04E" w14:textId="77777777" w:rsidR="00C46587" w:rsidRPr="004F5FB4" w:rsidRDefault="00C46587" w:rsidP="00982118">
      <w:pPr>
        <w:numPr>
          <w:ilvl w:val="0"/>
          <w:numId w:val="7"/>
        </w:numPr>
        <w:ind w:left="562" w:hanging="562"/>
        <w:rPr>
          <w:color w:val="000000"/>
        </w:rPr>
      </w:pPr>
      <w:r w:rsidRPr="004F5FB4">
        <w:rPr>
          <w:color w:val="000000"/>
        </w:rPr>
        <w:lastRenderedPageBreak/>
        <w:t>Hautausschlag</w:t>
      </w:r>
      <w:r w:rsidR="00813BE8" w:rsidRPr="004F5FB4">
        <w:rPr>
          <w:color w:val="000000"/>
        </w:rPr>
        <w:t>,</w:t>
      </w:r>
    </w:p>
    <w:p w14:paraId="4A7615A6" w14:textId="77777777" w:rsidR="00C46587" w:rsidRPr="004F5FB4" w:rsidRDefault="00C46587" w:rsidP="00982118">
      <w:pPr>
        <w:numPr>
          <w:ilvl w:val="0"/>
          <w:numId w:val="7"/>
        </w:numPr>
        <w:ind w:left="562" w:hanging="562"/>
        <w:rPr>
          <w:color w:val="000000"/>
        </w:rPr>
      </w:pPr>
      <w:r w:rsidRPr="004F5FB4">
        <w:rPr>
          <w:color w:val="000000"/>
        </w:rPr>
        <w:t xml:space="preserve">Schmerzen in Muskeln und </w:t>
      </w:r>
      <w:r w:rsidR="005D39F2" w:rsidRPr="004F5FB4">
        <w:rPr>
          <w:color w:val="000000"/>
        </w:rPr>
        <w:t>Gelenken</w:t>
      </w:r>
      <w:r w:rsidR="00E05197" w:rsidRPr="004F5FB4">
        <w:rPr>
          <w:color w:val="000000"/>
        </w:rPr>
        <w:t>.</w:t>
      </w:r>
      <w:r w:rsidRPr="004F5FB4">
        <w:rPr>
          <w:color w:val="000000"/>
        </w:rPr>
        <w:t xml:space="preserve"> </w:t>
      </w:r>
    </w:p>
    <w:p w14:paraId="2F296CAE" w14:textId="77777777" w:rsidR="00C46587" w:rsidRPr="004F5FB4" w:rsidRDefault="00C46587" w:rsidP="00982118">
      <w:pPr>
        <w:ind w:left="562"/>
        <w:rPr>
          <w:color w:val="000000"/>
        </w:rPr>
      </w:pPr>
    </w:p>
    <w:p w14:paraId="633B0DD9" w14:textId="77777777" w:rsidR="00C46587" w:rsidRPr="004F5FB4" w:rsidRDefault="00C46587" w:rsidP="00982118">
      <w:pPr>
        <w:rPr>
          <w:color w:val="000000"/>
        </w:rPr>
      </w:pPr>
      <w:r w:rsidRPr="004F5FB4">
        <w:rPr>
          <w:b/>
          <w:bCs/>
          <w:color w:val="000000"/>
        </w:rPr>
        <w:t>Häufig</w:t>
      </w:r>
      <w:r w:rsidRPr="004F5FB4">
        <w:rPr>
          <w:color w:val="000000"/>
        </w:rPr>
        <w:t xml:space="preserve"> (kann bis zu 1von 10</w:t>
      </w:r>
      <w:r w:rsidR="007E3AA5" w:rsidRPr="004F5FB4">
        <w:rPr>
          <w:color w:val="000000"/>
        </w:rPr>
        <w:t> </w:t>
      </w:r>
      <w:r w:rsidR="00AF525D" w:rsidRPr="004F5FB4">
        <w:rPr>
          <w:color w:val="000000"/>
        </w:rPr>
        <w:t xml:space="preserve">Behandelten </w:t>
      </w:r>
      <w:r w:rsidRPr="004F5FB4">
        <w:rPr>
          <w:color w:val="000000"/>
        </w:rPr>
        <w:t>betreffen)</w:t>
      </w:r>
    </w:p>
    <w:p w14:paraId="6B8F3856" w14:textId="77777777" w:rsidR="00C46587" w:rsidRPr="004F5FB4" w:rsidRDefault="00C46587" w:rsidP="00982118">
      <w:pPr>
        <w:rPr>
          <w:color w:val="000000"/>
        </w:rPr>
      </w:pPr>
    </w:p>
    <w:p w14:paraId="70713AC4" w14:textId="77777777" w:rsidR="00C46587" w:rsidRPr="004F5FB4" w:rsidRDefault="00813BE8" w:rsidP="00982118">
      <w:pPr>
        <w:numPr>
          <w:ilvl w:val="0"/>
          <w:numId w:val="7"/>
        </w:numPr>
        <w:ind w:left="562" w:hanging="562"/>
        <w:rPr>
          <w:color w:val="000000"/>
        </w:rPr>
      </w:pPr>
      <w:r w:rsidRPr="004F5FB4">
        <w:rPr>
          <w:color w:val="000000"/>
        </w:rPr>
        <w:t>s</w:t>
      </w:r>
      <w:r w:rsidR="000D75B1" w:rsidRPr="004F5FB4">
        <w:rPr>
          <w:color w:val="000000"/>
        </w:rPr>
        <w:t>chwere Infektionen (einschließlich Blutvergiftung und Virusgrippe)</w:t>
      </w:r>
      <w:r w:rsidRPr="004F5FB4">
        <w:rPr>
          <w:color w:val="000000"/>
        </w:rPr>
        <w:t>,</w:t>
      </w:r>
    </w:p>
    <w:p w14:paraId="42E87766" w14:textId="77777777" w:rsidR="00BC4E87" w:rsidRPr="004F5FB4" w:rsidRDefault="00BC4E87" w:rsidP="00982118">
      <w:pPr>
        <w:numPr>
          <w:ilvl w:val="0"/>
          <w:numId w:val="7"/>
        </w:numPr>
        <w:ind w:left="562" w:hanging="562"/>
        <w:rPr>
          <w:color w:val="000000"/>
        </w:rPr>
      </w:pPr>
      <w:r w:rsidRPr="004F5FB4">
        <w:rPr>
          <w:color w:val="000000"/>
        </w:rPr>
        <w:t>Darminfektionen (einschließlich Magen-Darm-Grippe)</w:t>
      </w:r>
      <w:r w:rsidR="00813BE8" w:rsidRPr="004F5FB4">
        <w:rPr>
          <w:color w:val="000000"/>
        </w:rPr>
        <w:t>,</w:t>
      </w:r>
    </w:p>
    <w:p w14:paraId="6B396A2E" w14:textId="77777777" w:rsidR="00C46587" w:rsidRPr="004F5FB4" w:rsidRDefault="00C46587" w:rsidP="00982118">
      <w:pPr>
        <w:numPr>
          <w:ilvl w:val="0"/>
          <w:numId w:val="7"/>
        </w:numPr>
        <w:ind w:left="562" w:hanging="562"/>
        <w:rPr>
          <w:color w:val="000000"/>
        </w:rPr>
      </w:pPr>
      <w:r w:rsidRPr="004F5FB4">
        <w:rPr>
          <w:color w:val="000000"/>
        </w:rPr>
        <w:t>Infektionen der Haut (einschließlich Entzündung des Unterhautzellgewebes und Gürtelrose)</w:t>
      </w:r>
      <w:r w:rsidR="00813BE8" w:rsidRPr="004F5FB4">
        <w:rPr>
          <w:color w:val="000000"/>
        </w:rPr>
        <w:t>,</w:t>
      </w:r>
    </w:p>
    <w:p w14:paraId="14AB56A8" w14:textId="77777777" w:rsidR="00C46587" w:rsidRPr="004F5FB4" w:rsidRDefault="00C46587" w:rsidP="00982118">
      <w:pPr>
        <w:numPr>
          <w:ilvl w:val="0"/>
          <w:numId w:val="7"/>
        </w:numPr>
        <w:ind w:left="562" w:hanging="562"/>
        <w:rPr>
          <w:color w:val="000000"/>
        </w:rPr>
      </w:pPr>
      <w:r w:rsidRPr="004F5FB4">
        <w:rPr>
          <w:color w:val="000000"/>
        </w:rPr>
        <w:t>Infektionen des Ohres</w:t>
      </w:r>
      <w:r w:rsidR="00813BE8" w:rsidRPr="004F5FB4">
        <w:rPr>
          <w:color w:val="000000"/>
        </w:rPr>
        <w:t>,</w:t>
      </w:r>
    </w:p>
    <w:p w14:paraId="0C282CE6" w14:textId="77777777" w:rsidR="00C46587" w:rsidRPr="004F5FB4" w:rsidRDefault="00766ABD" w:rsidP="00982118">
      <w:pPr>
        <w:numPr>
          <w:ilvl w:val="0"/>
          <w:numId w:val="7"/>
        </w:numPr>
        <w:ind w:left="562" w:hanging="562"/>
        <w:rPr>
          <w:color w:val="000000"/>
        </w:rPr>
      </w:pPr>
      <w:r w:rsidRPr="004F5FB4">
        <w:rPr>
          <w:color w:val="000000"/>
        </w:rPr>
        <w:t>Infektionen des Mundes (einschließlich Zahninfektionen und Fieberbläschen)</w:t>
      </w:r>
      <w:r w:rsidR="00813BE8" w:rsidRPr="004F5FB4">
        <w:rPr>
          <w:color w:val="000000"/>
        </w:rPr>
        <w:t>,</w:t>
      </w:r>
    </w:p>
    <w:p w14:paraId="7C4F1A11" w14:textId="77777777" w:rsidR="00C46587" w:rsidRPr="004F5FB4" w:rsidRDefault="00C46587" w:rsidP="00982118">
      <w:pPr>
        <w:numPr>
          <w:ilvl w:val="0"/>
          <w:numId w:val="7"/>
        </w:numPr>
        <w:ind w:left="562" w:hanging="562"/>
        <w:rPr>
          <w:color w:val="000000"/>
        </w:rPr>
      </w:pPr>
      <w:r w:rsidRPr="004F5FB4">
        <w:rPr>
          <w:color w:val="000000"/>
        </w:rPr>
        <w:t>Infektionen der Fortpflanzungsorgane</w:t>
      </w:r>
      <w:r w:rsidR="00813BE8" w:rsidRPr="004F5FB4">
        <w:rPr>
          <w:color w:val="000000"/>
        </w:rPr>
        <w:t>,</w:t>
      </w:r>
    </w:p>
    <w:p w14:paraId="01A7E5F5" w14:textId="77777777" w:rsidR="00C46587" w:rsidRPr="004F5FB4" w:rsidRDefault="00C46587" w:rsidP="00982118">
      <w:pPr>
        <w:numPr>
          <w:ilvl w:val="0"/>
          <w:numId w:val="7"/>
        </w:numPr>
        <w:ind w:left="562" w:hanging="562"/>
        <w:rPr>
          <w:color w:val="000000"/>
        </w:rPr>
      </w:pPr>
      <w:r w:rsidRPr="004F5FB4">
        <w:rPr>
          <w:color w:val="000000"/>
        </w:rPr>
        <w:t>Harnwegsinfektion</w:t>
      </w:r>
      <w:r w:rsidR="00813BE8" w:rsidRPr="004F5FB4">
        <w:rPr>
          <w:color w:val="000000"/>
        </w:rPr>
        <w:t>,</w:t>
      </w:r>
    </w:p>
    <w:p w14:paraId="212D8B26" w14:textId="77777777" w:rsidR="00C46587" w:rsidRPr="004F5FB4" w:rsidRDefault="00C46587" w:rsidP="00982118">
      <w:pPr>
        <w:numPr>
          <w:ilvl w:val="0"/>
          <w:numId w:val="7"/>
        </w:numPr>
        <w:ind w:left="562" w:hanging="562"/>
        <w:rPr>
          <w:color w:val="000000"/>
        </w:rPr>
      </w:pPr>
      <w:r w:rsidRPr="004F5FB4">
        <w:rPr>
          <w:color w:val="000000"/>
        </w:rPr>
        <w:t>Pilzinfektionen</w:t>
      </w:r>
      <w:r w:rsidR="00813BE8" w:rsidRPr="004F5FB4">
        <w:rPr>
          <w:color w:val="000000"/>
        </w:rPr>
        <w:t>,</w:t>
      </w:r>
    </w:p>
    <w:p w14:paraId="6B3FEB8C" w14:textId="77777777" w:rsidR="00C46587" w:rsidRPr="004F5FB4" w:rsidRDefault="00C46587" w:rsidP="00982118">
      <w:pPr>
        <w:numPr>
          <w:ilvl w:val="0"/>
          <w:numId w:val="7"/>
        </w:numPr>
        <w:ind w:left="562" w:hanging="562"/>
        <w:rPr>
          <w:color w:val="000000"/>
        </w:rPr>
      </w:pPr>
      <w:r w:rsidRPr="004F5FB4">
        <w:rPr>
          <w:color w:val="000000"/>
        </w:rPr>
        <w:t>Gelenkinfektionen</w:t>
      </w:r>
      <w:r w:rsidR="00813BE8" w:rsidRPr="004F5FB4">
        <w:rPr>
          <w:color w:val="000000"/>
        </w:rPr>
        <w:t>,</w:t>
      </w:r>
    </w:p>
    <w:p w14:paraId="0E3C4ECA" w14:textId="77777777" w:rsidR="00C46587" w:rsidRPr="004F5FB4" w:rsidRDefault="00813BE8" w:rsidP="00982118">
      <w:pPr>
        <w:numPr>
          <w:ilvl w:val="0"/>
          <w:numId w:val="7"/>
        </w:numPr>
        <w:ind w:left="562" w:hanging="562"/>
        <w:rPr>
          <w:color w:val="000000"/>
        </w:rPr>
      </w:pPr>
      <w:r w:rsidRPr="004F5FB4">
        <w:rPr>
          <w:color w:val="000000"/>
        </w:rPr>
        <w:t>g</w:t>
      </w:r>
      <w:r w:rsidR="00C46587" w:rsidRPr="004F5FB4">
        <w:rPr>
          <w:color w:val="000000"/>
        </w:rPr>
        <w:t>utartige Tumoren</w:t>
      </w:r>
      <w:r w:rsidRPr="004F5FB4">
        <w:rPr>
          <w:color w:val="000000"/>
        </w:rPr>
        <w:t>,</w:t>
      </w:r>
    </w:p>
    <w:p w14:paraId="3AA74D10" w14:textId="77777777" w:rsidR="00C46587" w:rsidRPr="004F5FB4" w:rsidRDefault="00C46587" w:rsidP="00982118">
      <w:pPr>
        <w:numPr>
          <w:ilvl w:val="0"/>
          <w:numId w:val="7"/>
        </w:numPr>
        <w:ind w:left="562" w:hanging="562"/>
        <w:rPr>
          <w:color w:val="000000"/>
        </w:rPr>
      </w:pPr>
      <w:r w:rsidRPr="004F5FB4">
        <w:rPr>
          <w:color w:val="000000"/>
        </w:rPr>
        <w:t>Hautkrebs</w:t>
      </w:r>
      <w:r w:rsidR="00813BE8" w:rsidRPr="004F5FB4">
        <w:rPr>
          <w:color w:val="000000"/>
        </w:rPr>
        <w:t>,</w:t>
      </w:r>
    </w:p>
    <w:p w14:paraId="3F4422B3" w14:textId="77777777" w:rsidR="00C46587" w:rsidRPr="004F5FB4" w:rsidRDefault="00813BE8" w:rsidP="00982118">
      <w:pPr>
        <w:numPr>
          <w:ilvl w:val="0"/>
          <w:numId w:val="7"/>
        </w:numPr>
        <w:ind w:left="562" w:hanging="562"/>
        <w:rPr>
          <w:color w:val="000000"/>
        </w:rPr>
      </w:pPr>
      <w:r w:rsidRPr="004F5FB4">
        <w:rPr>
          <w:color w:val="000000"/>
        </w:rPr>
        <w:t>a</w:t>
      </w:r>
      <w:r w:rsidR="00C46587" w:rsidRPr="004F5FB4">
        <w:rPr>
          <w:color w:val="000000"/>
        </w:rPr>
        <w:t>llergische Reaktionen (einschließlich durch Jahreszeiten bedingte Allergie)</w:t>
      </w:r>
      <w:r w:rsidRPr="004F5FB4">
        <w:rPr>
          <w:color w:val="000000"/>
        </w:rPr>
        <w:t>,</w:t>
      </w:r>
    </w:p>
    <w:p w14:paraId="33F3F63C" w14:textId="77777777" w:rsidR="00C46587" w:rsidRPr="004F5FB4" w:rsidRDefault="00C46587" w:rsidP="00982118">
      <w:pPr>
        <w:numPr>
          <w:ilvl w:val="0"/>
          <w:numId w:val="7"/>
        </w:numPr>
        <w:ind w:left="562" w:hanging="562"/>
        <w:rPr>
          <w:color w:val="000000"/>
        </w:rPr>
      </w:pPr>
      <w:r w:rsidRPr="004F5FB4">
        <w:rPr>
          <w:color w:val="000000"/>
        </w:rPr>
        <w:t xml:space="preserve">Flüssigkeitsverlust </w:t>
      </w:r>
      <w:r w:rsidRPr="004F5FB4">
        <w:rPr>
          <w:i/>
          <w:color w:val="000000"/>
        </w:rPr>
        <w:t>(Dehydratation)</w:t>
      </w:r>
      <w:r w:rsidR="00813BE8" w:rsidRPr="004F5FB4">
        <w:rPr>
          <w:color w:val="000000"/>
        </w:rPr>
        <w:t>,</w:t>
      </w:r>
    </w:p>
    <w:p w14:paraId="313A2108" w14:textId="77777777" w:rsidR="00C46587" w:rsidRPr="004F5FB4" w:rsidRDefault="00C46587" w:rsidP="00982118">
      <w:pPr>
        <w:numPr>
          <w:ilvl w:val="0"/>
          <w:numId w:val="7"/>
        </w:numPr>
        <w:ind w:left="562" w:hanging="562"/>
        <w:rPr>
          <w:color w:val="000000"/>
        </w:rPr>
      </w:pPr>
      <w:r w:rsidRPr="004F5FB4">
        <w:rPr>
          <w:color w:val="000000"/>
        </w:rPr>
        <w:t>Stimmungsschwankungen (einschließlich Depression)</w:t>
      </w:r>
      <w:r w:rsidR="00813BE8" w:rsidRPr="004F5FB4">
        <w:rPr>
          <w:color w:val="000000"/>
        </w:rPr>
        <w:t>,</w:t>
      </w:r>
    </w:p>
    <w:p w14:paraId="1E120374" w14:textId="77777777" w:rsidR="00C46587" w:rsidRPr="004F5FB4" w:rsidRDefault="00C46587" w:rsidP="00982118">
      <w:pPr>
        <w:numPr>
          <w:ilvl w:val="0"/>
          <w:numId w:val="7"/>
        </w:numPr>
        <w:ind w:left="562" w:hanging="562"/>
        <w:rPr>
          <w:color w:val="000000"/>
        </w:rPr>
      </w:pPr>
      <w:r w:rsidRPr="004F5FB4">
        <w:rPr>
          <w:color w:val="000000"/>
        </w:rPr>
        <w:t>Angstgefühl</w:t>
      </w:r>
      <w:r w:rsidR="00813BE8" w:rsidRPr="004F5FB4">
        <w:rPr>
          <w:color w:val="000000"/>
        </w:rPr>
        <w:t>,</w:t>
      </w:r>
    </w:p>
    <w:p w14:paraId="341B40EC" w14:textId="77777777" w:rsidR="00C46587" w:rsidRPr="004F5FB4" w:rsidRDefault="00C46587" w:rsidP="00982118">
      <w:pPr>
        <w:numPr>
          <w:ilvl w:val="0"/>
          <w:numId w:val="7"/>
        </w:numPr>
        <w:ind w:left="562" w:hanging="562"/>
        <w:rPr>
          <w:color w:val="000000"/>
        </w:rPr>
      </w:pPr>
      <w:r w:rsidRPr="004F5FB4">
        <w:rPr>
          <w:color w:val="000000"/>
        </w:rPr>
        <w:t>Schlafstörungen</w:t>
      </w:r>
      <w:r w:rsidR="00813BE8" w:rsidRPr="004F5FB4">
        <w:rPr>
          <w:color w:val="000000"/>
        </w:rPr>
        <w:t>,</w:t>
      </w:r>
    </w:p>
    <w:p w14:paraId="14967807" w14:textId="77777777" w:rsidR="00C46587" w:rsidRPr="004F5FB4" w:rsidRDefault="00C46587" w:rsidP="00982118">
      <w:pPr>
        <w:numPr>
          <w:ilvl w:val="0"/>
          <w:numId w:val="7"/>
        </w:numPr>
        <w:ind w:left="562" w:hanging="562"/>
        <w:rPr>
          <w:color w:val="000000"/>
        </w:rPr>
      </w:pPr>
      <w:r w:rsidRPr="004F5FB4">
        <w:rPr>
          <w:color w:val="000000"/>
        </w:rPr>
        <w:t>Empfindungsstörungen (einschließlich Kribbeln, Prickeln oder Taubheitsgefühl)</w:t>
      </w:r>
      <w:r w:rsidR="00813BE8" w:rsidRPr="004F5FB4">
        <w:rPr>
          <w:color w:val="000000"/>
        </w:rPr>
        <w:t>,</w:t>
      </w:r>
    </w:p>
    <w:p w14:paraId="6B87534C" w14:textId="77777777" w:rsidR="00C46587" w:rsidRPr="004F5FB4" w:rsidRDefault="00C46587" w:rsidP="00982118">
      <w:pPr>
        <w:numPr>
          <w:ilvl w:val="0"/>
          <w:numId w:val="7"/>
        </w:numPr>
        <w:ind w:left="562" w:hanging="562"/>
        <w:rPr>
          <w:color w:val="000000"/>
        </w:rPr>
      </w:pPr>
      <w:r w:rsidRPr="004F5FB4">
        <w:rPr>
          <w:color w:val="000000"/>
        </w:rPr>
        <w:t>Migräne</w:t>
      </w:r>
      <w:r w:rsidR="00813BE8" w:rsidRPr="004F5FB4">
        <w:rPr>
          <w:color w:val="000000"/>
        </w:rPr>
        <w:t>,</w:t>
      </w:r>
    </w:p>
    <w:p w14:paraId="419371A3" w14:textId="77777777" w:rsidR="00C46587" w:rsidRPr="004F5FB4" w:rsidRDefault="00766ABD" w:rsidP="00982118">
      <w:pPr>
        <w:numPr>
          <w:ilvl w:val="0"/>
          <w:numId w:val="7"/>
        </w:numPr>
        <w:ind w:left="562" w:hanging="562"/>
        <w:rPr>
          <w:color w:val="000000"/>
        </w:rPr>
      </w:pPr>
      <w:r w:rsidRPr="004F5FB4">
        <w:rPr>
          <w:color w:val="000000"/>
        </w:rPr>
        <w:t>Symptome einer Nervenwurzelkompression (Hexenschuss, einschließlich Rückenschmerzen und Beinschmerzen)</w:t>
      </w:r>
      <w:r w:rsidR="00813BE8" w:rsidRPr="004F5FB4">
        <w:rPr>
          <w:color w:val="000000"/>
        </w:rPr>
        <w:t>,</w:t>
      </w:r>
    </w:p>
    <w:p w14:paraId="507B4AC3" w14:textId="77777777" w:rsidR="00C46587" w:rsidRPr="004F5FB4" w:rsidRDefault="00C46587" w:rsidP="00982118">
      <w:pPr>
        <w:numPr>
          <w:ilvl w:val="0"/>
          <w:numId w:val="7"/>
        </w:numPr>
        <w:ind w:left="562" w:hanging="562"/>
        <w:rPr>
          <w:color w:val="000000"/>
        </w:rPr>
      </w:pPr>
      <w:r w:rsidRPr="004F5FB4">
        <w:rPr>
          <w:color w:val="000000"/>
        </w:rPr>
        <w:t>Sehstörungen</w:t>
      </w:r>
      <w:r w:rsidR="00813BE8" w:rsidRPr="004F5FB4">
        <w:rPr>
          <w:color w:val="000000"/>
        </w:rPr>
        <w:t>,</w:t>
      </w:r>
    </w:p>
    <w:p w14:paraId="24EFFECC" w14:textId="77777777" w:rsidR="00C46587" w:rsidRPr="004F5FB4" w:rsidRDefault="00C46587" w:rsidP="00982118">
      <w:pPr>
        <w:numPr>
          <w:ilvl w:val="0"/>
          <w:numId w:val="7"/>
        </w:numPr>
        <w:ind w:left="562" w:hanging="562"/>
        <w:rPr>
          <w:color w:val="000000"/>
        </w:rPr>
      </w:pPr>
      <w:r w:rsidRPr="004F5FB4">
        <w:rPr>
          <w:color w:val="000000"/>
        </w:rPr>
        <w:t>Augenentzündung</w:t>
      </w:r>
      <w:r w:rsidR="00813BE8" w:rsidRPr="004F5FB4">
        <w:rPr>
          <w:color w:val="000000"/>
        </w:rPr>
        <w:t>,</w:t>
      </w:r>
    </w:p>
    <w:p w14:paraId="260E976D" w14:textId="77777777" w:rsidR="00C46587" w:rsidRPr="004F5FB4" w:rsidRDefault="00C46587" w:rsidP="00982118">
      <w:pPr>
        <w:numPr>
          <w:ilvl w:val="0"/>
          <w:numId w:val="7"/>
        </w:numPr>
        <w:ind w:left="562" w:hanging="562"/>
        <w:rPr>
          <w:color w:val="000000"/>
        </w:rPr>
      </w:pPr>
      <w:r w:rsidRPr="004F5FB4">
        <w:rPr>
          <w:color w:val="000000"/>
        </w:rPr>
        <w:t>Entzündung des Augenlides und Anschwellen des Auges</w:t>
      </w:r>
      <w:r w:rsidR="00813BE8" w:rsidRPr="004F5FB4">
        <w:rPr>
          <w:color w:val="000000"/>
        </w:rPr>
        <w:t>,</w:t>
      </w:r>
    </w:p>
    <w:p w14:paraId="18D3F6BC" w14:textId="77777777" w:rsidR="00C46587" w:rsidRPr="004F5FB4" w:rsidRDefault="00C46587" w:rsidP="00982118">
      <w:pPr>
        <w:numPr>
          <w:ilvl w:val="0"/>
          <w:numId w:val="7"/>
        </w:numPr>
        <w:ind w:left="562" w:hanging="562"/>
        <w:rPr>
          <w:color w:val="000000"/>
        </w:rPr>
      </w:pPr>
      <w:r w:rsidRPr="004F5FB4">
        <w:rPr>
          <w:color w:val="000000"/>
        </w:rPr>
        <w:t>Schwindel (Gefühl, dass sich der Raum dreht)</w:t>
      </w:r>
      <w:r w:rsidR="00813BE8" w:rsidRPr="004F5FB4">
        <w:rPr>
          <w:color w:val="000000"/>
        </w:rPr>
        <w:t>,</w:t>
      </w:r>
    </w:p>
    <w:p w14:paraId="16AD3E60" w14:textId="77777777" w:rsidR="00C46587" w:rsidRPr="004F5FB4" w:rsidRDefault="00C46587" w:rsidP="00982118">
      <w:pPr>
        <w:numPr>
          <w:ilvl w:val="0"/>
          <w:numId w:val="7"/>
        </w:numPr>
        <w:ind w:left="562" w:hanging="562"/>
        <w:rPr>
          <w:color w:val="000000"/>
        </w:rPr>
      </w:pPr>
      <w:r w:rsidRPr="004F5FB4">
        <w:rPr>
          <w:color w:val="000000"/>
        </w:rPr>
        <w:t>Herzrasen</w:t>
      </w:r>
      <w:r w:rsidR="00813BE8" w:rsidRPr="004F5FB4">
        <w:rPr>
          <w:color w:val="000000"/>
        </w:rPr>
        <w:t>,</w:t>
      </w:r>
    </w:p>
    <w:p w14:paraId="0F3EA592" w14:textId="77777777" w:rsidR="00C46587" w:rsidRPr="004F5FB4" w:rsidRDefault="00813BE8" w:rsidP="00982118">
      <w:pPr>
        <w:numPr>
          <w:ilvl w:val="0"/>
          <w:numId w:val="7"/>
        </w:numPr>
        <w:ind w:left="562" w:hanging="562"/>
        <w:rPr>
          <w:color w:val="000000"/>
        </w:rPr>
      </w:pPr>
      <w:r w:rsidRPr="004F5FB4">
        <w:rPr>
          <w:color w:val="000000"/>
        </w:rPr>
        <w:t>h</w:t>
      </w:r>
      <w:r w:rsidR="00C46587" w:rsidRPr="004F5FB4">
        <w:rPr>
          <w:color w:val="000000"/>
        </w:rPr>
        <w:t>oher Blutdruck</w:t>
      </w:r>
      <w:r w:rsidRPr="004F5FB4">
        <w:rPr>
          <w:color w:val="000000"/>
        </w:rPr>
        <w:t>,</w:t>
      </w:r>
    </w:p>
    <w:p w14:paraId="71628A75" w14:textId="77777777" w:rsidR="00C46587" w:rsidRPr="004F5FB4" w:rsidRDefault="00C46587" w:rsidP="00982118">
      <w:pPr>
        <w:numPr>
          <w:ilvl w:val="0"/>
          <w:numId w:val="7"/>
        </w:numPr>
        <w:ind w:left="562" w:hanging="562"/>
        <w:rPr>
          <w:color w:val="000000"/>
        </w:rPr>
      </w:pPr>
      <w:r w:rsidRPr="004F5FB4">
        <w:rPr>
          <w:color w:val="000000"/>
        </w:rPr>
        <w:t>Hitzegefühl</w:t>
      </w:r>
      <w:r w:rsidR="004571BF" w:rsidRPr="004F5FB4">
        <w:rPr>
          <w:color w:val="000000"/>
        </w:rPr>
        <w:t>,</w:t>
      </w:r>
    </w:p>
    <w:p w14:paraId="6C66A216" w14:textId="77777777" w:rsidR="00C46587" w:rsidRPr="004F5FB4" w:rsidRDefault="00C46587" w:rsidP="00982118">
      <w:pPr>
        <w:numPr>
          <w:ilvl w:val="0"/>
          <w:numId w:val="7"/>
        </w:numPr>
        <w:ind w:left="562" w:hanging="562"/>
        <w:rPr>
          <w:color w:val="000000"/>
        </w:rPr>
      </w:pPr>
      <w:r w:rsidRPr="004F5FB4">
        <w:rPr>
          <w:color w:val="000000"/>
        </w:rPr>
        <w:t>Bluterguss (feste Schwellung mit Blutgerinnsel)</w:t>
      </w:r>
      <w:r w:rsidR="004571BF" w:rsidRPr="004F5FB4">
        <w:rPr>
          <w:color w:val="000000"/>
        </w:rPr>
        <w:t>,</w:t>
      </w:r>
    </w:p>
    <w:p w14:paraId="3865224D" w14:textId="77777777" w:rsidR="00C46587" w:rsidRPr="004F5FB4" w:rsidRDefault="00C46587" w:rsidP="00982118">
      <w:pPr>
        <w:numPr>
          <w:ilvl w:val="0"/>
          <w:numId w:val="7"/>
        </w:numPr>
        <w:ind w:left="562" w:hanging="562"/>
        <w:rPr>
          <w:color w:val="000000"/>
        </w:rPr>
      </w:pPr>
      <w:r w:rsidRPr="004F5FB4">
        <w:rPr>
          <w:color w:val="000000"/>
        </w:rPr>
        <w:t>Husten</w:t>
      </w:r>
      <w:r w:rsidR="004571BF" w:rsidRPr="004F5FB4">
        <w:rPr>
          <w:color w:val="000000"/>
        </w:rPr>
        <w:t>,</w:t>
      </w:r>
    </w:p>
    <w:p w14:paraId="1AE1A4A3" w14:textId="77777777" w:rsidR="00C46587" w:rsidRPr="004F5FB4" w:rsidRDefault="00C46587" w:rsidP="00982118">
      <w:pPr>
        <w:numPr>
          <w:ilvl w:val="0"/>
          <w:numId w:val="7"/>
        </w:numPr>
        <w:ind w:left="562" w:hanging="562"/>
        <w:rPr>
          <w:color w:val="000000"/>
        </w:rPr>
      </w:pPr>
      <w:r w:rsidRPr="004F5FB4">
        <w:rPr>
          <w:color w:val="000000"/>
        </w:rPr>
        <w:t>Asthma</w:t>
      </w:r>
      <w:r w:rsidR="004571BF" w:rsidRPr="004F5FB4">
        <w:rPr>
          <w:color w:val="000000"/>
        </w:rPr>
        <w:t>,</w:t>
      </w:r>
    </w:p>
    <w:p w14:paraId="5D75D1B0" w14:textId="77777777" w:rsidR="00C46587" w:rsidRPr="004F5FB4" w:rsidRDefault="00C46587" w:rsidP="00982118">
      <w:pPr>
        <w:numPr>
          <w:ilvl w:val="0"/>
          <w:numId w:val="7"/>
        </w:numPr>
        <w:ind w:left="562" w:hanging="562"/>
        <w:rPr>
          <w:color w:val="000000"/>
        </w:rPr>
      </w:pPr>
      <w:r w:rsidRPr="004F5FB4">
        <w:rPr>
          <w:color w:val="000000"/>
        </w:rPr>
        <w:t>Kurzatmigkeit</w:t>
      </w:r>
      <w:r w:rsidR="004571BF" w:rsidRPr="004F5FB4">
        <w:rPr>
          <w:color w:val="000000"/>
        </w:rPr>
        <w:t>,</w:t>
      </w:r>
    </w:p>
    <w:p w14:paraId="0BFA29ED" w14:textId="77777777" w:rsidR="00C46587" w:rsidRPr="004F5FB4" w:rsidRDefault="00C46587" w:rsidP="00982118">
      <w:pPr>
        <w:numPr>
          <w:ilvl w:val="0"/>
          <w:numId w:val="7"/>
        </w:numPr>
        <w:ind w:left="562" w:hanging="562"/>
        <w:rPr>
          <w:color w:val="000000"/>
        </w:rPr>
      </w:pPr>
      <w:r w:rsidRPr="004F5FB4">
        <w:rPr>
          <w:color w:val="000000"/>
        </w:rPr>
        <w:t>Magen-Darm-Blutungen</w:t>
      </w:r>
      <w:r w:rsidR="004571BF" w:rsidRPr="004F5FB4">
        <w:rPr>
          <w:color w:val="000000"/>
        </w:rPr>
        <w:t>,</w:t>
      </w:r>
    </w:p>
    <w:p w14:paraId="17272C89" w14:textId="77777777" w:rsidR="00C46587" w:rsidRPr="004F5FB4" w:rsidRDefault="00C46587" w:rsidP="00982118">
      <w:pPr>
        <w:numPr>
          <w:ilvl w:val="0"/>
          <w:numId w:val="7"/>
        </w:numPr>
        <w:ind w:left="562" w:hanging="562"/>
        <w:rPr>
          <w:color w:val="000000"/>
        </w:rPr>
      </w:pPr>
      <w:r w:rsidRPr="004F5FB4">
        <w:rPr>
          <w:color w:val="000000"/>
        </w:rPr>
        <w:t>Verdauungsstörung (Magenverstimmung, Blähungen, Sodbrennen)</w:t>
      </w:r>
      <w:r w:rsidR="004571BF" w:rsidRPr="004F5FB4">
        <w:rPr>
          <w:color w:val="000000"/>
        </w:rPr>
        <w:t>,</w:t>
      </w:r>
    </w:p>
    <w:p w14:paraId="54E44987" w14:textId="77777777" w:rsidR="00C46587" w:rsidRPr="004F5FB4" w:rsidRDefault="004571BF" w:rsidP="00982118">
      <w:pPr>
        <w:numPr>
          <w:ilvl w:val="0"/>
          <w:numId w:val="7"/>
        </w:numPr>
        <w:ind w:left="562" w:hanging="562"/>
        <w:rPr>
          <w:color w:val="000000"/>
        </w:rPr>
      </w:pPr>
      <w:r w:rsidRPr="004F5FB4">
        <w:rPr>
          <w:color w:val="000000"/>
        </w:rPr>
        <w:t>s</w:t>
      </w:r>
      <w:r w:rsidR="00C46587" w:rsidRPr="004F5FB4">
        <w:rPr>
          <w:color w:val="000000"/>
        </w:rPr>
        <w:t>aures Aufstoßen</w:t>
      </w:r>
      <w:r w:rsidRPr="004F5FB4">
        <w:rPr>
          <w:color w:val="000000"/>
        </w:rPr>
        <w:t>,</w:t>
      </w:r>
    </w:p>
    <w:p w14:paraId="54E59E01" w14:textId="77777777" w:rsidR="00C46587" w:rsidRPr="004F5FB4" w:rsidRDefault="00C46587" w:rsidP="00982118">
      <w:pPr>
        <w:numPr>
          <w:ilvl w:val="0"/>
          <w:numId w:val="7"/>
        </w:numPr>
        <w:ind w:left="562" w:hanging="562"/>
        <w:rPr>
          <w:color w:val="000000"/>
        </w:rPr>
      </w:pPr>
      <w:r w:rsidRPr="004F5FB4">
        <w:rPr>
          <w:color w:val="000000"/>
        </w:rPr>
        <w:t>Sicca-Syndrom (einschließlich trockener Augen und trockenem Mund)</w:t>
      </w:r>
      <w:r w:rsidR="004571BF" w:rsidRPr="004F5FB4">
        <w:rPr>
          <w:color w:val="000000"/>
        </w:rPr>
        <w:t>,</w:t>
      </w:r>
    </w:p>
    <w:p w14:paraId="07EB5DAA" w14:textId="77777777" w:rsidR="00C46587" w:rsidRPr="004F5FB4" w:rsidRDefault="00C46587" w:rsidP="00982118">
      <w:pPr>
        <w:numPr>
          <w:ilvl w:val="0"/>
          <w:numId w:val="7"/>
        </w:numPr>
        <w:ind w:left="562" w:hanging="562"/>
        <w:rPr>
          <w:color w:val="000000"/>
        </w:rPr>
      </w:pPr>
      <w:r w:rsidRPr="004F5FB4">
        <w:rPr>
          <w:color w:val="000000"/>
        </w:rPr>
        <w:t>Juckreiz</w:t>
      </w:r>
      <w:r w:rsidR="004571BF" w:rsidRPr="004F5FB4">
        <w:rPr>
          <w:color w:val="000000"/>
        </w:rPr>
        <w:t>,</w:t>
      </w:r>
    </w:p>
    <w:p w14:paraId="6B74F94E" w14:textId="77777777" w:rsidR="00C46587" w:rsidRPr="004F5FB4" w:rsidRDefault="004571BF" w:rsidP="00982118">
      <w:pPr>
        <w:numPr>
          <w:ilvl w:val="0"/>
          <w:numId w:val="7"/>
        </w:numPr>
        <w:ind w:left="562" w:hanging="562"/>
        <w:rPr>
          <w:color w:val="000000"/>
        </w:rPr>
      </w:pPr>
      <w:r w:rsidRPr="004F5FB4">
        <w:rPr>
          <w:color w:val="000000"/>
        </w:rPr>
        <w:t>j</w:t>
      </w:r>
      <w:r w:rsidR="00C46587" w:rsidRPr="004F5FB4">
        <w:rPr>
          <w:color w:val="000000"/>
        </w:rPr>
        <w:t>uckender Hautausschlag</w:t>
      </w:r>
      <w:r w:rsidRPr="004F5FB4">
        <w:rPr>
          <w:color w:val="000000"/>
        </w:rPr>
        <w:t>,</w:t>
      </w:r>
    </w:p>
    <w:p w14:paraId="018D082C" w14:textId="77777777" w:rsidR="00C46587" w:rsidRPr="004F5FB4" w:rsidRDefault="004571BF" w:rsidP="00982118">
      <w:pPr>
        <w:numPr>
          <w:ilvl w:val="0"/>
          <w:numId w:val="7"/>
        </w:numPr>
        <w:ind w:left="562" w:hanging="562"/>
        <w:rPr>
          <w:color w:val="000000"/>
        </w:rPr>
      </w:pPr>
      <w:r w:rsidRPr="004F5FB4">
        <w:rPr>
          <w:color w:val="000000"/>
        </w:rPr>
        <w:t>b</w:t>
      </w:r>
      <w:r w:rsidR="00C46587" w:rsidRPr="004F5FB4">
        <w:rPr>
          <w:color w:val="000000"/>
        </w:rPr>
        <w:t>laue Flecken</w:t>
      </w:r>
      <w:r w:rsidRPr="004F5FB4">
        <w:rPr>
          <w:color w:val="000000"/>
        </w:rPr>
        <w:t>,</w:t>
      </w:r>
    </w:p>
    <w:p w14:paraId="1A7F2394" w14:textId="77777777" w:rsidR="00C46587" w:rsidRPr="004F5FB4" w:rsidRDefault="00C46587" w:rsidP="00982118">
      <w:pPr>
        <w:numPr>
          <w:ilvl w:val="0"/>
          <w:numId w:val="7"/>
        </w:numPr>
        <w:ind w:left="562" w:hanging="562"/>
        <w:rPr>
          <w:color w:val="000000"/>
        </w:rPr>
      </w:pPr>
      <w:r w:rsidRPr="004F5FB4">
        <w:rPr>
          <w:color w:val="000000"/>
        </w:rPr>
        <w:t>Entzündung der Haut (wie z.</w:t>
      </w:r>
      <w:r w:rsidR="007E3AA5" w:rsidRPr="004F5FB4">
        <w:rPr>
          <w:color w:val="000000"/>
        </w:rPr>
        <w:t> </w:t>
      </w:r>
      <w:r w:rsidRPr="004F5FB4">
        <w:rPr>
          <w:color w:val="000000"/>
        </w:rPr>
        <w:t>B. Ekzeme)</w:t>
      </w:r>
      <w:r w:rsidR="004571BF" w:rsidRPr="004F5FB4">
        <w:rPr>
          <w:color w:val="000000"/>
        </w:rPr>
        <w:t>,</w:t>
      </w:r>
    </w:p>
    <w:p w14:paraId="1A84A2F6" w14:textId="77777777" w:rsidR="00C46587" w:rsidRPr="004F5FB4" w:rsidRDefault="004571BF" w:rsidP="00982118">
      <w:pPr>
        <w:numPr>
          <w:ilvl w:val="0"/>
          <w:numId w:val="7"/>
        </w:numPr>
        <w:ind w:left="562" w:hanging="562"/>
        <w:rPr>
          <w:color w:val="000000"/>
        </w:rPr>
      </w:pPr>
      <w:r w:rsidRPr="004F5FB4">
        <w:rPr>
          <w:color w:val="000000"/>
        </w:rPr>
        <w:t>b</w:t>
      </w:r>
      <w:r w:rsidR="00C46587" w:rsidRPr="004F5FB4">
        <w:rPr>
          <w:color w:val="000000"/>
        </w:rPr>
        <w:t>rüchige Finger- und Fußnägel</w:t>
      </w:r>
      <w:r w:rsidRPr="004F5FB4">
        <w:rPr>
          <w:color w:val="000000"/>
        </w:rPr>
        <w:t>,</w:t>
      </w:r>
    </w:p>
    <w:p w14:paraId="6D6C6D33" w14:textId="77777777" w:rsidR="00C46587" w:rsidRPr="004F5FB4" w:rsidRDefault="004571BF" w:rsidP="00982118">
      <w:pPr>
        <w:numPr>
          <w:ilvl w:val="0"/>
          <w:numId w:val="7"/>
        </w:numPr>
        <w:ind w:left="562" w:hanging="562"/>
        <w:rPr>
          <w:color w:val="000000"/>
        </w:rPr>
      </w:pPr>
      <w:r w:rsidRPr="004F5FB4">
        <w:rPr>
          <w:color w:val="000000"/>
        </w:rPr>
        <w:t>v</w:t>
      </w:r>
      <w:r w:rsidR="00C46587" w:rsidRPr="004F5FB4">
        <w:rPr>
          <w:color w:val="000000"/>
        </w:rPr>
        <w:t>ermehrtes Schwitzen</w:t>
      </w:r>
      <w:r w:rsidRPr="004F5FB4">
        <w:rPr>
          <w:color w:val="000000"/>
        </w:rPr>
        <w:t>,</w:t>
      </w:r>
    </w:p>
    <w:p w14:paraId="73A63E10" w14:textId="77777777" w:rsidR="00C46587" w:rsidRPr="004F5FB4" w:rsidRDefault="00C46587" w:rsidP="00982118">
      <w:pPr>
        <w:numPr>
          <w:ilvl w:val="0"/>
          <w:numId w:val="7"/>
        </w:numPr>
        <w:ind w:left="562" w:hanging="562"/>
        <w:rPr>
          <w:color w:val="000000"/>
        </w:rPr>
      </w:pPr>
      <w:r w:rsidRPr="004F5FB4">
        <w:rPr>
          <w:color w:val="000000"/>
        </w:rPr>
        <w:t>Haarausfall</w:t>
      </w:r>
      <w:r w:rsidR="004571BF" w:rsidRPr="004F5FB4">
        <w:rPr>
          <w:color w:val="000000"/>
        </w:rPr>
        <w:t>,</w:t>
      </w:r>
    </w:p>
    <w:p w14:paraId="4BA7F010" w14:textId="77777777" w:rsidR="00C46587" w:rsidRPr="004F5FB4" w:rsidRDefault="004571BF" w:rsidP="00982118">
      <w:pPr>
        <w:numPr>
          <w:ilvl w:val="0"/>
          <w:numId w:val="7"/>
        </w:numPr>
        <w:ind w:left="562" w:hanging="562"/>
        <w:rPr>
          <w:color w:val="000000"/>
        </w:rPr>
      </w:pPr>
      <w:r w:rsidRPr="004F5FB4">
        <w:rPr>
          <w:color w:val="000000"/>
        </w:rPr>
        <w:t>n</w:t>
      </w:r>
      <w:r w:rsidR="00C46587" w:rsidRPr="004F5FB4">
        <w:rPr>
          <w:color w:val="000000"/>
        </w:rPr>
        <w:t xml:space="preserve">euer Ausbruch oder Verschlechterung von Schuppenflechte </w:t>
      </w:r>
      <w:r w:rsidR="00C46587" w:rsidRPr="004F5FB4">
        <w:rPr>
          <w:i/>
          <w:color w:val="000000"/>
        </w:rPr>
        <w:t>(Psoriasis)</w:t>
      </w:r>
      <w:r w:rsidRPr="004F5FB4">
        <w:rPr>
          <w:color w:val="000000"/>
        </w:rPr>
        <w:t>,</w:t>
      </w:r>
    </w:p>
    <w:p w14:paraId="04B16038" w14:textId="77777777" w:rsidR="00C46587" w:rsidRPr="004F5FB4" w:rsidRDefault="00C46587" w:rsidP="00982118">
      <w:pPr>
        <w:numPr>
          <w:ilvl w:val="0"/>
          <w:numId w:val="7"/>
        </w:numPr>
        <w:ind w:left="562" w:hanging="562"/>
        <w:rPr>
          <w:color w:val="000000"/>
        </w:rPr>
      </w:pPr>
      <w:r w:rsidRPr="004F5FB4">
        <w:rPr>
          <w:color w:val="000000"/>
        </w:rPr>
        <w:t>Muskelkrämpfe</w:t>
      </w:r>
      <w:r w:rsidR="004571BF" w:rsidRPr="004F5FB4">
        <w:rPr>
          <w:color w:val="000000"/>
        </w:rPr>
        <w:t>,</w:t>
      </w:r>
    </w:p>
    <w:p w14:paraId="23C505FC" w14:textId="77777777" w:rsidR="00C46587" w:rsidRPr="004F5FB4" w:rsidRDefault="00C46587" w:rsidP="00982118">
      <w:pPr>
        <w:numPr>
          <w:ilvl w:val="0"/>
          <w:numId w:val="7"/>
        </w:numPr>
        <w:ind w:left="562" w:hanging="562"/>
        <w:rPr>
          <w:color w:val="000000"/>
        </w:rPr>
      </w:pPr>
      <w:r w:rsidRPr="004F5FB4">
        <w:rPr>
          <w:color w:val="000000"/>
        </w:rPr>
        <w:t>Blut im Urin</w:t>
      </w:r>
      <w:r w:rsidR="004571BF" w:rsidRPr="004F5FB4">
        <w:rPr>
          <w:color w:val="000000"/>
        </w:rPr>
        <w:t>,</w:t>
      </w:r>
    </w:p>
    <w:p w14:paraId="58834C84" w14:textId="77777777" w:rsidR="00C46587" w:rsidRPr="004F5FB4" w:rsidRDefault="00C46587" w:rsidP="00982118">
      <w:pPr>
        <w:numPr>
          <w:ilvl w:val="0"/>
          <w:numId w:val="7"/>
        </w:numPr>
        <w:ind w:left="562" w:hanging="562"/>
        <w:rPr>
          <w:color w:val="000000"/>
        </w:rPr>
      </w:pPr>
      <w:r w:rsidRPr="004F5FB4">
        <w:rPr>
          <w:color w:val="000000"/>
        </w:rPr>
        <w:t>Nierenprobleme</w:t>
      </w:r>
      <w:r w:rsidR="004571BF" w:rsidRPr="004F5FB4">
        <w:rPr>
          <w:color w:val="000000"/>
        </w:rPr>
        <w:t>,</w:t>
      </w:r>
    </w:p>
    <w:p w14:paraId="401B5818" w14:textId="77777777" w:rsidR="00C46587" w:rsidRPr="004F5FB4" w:rsidRDefault="00C46587" w:rsidP="00982118">
      <w:pPr>
        <w:numPr>
          <w:ilvl w:val="0"/>
          <w:numId w:val="7"/>
        </w:numPr>
        <w:ind w:left="562" w:hanging="562"/>
        <w:rPr>
          <w:color w:val="000000"/>
        </w:rPr>
      </w:pPr>
      <w:r w:rsidRPr="004F5FB4">
        <w:rPr>
          <w:color w:val="000000"/>
        </w:rPr>
        <w:t>Schmerzen im Brustraum</w:t>
      </w:r>
      <w:r w:rsidR="004571BF" w:rsidRPr="004F5FB4">
        <w:rPr>
          <w:color w:val="000000"/>
        </w:rPr>
        <w:t>,</w:t>
      </w:r>
    </w:p>
    <w:p w14:paraId="740F5906" w14:textId="77777777" w:rsidR="00C46587" w:rsidRPr="004F5FB4" w:rsidRDefault="00C46587" w:rsidP="00982118">
      <w:pPr>
        <w:numPr>
          <w:ilvl w:val="0"/>
          <w:numId w:val="7"/>
        </w:numPr>
        <w:ind w:left="562" w:hanging="562"/>
        <w:rPr>
          <w:color w:val="000000"/>
        </w:rPr>
      </w:pPr>
      <w:r w:rsidRPr="004F5FB4">
        <w:rPr>
          <w:color w:val="000000"/>
        </w:rPr>
        <w:t xml:space="preserve">Wasseransammlung im Körper mit Schwellung des betroffenen Gewebes </w:t>
      </w:r>
      <w:r w:rsidRPr="004F5FB4">
        <w:rPr>
          <w:i/>
          <w:color w:val="000000"/>
        </w:rPr>
        <w:t>(Ödem)</w:t>
      </w:r>
      <w:r w:rsidR="004571BF" w:rsidRPr="004F5FB4">
        <w:rPr>
          <w:color w:val="000000"/>
        </w:rPr>
        <w:t>,</w:t>
      </w:r>
    </w:p>
    <w:p w14:paraId="0BD71FE3" w14:textId="77777777" w:rsidR="00C46587" w:rsidRPr="004F5FB4" w:rsidRDefault="00C46587" w:rsidP="00982118">
      <w:pPr>
        <w:numPr>
          <w:ilvl w:val="0"/>
          <w:numId w:val="7"/>
        </w:numPr>
        <w:ind w:left="562" w:hanging="562"/>
        <w:rPr>
          <w:color w:val="000000"/>
        </w:rPr>
      </w:pPr>
      <w:r w:rsidRPr="004F5FB4">
        <w:rPr>
          <w:color w:val="000000"/>
        </w:rPr>
        <w:t>Fieber</w:t>
      </w:r>
      <w:r w:rsidR="004571BF" w:rsidRPr="004F5FB4">
        <w:rPr>
          <w:color w:val="000000"/>
        </w:rPr>
        <w:t>,</w:t>
      </w:r>
    </w:p>
    <w:p w14:paraId="56EEFFBC" w14:textId="77777777" w:rsidR="00C46587" w:rsidRPr="004F5FB4" w:rsidRDefault="00C46587" w:rsidP="00982118">
      <w:pPr>
        <w:numPr>
          <w:ilvl w:val="0"/>
          <w:numId w:val="7"/>
        </w:numPr>
        <w:ind w:left="562" w:hanging="562"/>
        <w:rPr>
          <w:color w:val="000000"/>
        </w:rPr>
      </w:pPr>
      <w:r w:rsidRPr="004F5FB4">
        <w:rPr>
          <w:color w:val="000000"/>
        </w:rPr>
        <w:lastRenderedPageBreak/>
        <w:t>Verringerung der Blutplättchen, dadurch erhöhtes Risiko für Blutungen oder blaue Flecken</w:t>
      </w:r>
      <w:r w:rsidR="004571BF" w:rsidRPr="004F5FB4">
        <w:rPr>
          <w:color w:val="000000"/>
        </w:rPr>
        <w:t>,</w:t>
      </w:r>
    </w:p>
    <w:p w14:paraId="29D5B8F3" w14:textId="77777777" w:rsidR="00C46587" w:rsidRPr="004F5FB4" w:rsidRDefault="007E3AA5" w:rsidP="00982118">
      <w:pPr>
        <w:numPr>
          <w:ilvl w:val="0"/>
          <w:numId w:val="7"/>
        </w:numPr>
        <w:ind w:left="562" w:hanging="562"/>
        <w:rPr>
          <w:color w:val="000000"/>
        </w:rPr>
      </w:pPr>
      <w:r w:rsidRPr="004F5FB4">
        <w:rPr>
          <w:color w:val="000000"/>
        </w:rPr>
        <w:t>v</w:t>
      </w:r>
      <w:r w:rsidR="00C46587" w:rsidRPr="004F5FB4">
        <w:rPr>
          <w:color w:val="000000"/>
        </w:rPr>
        <w:t xml:space="preserve">erzögerte Wundheilung. </w:t>
      </w:r>
    </w:p>
    <w:p w14:paraId="0724FA1A" w14:textId="77777777" w:rsidR="00C46587" w:rsidRPr="004F5FB4" w:rsidRDefault="00C46587" w:rsidP="00982118">
      <w:pPr>
        <w:rPr>
          <w:color w:val="000000"/>
          <w:lang w:val="en-GB"/>
        </w:rPr>
      </w:pPr>
    </w:p>
    <w:p w14:paraId="309B7749" w14:textId="77777777" w:rsidR="00C46587" w:rsidRPr="004F5FB4" w:rsidRDefault="00C46587" w:rsidP="00982118">
      <w:pPr>
        <w:keepNext/>
        <w:rPr>
          <w:color w:val="000000"/>
        </w:rPr>
      </w:pPr>
      <w:r w:rsidRPr="004F5FB4">
        <w:rPr>
          <w:b/>
          <w:bCs/>
          <w:color w:val="000000"/>
        </w:rPr>
        <w:t>Gelegentlich</w:t>
      </w:r>
      <w:r w:rsidRPr="004F5FB4">
        <w:rPr>
          <w:color w:val="000000"/>
        </w:rPr>
        <w:t xml:space="preserve"> (kann bis zu 1von 100</w:t>
      </w:r>
      <w:r w:rsidR="007E3AA5" w:rsidRPr="004F5FB4">
        <w:rPr>
          <w:color w:val="000000"/>
        </w:rPr>
        <w:t> </w:t>
      </w:r>
      <w:r w:rsidR="00AF525D" w:rsidRPr="004F5FB4">
        <w:rPr>
          <w:color w:val="000000"/>
        </w:rPr>
        <w:t xml:space="preserve">Behandelten </w:t>
      </w:r>
      <w:r w:rsidRPr="004F5FB4">
        <w:rPr>
          <w:color w:val="000000"/>
        </w:rPr>
        <w:t>betreffen)</w:t>
      </w:r>
    </w:p>
    <w:p w14:paraId="573BFC11" w14:textId="77777777" w:rsidR="00C46587" w:rsidRPr="004F5FB4" w:rsidRDefault="00C46587" w:rsidP="00982118">
      <w:pPr>
        <w:rPr>
          <w:color w:val="000000"/>
        </w:rPr>
      </w:pPr>
    </w:p>
    <w:p w14:paraId="3341FC22" w14:textId="77777777" w:rsidR="00C46587" w:rsidRPr="004F5FB4" w:rsidRDefault="00C46587" w:rsidP="00982118">
      <w:pPr>
        <w:numPr>
          <w:ilvl w:val="0"/>
          <w:numId w:val="7"/>
        </w:numPr>
        <w:ind w:left="562" w:hanging="562"/>
        <w:rPr>
          <w:color w:val="000000"/>
        </w:rPr>
      </w:pPr>
      <w:r w:rsidRPr="004F5FB4">
        <w:rPr>
          <w:color w:val="000000"/>
        </w:rPr>
        <w:t>Tuberkulose und andere Infektionen, die auftreten, wenn die Widerstandskraft gegenüber Krankheiten vermindert ist (opportunistische [ungewöhnliche] Infektionen)</w:t>
      </w:r>
      <w:r w:rsidR="004571BF" w:rsidRPr="004F5FB4">
        <w:rPr>
          <w:color w:val="000000"/>
        </w:rPr>
        <w:t>,</w:t>
      </w:r>
    </w:p>
    <w:p w14:paraId="057263AB" w14:textId="77777777" w:rsidR="00C46587" w:rsidRPr="004F5FB4" w:rsidRDefault="004571BF" w:rsidP="00982118">
      <w:pPr>
        <w:numPr>
          <w:ilvl w:val="0"/>
          <w:numId w:val="7"/>
        </w:numPr>
        <w:ind w:left="562" w:hanging="562"/>
        <w:rPr>
          <w:color w:val="000000"/>
        </w:rPr>
      </w:pPr>
      <w:r w:rsidRPr="004F5FB4">
        <w:rPr>
          <w:color w:val="000000"/>
        </w:rPr>
        <w:t>n</w:t>
      </w:r>
      <w:r w:rsidR="00C46587" w:rsidRPr="004F5FB4">
        <w:rPr>
          <w:color w:val="000000"/>
        </w:rPr>
        <w:t>eurologische Infekte (einschließlich viraler Hirnhautentzündung)</w:t>
      </w:r>
      <w:r w:rsidRPr="004F5FB4">
        <w:rPr>
          <w:color w:val="000000"/>
        </w:rPr>
        <w:t>,</w:t>
      </w:r>
    </w:p>
    <w:p w14:paraId="10665D42" w14:textId="77777777" w:rsidR="00C46587" w:rsidRPr="004F5FB4" w:rsidRDefault="00C46587" w:rsidP="00982118">
      <w:pPr>
        <w:numPr>
          <w:ilvl w:val="0"/>
          <w:numId w:val="7"/>
        </w:numPr>
        <w:ind w:left="562" w:hanging="562"/>
        <w:rPr>
          <w:color w:val="000000"/>
        </w:rPr>
      </w:pPr>
      <w:r w:rsidRPr="004F5FB4">
        <w:rPr>
          <w:color w:val="000000"/>
        </w:rPr>
        <w:t>Augeninfektionen</w:t>
      </w:r>
      <w:r w:rsidR="004571BF" w:rsidRPr="004F5FB4">
        <w:rPr>
          <w:color w:val="000000"/>
        </w:rPr>
        <w:t>,</w:t>
      </w:r>
    </w:p>
    <w:p w14:paraId="4214610D" w14:textId="77777777" w:rsidR="00C46587" w:rsidRPr="004F5FB4" w:rsidRDefault="004571BF" w:rsidP="00982118">
      <w:pPr>
        <w:numPr>
          <w:ilvl w:val="0"/>
          <w:numId w:val="7"/>
        </w:numPr>
        <w:ind w:left="562" w:hanging="562"/>
        <w:rPr>
          <w:color w:val="000000"/>
        </w:rPr>
      </w:pPr>
      <w:r w:rsidRPr="004F5FB4">
        <w:rPr>
          <w:color w:val="000000"/>
        </w:rPr>
        <w:t>b</w:t>
      </w:r>
      <w:r w:rsidR="00C46587" w:rsidRPr="004F5FB4">
        <w:rPr>
          <w:color w:val="000000"/>
        </w:rPr>
        <w:t>akterielle Infektionen</w:t>
      </w:r>
      <w:r w:rsidRPr="004F5FB4">
        <w:rPr>
          <w:color w:val="000000"/>
        </w:rPr>
        <w:t>,</w:t>
      </w:r>
    </w:p>
    <w:p w14:paraId="22DC12C8" w14:textId="77777777" w:rsidR="00C46587" w:rsidRPr="004F5FB4" w:rsidRDefault="00C46587" w:rsidP="00982118">
      <w:pPr>
        <w:numPr>
          <w:ilvl w:val="0"/>
          <w:numId w:val="7"/>
        </w:numPr>
        <w:ind w:left="562" w:hanging="562"/>
        <w:rPr>
          <w:color w:val="000000"/>
        </w:rPr>
      </w:pPr>
      <w:r w:rsidRPr="004F5FB4">
        <w:rPr>
          <w:color w:val="000000"/>
        </w:rPr>
        <w:t xml:space="preserve">Entzündung und Infektion des Dickdarms </w:t>
      </w:r>
      <w:r w:rsidRPr="004F5FB4">
        <w:rPr>
          <w:i/>
          <w:color w:val="000000"/>
        </w:rPr>
        <w:t>(Divertikulitis)</w:t>
      </w:r>
      <w:r w:rsidR="004571BF" w:rsidRPr="004F5FB4">
        <w:rPr>
          <w:color w:val="000000"/>
        </w:rPr>
        <w:t>,</w:t>
      </w:r>
    </w:p>
    <w:p w14:paraId="6FC93B13" w14:textId="77777777" w:rsidR="00C46587" w:rsidRPr="004F5FB4" w:rsidRDefault="00C46587" w:rsidP="00982118">
      <w:pPr>
        <w:numPr>
          <w:ilvl w:val="0"/>
          <w:numId w:val="7"/>
        </w:numPr>
        <w:ind w:left="562" w:hanging="562"/>
        <w:rPr>
          <w:color w:val="000000"/>
        </w:rPr>
      </w:pPr>
      <w:r w:rsidRPr="004F5FB4">
        <w:rPr>
          <w:color w:val="000000"/>
        </w:rPr>
        <w:t xml:space="preserve">Krebserkrankungen, einschließlich Krebs, der das Lymphsystem betrifft </w:t>
      </w:r>
      <w:r w:rsidRPr="004F5FB4">
        <w:rPr>
          <w:i/>
          <w:color w:val="000000"/>
        </w:rPr>
        <w:t>(Lymphom)</w:t>
      </w:r>
      <w:r w:rsidRPr="004F5FB4">
        <w:rPr>
          <w:color w:val="000000"/>
        </w:rPr>
        <w:t xml:space="preserve">, und Hautkrebs </w:t>
      </w:r>
      <w:r w:rsidRPr="004F5FB4">
        <w:rPr>
          <w:i/>
          <w:color w:val="000000"/>
        </w:rPr>
        <w:t>(Melanom)</w:t>
      </w:r>
      <w:r w:rsidR="004571BF" w:rsidRPr="004F5FB4">
        <w:rPr>
          <w:color w:val="000000"/>
        </w:rPr>
        <w:t>,</w:t>
      </w:r>
    </w:p>
    <w:p w14:paraId="15EC3F7E" w14:textId="77777777" w:rsidR="00C46587" w:rsidRPr="004F5FB4" w:rsidRDefault="00C46587" w:rsidP="00D113B4">
      <w:pPr>
        <w:numPr>
          <w:ilvl w:val="0"/>
          <w:numId w:val="7"/>
        </w:numPr>
        <w:ind w:left="562" w:hanging="562"/>
        <w:rPr>
          <w:color w:val="000000"/>
        </w:rPr>
      </w:pPr>
      <w:r w:rsidRPr="004F5FB4">
        <w:rPr>
          <w:color w:val="000000"/>
        </w:rPr>
        <w:t>Immunstörungen, welche die</w:t>
      </w:r>
      <w:r w:rsidR="00D113B4" w:rsidRPr="004F5FB4">
        <w:rPr>
          <w:color w:val="000000"/>
        </w:rPr>
        <w:t xml:space="preserve"> </w:t>
      </w:r>
      <w:r w:rsidRPr="004F5FB4">
        <w:rPr>
          <w:color w:val="000000"/>
        </w:rPr>
        <w:t>Lunge, Haut und Lymphknoten betreffen können (kommen am häufigsten als eine Krankheit vor, die als Sarkoidose bezeichnet wird)</w:t>
      </w:r>
      <w:r w:rsidR="004571BF" w:rsidRPr="004F5FB4">
        <w:rPr>
          <w:color w:val="000000"/>
        </w:rPr>
        <w:t>,</w:t>
      </w:r>
    </w:p>
    <w:p w14:paraId="234C745B" w14:textId="77777777" w:rsidR="00C46587" w:rsidRPr="004F5FB4" w:rsidRDefault="00C46587" w:rsidP="00982118">
      <w:pPr>
        <w:numPr>
          <w:ilvl w:val="0"/>
          <w:numId w:val="7"/>
        </w:numPr>
        <w:ind w:left="562" w:hanging="562"/>
        <w:rPr>
          <w:color w:val="000000"/>
        </w:rPr>
      </w:pPr>
      <w:r w:rsidRPr="004F5FB4">
        <w:rPr>
          <w:i/>
          <w:color w:val="000000"/>
        </w:rPr>
        <w:t>Vaskulitis</w:t>
      </w:r>
      <w:r w:rsidRPr="004F5FB4">
        <w:rPr>
          <w:color w:val="000000"/>
        </w:rPr>
        <w:t xml:space="preserve"> (Entzündung der Blutgefäße)</w:t>
      </w:r>
      <w:r w:rsidR="004571BF" w:rsidRPr="004F5FB4">
        <w:rPr>
          <w:color w:val="000000"/>
        </w:rPr>
        <w:t>,</w:t>
      </w:r>
    </w:p>
    <w:p w14:paraId="471887A6" w14:textId="77777777" w:rsidR="00C46587" w:rsidRPr="004F5FB4" w:rsidRDefault="00C46587" w:rsidP="00982118">
      <w:pPr>
        <w:numPr>
          <w:ilvl w:val="0"/>
          <w:numId w:val="7"/>
        </w:numPr>
        <w:ind w:left="562" w:hanging="562"/>
        <w:rPr>
          <w:color w:val="000000"/>
        </w:rPr>
      </w:pPr>
      <w:r w:rsidRPr="004F5FB4">
        <w:rPr>
          <w:color w:val="000000"/>
        </w:rPr>
        <w:t xml:space="preserve">Zittern </w:t>
      </w:r>
      <w:r w:rsidRPr="004F5FB4">
        <w:rPr>
          <w:i/>
          <w:color w:val="000000"/>
        </w:rPr>
        <w:t>(Tremor)</w:t>
      </w:r>
      <w:r w:rsidR="004571BF" w:rsidRPr="004F5FB4">
        <w:rPr>
          <w:color w:val="000000"/>
        </w:rPr>
        <w:t>,</w:t>
      </w:r>
    </w:p>
    <w:p w14:paraId="1318B4D0" w14:textId="77777777" w:rsidR="00C46587" w:rsidRPr="004F5FB4" w:rsidRDefault="00C46587" w:rsidP="00982118">
      <w:pPr>
        <w:numPr>
          <w:ilvl w:val="0"/>
          <w:numId w:val="7"/>
        </w:numPr>
        <w:ind w:left="562" w:hanging="562"/>
        <w:rPr>
          <w:color w:val="000000"/>
        </w:rPr>
      </w:pPr>
      <w:r w:rsidRPr="004F5FB4">
        <w:rPr>
          <w:color w:val="000000"/>
        </w:rPr>
        <w:t xml:space="preserve">Nervenschädigung </w:t>
      </w:r>
      <w:r w:rsidRPr="004F5FB4">
        <w:rPr>
          <w:i/>
          <w:color w:val="000000"/>
        </w:rPr>
        <w:t>(Neuropathie)</w:t>
      </w:r>
      <w:r w:rsidR="004571BF" w:rsidRPr="004F5FB4">
        <w:rPr>
          <w:color w:val="000000"/>
        </w:rPr>
        <w:t>,</w:t>
      </w:r>
    </w:p>
    <w:p w14:paraId="35DD4A4F" w14:textId="77777777" w:rsidR="00EC6EEB" w:rsidRPr="004F5FB4" w:rsidRDefault="00C46587" w:rsidP="00982118">
      <w:pPr>
        <w:numPr>
          <w:ilvl w:val="0"/>
          <w:numId w:val="7"/>
        </w:numPr>
        <w:ind w:left="562" w:hanging="562"/>
        <w:rPr>
          <w:color w:val="000000"/>
        </w:rPr>
      </w:pPr>
      <w:r w:rsidRPr="004F5FB4">
        <w:rPr>
          <w:color w:val="000000"/>
        </w:rPr>
        <w:t>Schlaganfall</w:t>
      </w:r>
      <w:r w:rsidR="004571BF" w:rsidRPr="004F5FB4">
        <w:rPr>
          <w:color w:val="000000"/>
        </w:rPr>
        <w:t>,</w:t>
      </w:r>
    </w:p>
    <w:p w14:paraId="05787BC4" w14:textId="77777777" w:rsidR="00C46587" w:rsidRPr="004F5FB4" w:rsidRDefault="00EC6EEB" w:rsidP="00982118">
      <w:pPr>
        <w:numPr>
          <w:ilvl w:val="0"/>
          <w:numId w:val="7"/>
        </w:numPr>
        <w:ind w:left="562" w:hanging="562"/>
        <w:rPr>
          <w:color w:val="000000"/>
        </w:rPr>
      </w:pPr>
      <w:r w:rsidRPr="004F5FB4">
        <w:rPr>
          <w:color w:val="000000"/>
        </w:rPr>
        <w:t>Doppeltsehen</w:t>
      </w:r>
      <w:r w:rsidR="004571BF" w:rsidRPr="004F5FB4">
        <w:rPr>
          <w:color w:val="000000"/>
        </w:rPr>
        <w:t>,</w:t>
      </w:r>
    </w:p>
    <w:p w14:paraId="7A30B11E" w14:textId="77777777" w:rsidR="00C46587" w:rsidRPr="004F5FB4" w:rsidRDefault="00C46587" w:rsidP="00982118">
      <w:pPr>
        <w:numPr>
          <w:ilvl w:val="0"/>
          <w:numId w:val="7"/>
        </w:numPr>
        <w:ind w:left="562" w:hanging="562"/>
        <w:rPr>
          <w:color w:val="000000"/>
        </w:rPr>
      </w:pPr>
      <w:r w:rsidRPr="004F5FB4">
        <w:rPr>
          <w:color w:val="000000"/>
        </w:rPr>
        <w:t>Hörverlust, Ohrensausen</w:t>
      </w:r>
      <w:r w:rsidR="004571BF" w:rsidRPr="004F5FB4">
        <w:rPr>
          <w:color w:val="000000"/>
        </w:rPr>
        <w:t>,</w:t>
      </w:r>
    </w:p>
    <w:p w14:paraId="3907BE77" w14:textId="77777777" w:rsidR="00C46587" w:rsidRPr="004F5FB4" w:rsidRDefault="004571BF" w:rsidP="00982118">
      <w:pPr>
        <w:numPr>
          <w:ilvl w:val="0"/>
          <w:numId w:val="7"/>
        </w:numPr>
        <w:ind w:left="562" w:hanging="562"/>
        <w:rPr>
          <w:color w:val="000000"/>
        </w:rPr>
      </w:pPr>
      <w:r w:rsidRPr="004F5FB4">
        <w:rPr>
          <w:color w:val="000000"/>
        </w:rPr>
        <w:t>u</w:t>
      </w:r>
      <w:r w:rsidR="00C46587" w:rsidRPr="004F5FB4">
        <w:rPr>
          <w:color w:val="000000"/>
        </w:rPr>
        <w:t>nregelmäßiger Herzschlag, wie z. B. übersprungene Schläge</w:t>
      </w:r>
      <w:r w:rsidRPr="004F5FB4">
        <w:rPr>
          <w:color w:val="000000"/>
        </w:rPr>
        <w:t>,</w:t>
      </w:r>
    </w:p>
    <w:p w14:paraId="7922AABA" w14:textId="77777777" w:rsidR="00C46587" w:rsidRPr="004F5FB4" w:rsidRDefault="00C46587" w:rsidP="00982118">
      <w:pPr>
        <w:numPr>
          <w:ilvl w:val="0"/>
          <w:numId w:val="7"/>
        </w:numPr>
        <w:ind w:left="562" w:hanging="562"/>
        <w:rPr>
          <w:color w:val="000000"/>
        </w:rPr>
      </w:pPr>
      <w:r w:rsidRPr="004F5FB4">
        <w:rPr>
          <w:color w:val="000000"/>
        </w:rPr>
        <w:t>Herzprobleme, die zu Kurzatmigkeit und Anschwellen der Fußknöchel führen können</w:t>
      </w:r>
      <w:r w:rsidR="004571BF" w:rsidRPr="004F5FB4">
        <w:rPr>
          <w:color w:val="000000"/>
        </w:rPr>
        <w:t>,</w:t>
      </w:r>
    </w:p>
    <w:p w14:paraId="41FC970F" w14:textId="77777777" w:rsidR="00C46587" w:rsidRPr="004F5FB4" w:rsidRDefault="00C46587" w:rsidP="00982118">
      <w:pPr>
        <w:numPr>
          <w:ilvl w:val="0"/>
          <w:numId w:val="7"/>
        </w:numPr>
        <w:ind w:left="562" w:hanging="562"/>
        <w:rPr>
          <w:color w:val="000000"/>
        </w:rPr>
      </w:pPr>
      <w:r w:rsidRPr="004F5FB4">
        <w:rPr>
          <w:color w:val="000000"/>
        </w:rPr>
        <w:t>Herzinfarkt</w:t>
      </w:r>
      <w:r w:rsidR="004571BF" w:rsidRPr="004F5FB4">
        <w:rPr>
          <w:color w:val="000000"/>
        </w:rPr>
        <w:t>,</w:t>
      </w:r>
    </w:p>
    <w:p w14:paraId="123BED19" w14:textId="77777777" w:rsidR="00C46587" w:rsidRPr="004F5FB4" w:rsidRDefault="004571BF" w:rsidP="00982118">
      <w:pPr>
        <w:numPr>
          <w:ilvl w:val="0"/>
          <w:numId w:val="7"/>
        </w:numPr>
        <w:ind w:left="562" w:hanging="562"/>
        <w:rPr>
          <w:color w:val="000000"/>
        </w:rPr>
      </w:pPr>
      <w:r w:rsidRPr="004F5FB4">
        <w:rPr>
          <w:color w:val="000000"/>
        </w:rPr>
        <w:t>e</w:t>
      </w:r>
      <w:r w:rsidR="00C46587" w:rsidRPr="004F5FB4">
        <w:rPr>
          <w:color w:val="000000"/>
        </w:rPr>
        <w:t>ine Ausbuchtung in der Wand einer Hauptarterie, Entzündung und Blutgerinnsel in einer Vene, Verstopfung eines Blutgefäßes</w:t>
      </w:r>
      <w:r w:rsidRPr="004F5FB4">
        <w:rPr>
          <w:color w:val="000000"/>
        </w:rPr>
        <w:t>,</w:t>
      </w:r>
    </w:p>
    <w:p w14:paraId="200398F9" w14:textId="77777777" w:rsidR="00C46587" w:rsidRPr="004F5FB4" w:rsidRDefault="00C46587" w:rsidP="00982118">
      <w:pPr>
        <w:numPr>
          <w:ilvl w:val="0"/>
          <w:numId w:val="7"/>
        </w:numPr>
        <w:ind w:left="562" w:hanging="562"/>
        <w:rPr>
          <w:color w:val="000000"/>
        </w:rPr>
      </w:pPr>
      <w:r w:rsidRPr="004F5FB4">
        <w:rPr>
          <w:color w:val="000000"/>
        </w:rPr>
        <w:t>Lungenerkrankungen, die sich in Kurzatmigkeit äußern (einschließlich Entzündung)</w:t>
      </w:r>
      <w:r w:rsidR="004571BF" w:rsidRPr="004F5FB4">
        <w:rPr>
          <w:color w:val="000000"/>
        </w:rPr>
        <w:t>,</w:t>
      </w:r>
    </w:p>
    <w:p w14:paraId="45104779" w14:textId="77777777" w:rsidR="00C46587" w:rsidRPr="004F5FB4" w:rsidRDefault="00C46587" w:rsidP="00982118">
      <w:pPr>
        <w:numPr>
          <w:ilvl w:val="0"/>
          <w:numId w:val="7"/>
        </w:numPr>
        <w:ind w:left="562" w:hanging="562"/>
        <w:rPr>
          <w:color w:val="000000"/>
        </w:rPr>
      </w:pPr>
      <w:r w:rsidRPr="004F5FB4">
        <w:rPr>
          <w:color w:val="000000"/>
        </w:rPr>
        <w:t>Lungenembolie (Verschluss in einer Lungenarterie)</w:t>
      </w:r>
      <w:r w:rsidR="004571BF" w:rsidRPr="004F5FB4">
        <w:rPr>
          <w:color w:val="000000"/>
        </w:rPr>
        <w:t>,</w:t>
      </w:r>
    </w:p>
    <w:p w14:paraId="1C92BD95" w14:textId="77777777" w:rsidR="00C46587" w:rsidRPr="004F5FB4" w:rsidRDefault="004571BF" w:rsidP="00982118">
      <w:pPr>
        <w:numPr>
          <w:ilvl w:val="0"/>
          <w:numId w:val="7"/>
        </w:numPr>
        <w:ind w:left="562" w:hanging="562"/>
        <w:rPr>
          <w:color w:val="000000"/>
        </w:rPr>
      </w:pPr>
      <w:r w:rsidRPr="004F5FB4">
        <w:rPr>
          <w:color w:val="000000"/>
        </w:rPr>
        <w:t>n</w:t>
      </w:r>
      <w:r w:rsidR="00C46587" w:rsidRPr="004F5FB4">
        <w:rPr>
          <w:color w:val="000000"/>
        </w:rPr>
        <w:t xml:space="preserve">icht normale Ansammlung von Flüssigkeit in der Umgebung der Lunge </w:t>
      </w:r>
      <w:r w:rsidR="00C46587" w:rsidRPr="004F5FB4">
        <w:rPr>
          <w:i/>
          <w:color w:val="000000"/>
        </w:rPr>
        <w:t>(Pleuraerguss)</w:t>
      </w:r>
      <w:r w:rsidRPr="004F5FB4">
        <w:rPr>
          <w:color w:val="000000"/>
        </w:rPr>
        <w:t>,</w:t>
      </w:r>
    </w:p>
    <w:p w14:paraId="447FC1B0" w14:textId="77777777" w:rsidR="00C46587" w:rsidRPr="004F5FB4" w:rsidRDefault="00C46587" w:rsidP="00982118">
      <w:pPr>
        <w:numPr>
          <w:ilvl w:val="0"/>
          <w:numId w:val="7"/>
        </w:numPr>
        <w:ind w:left="562" w:hanging="562"/>
        <w:rPr>
          <w:color w:val="000000"/>
        </w:rPr>
      </w:pPr>
      <w:r w:rsidRPr="004F5FB4">
        <w:rPr>
          <w:color w:val="000000"/>
        </w:rPr>
        <w:t>Entzündung der Bauchspeicheldrüse, die starke Schmerzen im Bauchraum und Rücken verursacht</w:t>
      </w:r>
      <w:r w:rsidR="004571BF" w:rsidRPr="004F5FB4">
        <w:rPr>
          <w:color w:val="000000"/>
        </w:rPr>
        <w:t>,</w:t>
      </w:r>
    </w:p>
    <w:p w14:paraId="74365E7E" w14:textId="77777777" w:rsidR="00C46587" w:rsidRPr="004F5FB4" w:rsidRDefault="00C46587" w:rsidP="00982118">
      <w:pPr>
        <w:numPr>
          <w:ilvl w:val="0"/>
          <w:numId w:val="7"/>
        </w:numPr>
        <w:ind w:left="562" w:hanging="562"/>
        <w:rPr>
          <w:color w:val="000000"/>
        </w:rPr>
      </w:pPr>
      <w:r w:rsidRPr="004F5FB4">
        <w:rPr>
          <w:color w:val="000000"/>
        </w:rPr>
        <w:t>Schluckstörungen</w:t>
      </w:r>
      <w:r w:rsidR="004571BF" w:rsidRPr="004F5FB4">
        <w:rPr>
          <w:color w:val="000000"/>
        </w:rPr>
        <w:t>,</w:t>
      </w:r>
    </w:p>
    <w:p w14:paraId="64D3F4A4" w14:textId="77777777" w:rsidR="00C46587" w:rsidRPr="004F5FB4" w:rsidRDefault="00C46587" w:rsidP="00982118">
      <w:pPr>
        <w:numPr>
          <w:ilvl w:val="0"/>
          <w:numId w:val="7"/>
        </w:numPr>
        <w:ind w:left="562" w:hanging="562"/>
        <w:rPr>
          <w:color w:val="000000"/>
        </w:rPr>
      </w:pPr>
      <w:r w:rsidRPr="004F5FB4">
        <w:rPr>
          <w:color w:val="000000"/>
        </w:rPr>
        <w:t>Gesichtsschwellung (Gesichtsödem)</w:t>
      </w:r>
      <w:r w:rsidR="004571BF" w:rsidRPr="004F5FB4">
        <w:rPr>
          <w:color w:val="000000"/>
        </w:rPr>
        <w:t>,</w:t>
      </w:r>
    </w:p>
    <w:p w14:paraId="325D34EF" w14:textId="77777777" w:rsidR="00C46587" w:rsidRPr="004F5FB4" w:rsidRDefault="00C46587" w:rsidP="00982118">
      <w:pPr>
        <w:numPr>
          <w:ilvl w:val="0"/>
          <w:numId w:val="7"/>
        </w:numPr>
        <w:ind w:left="562" w:hanging="562"/>
        <w:rPr>
          <w:color w:val="000000"/>
        </w:rPr>
      </w:pPr>
      <w:r w:rsidRPr="004F5FB4">
        <w:rPr>
          <w:color w:val="000000"/>
        </w:rPr>
        <w:t>Gallenblasenentzündung, Gallensteine</w:t>
      </w:r>
      <w:r w:rsidR="004571BF" w:rsidRPr="004F5FB4">
        <w:rPr>
          <w:color w:val="000000"/>
        </w:rPr>
        <w:t>,</w:t>
      </w:r>
    </w:p>
    <w:p w14:paraId="3CC48A3E" w14:textId="77777777" w:rsidR="00C46587" w:rsidRPr="004F5FB4" w:rsidRDefault="00C46587" w:rsidP="00982118">
      <w:pPr>
        <w:numPr>
          <w:ilvl w:val="0"/>
          <w:numId w:val="7"/>
        </w:numPr>
        <w:ind w:left="562" w:hanging="562"/>
        <w:rPr>
          <w:color w:val="000000"/>
        </w:rPr>
      </w:pPr>
      <w:r w:rsidRPr="004F5FB4">
        <w:rPr>
          <w:color w:val="000000"/>
        </w:rPr>
        <w:t>Fettleber (Einlagerung von Fett in die Leberzellen)</w:t>
      </w:r>
      <w:r w:rsidR="004571BF" w:rsidRPr="004F5FB4">
        <w:rPr>
          <w:color w:val="000000"/>
        </w:rPr>
        <w:t>,</w:t>
      </w:r>
    </w:p>
    <w:p w14:paraId="5AF8490F" w14:textId="77777777" w:rsidR="00C46587" w:rsidRPr="004F5FB4" w:rsidRDefault="004571BF" w:rsidP="00982118">
      <w:pPr>
        <w:numPr>
          <w:ilvl w:val="0"/>
          <w:numId w:val="7"/>
        </w:numPr>
        <w:ind w:left="562" w:hanging="562"/>
        <w:rPr>
          <w:color w:val="000000"/>
        </w:rPr>
      </w:pPr>
      <w:r w:rsidRPr="004F5FB4">
        <w:rPr>
          <w:color w:val="000000"/>
        </w:rPr>
        <w:t>n</w:t>
      </w:r>
      <w:r w:rsidR="00C46587" w:rsidRPr="004F5FB4">
        <w:rPr>
          <w:color w:val="000000"/>
        </w:rPr>
        <w:t>ächtliches Schwitzen</w:t>
      </w:r>
      <w:r w:rsidRPr="004F5FB4">
        <w:rPr>
          <w:color w:val="000000"/>
        </w:rPr>
        <w:t>,</w:t>
      </w:r>
    </w:p>
    <w:p w14:paraId="0217AACE" w14:textId="77777777" w:rsidR="00C46587" w:rsidRPr="004F5FB4" w:rsidRDefault="00C46587" w:rsidP="00982118">
      <w:pPr>
        <w:numPr>
          <w:ilvl w:val="0"/>
          <w:numId w:val="7"/>
        </w:numPr>
        <w:ind w:left="562" w:hanging="562"/>
        <w:rPr>
          <w:color w:val="000000"/>
        </w:rPr>
      </w:pPr>
      <w:r w:rsidRPr="004F5FB4">
        <w:rPr>
          <w:color w:val="000000"/>
        </w:rPr>
        <w:t>Narbenbildung</w:t>
      </w:r>
      <w:r w:rsidR="004571BF" w:rsidRPr="004F5FB4">
        <w:rPr>
          <w:color w:val="000000"/>
        </w:rPr>
        <w:t>,</w:t>
      </w:r>
    </w:p>
    <w:p w14:paraId="610058F5" w14:textId="77777777" w:rsidR="00C46587" w:rsidRPr="004F5FB4" w:rsidRDefault="004571BF" w:rsidP="00982118">
      <w:pPr>
        <w:numPr>
          <w:ilvl w:val="0"/>
          <w:numId w:val="7"/>
        </w:numPr>
        <w:ind w:left="562" w:hanging="562"/>
        <w:rPr>
          <w:color w:val="000000"/>
        </w:rPr>
      </w:pPr>
      <w:r w:rsidRPr="004F5FB4">
        <w:rPr>
          <w:color w:val="000000"/>
        </w:rPr>
        <w:t>a</w:t>
      </w:r>
      <w:r w:rsidR="00C46587" w:rsidRPr="004F5FB4">
        <w:rPr>
          <w:color w:val="000000"/>
        </w:rPr>
        <w:t>bnormaler Muskelabbau</w:t>
      </w:r>
      <w:r w:rsidRPr="004F5FB4">
        <w:rPr>
          <w:color w:val="000000"/>
        </w:rPr>
        <w:t>,</w:t>
      </w:r>
    </w:p>
    <w:p w14:paraId="65618AB7" w14:textId="77777777" w:rsidR="00C46587" w:rsidRPr="004F5FB4" w:rsidRDefault="004571BF" w:rsidP="00982118">
      <w:pPr>
        <w:numPr>
          <w:ilvl w:val="0"/>
          <w:numId w:val="7"/>
        </w:numPr>
        <w:ind w:left="562" w:hanging="562"/>
        <w:rPr>
          <w:color w:val="000000"/>
        </w:rPr>
      </w:pPr>
      <w:r w:rsidRPr="004F5FB4">
        <w:rPr>
          <w:color w:val="000000"/>
        </w:rPr>
        <w:t>s</w:t>
      </w:r>
      <w:r w:rsidR="00C46587" w:rsidRPr="004F5FB4">
        <w:rPr>
          <w:color w:val="000000"/>
        </w:rPr>
        <w:t xml:space="preserve">ystemischer </w:t>
      </w:r>
      <w:r w:rsidR="00C46587" w:rsidRPr="004F5FB4">
        <w:rPr>
          <w:i/>
          <w:color w:val="000000"/>
        </w:rPr>
        <w:t>Lupus erythematodes</w:t>
      </w:r>
      <w:r w:rsidR="00C46587" w:rsidRPr="004F5FB4">
        <w:rPr>
          <w:color w:val="000000"/>
        </w:rPr>
        <w:t xml:space="preserve"> (eine Immunstörung mit Entzündung von Haut, Herz, Lunge, Gelenken und anderen Organsystemen)</w:t>
      </w:r>
      <w:r w:rsidRPr="004F5FB4">
        <w:rPr>
          <w:color w:val="000000"/>
        </w:rPr>
        <w:t>,</w:t>
      </w:r>
    </w:p>
    <w:p w14:paraId="6A138BE8" w14:textId="77777777" w:rsidR="00C46587" w:rsidRPr="004F5FB4" w:rsidRDefault="00C46587" w:rsidP="00982118">
      <w:pPr>
        <w:numPr>
          <w:ilvl w:val="0"/>
          <w:numId w:val="7"/>
        </w:numPr>
        <w:ind w:left="562" w:hanging="562"/>
        <w:rPr>
          <w:color w:val="000000"/>
        </w:rPr>
      </w:pPr>
      <w:r w:rsidRPr="004F5FB4">
        <w:rPr>
          <w:color w:val="000000"/>
        </w:rPr>
        <w:t>Schlafstörungen</w:t>
      </w:r>
      <w:r w:rsidR="004571BF" w:rsidRPr="004F5FB4">
        <w:rPr>
          <w:color w:val="000000"/>
        </w:rPr>
        <w:t>,</w:t>
      </w:r>
    </w:p>
    <w:p w14:paraId="0AEB4609" w14:textId="77777777" w:rsidR="00C46587" w:rsidRPr="004F5FB4" w:rsidRDefault="00C46587" w:rsidP="00982118">
      <w:pPr>
        <w:numPr>
          <w:ilvl w:val="0"/>
          <w:numId w:val="7"/>
        </w:numPr>
        <w:ind w:left="562" w:hanging="562"/>
        <w:rPr>
          <w:color w:val="000000"/>
        </w:rPr>
      </w:pPr>
      <w:r w:rsidRPr="004F5FB4">
        <w:rPr>
          <w:color w:val="000000"/>
        </w:rPr>
        <w:t>Impotenz</w:t>
      </w:r>
      <w:r w:rsidR="004571BF" w:rsidRPr="004F5FB4">
        <w:rPr>
          <w:color w:val="000000"/>
        </w:rPr>
        <w:t>,</w:t>
      </w:r>
    </w:p>
    <w:p w14:paraId="7EEA7951" w14:textId="77777777" w:rsidR="00C46587" w:rsidRPr="004F5FB4" w:rsidRDefault="00C46587" w:rsidP="00982118">
      <w:pPr>
        <w:numPr>
          <w:ilvl w:val="0"/>
          <w:numId w:val="7"/>
        </w:numPr>
        <w:ind w:left="562" w:hanging="562"/>
        <w:rPr>
          <w:color w:val="000000"/>
        </w:rPr>
      </w:pPr>
      <w:r w:rsidRPr="004F5FB4">
        <w:rPr>
          <w:color w:val="000000"/>
        </w:rPr>
        <w:t xml:space="preserve">Entzündungen. </w:t>
      </w:r>
    </w:p>
    <w:p w14:paraId="043D2585" w14:textId="77777777" w:rsidR="00C46587" w:rsidRPr="004F5FB4" w:rsidRDefault="00C46587" w:rsidP="00982118">
      <w:pPr>
        <w:rPr>
          <w:color w:val="000000"/>
          <w:lang w:val="en-GB"/>
        </w:rPr>
      </w:pPr>
    </w:p>
    <w:p w14:paraId="38D513FE" w14:textId="77777777" w:rsidR="00C46587" w:rsidRPr="004F5FB4" w:rsidRDefault="00C46587" w:rsidP="00800BA5">
      <w:pPr>
        <w:keepNext/>
        <w:rPr>
          <w:color w:val="000000"/>
        </w:rPr>
      </w:pPr>
      <w:r w:rsidRPr="004F5FB4">
        <w:rPr>
          <w:b/>
          <w:bCs/>
          <w:color w:val="000000"/>
        </w:rPr>
        <w:t>Selten</w:t>
      </w:r>
      <w:r w:rsidRPr="004F5FB4">
        <w:rPr>
          <w:color w:val="000000"/>
        </w:rPr>
        <w:t xml:space="preserve"> (kann bis zu 1 von 1.000</w:t>
      </w:r>
      <w:r w:rsidR="007E3AA5" w:rsidRPr="004F5FB4">
        <w:rPr>
          <w:color w:val="000000"/>
        </w:rPr>
        <w:t> </w:t>
      </w:r>
      <w:r w:rsidR="00AF525D" w:rsidRPr="004F5FB4">
        <w:rPr>
          <w:color w:val="000000"/>
        </w:rPr>
        <w:t xml:space="preserve">Behandelten </w:t>
      </w:r>
      <w:r w:rsidRPr="004F5FB4">
        <w:rPr>
          <w:color w:val="000000"/>
        </w:rPr>
        <w:t>betreffen)</w:t>
      </w:r>
    </w:p>
    <w:p w14:paraId="616CC559" w14:textId="77777777" w:rsidR="00C46587" w:rsidRPr="004F5FB4" w:rsidRDefault="00C46587" w:rsidP="00800BA5">
      <w:pPr>
        <w:keepNext/>
        <w:rPr>
          <w:color w:val="000000"/>
        </w:rPr>
      </w:pPr>
    </w:p>
    <w:p w14:paraId="24DBCB83" w14:textId="77777777" w:rsidR="00C46587" w:rsidRPr="004F5FB4" w:rsidRDefault="00983A74" w:rsidP="00800BA5">
      <w:pPr>
        <w:keepNext/>
        <w:numPr>
          <w:ilvl w:val="0"/>
          <w:numId w:val="7"/>
        </w:numPr>
        <w:ind w:left="562" w:hanging="562"/>
        <w:rPr>
          <w:color w:val="000000"/>
        </w:rPr>
      </w:pPr>
      <w:r w:rsidRPr="004F5FB4">
        <w:rPr>
          <w:i/>
          <w:color w:val="000000"/>
        </w:rPr>
        <w:t>Leukämie</w:t>
      </w:r>
      <w:r w:rsidRPr="004F5FB4">
        <w:rPr>
          <w:color w:val="000000"/>
        </w:rPr>
        <w:t xml:space="preserve"> (Krebs, der das Blut und das Knochenmark betrifft)</w:t>
      </w:r>
      <w:r w:rsidR="004571BF" w:rsidRPr="004F5FB4">
        <w:rPr>
          <w:color w:val="000000"/>
        </w:rPr>
        <w:t>,</w:t>
      </w:r>
    </w:p>
    <w:p w14:paraId="1F1B34D0" w14:textId="77777777" w:rsidR="00C46587" w:rsidRPr="004F5FB4" w:rsidRDefault="004571BF" w:rsidP="00982118">
      <w:pPr>
        <w:numPr>
          <w:ilvl w:val="0"/>
          <w:numId w:val="7"/>
        </w:numPr>
        <w:ind w:left="562" w:hanging="562"/>
        <w:rPr>
          <w:color w:val="000000"/>
        </w:rPr>
      </w:pPr>
      <w:r w:rsidRPr="004F5FB4">
        <w:rPr>
          <w:color w:val="000000"/>
        </w:rPr>
        <w:t>s</w:t>
      </w:r>
      <w:r w:rsidR="00143CBB" w:rsidRPr="004F5FB4">
        <w:rPr>
          <w:color w:val="000000"/>
        </w:rPr>
        <w:t>chwere allergische Reaktionen mit Schock</w:t>
      </w:r>
      <w:r w:rsidRPr="004F5FB4">
        <w:rPr>
          <w:color w:val="000000"/>
        </w:rPr>
        <w:t>,</w:t>
      </w:r>
    </w:p>
    <w:p w14:paraId="71C5C954" w14:textId="77777777" w:rsidR="00C46587" w:rsidRPr="004F5FB4" w:rsidRDefault="00A63F9C" w:rsidP="00982118">
      <w:pPr>
        <w:numPr>
          <w:ilvl w:val="0"/>
          <w:numId w:val="7"/>
        </w:numPr>
        <w:ind w:left="562" w:hanging="562"/>
        <w:rPr>
          <w:color w:val="000000"/>
        </w:rPr>
      </w:pPr>
      <w:r w:rsidRPr="004F5FB4">
        <w:rPr>
          <w:i/>
          <w:color w:val="000000"/>
        </w:rPr>
        <w:t>M</w:t>
      </w:r>
      <w:r w:rsidR="00C46587" w:rsidRPr="004F5FB4">
        <w:rPr>
          <w:i/>
          <w:color w:val="000000"/>
        </w:rPr>
        <w:t>ultiple Sklerose</w:t>
      </w:r>
      <w:r w:rsidR="004571BF" w:rsidRPr="004F5FB4">
        <w:rPr>
          <w:color w:val="000000"/>
        </w:rPr>
        <w:t>,</w:t>
      </w:r>
    </w:p>
    <w:p w14:paraId="4BC99D71" w14:textId="77777777" w:rsidR="00C46587" w:rsidRPr="004F5FB4" w:rsidRDefault="00C46587" w:rsidP="00982118">
      <w:pPr>
        <w:numPr>
          <w:ilvl w:val="0"/>
          <w:numId w:val="7"/>
        </w:numPr>
        <w:ind w:left="562" w:hanging="562"/>
        <w:rPr>
          <w:color w:val="000000"/>
        </w:rPr>
      </w:pPr>
      <w:r w:rsidRPr="004F5FB4">
        <w:rPr>
          <w:color w:val="000000"/>
        </w:rPr>
        <w:t>Nervenerkrankungen (z. B. Entzündung des Augennervs und Guillain-Barré-Syndrom, eine Krankheit, die zu Muskelschwäche, gestörten Sinnesempfindungen, Kribbeln in Armen und Oberkörper führen kann)</w:t>
      </w:r>
      <w:r w:rsidR="004571BF" w:rsidRPr="004F5FB4">
        <w:rPr>
          <w:color w:val="000000"/>
        </w:rPr>
        <w:t>,</w:t>
      </w:r>
    </w:p>
    <w:p w14:paraId="10A9D0B2" w14:textId="77777777" w:rsidR="00C46587" w:rsidRPr="004F5FB4" w:rsidRDefault="00C46587" w:rsidP="00982118">
      <w:pPr>
        <w:numPr>
          <w:ilvl w:val="0"/>
          <w:numId w:val="7"/>
        </w:numPr>
        <w:ind w:left="562" w:hanging="562"/>
        <w:rPr>
          <w:color w:val="000000"/>
        </w:rPr>
      </w:pPr>
      <w:r w:rsidRPr="004F5FB4">
        <w:rPr>
          <w:color w:val="000000"/>
        </w:rPr>
        <w:t>Herzstillstand</w:t>
      </w:r>
      <w:r w:rsidR="004571BF" w:rsidRPr="004F5FB4">
        <w:rPr>
          <w:color w:val="000000"/>
        </w:rPr>
        <w:t>,</w:t>
      </w:r>
    </w:p>
    <w:p w14:paraId="5DB7EB91" w14:textId="77777777" w:rsidR="00C46587" w:rsidRPr="004F5FB4" w:rsidRDefault="00C46587" w:rsidP="00982118">
      <w:pPr>
        <w:numPr>
          <w:ilvl w:val="0"/>
          <w:numId w:val="7"/>
        </w:numPr>
        <w:ind w:left="562" w:hanging="562"/>
        <w:rPr>
          <w:color w:val="000000"/>
        </w:rPr>
      </w:pPr>
      <w:r w:rsidRPr="004F5FB4">
        <w:rPr>
          <w:i/>
          <w:color w:val="000000"/>
        </w:rPr>
        <w:t>Lungenfibrose</w:t>
      </w:r>
      <w:r w:rsidRPr="004F5FB4">
        <w:rPr>
          <w:color w:val="000000"/>
        </w:rPr>
        <w:t xml:space="preserve"> (Narbenbildung in der Lunge)</w:t>
      </w:r>
      <w:r w:rsidR="004571BF" w:rsidRPr="004F5FB4">
        <w:rPr>
          <w:color w:val="000000"/>
        </w:rPr>
        <w:t>,</w:t>
      </w:r>
    </w:p>
    <w:p w14:paraId="73D50EA3" w14:textId="77777777" w:rsidR="00C46587" w:rsidRPr="004F5FB4" w:rsidRDefault="00C46587" w:rsidP="00982118">
      <w:pPr>
        <w:numPr>
          <w:ilvl w:val="0"/>
          <w:numId w:val="7"/>
        </w:numPr>
        <w:ind w:left="562" w:hanging="562"/>
        <w:rPr>
          <w:color w:val="000000"/>
        </w:rPr>
      </w:pPr>
      <w:r w:rsidRPr="004F5FB4">
        <w:rPr>
          <w:color w:val="000000"/>
        </w:rPr>
        <w:t>Darmwanddurchbruch (Loch in der Darmwand)</w:t>
      </w:r>
      <w:r w:rsidR="004571BF" w:rsidRPr="004F5FB4">
        <w:rPr>
          <w:color w:val="000000"/>
        </w:rPr>
        <w:t>,</w:t>
      </w:r>
    </w:p>
    <w:p w14:paraId="4F9F71CF" w14:textId="77777777" w:rsidR="00C46587" w:rsidRPr="004F5FB4" w:rsidRDefault="00C46587" w:rsidP="00982118">
      <w:pPr>
        <w:numPr>
          <w:ilvl w:val="0"/>
          <w:numId w:val="7"/>
        </w:numPr>
        <w:ind w:left="562" w:hanging="562"/>
        <w:rPr>
          <w:color w:val="000000"/>
        </w:rPr>
      </w:pPr>
      <w:r w:rsidRPr="004F5FB4">
        <w:rPr>
          <w:i/>
          <w:color w:val="000000"/>
        </w:rPr>
        <w:lastRenderedPageBreak/>
        <w:t>Hepatitis</w:t>
      </w:r>
      <w:r w:rsidRPr="004F5FB4">
        <w:rPr>
          <w:color w:val="000000"/>
        </w:rPr>
        <w:t xml:space="preserve"> (Leberentzündung)</w:t>
      </w:r>
      <w:r w:rsidR="004571BF" w:rsidRPr="004F5FB4">
        <w:rPr>
          <w:color w:val="000000"/>
        </w:rPr>
        <w:t>,</w:t>
      </w:r>
    </w:p>
    <w:p w14:paraId="32DDEFF0" w14:textId="77777777" w:rsidR="00C46587" w:rsidRPr="004F5FB4" w:rsidRDefault="004571BF" w:rsidP="00982118">
      <w:pPr>
        <w:numPr>
          <w:ilvl w:val="0"/>
          <w:numId w:val="7"/>
        </w:numPr>
        <w:ind w:left="562" w:hanging="562"/>
        <w:rPr>
          <w:color w:val="000000"/>
        </w:rPr>
      </w:pPr>
      <w:r w:rsidRPr="004F5FB4">
        <w:rPr>
          <w:color w:val="000000"/>
        </w:rPr>
        <w:t>e</w:t>
      </w:r>
      <w:r w:rsidR="00C46587" w:rsidRPr="004F5FB4">
        <w:rPr>
          <w:color w:val="000000"/>
        </w:rPr>
        <w:t>rneuter Ausbruch einer Hepatitis-B-Infektion</w:t>
      </w:r>
      <w:r w:rsidRPr="004F5FB4">
        <w:rPr>
          <w:color w:val="000000"/>
        </w:rPr>
        <w:t>,</w:t>
      </w:r>
    </w:p>
    <w:p w14:paraId="074A8695" w14:textId="77777777" w:rsidR="00C46587" w:rsidRPr="004F5FB4" w:rsidRDefault="00C46587" w:rsidP="00982118">
      <w:pPr>
        <w:numPr>
          <w:ilvl w:val="0"/>
          <w:numId w:val="7"/>
        </w:numPr>
        <w:ind w:left="562" w:hanging="562"/>
        <w:rPr>
          <w:color w:val="000000"/>
        </w:rPr>
      </w:pPr>
      <w:r w:rsidRPr="004F5FB4">
        <w:rPr>
          <w:color w:val="000000"/>
        </w:rPr>
        <w:t xml:space="preserve">Entzündung der Leber, die durch das körpereigene Abwehrsystem ausgelöst wird </w:t>
      </w:r>
      <w:r w:rsidRPr="004F5FB4">
        <w:rPr>
          <w:i/>
          <w:color w:val="000000"/>
        </w:rPr>
        <w:t>(Autoimmunhepatitis)</w:t>
      </w:r>
      <w:r w:rsidR="004571BF" w:rsidRPr="004F5FB4">
        <w:rPr>
          <w:color w:val="000000"/>
        </w:rPr>
        <w:t>,</w:t>
      </w:r>
    </w:p>
    <w:p w14:paraId="5119C50A" w14:textId="77777777" w:rsidR="00C46587" w:rsidRPr="004F5FB4" w:rsidRDefault="00C46587" w:rsidP="00982118">
      <w:pPr>
        <w:numPr>
          <w:ilvl w:val="0"/>
          <w:numId w:val="7"/>
        </w:numPr>
        <w:ind w:left="562" w:hanging="562"/>
        <w:rPr>
          <w:color w:val="000000"/>
        </w:rPr>
      </w:pPr>
      <w:r w:rsidRPr="004F5FB4">
        <w:rPr>
          <w:color w:val="000000"/>
        </w:rPr>
        <w:t xml:space="preserve">Entzündung der Blutgefäße der Haut </w:t>
      </w:r>
      <w:r w:rsidRPr="004F5FB4">
        <w:rPr>
          <w:i/>
          <w:color w:val="000000"/>
        </w:rPr>
        <w:t>(kutane Vaskulitis)</w:t>
      </w:r>
      <w:r w:rsidR="004571BF" w:rsidRPr="004F5FB4">
        <w:rPr>
          <w:color w:val="000000"/>
        </w:rPr>
        <w:t>,</w:t>
      </w:r>
    </w:p>
    <w:p w14:paraId="64A8F256" w14:textId="77777777" w:rsidR="00C46587" w:rsidRPr="004F5FB4" w:rsidRDefault="00C46587" w:rsidP="00982118">
      <w:pPr>
        <w:numPr>
          <w:ilvl w:val="0"/>
          <w:numId w:val="7"/>
        </w:numPr>
        <w:ind w:left="562" w:hanging="562"/>
        <w:rPr>
          <w:color w:val="000000"/>
        </w:rPr>
      </w:pPr>
      <w:r w:rsidRPr="004F5FB4">
        <w:rPr>
          <w:color w:val="000000"/>
        </w:rPr>
        <w:t>Stevens-Johnson-Syndrom (lebensbedrohliche Reaktion mit grippeähnlichen Symptomen und Hautausschlag mit Blasenbildung)</w:t>
      </w:r>
      <w:r w:rsidR="004571BF" w:rsidRPr="004F5FB4">
        <w:rPr>
          <w:color w:val="000000"/>
        </w:rPr>
        <w:t>,</w:t>
      </w:r>
    </w:p>
    <w:p w14:paraId="4065C80D" w14:textId="77777777" w:rsidR="00C46587" w:rsidRPr="004F5FB4" w:rsidRDefault="00C46587" w:rsidP="00982118">
      <w:pPr>
        <w:numPr>
          <w:ilvl w:val="0"/>
          <w:numId w:val="7"/>
        </w:numPr>
        <w:ind w:left="562" w:hanging="562"/>
        <w:rPr>
          <w:color w:val="000000"/>
        </w:rPr>
      </w:pPr>
      <w:r w:rsidRPr="004F5FB4">
        <w:rPr>
          <w:color w:val="000000"/>
        </w:rPr>
        <w:t>Gesichtsschwellung (Gesichtsödem) in Verbindung mit allergischen Reaktionen</w:t>
      </w:r>
      <w:r w:rsidR="004571BF" w:rsidRPr="004F5FB4">
        <w:rPr>
          <w:color w:val="000000"/>
        </w:rPr>
        <w:t>,</w:t>
      </w:r>
    </w:p>
    <w:p w14:paraId="1BB86966" w14:textId="77777777" w:rsidR="00C46587" w:rsidRPr="004F5FB4" w:rsidRDefault="004571BF" w:rsidP="00982118">
      <w:pPr>
        <w:numPr>
          <w:ilvl w:val="0"/>
          <w:numId w:val="7"/>
        </w:numPr>
        <w:ind w:left="562" w:hanging="562"/>
        <w:rPr>
          <w:color w:val="000000"/>
        </w:rPr>
      </w:pPr>
      <w:r w:rsidRPr="004F5FB4">
        <w:rPr>
          <w:color w:val="000000"/>
        </w:rPr>
        <w:t>e</w:t>
      </w:r>
      <w:r w:rsidR="00C46587" w:rsidRPr="004F5FB4">
        <w:rPr>
          <w:color w:val="000000"/>
        </w:rPr>
        <w:t xml:space="preserve">ntzündlicher Hautausschlag </w:t>
      </w:r>
      <w:r w:rsidR="00C46587" w:rsidRPr="004F5FB4">
        <w:rPr>
          <w:i/>
          <w:color w:val="000000"/>
        </w:rPr>
        <w:t>(Erythema multiforme)</w:t>
      </w:r>
      <w:r w:rsidRPr="004F5FB4">
        <w:rPr>
          <w:color w:val="000000"/>
        </w:rPr>
        <w:t>,</w:t>
      </w:r>
    </w:p>
    <w:p w14:paraId="0CB03D42" w14:textId="77777777" w:rsidR="00BC4E87" w:rsidRPr="004F5FB4" w:rsidRDefault="004571BF" w:rsidP="00982118">
      <w:pPr>
        <w:numPr>
          <w:ilvl w:val="0"/>
          <w:numId w:val="7"/>
        </w:numPr>
        <w:ind w:left="562" w:hanging="562"/>
        <w:rPr>
          <w:color w:val="000000"/>
        </w:rPr>
      </w:pPr>
      <w:r w:rsidRPr="004F5FB4">
        <w:rPr>
          <w:color w:val="000000"/>
        </w:rPr>
        <w:t>l</w:t>
      </w:r>
      <w:r w:rsidR="00C46587" w:rsidRPr="004F5FB4">
        <w:rPr>
          <w:color w:val="000000"/>
        </w:rPr>
        <w:t>upusähnliches Syndrom</w:t>
      </w:r>
      <w:r w:rsidRPr="004F5FB4">
        <w:rPr>
          <w:color w:val="000000"/>
        </w:rPr>
        <w:t>,</w:t>
      </w:r>
    </w:p>
    <w:p w14:paraId="602AC03A" w14:textId="77777777" w:rsidR="000D75B1" w:rsidRPr="004F5FB4" w:rsidRDefault="00983A74" w:rsidP="00982118">
      <w:pPr>
        <w:numPr>
          <w:ilvl w:val="0"/>
          <w:numId w:val="7"/>
        </w:numPr>
        <w:ind w:left="562" w:hanging="562"/>
        <w:rPr>
          <w:color w:val="000000"/>
        </w:rPr>
      </w:pPr>
      <w:r w:rsidRPr="004F5FB4">
        <w:rPr>
          <w:color w:val="000000"/>
        </w:rPr>
        <w:t>Angioödem (lokalisierte Schwellung der Haut)</w:t>
      </w:r>
      <w:r w:rsidR="004571BF" w:rsidRPr="004F5FB4">
        <w:rPr>
          <w:color w:val="000000"/>
        </w:rPr>
        <w:t>,</w:t>
      </w:r>
    </w:p>
    <w:p w14:paraId="631D5433" w14:textId="77777777" w:rsidR="00C46587" w:rsidRPr="004F5FB4" w:rsidRDefault="004571BF" w:rsidP="00982118">
      <w:pPr>
        <w:numPr>
          <w:ilvl w:val="0"/>
          <w:numId w:val="7"/>
        </w:numPr>
        <w:ind w:left="562" w:hanging="562"/>
        <w:rPr>
          <w:color w:val="000000"/>
        </w:rPr>
      </w:pPr>
      <w:r w:rsidRPr="004F5FB4">
        <w:rPr>
          <w:color w:val="000000"/>
        </w:rPr>
        <w:t>l</w:t>
      </w:r>
      <w:r w:rsidR="000D75B1" w:rsidRPr="004F5FB4">
        <w:rPr>
          <w:color w:val="000000"/>
        </w:rPr>
        <w:t xml:space="preserve">ichenoide Hautreaktion (juckender, rötlicher bis violetter Hautausschlag). </w:t>
      </w:r>
    </w:p>
    <w:p w14:paraId="77340E47" w14:textId="77777777" w:rsidR="00C46587" w:rsidRPr="004F5FB4" w:rsidRDefault="00C46587" w:rsidP="00982118">
      <w:pPr>
        <w:rPr>
          <w:color w:val="000000"/>
        </w:rPr>
      </w:pPr>
    </w:p>
    <w:p w14:paraId="2314AD42" w14:textId="77777777" w:rsidR="00C46587" w:rsidRPr="004F5FB4" w:rsidRDefault="00C46587" w:rsidP="00982118">
      <w:pPr>
        <w:rPr>
          <w:color w:val="000000"/>
        </w:rPr>
      </w:pPr>
      <w:r w:rsidRPr="004F5FB4">
        <w:rPr>
          <w:b/>
          <w:bCs/>
          <w:color w:val="000000"/>
        </w:rPr>
        <w:t>Nicht bekannt</w:t>
      </w:r>
      <w:r w:rsidRPr="004F5FB4">
        <w:rPr>
          <w:color w:val="000000"/>
        </w:rPr>
        <w:t xml:space="preserve"> (Häufigkeit auf Grundlage der verfügbaren Daten nicht abschätzbar)</w:t>
      </w:r>
    </w:p>
    <w:p w14:paraId="6B47935E" w14:textId="77777777" w:rsidR="00C46587" w:rsidRPr="004F5FB4" w:rsidRDefault="00C46587" w:rsidP="00982118">
      <w:pPr>
        <w:rPr>
          <w:color w:val="000000"/>
        </w:rPr>
      </w:pPr>
    </w:p>
    <w:p w14:paraId="33ED678C" w14:textId="77777777" w:rsidR="00C46587" w:rsidRPr="004F5FB4" w:rsidRDefault="004571BF" w:rsidP="00982118">
      <w:pPr>
        <w:numPr>
          <w:ilvl w:val="0"/>
          <w:numId w:val="7"/>
        </w:numPr>
        <w:ind w:left="562" w:hanging="562"/>
        <w:rPr>
          <w:color w:val="000000"/>
        </w:rPr>
      </w:pPr>
      <w:r w:rsidRPr="004F5FB4">
        <w:rPr>
          <w:color w:val="000000"/>
        </w:rPr>
        <w:t>h</w:t>
      </w:r>
      <w:r w:rsidR="00C46587" w:rsidRPr="004F5FB4">
        <w:rPr>
          <w:color w:val="000000"/>
        </w:rPr>
        <w:t>epatosplenales T</w:t>
      </w:r>
      <w:r w:rsidR="00C46587" w:rsidRPr="004F5FB4">
        <w:rPr>
          <w:color w:val="000000"/>
        </w:rPr>
        <w:noBreakHyphen/>
        <w:t>Zell-Lymphom (ein selten auftretender Blutkrebs, der oft tödlich ist)</w:t>
      </w:r>
      <w:r w:rsidRPr="004F5FB4">
        <w:rPr>
          <w:color w:val="000000"/>
        </w:rPr>
        <w:t>,</w:t>
      </w:r>
    </w:p>
    <w:p w14:paraId="35AA3D00" w14:textId="77777777" w:rsidR="00C46587" w:rsidRDefault="00C46587" w:rsidP="00982118">
      <w:pPr>
        <w:numPr>
          <w:ilvl w:val="0"/>
          <w:numId w:val="7"/>
        </w:numPr>
        <w:ind w:left="562" w:hanging="562"/>
        <w:rPr>
          <w:color w:val="000000"/>
        </w:rPr>
      </w:pPr>
      <w:r w:rsidRPr="004F5FB4">
        <w:rPr>
          <w:color w:val="000000"/>
        </w:rPr>
        <w:t>Merkelzellkarzinom (eine Art von Hautkrebs)</w:t>
      </w:r>
      <w:r w:rsidR="004571BF" w:rsidRPr="004F5FB4">
        <w:rPr>
          <w:color w:val="000000"/>
        </w:rPr>
        <w:t>,</w:t>
      </w:r>
    </w:p>
    <w:p w14:paraId="5EF30C5A" w14:textId="77777777" w:rsidR="00E56892" w:rsidRPr="004F5FB4" w:rsidRDefault="00E56892" w:rsidP="00982118">
      <w:pPr>
        <w:numPr>
          <w:ilvl w:val="0"/>
          <w:numId w:val="7"/>
        </w:numPr>
        <w:ind w:left="562" w:hanging="562"/>
        <w:rPr>
          <w:color w:val="000000"/>
        </w:rPr>
      </w:pPr>
      <w:r w:rsidRPr="00E56892">
        <w:rPr>
          <w:color w:val="000000"/>
        </w:rPr>
        <w:t>Kaposi-Sarkom, eine seltene Krebserkrankung, die mit einer Infektion mit dem humanen Herpesvirus</w:t>
      </w:r>
      <w:r>
        <w:rPr>
          <w:color w:val="000000"/>
        </w:rPr>
        <w:t> </w:t>
      </w:r>
      <w:r w:rsidRPr="00E56892">
        <w:rPr>
          <w:color w:val="000000"/>
        </w:rPr>
        <w:t>8 assoziiert ist. Das Kaposi-Sarkom tritt am häufigsten in Form von violetten Hautläsionen auf.</w:t>
      </w:r>
    </w:p>
    <w:p w14:paraId="2D2DD35B" w14:textId="77777777" w:rsidR="00C46587" w:rsidRPr="004F5FB4" w:rsidRDefault="00C46587" w:rsidP="00982118">
      <w:pPr>
        <w:numPr>
          <w:ilvl w:val="0"/>
          <w:numId w:val="7"/>
        </w:numPr>
        <w:ind w:left="562" w:hanging="562"/>
        <w:rPr>
          <w:color w:val="000000"/>
        </w:rPr>
      </w:pPr>
      <w:r w:rsidRPr="004F5FB4">
        <w:rPr>
          <w:color w:val="000000"/>
        </w:rPr>
        <w:t>Leberversagen</w:t>
      </w:r>
      <w:r w:rsidR="004571BF" w:rsidRPr="004F5FB4">
        <w:rPr>
          <w:color w:val="000000"/>
        </w:rPr>
        <w:t>,</w:t>
      </w:r>
    </w:p>
    <w:p w14:paraId="52120ACC" w14:textId="352864AF" w:rsidR="00C46587" w:rsidRDefault="00C46587" w:rsidP="00982118">
      <w:pPr>
        <w:numPr>
          <w:ilvl w:val="0"/>
          <w:numId w:val="7"/>
        </w:numPr>
        <w:ind w:left="562" w:hanging="562"/>
        <w:rPr>
          <w:color w:val="000000"/>
        </w:rPr>
      </w:pPr>
      <w:r w:rsidRPr="004F5FB4">
        <w:rPr>
          <w:color w:val="000000"/>
        </w:rPr>
        <w:t>Verschlechterung einer sogenannten Dermatomyositis (tritt als Hautausschlag in Verbindung mit Muskelschwäche in Erscheinung)</w:t>
      </w:r>
      <w:r w:rsidR="00591E8F">
        <w:rPr>
          <w:color w:val="000000"/>
        </w:rPr>
        <w:t>,</w:t>
      </w:r>
      <w:r w:rsidRPr="004F5FB4">
        <w:rPr>
          <w:color w:val="000000"/>
        </w:rPr>
        <w:t xml:space="preserve"> </w:t>
      </w:r>
    </w:p>
    <w:p w14:paraId="19350B8E" w14:textId="77777777" w:rsidR="00591E8F" w:rsidRPr="004F5FB4" w:rsidRDefault="00591E8F" w:rsidP="00982118">
      <w:pPr>
        <w:numPr>
          <w:ilvl w:val="0"/>
          <w:numId w:val="7"/>
        </w:numPr>
        <w:ind w:left="562" w:hanging="562"/>
        <w:rPr>
          <w:color w:val="000000"/>
        </w:rPr>
      </w:pPr>
      <w:r w:rsidRPr="008F3710">
        <w:rPr>
          <w:color w:val="000000"/>
        </w:rPr>
        <w:t>Gewichtszunahme (bei den meisten Patienten war die Gewichtszunahme gering)</w:t>
      </w:r>
      <w:r>
        <w:rPr>
          <w:color w:val="000000"/>
        </w:rPr>
        <w:t>.</w:t>
      </w:r>
    </w:p>
    <w:p w14:paraId="2308F917" w14:textId="77777777" w:rsidR="00C46587" w:rsidRPr="004F5FB4" w:rsidRDefault="00C46587" w:rsidP="00982118">
      <w:pPr>
        <w:rPr>
          <w:color w:val="000000"/>
        </w:rPr>
      </w:pPr>
    </w:p>
    <w:p w14:paraId="2A48AB2B" w14:textId="77777777" w:rsidR="00C46587" w:rsidRPr="004F5FB4" w:rsidRDefault="00C46587" w:rsidP="00982118">
      <w:pPr>
        <w:rPr>
          <w:color w:val="000000"/>
        </w:rPr>
      </w:pPr>
      <w:r w:rsidRPr="004F5FB4">
        <w:rPr>
          <w:color w:val="000000"/>
        </w:rPr>
        <w:t xml:space="preserve">Mit Adalimumab wurden einige Nebenwirkungen beobachtet, die keine Anzeichen haben und nur durch Bluttests erkannt werden können. Dazu gehören: </w:t>
      </w:r>
    </w:p>
    <w:p w14:paraId="40DB52DC" w14:textId="77777777" w:rsidR="00C46587" w:rsidRPr="004F5FB4" w:rsidRDefault="00C46587" w:rsidP="00982118">
      <w:pPr>
        <w:rPr>
          <w:color w:val="000000"/>
        </w:rPr>
      </w:pPr>
    </w:p>
    <w:p w14:paraId="39068B47" w14:textId="77777777" w:rsidR="00C46587" w:rsidRPr="004F5FB4" w:rsidRDefault="00C46587" w:rsidP="00982118">
      <w:pPr>
        <w:rPr>
          <w:color w:val="000000"/>
        </w:rPr>
      </w:pPr>
      <w:r w:rsidRPr="004F5FB4">
        <w:rPr>
          <w:b/>
          <w:bCs/>
          <w:color w:val="000000"/>
        </w:rPr>
        <w:t>Sehr häufig</w:t>
      </w:r>
      <w:r w:rsidRPr="004F5FB4">
        <w:rPr>
          <w:color w:val="000000"/>
        </w:rPr>
        <w:t xml:space="preserve"> (kann mehr als 1von 10</w:t>
      </w:r>
      <w:r w:rsidR="007E3AA5" w:rsidRPr="004F5FB4">
        <w:rPr>
          <w:color w:val="000000"/>
        </w:rPr>
        <w:t> </w:t>
      </w:r>
      <w:r w:rsidR="00AF525D" w:rsidRPr="004F5FB4">
        <w:rPr>
          <w:color w:val="000000"/>
        </w:rPr>
        <w:t xml:space="preserve">Behandelten </w:t>
      </w:r>
      <w:r w:rsidRPr="004F5FB4">
        <w:rPr>
          <w:color w:val="000000"/>
        </w:rPr>
        <w:t>betreffen)</w:t>
      </w:r>
    </w:p>
    <w:p w14:paraId="4B19F5F7" w14:textId="77777777" w:rsidR="00C46587" w:rsidRPr="004F5FB4" w:rsidRDefault="00C46587" w:rsidP="00982118">
      <w:pPr>
        <w:rPr>
          <w:color w:val="000000"/>
        </w:rPr>
      </w:pPr>
    </w:p>
    <w:p w14:paraId="3DFDD009" w14:textId="77777777" w:rsidR="00C46587" w:rsidRPr="004F5FB4" w:rsidRDefault="004571BF" w:rsidP="00982118">
      <w:pPr>
        <w:numPr>
          <w:ilvl w:val="0"/>
          <w:numId w:val="7"/>
        </w:numPr>
        <w:ind w:left="562" w:hanging="562"/>
        <w:rPr>
          <w:color w:val="000000"/>
        </w:rPr>
      </w:pPr>
      <w:r w:rsidRPr="004F5FB4">
        <w:rPr>
          <w:color w:val="000000"/>
        </w:rPr>
        <w:t>v</w:t>
      </w:r>
      <w:r w:rsidR="00C46587" w:rsidRPr="004F5FB4">
        <w:rPr>
          <w:color w:val="000000"/>
        </w:rPr>
        <w:t>erringerte Anzahl weißer Blutkörperchen</w:t>
      </w:r>
      <w:r w:rsidRPr="004F5FB4">
        <w:rPr>
          <w:color w:val="000000"/>
        </w:rPr>
        <w:t>,</w:t>
      </w:r>
    </w:p>
    <w:p w14:paraId="4D22B1CD" w14:textId="77777777" w:rsidR="00C46587" w:rsidRPr="004F5FB4" w:rsidRDefault="004571BF" w:rsidP="00982118">
      <w:pPr>
        <w:numPr>
          <w:ilvl w:val="0"/>
          <w:numId w:val="7"/>
        </w:numPr>
        <w:ind w:left="562" w:hanging="562"/>
        <w:rPr>
          <w:color w:val="000000"/>
        </w:rPr>
      </w:pPr>
      <w:r w:rsidRPr="004F5FB4">
        <w:rPr>
          <w:color w:val="000000"/>
        </w:rPr>
        <w:t>v</w:t>
      </w:r>
      <w:r w:rsidR="00C46587" w:rsidRPr="004F5FB4">
        <w:rPr>
          <w:color w:val="000000"/>
        </w:rPr>
        <w:t>erringerte Anzahl roter Blutkörperchen</w:t>
      </w:r>
      <w:r w:rsidRPr="004F5FB4">
        <w:rPr>
          <w:color w:val="000000"/>
        </w:rPr>
        <w:t>,</w:t>
      </w:r>
    </w:p>
    <w:p w14:paraId="470BD8B8" w14:textId="77777777" w:rsidR="00C46587" w:rsidRPr="004F5FB4" w:rsidRDefault="004571BF" w:rsidP="00982118">
      <w:pPr>
        <w:numPr>
          <w:ilvl w:val="0"/>
          <w:numId w:val="7"/>
        </w:numPr>
        <w:ind w:left="562" w:hanging="562"/>
        <w:rPr>
          <w:color w:val="000000"/>
        </w:rPr>
      </w:pPr>
      <w:r w:rsidRPr="004F5FB4">
        <w:rPr>
          <w:color w:val="000000"/>
        </w:rPr>
        <w:t>e</w:t>
      </w:r>
      <w:r w:rsidR="00C46587" w:rsidRPr="004F5FB4">
        <w:rPr>
          <w:color w:val="000000"/>
        </w:rPr>
        <w:t>rhöhte Blutfettwerte</w:t>
      </w:r>
      <w:r w:rsidRPr="004F5FB4">
        <w:rPr>
          <w:color w:val="000000"/>
        </w:rPr>
        <w:t>,</w:t>
      </w:r>
    </w:p>
    <w:p w14:paraId="2C85DD1E" w14:textId="77777777" w:rsidR="00C46587" w:rsidRPr="004F5FB4" w:rsidRDefault="004571BF" w:rsidP="00982118">
      <w:pPr>
        <w:numPr>
          <w:ilvl w:val="0"/>
          <w:numId w:val="7"/>
        </w:numPr>
        <w:ind w:left="562" w:hanging="562"/>
        <w:rPr>
          <w:color w:val="000000"/>
        </w:rPr>
      </w:pPr>
      <w:r w:rsidRPr="004F5FB4">
        <w:rPr>
          <w:color w:val="000000"/>
        </w:rPr>
        <w:t>e</w:t>
      </w:r>
      <w:r w:rsidR="00EC6EEB" w:rsidRPr="004F5FB4">
        <w:rPr>
          <w:color w:val="000000"/>
        </w:rPr>
        <w:t xml:space="preserve">rhöhte Werte für Leberenzyme. </w:t>
      </w:r>
    </w:p>
    <w:p w14:paraId="26808C4F" w14:textId="77777777" w:rsidR="00C46587" w:rsidRPr="004F5FB4" w:rsidRDefault="00C46587" w:rsidP="00982118">
      <w:pPr>
        <w:rPr>
          <w:color w:val="000000"/>
          <w:lang w:val="en-GB"/>
        </w:rPr>
      </w:pPr>
    </w:p>
    <w:p w14:paraId="2C938652" w14:textId="77777777" w:rsidR="00C46587" w:rsidRPr="004F5FB4" w:rsidRDefault="00C46587" w:rsidP="00982118">
      <w:pPr>
        <w:rPr>
          <w:color w:val="000000"/>
        </w:rPr>
      </w:pPr>
      <w:r w:rsidRPr="004F5FB4">
        <w:rPr>
          <w:b/>
          <w:bCs/>
          <w:color w:val="000000"/>
        </w:rPr>
        <w:t>Häufig</w:t>
      </w:r>
      <w:r w:rsidRPr="004F5FB4">
        <w:rPr>
          <w:color w:val="000000"/>
        </w:rPr>
        <w:t xml:space="preserve"> (kann bis zu 1von 10</w:t>
      </w:r>
      <w:r w:rsidR="007E3AA5" w:rsidRPr="004F5FB4">
        <w:rPr>
          <w:color w:val="000000"/>
        </w:rPr>
        <w:t> </w:t>
      </w:r>
      <w:r w:rsidR="00AF525D" w:rsidRPr="004F5FB4">
        <w:rPr>
          <w:color w:val="000000"/>
        </w:rPr>
        <w:t xml:space="preserve">Behandelten </w:t>
      </w:r>
      <w:r w:rsidRPr="004F5FB4">
        <w:rPr>
          <w:color w:val="000000"/>
        </w:rPr>
        <w:t>betreffen)</w:t>
      </w:r>
    </w:p>
    <w:p w14:paraId="3294C68A" w14:textId="77777777" w:rsidR="00C46587" w:rsidRPr="004F5FB4" w:rsidRDefault="00C46587" w:rsidP="00982118">
      <w:pPr>
        <w:rPr>
          <w:color w:val="000000"/>
        </w:rPr>
      </w:pPr>
    </w:p>
    <w:p w14:paraId="1091724E" w14:textId="77777777" w:rsidR="00C46587" w:rsidRPr="004F5FB4" w:rsidRDefault="002508D2" w:rsidP="00982118">
      <w:pPr>
        <w:numPr>
          <w:ilvl w:val="0"/>
          <w:numId w:val="7"/>
        </w:numPr>
        <w:ind w:left="562" w:hanging="562"/>
        <w:rPr>
          <w:color w:val="000000"/>
        </w:rPr>
      </w:pPr>
      <w:r w:rsidRPr="004F5FB4">
        <w:rPr>
          <w:color w:val="000000"/>
        </w:rPr>
        <w:t>e</w:t>
      </w:r>
      <w:r w:rsidR="00C46587" w:rsidRPr="004F5FB4">
        <w:rPr>
          <w:color w:val="000000"/>
        </w:rPr>
        <w:t>rhöhte Anzahl weißer Blutkörperchen</w:t>
      </w:r>
      <w:r w:rsidR="004571BF" w:rsidRPr="004F5FB4">
        <w:rPr>
          <w:color w:val="000000"/>
        </w:rPr>
        <w:t>,</w:t>
      </w:r>
    </w:p>
    <w:p w14:paraId="36DAC977" w14:textId="77777777" w:rsidR="00C46587" w:rsidRPr="004F5FB4" w:rsidRDefault="002508D2" w:rsidP="00982118">
      <w:pPr>
        <w:numPr>
          <w:ilvl w:val="0"/>
          <w:numId w:val="7"/>
        </w:numPr>
        <w:ind w:left="562" w:hanging="562"/>
        <w:rPr>
          <w:color w:val="000000"/>
        </w:rPr>
      </w:pPr>
      <w:r w:rsidRPr="004F5FB4">
        <w:rPr>
          <w:color w:val="000000"/>
        </w:rPr>
        <w:t>v</w:t>
      </w:r>
      <w:r w:rsidR="00C46587" w:rsidRPr="004F5FB4">
        <w:rPr>
          <w:color w:val="000000"/>
        </w:rPr>
        <w:t>erringerte Anzahl von Blutplättchen</w:t>
      </w:r>
      <w:r w:rsidR="004571BF" w:rsidRPr="004F5FB4">
        <w:rPr>
          <w:color w:val="000000"/>
        </w:rPr>
        <w:t>,</w:t>
      </w:r>
    </w:p>
    <w:p w14:paraId="026FBDBD" w14:textId="77777777" w:rsidR="00C46587" w:rsidRPr="004F5FB4" w:rsidRDefault="002508D2" w:rsidP="00982118">
      <w:pPr>
        <w:numPr>
          <w:ilvl w:val="0"/>
          <w:numId w:val="7"/>
        </w:numPr>
        <w:ind w:left="562" w:hanging="562"/>
        <w:rPr>
          <w:color w:val="000000"/>
        </w:rPr>
      </w:pPr>
      <w:r w:rsidRPr="004F5FB4">
        <w:rPr>
          <w:color w:val="000000"/>
        </w:rPr>
        <w:t>e</w:t>
      </w:r>
      <w:r w:rsidR="00C46587" w:rsidRPr="004F5FB4">
        <w:rPr>
          <w:color w:val="000000"/>
        </w:rPr>
        <w:t>rhöhte Harnsäurewerte im Blut</w:t>
      </w:r>
      <w:r w:rsidR="004571BF" w:rsidRPr="004F5FB4">
        <w:rPr>
          <w:color w:val="000000"/>
        </w:rPr>
        <w:t>,</w:t>
      </w:r>
    </w:p>
    <w:p w14:paraId="13CEB788" w14:textId="77777777" w:rsidR="00C46587" w:rsidRPr="004F5FB4" w:rsidRDefault="002508D2" w:rsidP="00982118">
      <w:pPr>
        <w:numPr>
          <w:ilvl w:val="0"/>
          <w:numId w:val="7"/>
        </w:numPr>
        <w:ind w:left="562" w:hanging="562"/>
        <w:rPr>
          <w:color w:val="000000"/>
        </w:rPr>
      </w:pPr>
      <w:r w:rsidRPr="004F5FB4">
        <w:rPr>
          <w:color w:val="000000"/>
        </w:rPr>
        <w:t>a</w:t>
      </w:r>
      <w:r w:rsidR="00C46587" w:rsidRPr="004F5FB4">
        <w:rPr>
          <w:color w:val="000000"/>
        </w:rPr>
        <w:t>bnormale Blutwerte für Natrium</w:t>
      </w:r>
      <w:r w:rsidR="004571BF" w:rsidRPr="004F5FB4">
        <w:rPr>
          <w:color w:val="000000"/>
        </w:rPr>
        <w:t>,</w:t>
      </w:r>
    </w:p>
    <w:p w14:paraId="7C6394E7" w14:textId="77777777" w:rsidR="00C46587" w:rsidRPr="004F5FB4" w:rsidRDefault="002508D2" w:rsidP="00982118">
      <w:pPr>
        <w:numPr>
          <w:ilvl w:val="0"/>
          <w:numId w:val="7"/>
        </w:numPr>
        <w:ind w:left="562" w:hanging="562"/>
        <w:rPr>
          <w:color w:val="000000"/>
        </w:rPr>
      </w:pPr>
      <w:r w:rsidRPr="004F5FB4">
        <w:rPr>
          <w:color w:val="000000"/>
        </w:rPr>
        <w:t>n</w:t>
      </w:r>
      <w:r w:rsidR="00C46587" w:rsidRPr="004F5FB4">
        <w:rPr>
          <w:color w:val="000000"/>
        </w:rPr>
        <w:t>iedrige Blutwerte für Kalzium</w:t>
      </w:r>
      <w:r w:rsidR="004571BF" w:rsidRPr="004F5FB4">
        <w:rPr>
          <w:color w:val="000000"/>
        </w:rPr>
        <w:t>,</w:t>
      </w:r>
    </w:p>
    <w:p w14:paraId="1354511D" w14:textId="77777777" w:rsidR="00C46587" w:rsidRPr="004F5FB4" w:rsidRDefault="002508D2" w:rsidP="00982118">
      <w:pPr>
        <w:numPr>
          <w:ilvl w:val="0"/>
          <w:numId w:val="7"/>
        </w:numPr>
        <w:ind w:left="562" w:hanging="562"/>
        <w:rPr>
          <w:color w:val="000000"/>
        </w:rPr>
      </w:pPr>
      <w:r w:rsidRPr="004F5FB4">
        <w:rPr>
          <w:color w:val="000000"/>
        </w:rPr>
        <w:t>n</w:t>
      </w:r>
      <w:r w:rsidR="00C46587" w:rsidRPr="004F5FB4">
        <w:rPr>
          <w:color w:val="000000"/>
        </w:rPr>
        <w:t>iedrige Blutwerte für Phosphat</w:t>
      </w:r>
      <w:r w:rsidR="004571BF" w:rsidRPr="004F5FB4">
        <w:rPr>
          <w:color w:val="000000"/>
        </w:rPr>
        <w:t>,</w:t>
      </w:r>
    </w:p>
    <w:p w14:paraId="24B88E4B" w14:textId="77777777" w:rsidR="00C46587" w:rsidRPr="004F5FB4" w:rsidRDefault="002508D2" w:rsidP="00982118">
      <w:pPr>
        <w:numPr>
          <w:ilvl w:val="0"/>
          <w:numId w:val="7"/>
        </w:numPr>
        <w:ind w:left="562" w:hanging="562"/>
        <w:rPr>
          <w:color w:val="000000"/>
        </w:rPr>
      </w:pPr>
      <w:r w:rsidRPr="004F5FB4">
        <w:rPr>
          <w:color w:val="000000"/>
        </w:rPr>
        <w:t>h</w:t>
      </w:r>
      <w:r w:rsidR="00C46587" w:rsidRPr="004F5FB4">
        <w:rPr>
          <w:color w:val="000000"/>
        </w:rPr>
        <w:t>ohe Blutzuckerwerte</w:t>
      </w:r>
      <w:r w:rsidR="004571BF" w:rsidRPr="004F5FB4">
        <w:rPr>
          <w:color w:val="000000"/>
        </w:rPr>
        <w:t>,</w:t>
      </w:r>
    </w:p>
    <w:p w14:paraId="57379508" w14:textId="77777777" w:rsidR="00C46587" w:rsidRPr="004F5FB4" w:rsidRDefault="002508D2" w:rsidP="00982118">
      <w:pPr>
        <w:numPr>
          <w:ilvl w:val="0"/>
          <w:numId w:val="7"/>
        </w:numPr>
        <w:ind w:left="562" w:hanging="562"/>
        <w:rPr>
          <w:color w:val="000000"/>
        </w:rPr>
      </w:pPr>
      <w:r w:rsidRPr="004F5FB4">
        <w:rPr>
          <w:color w:val="000000"/>
        </w:rPr>
        <w:t>h</w:t>
      </w:r>
      <w:r w:rsidR="00C46587" w:rsidRPr="004F5FB4">
        <w:rPr>
          <w:color w:val="000000"/>
        </w:rPr>
        <w:t>ohe Blutwerte für Lactatdehydrogenase</w:t>
      </w:r>
      <w:r w:rsidR="000C319D" w:rsidRPr="004F5FB4">
        <w:rPr>
          <w:color w:val="000000"/>
        </w:rPr>
        <w:t>,</w:t>
      </w:r>
    </w:p>
    <w:p w14:paraId="0A5D402E" w14:textId="77777777" w:rsidR="00BC4E87" w:rsidRPr="004F5FB4" w:rsidRDefault="00C46587" w:rsidP="00982118">
      <w:pPr>
        <w:numPr>
          <w:ilvl w:val="0"/>
          <w:numId w:val="7"/>
        </w:numPr>
        <w:ind w:left="562" w:hanging="562"/>
        <w:rPr>
          <w:color w:val="000000"/>
        </w:rPr>
      </w:pPr>
      <w:r w:rsidRPr="004F5FB4">
        <w:rPr>
          <w:color w:val="000000"/>
        </w:rPr>
        <w:t>Nachweis von Autoantikörpern im Blut</w:t>
      </w:r>
      <w:r w:rsidR="000C319D" w:rsidRPr="004F5FB4">
        <w:rPr>
          <w:color w:val="000000"/>
        </w:rPr>
        <w:t>,</w:t>
      </w:r>
    </w:p>
    <w:p w14:paraId="3673EA3F" w14:textId="77777777" w:rsidR="00C46587" w:rsidRPr="004F5FB4" w:rsidRDefault="00BC4E87" w:rsidP="00982118">
      <w:pPr>
        <w:numPr>
          <w:ilvl w:val="0"/>
          <w:numId w:val="7"/>
        </w:numPr>
        <w:ind w:left="562" w:hanging="562"/>
        <w:rPr>
          <w:color w:val="000000"/>
        </w:rPr>
      </w:pPr>
      <w:r w:rsidRPr="004F5FB4">
        <w:rPr>
          <w:color w:val="000000"/>
        </w:rPr>
        <w:t>Hypokaliämie (Kaliummangel im Blut)</w:t>
      </w:r>
      <w:r w:rsidR="00A40DA1" w:rsidRPr="004F5FB4">
        <w:rPr>
          <w:color w:val="000000"/>
        </w:rPr>
        <w:t>.</w:t>
      </w:r>
      <w:r w:rsidRPr="004F5FB4">
        <w:rPr>
          <w:color w:val="000000"/>
        </w:rPr>
        <w:t xml:space="preserve"> </w:t>
      </w:r>
    </w:p>
    <w:p w14:paraId="17EE3BF2" w14:textId="77777777" w:rsidR="00C46587" w:rsidRPr="004F5FB4" w:rsidRDefault="00C46587" w:rsidP="00982118">
      <w:pPr>
        <w:rPr>
          <w:color w:val="000000"/>
          <w:lang w:val="en-GB"/>
        </w:rPr>
      </w:pPr>
    </w:p>
    <w:p w14:paraId="297E6A36" w14:textId="77777777" w:rsidR="00BC4E87" w:rsidRPr="004F5FB4" w:rsidRDefault="00BC4E87" w:rsidP="00982118">
      <w:pPr>
        <w:rPr>
          <w:color w:val="000000"/>
        </w:rPr>
      </w:pPr>
      <w:r w:rsidRPr="004F5FB4">
        <w:rPr>
          <w:b/>
          <w:bCs/>
          <w:color w:val="000000"/>
        </w:rPr>
        <w:t>Gelegentlich</w:t>
      </w:r>
      <w:r w:rsidRPr="004F5FB4">
        <w:rPr>
          <w:color w:val="000000"/>
        </w:rPr>
        <w:t xml:space="preserve"> (kann bis zu 1von 100</w:t>
      </w:r>
      <w:r w:rsidR="007E3AA5" w:rsidRPr="004F5FB4">
        <w:rPr>
          <w:color w:val="000000"/>
        </w:rPr>
        <w:t> </w:t>
      </w:r>
      <w:r w:rsidR="00AF525D" w:rsidRPr="004F5FB4">
        <w:rPr>
          <w:color w:val="000000"/>
        </w:rPr>
        <w:t xml:space="preserve">Behandelten </w:t>
      </w:r>
      <w:r w:rsidRPr="004F5FB4">
        <w:rPr>
          <w:color w:val="000000"/>
        </w:rPr>
        <w:t>betreffen)</w:t>
      </w:r>
    </w:p>
    <w:p w14:paraId="71BD7567" w14:textId="77777777" w:rsidR="00BC4E87" w:rsidRPr="004F5FB4" w:rsidRDefault="00BC4E87" w:rsidP="00982118">
      <w:pPr>
        <w:rPr>
          <w:color w:val="000000"/>
        </w:rPr>
      </w:pPr>
    </w:p>
    <w:p w14:paraId="0C4DDDD1" w14:textId="77777777" w:rsidR="00BC4E87" w:rsidRPr="004F5FB4" w:rsidRDefault="002508D2" w:rsidP="00982118">
      <w:pPr>
        <w:numPr>
          <w:ilvl w:val="0"/>
          <w:numId w:val="9"/>
        </w:numPr>
        <w:rPr>
          <w:color w:val="000000"/>
        </w:rPr>
      </w:pPr>
      <w:r w:rsidRPr="004F5FB4">
        <w:rPr>
          <w:color w:val="000000"/>
        </w:rPr>
        <w:t>e</w:t>
      </w:r>
      <w:r w:rsidR="00EC6EEB" w:rsidRPr="004F5FB4">
        <w:rPr>
          <w:color w:val="000000"/>
        </w:rPr>
        <w:t>rhöhte Bilirubin-Konzentration im Blut (Leberwerte).</w:t>
      </w:r>
    </w:p>
    <w:p w14:paraId="224355E6" w14:textId="77777777" w:rsidR="00BC4E87" w:rsidRPr="004F5FB4" w:rsidRDefault="00BC4E87" w:rsidP="00982118">
      <w:pPr>
        <w:rPr>
          <w:color w:val="000000"/>
        </w:rPr>
      </w:pPr>
    </w:p>
    <w:p w14:paraId="0C430A29" w14:textId="77777777" w:rsidR="00C46587" w:rsidRPr="004F5FB4" w:rsidRDefault="00C46587" w:rsidP="00982118">
      <w:pPr>
        <w:rPr>
          <w:color w:val="000000"/>
        </w:rPr>
      </w:pPr>
      <w:r w:rsidRPr="004F5FB4">
        <w:rPr>
          <w:b/>
          <w:bCs/>
          <w:color w:val="000000"/>
        </w:rPr>
        <w:t>Selten</w:t>
      </w:r>
      <w:r w:rsidRPr="004F5FB4">
        <w:rPr>
          <w:color w:val="000000"/>
        </w:rPr>
        <w:t xml:space="preserve"> (kann bis zu 1von 1.000</w:t>
      </w:r>
      <w:r w:rsidR="007E3AA5" w:rsidRPr="004F5FB4">
        <w:rPr>
          <w:color w:val="000000"/>
        </w:rPr>
        <w:t> </w:t>
      </w:r>
      <w:r w:rsidR="00AF525D" w:rsidRPr="004F5FB4">
        <w:rPr>
          <w:color w:val="000000"/>
        </w:rPr>
        <w:t xml:space="preserve">Behandelten </w:t>
      </w:r>
      <w:r w:rsidRPr="004F5FB4">
        <w:rPr>
          <w:color w:val="000000"/>
        </w:rPr>
        <w:t>betreffen)</w:t>
      </w:r>
    </w:p>
    <w:p w14:paraId="02E983D1" w14:textId="77777777" w:rsidR="00C46587" w:rsidRPr="004F5FB4" w:rsidRDefault="00C46587" w:rsidP="00982118">
      <w:pPr>
        <w:rPr>
          <w:color w:val="000000"/>
        </w:rPr>
      </w:pPr>
    </w:p>
    <w:p w14:paraId="53728FE3" w14:textId="77777777" w:rsidR="00C46587" w:rsidRPr="004F5FB4" w:rsidRDefault="002508D2" w:rsidP="00982118">
      <w:pPr>
        <w:numPr>
          <w:ilvl w:val="0"/>
          <w:numId w:val="7"/>
        </w:numPr>
        <w:ind w:left="562" w:hanging="562"/>
        <w:rPr>
          <w:color w:val="000000"/>
        </w:rPr>
      </w:pPr>
      <w:r w:rsidRPr="004F5FB4">
        <w:rPr>
          <w:color w:val="000000"/>
        </w:rPr>
        <w:t>v</w:t>
      </w:r>
      <w:r w:rsidR="00C46587" w:rsidRPr="004F5FB4">
        <w:rPr>
          <w:color w:val="000000"/>
        </w:rPr>
        <w:t xml:space="preserve">erringerte Anzahl weißer und roter Blutkörperchen und geringe Zahl an Blutplättchen. </w:t>
      </w:r>
    </w:p>
    <w:p w14:paraId="6D06E2B0" w14:textId="77777777" w:rsidR="00C46587" w:rsidRPr="004F5FB4" w:rsidRDefault="00C46587" w:rsidP="00982118">
      <w:pPr>
        <w:rPr>
          <w:color w:val="000000"/>
        </w:rPr>
      </w:pPr>
    </w:p>
    <w:p w14:paraId="3C336802" w14:textId="77777777" w:rsidR="00C46587" w:rsidRPr="004F5FB4" w:rsidRDefault="00C46587" w:rsidP="00982118">
      <w:pPr>
        <w:rPr>
          <w:b/>
          <w:color w:val="000000"/>
        </w:rPr>
      </w:pPr>
      <w:r w:rsidRPr="004F5FB4">
        <w:rPr>
          <w:b/>
          <w:color w:val="000000"/>
        </w:rPr>
        <w:t xml:space="preserve">Meldung von Nebenwirkungen </w:t>
      </w:r>
    </w:p>
    <w:p w14:paraId="1B29E820" w14:textId="7F75F5D0" w:rsidR="00C46587" w:rsidRPr="004F5FB4" w:rsidRDefault="00C46587" w:rsidP="00982118">
      <w:pPr>
        <w:rPr>
          <w:color w:val="000000"/>
        </w:rPr>
      </w:pPr>
      <w:r w:rsidRPr="004F5FB4">
        <w:rPr>
          <w:color w:val="000000"/>
        </w:rPr>
        <w:t xml:space="preserve">Wenn Sie Nebenwirkungen bemerken, wenden Sie sich an Ihren Arzt oder Apotheker. Dies gilt auch für Nebenwirkungen, die nicht in dieser Packungsbeilage angegeben sind. Sie können Nebenwirkungen auch direkt über </w:t>
      </w:r>
      <w:r w:rsidRPr="00A242C3">
        <w:rPr>
          <w:color w:val="000000"/>
          <w:highlight w:val="lightGray"/>
        </w:rPr>
        <w:t xml:space="preserve">das in </w:t>
      </w:r>
      <w:r w:rsidR="00A24AA3">
        <w:fldChar w:fldCharType="begin"/>
      </w:r>
      <w:r w:rsidR="00A24AA3">
        <w:instrText>HYPERLINK "https://www.ema.europa.eu/documents/template-form/qrd-appendix-v-adverse-drug-reaction-reporting-details_en.docx"</w:instrText>
      </w:r>
      <w:r w:rsidR="00A24AA3">
        <w:fldChar w:fldCharType="separate"/>
      </w:r>
      <w:r w:rsidR="00A24AA3" w:rsidRPr="008A56D9">
        <w:rPr>
          <w:rStyle w:val="Hyperlink"/>
          <w:highlight w:val="lightGray"/>
        </w:rPr>
        <w:t>Anhang V</w:t>
      </w:r>
      <w:r w:rsidR="00A24AA3">
        <w:fldChar w:fldCharType="end"/>
      </w:r>
      <w:r w:rsidR="00A24AA3" w:rsidRPr="008A56D9">
        <w:rPr>
          <w:color w:val="000000" w:themeColor="text1"/>
          <w:highlight w:val="lightGray"/>
        </w:rPr>
        <w:t xml:space="preserve"> </w:t>
      </w:r>
      <w:r w:rsidRPr="00A242C3">
        <w:rPr>
          <w:color w:val="000000"/>
          <w:highlight w:val="lightGray"/>
        </w:rPr>
        <w:t>aufgeführte nationale Meldesystem</w:t>
      </w:r>
      <w:r w:rsidRPr="004F5FB4">
        <w:rPr>
          <w:color w:val="000000"/>
        </w:rPr>
        <w:t xml:space="preserve">* anzeigen. Indem Sie Nebenwirkungen melden, können Sie dazu beitragen, dass mehr Informationen über die Sicherheit dieses Arzneimittels zur Verfügung gestellt werden. </w:t>
      </w:r>
    </w:p>
    <w:p w14:paraId="31BACD79" w14:textId="77777777" w:rsidR="00C46587" w:rsidRPr="004F5FB4" w:rsidRDefault="00C46587" w:rsidP="00982118">
      <w:pPr>
        <w:rPr>
          <w:color w:val="000000"/>
        </w:rPr>
      </w:pPr>
    </w:p>
    <w:p w14:paraId="6669571F" w14:textId="77777777" w:rsidR="00C46587" w:rsidRPr="004F5FB4" w:rsidRDefault="00C46587" w:rsidP="00982118">
      <w:pPr>
        <w:rPr>
          <w:color w:val="000000"/>
        </w:rPr>
      </w:pPr>
    </w:p>
    <w:p w14:paraId="72403AFE" w14:textId="77777777" w:rsidR="00C46587" w:rsidRPr="004F5FB4" w:rsidRDefault="00C46587" w:rsidP="00982118">
      <w:pPr>
        <w:keepNext/>
        <w:tabs>
          <w:tab w:val="left" w:pos="562"/>
        </w:tabs>
        <w:rPr>
          <w:b/>
          <w:color w:val="000000"/>
        </w:rPr>
      </w:pPr>
      <w:r w:rsidRPr="004F5FB4">
        <w:rPr>
          <w:b/>
          <w:color w:val="000000"/>
        </w:rPr>
        <w:t>5</w:t>
      </w:r>
      <w:r w:rsidR="006F2F61" w:rsidRPr="004F5FB4">
        <w:rPr>
          <w:b/>
          <w:color w:val="000000"/>
        </w:rPr>
        <w:t>.</w:t>
      </w:r>
      <w:r w:rsidRPr="004F5FB4">
        <w:rPr>
          <w:b/>
          <w:color w:val="000000"/>
        </w:rPr>
        <w:tab/>
        <w:t xml:space="preserve">Wie ist Amsparity aufzubewahren? </w:t>
      </w:r>
    </w:p>
    <w:p w14:paraId="25241058" w14:textId="77777777" w:rsidR="00C46587" w:rsidRPr="004F5FB4" w:rsidRDefault="00C46587" w:rsidP="00982118">
      <w:pPr>
        <w:keepNext/>
        <w:rPr>
          <w:color w:val="000000"/>
        </w:rPr>
      </w:pPr>
    </w:p>
    <w:p w14:paraId="7393D35C" w14:textId="77777777" w:rsidR="00C46587" w:rsidRPr="004F5FB4" w:rsidRDefault="00C46587" w:rsidP="00982118">
      <w:pPr>
        <w:keepNext/>
        <w:rPr>
          <w:color w:val="000000"/>
        </w:rPr>
      </w:pPr>
      <w:r w:rsidRPr="004F5FB4">
        <w:rPr>
          <w:color w:val="000000"/>
        </w:rPr>
        <w:t xml:space="preserve">Bewahren Sie dieses Arzneimittel für Kinder unzugänglich auf. </w:t>
      </w:r>
    </w:p>
    <w:p w14:paraId="092076FF" w14:textId="77777777" w:rsidR="00C46587" w:rsidRPr="004F5FB4" w:rsidRDefault="00C46587" w:rsidP="00982118">
      <w:pPr>
        <w:rPr>
          <w:color w:val="000000"/>
        </w:rPr>
      </w:pPr>
    </w:p>
    <w:p w14:paraId="3D81D0CE" w14:textId="77777777" w:rsidR="00C46587" w:rsidRPr="004F5FB4" w:rsidRDefault="00C46587" w:rsidP="00982118">
      <w:pPr>
        <w:rPr>
          <w:color w:val="000000"/>
        </w:rPr>
      </w:pPr>
      <w:r w:rsidRPr="004F5FB4">
        <w:rPr>
          <w:color w:val="000000"/>
        </w:rPr>
        <w:t>Sie dürfen das Arzneimittel nach dem auf dem Etikett/</w:t>
      </w:r>
      <w:r w:rsidR="00C958F5" w:rsidRPr="004F5FB4">
        <w:rPr>
          <w:color w:val="000000"/>
        </w:rPr>
        <w:t xml:space="preserve"> </w:t>
      </w:r>
      <w:r w:rsidRPr="004F5FB4">
        <w:rPr>
          <w:color w:val="000000"/>
        </w:rPr>
        <w:t xml:space="preserve">der Faltschachtel nach „Verwendbar bis“ angegebenen Verfalldatum nicht mehr verwenden. </w:t>
      </w:r>
    </w:p>
    <w:p w14:paraId="38344335" w14:textId="77777777" w:rsidR="00C46587" w:rsidRPr="004F5FB4" w:rsidRDefault="00C46587" w:rsidP="00982118">
      <w:pPr>
        <w:rPr>
          <w:color w:val="000000"/>
        </w:rPr>
      </w:pPr>
    </w:p>
    <w:p w14:paraId="48030FF6" w14:textId="77777777" w:rsidR="00C46587" w:rsidRPr="004F5FB4" w:rsidRDefault="00C46587" w:rsidP="00982118">
      <w:pPr>
        <w:rPr>
          <w:color w:val="000000"/>
        </w:rPr>
      </w:pPr>
      <w:r w:rsidRPr="004F5FB4">
        <w:rPr>
          <w:color w:val="000000"/>
        </w:rPr>
        <w:t xml:space="preserve">Im Kühlschrank lagern (2 °C – 8 °C). Nicht einfrieren. </w:t>
      </w:r>
    </w:p>
    <w:p w14:paraId="388823B0" w14:textId="77777777" w:rsidR="00C46587" w:rsidRPr="004F5FB4" w:rsidRDefault="00C46587" w:rsidP="00982118">
      <w:pPr>
        <w:rPr>
          <w:color w:val="000000"/>
        </w:rPr>
      </w:pPr>
    </w:p>
    <w:p w14:paraId="59CDF02D" w14:textId="77777777" w:rsidR="00C46587" w:rsidRPr="004F5FB4" w:rsidRDefault="00C46587" w:rsidP="00982118">
      <w:pPr>
        <w:rPr>
          <w:color w:val="000000"/>
        </w:rPr>
      </w:pPr>
      <w:r w:rsidRPr="004F5FB4">
        <w:rPr>
          <w:color w:val="000000"/>
        </w:rPr>
        <w:t xml:space="preserve">Den Fertigpen im Umkarton aufbewahren, um den Inhalt vor Licht zu schützen. </w:t>
      </w:r>
    </w:p>
    <w:p w14:paraId="4C83D500" w14:textId="77777777" w:rsidR="00C46587" w:rsidRPr="004F5FB4" w:rsidRDefault="00C46587" w:rsidP="00982118">
      <w:pPr>
        <w:rPr>
          <w:color w:val="000000"/>
        </w:rPr>
      </w:pPr>
    </w:p>
    <w:p w14:paraId="788F34FE" w14:textId="77777777" w:rsidR="00C46587" w:rsidRPr="004F5FB4" w:rsidRDefault="00C46587" w:rsidP="00982118">
      <w:pPr>
        <w:rPr>
          <w:color w:val="000000"/>
          <w:u w:val="single"/>
        </w:rPr>
      </w:pPr>
      <w:r w:rsidRPr="004F5FB4">
        <w:rPr>
          <w:color w:val="000000"/>
          <w:u w:val="single"/>
        </w:rPr>
        <w:t>Alternative Lagerung:</w:t>
      </w:r>
    </w:p>
    <w:p w14:paraId="28F0E5DE" w14:textId="77777777" w:rsidR="00C46587" w:rsidRPr="004F5FB4" w:rsidRDefault="00C46587" w:rsidP="00982118">
      <w:pPr>
        <w:rPr>
          <w:color w:val="000000"/>
        </w:rPr>
      </w:pPr>
    </w:p>
    <w:p w14:paraId="3CAF3736" w14:textId="77777777" w:rsidR="00C46587" w:rsidRPr="004F5FB4" w:rsidRDefault="00C46587" w:rsidP="00982118">
      <w:pPr>
        <w:rPr>
          <w:color w:val="000000"/>
        </w:rPr>
      </w:pPr>
      <w:r w:rsidRPr="004F5FB4">
        <w:rPr>
          <w:color w:val="000000"/>
        </w:rPr>
        <w:t>Wenn erforderlich (zum Beispiel, wenn Sie verreisen), darf ein einzelner Amsparity-Fertigpen auch bis zu 30</w:t>
      </w:r>
      <w:r w:rsidR="007E3AA5" w:rsidRPr="004F5FB4">
        <w:rPr>
          <w:color w:val="000000"/>
        </w:rPr>
        <w:t> </w:t>
      </w:r>
      <w:r w:rsidRPr="004F5FB4">
        <w:rPr>
          <w:color w:val="000000"/>
        </w:rPr>
        <w:t xml:space="preserve">Tage lang bei Raumtemperatur aufbewahrt werden (nicht über 30°C und vor Licht geschützt). Sobald Sie den Fertigpen erst einmal aus dem Kühlschrank genommen haben, um ihn bei Raumtemperatur zu lagern, </w:t>
      </w:r>
      <w:r w:rsidRPr="004F5FB4">
        <w:rPr>
          <w:b/>
          <w:bCs/>
          <w:color w:val="000000"/>
        </w:rPr>
        <w:t>müssen Sie ihn innerhalb dieser 30</w:t>
      </w:r>
      <w:r w:rsidR="007E3AA5" w:rsidRPr="004F5FB4">
        <w:rPr>
          <w:b/>
          <w:bCs/>
          <w:color w:val="000000"/>
        </w:rPr>
        <w:t> </w:t>
      </w:r>
      <w:r w:rsidRPr="004F5FB4">
        <w:rPr>
          <w:b/>
          <w:bCs/>
          <w:color w:val="000000"/>
        </w:rPr>
        <w:t>Tage verbrauchen oder wegwerfen</w:t>
      </w:r>
      <w:r w:rsidRPr="004F5FB4">
        <w:rPr>
          <w:color w:val="000000"/>
        </w:rPr>
        <w:t xml:space="preserve">, auch wenn Sie den Pen in den Kühlschrank zurücklegen. </w:t>
      </w:r>
    </w:p>
    <w:p w14:paraId="28E5E9FC" w14:textId="77777777" w:rsidR="00C46587" w:rsidRPr="004F5FB4" w:rsidRDefault="00C46587" w:rsidP="00982118">
      <w:pPr>
        <w:rPr>
          <w:color w:val="000000"/>
        </w:rPr>
      </w:pPr>
    </w:p>
    <w:p w14:paraId="174E3A72" w14:textId="77777777" w:rsidR="00C46587" w:rsidRPr="004F5FB4" w:rsidRDefault="00C46587" w:rsidP="00982118">
      <w:pPr>
        <w:rPr>
          <w:color w:val="000000"/>
        </w:rPr>
      </w:pPr>
      <w:r w:rsidRPr="004F5FB4">
        <w:rPr>
          <w:color w:val="000000"/>
        </w:rPr>
        <w:t xml:space="preserve">Sie sollten sich das Datum notieren, an dem Sie den Fertigpen das erste Mal aus dem Kühlschrank nehmen. Auch sollten Sie sich das Datum notieren, zu dem Sie den Fertigpen wegwerfen müssen. </w:t>
      </w:r>
    </w:p>
    <w:p w14:paraId="2F24EF59" w14:textId="77777777" w:rsidR="00C46587" w:rsidRPr="004F5FB4" w:rsidRDefault="00C46587" w:rsidP="00982118">
      <w:pPr>
        <w:rPr>
          <w:color w:val="000000"/>
        </w:rPr>
      </w:pPr>
    </w:p>
    <w:p w14:paraId="36FEEB32" w14:textId="77777777" w:rsidR="00C46587" w:rsidRPr="004F5FB4" w:rsidRDefault="00C46587" w:rsidP="00982118">
      <w:pPr>
        <w:rPr>
          <w:color w:val="000000"/>
        </w:rPr>
      </w:pPr>
      <w:r w:rsidRPr="004F5FB4">
        <w:rPr>
          <w:color w:val="000000"/>
        </w:rPr>
        <w:t xml:space="preserve">Entsorgen Sie Arzneimittel nicht im Abwasser oder Haushaltsabfall. Fragen Sie Ihren Arzt oder Apotheker, wie das Arzneimittel zu entsorgen ist, wenn Sie es nicht mehr verwenden. Sie tragen damit zum Schutz der Umwelt bei. </w:t>
      </w:r>
    </w:p>
    <w:p w14:paraId="6C91AA0A" w14:textId="77777777" w:rsidR="00C46587" w:rsidRPr="004F5FB4" w:rsidRDefault="00C46587" w:rsidP="00982118">
      <w:pPr>
        <w:rPr>
          <w:color w:val="000000"/>
        </w:rPr>
      </w:pPr>
    </w:p>
    <w:p w14:paraId="2B352969" w14:textId="77777777" w:rsidR="00C46587" w:rsidRPr="004F5FB4" w:rsidRDefault="00C46587" w:rsidP="00982118">
      <w:pPr>
        <w:rPr>
          <w:color w:val="000000"/>
        </w:rPr>
      </w:pPr>
    </w:p>
    <w:p w14:paraId="31826AA7" w14:textId="77777777" w:rsidR="00C46587" w:rsidRPr="004F5FB4" w:rsidRDefault="00C46587" w:rsidP="00982118">
      <w:pPr>
        <w:tabs>
          <w:tab w:val="left" w:pos="562"/>
        </w:tabs>
        <w:rPr>
          <w:b/>
          <w:color w:val="000000"/>
        </w:rPr>
      </w:pPr>
      <w:r w:rsidRPr="004F5FB4">
        <w:rPr>
          <w:b/>
          <w:color w:val="000000"/>
        </w:rPr>
        <w:t>6</w:t>
      </w:r>
      <w:r w:rsidR="00FB0AD5" w:rsidRPr="004F5FB4">
        <w:rPr>
          <w:b/>
          <w:color w:val="000000"/>
        </w:rPr>
        <w:t>.</w:t>
      </w:r>
      <w:r w:rsidRPr="004F5FB4">
        <w:rPr>
          <w:b/>
          <w:color w:val="000000"/>
        </w:rPr>
        <w:tab/>
        <w:t xml:space="preserve">Inhalt der Packung und weitere Informationen </w:t>
      </w:r>
    </w:p>
    <w:p w14:paraId="73424369" w14:textId="77777777" w:rsidR="00C46587" w:rsidRPr="004F5FB4" w:rsidRDefault="00C46587" w:rsidP="00982118">
      <w:pPr>
        <w:rPr>
          <w:color w:val="000000"/>
        </w:rPr>
      </w:pPr>
    </w:p>
    <w:p w14:paraId="5020FC91" w14:textId="77777777" w:rsidR="00C46587" w:rsidRPr="004F5FB4" w:rsidRDefault="00C46587" w:rsidP="00982118">
      <w:pPr>
        <w:rPr>
          <w:b/>
          <w:color w:val="000000"/>
        </w:rPr>
      </w:pPr>
      <w:r w:rsidRPr="004F5FB4">
        <w:rPr>
          <w:b/>
          <w:color w:val="000000"/>
        </w:rPr>
        <w:t>Was Amsparity enthält</w:t>
      </w:r>
    </w:p>
    <w:p w14:paraId="1C863665" w14:textId="77777777" w:rsidR="00C46587" w:rsidRPr="004F5FB4" w:rsidRDefault="00C46587" w:rsidP="00982118">
      <w:pPr>
        <w:rPr>
          <w:color w:val="000000"/>
        </w:rPr>
      </w:pPr>
    </w:p>
    <w:p w14:paraId="63E193DC" w14:textId="77777777" w:rsidR="00C46587" w:rsidRPr="004F5FB4" w:rsidRDefault="00C46587" w:rsidP="00982118">
      <w:pPr>
        <w:rPr>
          <w:color w:val="000000"/>
        </w:rPr>
      </w:pPr>
      <w:r w:rsidRPr="004F5FB4">
        <w:rPr>
          <w:color w:val="000000"/>
        </w:rPr>
        <w:t xml:space="preserve">Der Wirkstoff ist: Adalimumab. </w:t>
      </w:r>
    </w:p>
    <w:p w14:paraId="5FF25096" w14:textId="77777777" w:rsidR="00C46587" w:rsidRPr="004F5FB4" w:rsidRDefault="00C46587" w:rsidP="00982118">
      <w:pPr>
        <w:rPr>
          <w:color w:val="000000"/>
        </w:rPr>
      </w:pPr>
    </w:p>
    <w:p w14:paraId="6E0A7962" w14:textId="647C8E0C" w:rsidR="00C46587" w:rsidRPr="004F5FB4" w:rsidRDefault="00C46587" w:rsidP="00982118">
      <w:pPr>
        <w:rPr>
          <w:color w:val="000000"/>
        </w:rPr>
      </w:pPr>
      <w:r w:rsidRPr="004F5FB4">
        <w:rPr>
          <w:color w:val="000000"/>
        </w:rPr>
        <w:t>Die sonstigen Bestandteile sind: L-Histidin, L-Histidin-Hydrochlorid-Monohydrat, Sucrose, EDTA-Dinatrium-Dihydrat, L-Methionin, Polysorbat 80 und Wasser für Injektionszwecke</w:t>
      </w:r>
      <w:r w:rsidR="00BF4C0F">
        <w:rPr>
          <w:color w:val="000000"/>
        </w:rPr>
        <w:t xml:space="preserve"> (siehe Abschnitt 2 „Amsparity enthält Polysorbat 80“ und „Amsparity enthält Natrium“)</w:t>
      </w:r>
      <w:r w:rsidRPr="004F5FB4">
        <w:rPr>
          <w:color w:val="000000"/>
        </w:rPr>
        <w:t>.</w:t>
      </w:r>
    </w:p>
    <w:p w14:paraId="22DF9E36" w14:textId="77777777" w:rsidR="00C46587" w:rsidRPr="004F5FB4" w:rsidRDefault="00C46587" w:rsidP="00982118">
      <w:pPr>
        <w:rPr>
          <w:color w:val="000000"/>
        </w:rPr>
      </w:pPr>
    </w:p>
    <w:p w14:paraId="77C54FF6" w14:textId="77777777" w:rsidR="00C46587" w:rsidRPr="004F5FB4" w:rsidRDefault="00C46587" w:rsidP="00982118">
      <w:pPr>
        <w:rPr>
          <w:b/>
          <w:color w:val="000000"/>
        </w:rPr>
      </w:pPr>
      <w:r w:rsidRPr="004F5FB4">
        <w:rPr>
          <w:b/>
          <w:color w:val="000000"/>
        </w:rPr>
        <w:t>Wie der Amsparity</w:t>
      </w:r>
      <w:r w:rsidRPr="004F5FB4">
        <w:rPr>
          <w:b/>
          <w:color w:val="000000"/>
        </w:rPr>
        <w:noBreakHyphen/>
        <w:t xml:space="preserve">Fertigpen aussieht und Inhalt der Packung </w:t>
      </w:r>
    </w:p>
    <w:p w14:paraId="6799821B" w14:textId="77777777" w:rsidR="00C46587" w:rsidRPr="004F5FB4" w:rsidRDefault="00C46587" w:rsidP="00982118">
      <w:pPr>
        <w:rPr>
          <w:color w:val="000000"/>
        </w:rPr>
      </w:pPr>
    </w:p>
    <w:p w14:paraId="07213BD3" w14:textId="77777777" w:rsidR="00C46587" w:rsidRPr="004F5FB4" w:rsidRDefault="006A1144" w:rsidP="00982118">
      <w:pPr>
        <w:rPr>
          <w:color w:val="000000"/>
        </w:rPr>
      </w:pPr>
      <w:r w:rsidRPr="004F5FB4">
        <w:rPr>
          <w:color w:val="000000"/>
        </w:rPr>
        <w:t xml:space="preserve">Amsparity 40 mg Injektionslösung im Fertigpen wird als sterile Lösung von 40 mg Adalimumab in 0,8 ml Lösung geliefert. </w:t>
      </w:r>
    </w:p>
    <w:p w14:paraId="2100C45A" w14:textId="77777777" w:rsidR="00C46587" w:rsidRPr="004F5FB4" w:rsidRDefault="00C46587" w:rsidP="00982118">
      <w:pPr>
        <w:rPr>
          <w:color w:val="000000"/>
        </w:rPr>
      </w:pPr>
    </w:p>
    <w:p w14:paraId="35797B1A" w14:textId="77777777" w:rsidR="00C46587" w:rsidRPr="004F5FB4" w:rsidRDefault="000E3450" w:rsidP="00982118">
      <w:pPr>
        <w:rPr>
          <w:color w:val="000000"/>
        </w:rPr>
      </w:pPr>
      <w:r w:rsidRPr="004F5FB4">
        <w:rPr>
          <w:color w:val="000000"/>
        </w:rPr>
        <w:t xml:space="preserve">Der Amsparity-Fertigpen enthält eine klare, farblose bis sehr hellbraune Adalimumab-Lösung. </w:t>
      </w:r>
    </w:p>
    <w:p w14:paraId="10745616" w14:textId="77777777" w:rsidR="00C46587" w:rsidRPr="004F5FB4" w:rsidRDefault="00C46587" w:rsidP="00982118">
      <w:pPr>
        <w:rPr>
          <w:color w:val="000000"/>
        </w:rPr>
      </w:pPr>
    </w:p>
    <w:p w14:paraId="5A1741F6" w14:textId="77777777" w:rsidR="00BC4E87" w:rsidRPr="004F5FB4" w:rsidRDefault="000E3450" w:rsidP="00982118">
      <w:pPr>
        <w:rPr>
          <w:color w:val="000000"/>
        </w:rPr>
      </w:pPr>
      <w:r w:rsidRPr="004F5FB4">
        <w:rPr>
          <w:color w:val="000000"/>
        </w:rPr>
        <w:t>Jede Packung enthält 1, 2, 4 oder 6 Fertigpens zum Gebrauch durch den Patienten und entsprechend 2 (1 Reserve), 2, 4 oder 6</w:t>
      </w:r>
      <w:r w:rsidR="007E3AA5" w:rsidRPr="004F5FB4">
        <w:rPr>
          <w:color w:val="000000"/>
        </w:rPr>
        <w:t> </w:t>
      </w:r>
      <w:r w:rsidRPr="004F5FB4">
        <w:rPr>
          <w:color w:val="000000"/>
        </w:rPr>
        <w:t>Alkoholtupfer.</w:t>
      </w:r>
    </w:p>
    <w:p w14:paraId="494A6E81" w14:textId="77777777" w:rsidR="00BC4E87" w:rsidRPr="004F5FB4" w:rsidRDefault="00BC4E87" w:rsidP="00982118">
      <w:pPr>
        <w:rPr>
          <w:color w:val="000000"/>
        </w:rPr>
      </w:pPr>
    </w:p>
    <w:p w14:paraId="477E3988" w14:textId="77777777" w:rsidR="00C46587" w:rsidRPr="004F5FB4" w:rsidRDefault="00C46587" w:rsidP="00982118">
      <w:pPr>
        <w:rPr>
          <w:color w:val="000000"/>
        </w:rPr>
      </w:pPr>
      <w:r w:rsidRPr="004F5FB4">
        <w:rPr>
          <w:color w:val="000000"/>
        </w:rPr>
        <w:t xml:space="preserve">Es werden möglicherweise nicht alle Packungsgrößen in den Verkehr gebracht. </w:t>
      </w:r>
    </w:p>
    <w:p w14:paraId="5071FB1C" w14:textId="77777777" w:rsidR="00C46587" w:rsidRPr="004F5FB4" w:rsidRDefault="00C46587" w:rsidP="00982118">
      <w:pPr>
        <w:rPr>
          <w:color w:val="000000"/>
        </w:rPr>
      </w:pPr>
    </w:p>
    <w:p w14:paraId="3FBB3FCF" w14:textId="77777777" w:rsidR="00C46587" w:rsidRPr="004F5FB4" w:rsidRDefault="006A1144" w:rsidP="00982118">
      <w:pPr>
        <w:rPr>
          <w:color w:val="000000"/>
        </w:rPr>
      </w:pPr>
      <w:r w:rsidRPr="004F5FB4">
        <w:rPr>
          <w:color w:val="000000"/>
        </w:rPr>
        <w:t>Amsparity kann als Durchstechflasche, Fertigspritze und/</w:t>
      </w:r>
      <w:r w:rsidR="002508D2" w:rsidRPr="004F5FB4">
        <w:rPr>
          <w:color w:val="000000"/>
        </w:rPr>
        <w:t xml:space="preserve"> </w:t>
      </w:r>
      <w:r w:rsidRPr="004F5FB4">
        <w:rPr>
          <w:color w:val="000000"/>
        </w:rPr>
        <w:t xml:space="preserve">oder als Fertigpen erhältlich sein. </w:t>
      </w:r>
    </w:p>
    <w:p w14:paraId="0D8BAB7D" w14:textId="77777777" w:rsidR="00C46587" w:rsidRPr="004F5FB4" w:rsidRDefault="00C46587" w:rsidP="00982118">
      <w:pPr>
        <w:rPr>
          <w:color w:val="000000"/>
        </w:rPr>
      </w:pPr>
    </w:p>
    <w:p w14:paraId="423E923B" w14:textId="77777777" w:rsidR="00C46587" w:rsidRPr="004F5FB4" w:rsidRDefault="00C46587" w:rsidP="00982118">
      <w:pPr>
        <w:rPr>
          <w:b/>
          <w:color w:val="000000"/>
        </w:rPr>
      </w:pPr>
      <w:r w:rsidRPr="004F5FB4">
        <w:rPr>
          <w:b/>
          <w:color w:val="000000"/>
        </w:rPr>
        <w:t xml:space="preserve">Pharmazeutischer Unternehmer </w:t>
      </w:r>
    </w:p>
    <w:p w14:paraId="757CC7A2" w14:textId="77777777" w:rsidR="00C46587" w:rsidRPr="00DC5AF1" w:rsidRDefault="00C46587" w:rsidP="00982118">
      <w:pPr>
        <w:rPr>
          <w:color w:val="000000"/>
        </w:rPr>
      </w:pPr>
    </w:p>
    <w:p w14:paraId="4F0388C3" w14:textId="77777777" w:rsidR="006C3AE3" w:rsidRPr="004F5FB4" w:rsidRDefault="006C3AE3" w:rsidP="00982118">
      <w:pPr>
        <w:rPr>
          <w:color w:val="000000"/>
        </w:rPr>
      </w:pPr>
      <w:r w:rsidRPr="004F5FB4">
        <w:rPr>
          <w:color w:val="000000"/>
        </w:rPr>
        <w:t>Pfizer Europe MA EEIG</w:t>
      </w:r>
    </w:p>
    <w:p w14:paraId="55A284DE" w14:textId="77777777" w:rsidR="00AA2493" w:rsidRPr="00DC5AF1" w:rsidRDefault="00AA2493" w:rsidP="00982118">
      <w:pPr>
        <w:pStyle w:val="BodyText"/>
        <w:widowControl/>
        <w:kinsoku w:val="0"/>
        <w:overflowPunct w:val="0"/>
        <w:ind w:left="0"/>
        <w:rPr>
          <w:color w:val="000000"/>
          <w:lang w:val="fr-FR"/>
        </w:rPr>
      </w:pPr>
      <w:r w:rsidRPr="00DC5AF1">
        <w:rPr>
          <w:color w:val="000000"/>
          <w:lang w:val="fr-FR"/>
        </w:rPr>
        <w:t>Boulevard de la Plaine 17</w:t>
      </w:r>
    </w:p>
    <w:p w14:paraId="56D0254B" w14:textId="77777777" w:rsidR="00AA2493" w:rsidRPr="00DC5AF1" w:rsidRDefault="00AA2493" w:rsidP="00982118">
      <w:pPr>
        <w:pStyle w:val="BodyText"/>
        <w:widowControl/>
        <w:kinsoku w:val="0"/>
        <w:overflowPunct w:val="0"/>
        <w:ind w:left="0"/>
        <w:rPr>
          <w:color w:val="000000"/>
          <w:lang w:val="fr-FR"/>
        </w:rPr>
      </w:pPr>
      <w:r w:rsidRPr="00DC5AF1">
        <w:rPr>
          <w:color w:val="000000"/>
          <w:lang w:val="fr-FR"/>
        </w:rPr>
        <w:t xml:space="preserve">1050 </w:t>
      </w:r>
      <w:proofErr w:type="spellStart"/>
      <w:r w:rsidRPr="00DC5AF1">
        <w:rPr>
          <w:color w:val="000000"/>
          <w:lang w:val="fr-FR"/>
        </w:rPr>
        <w:t>Br</w:t>
      </w:r>
      <w:r w:rsidR="002508D2" w:rsidRPr="00DC5AF1">
        <w:rPr>
          <w:color w:val="000000"/>
          <w:lang w:val="fr-FR"/>
        </w:rPr>
        <w:t>üssel</w:t>
      </w:r>
      <w:proofErr w:type="spellEnd"/>
    </w:p>
    <w:p w14:paraId="0A3396A0" w14:textId="77777777" w:rsidR="00AA2493" w:rsidRPr="00DC5AF1" w:rsidRDefault="00AA2493" w:rsidP="00982118">
      <w:pPr>
        <w:pStyle w:val="BodyText"/>
        <w:widowControl/>
        <w:kinsoku w:val="0"/>
        <w:overflowPunct w:val="0"/>
        <w:ind w:left="0"/>
        <w:rPr>
          <w:color w:val="000000"/>
          <w:lang w:val="fr-FR"/>
        </w:rPr>
      </w:pPr>
      <w:proofErr w:type="spellStart"/>
      <w:r w:rsidRPr="00DC5AF1">
        <w:rPr>
          <w:color w:val="000000"/>
          <w:lang w:val="fr-FR"/>
        </w:rPr>
        <w:t>Belgien</w:t>
      </w:r>
      <w:proofErr w:type="spellEnd"/>
    </w:p>
    <w:p w14:paraId="78262C92" w14:textId="77777777" w:rsidR="00C46587" w:rsidRPr="00DC5AF1" w:rsidRDefault="00C46587" w:rsidP="00982118">
      <w:pPr>
        <w:rPr>
          <w:color w:val="000000"/>
          <w:lang w:val="fr-FR"/>
        </w:rPr>
      </w:pPr>
    </w:p>
    <w:p w14:paraId="6B88E2EF" w14:textId="77777777" w:rsidR="00C46587" w:rsidRPr="004F5FB4" w:rsidRDefault="00C46587" w:rsidP="00C2429C">
      <w:pPr>
        <w:keepNext/>
        <w:rPr>
          <w:b/>
          <w:color w:val="000000"/>
        </w:rPr>
      </w:pPr>
      <w:r w:rsidRPr="004F5FB4">
        <w:rPr>
          <w:b/>
          <w:color w:val="000000"/>
        </w:rPr>
        <w:t xml:space="preserve">Hersteller </w:t>
      </w:r>
    </w:p>
    <w:p w14:paraId="7D76DB70" w14:textId="77777777" w:rsidR="00C46587" w:rsidRPr="004F5FB4" w:rsidRDefault="00C46587" w:rsidP="00C2429C">
      <w:pPr>
        <w:keepNext/>
        <w:rPr>
          <w:color w:val="000000"/>
        </w:rPr>
      </w:pPr>
    </w:p>
    <w:p w14:paraId="53CD5830" w14:textId="31E6AF4B" w:rsidR="00AB5164" w:rsidRPr="004F5FB4" w:rsidRDefault="00AB5164" w:rsidP="00C2429C">
      <w:pPr>
        <w:pStyle w:val="BodyText"/>
        <w:keepNext/>
        <w:widowControl/>
        <w:kinsoku w:val="0"/>
        <w:overflowPunct w:val="0"/>
        <w:ind w:left="0"/>
        <w:rPr>
          <w:color w:val="000000"/>
        </w:rPr>
      </w:pPr>
      <w:r w:rsidRPr="004F5FB4">
        <w:rPr>
          <w:color w:val="000000"/>
        </w:rPr>
        <w:t>Pfizer Service Company BV</w:t>
      </w:r>
    </w:p>
    <w:p w14:paraId="56FEE676" w14:textId="77777777" w:rsidR="00EC03BF" w:rsidRPr="00956704" w:rsidRDefault="00EC03BF" w:rsidP="00EC03BF">
      <w:pPr>
        <w:rPr>
          <w:ins w:id="51" w:author="Author" w:date="2025-06-12T14:12:00Z" w16du:dateUtc="2025-06-12T13:12:00Z"/>
          <w:lang w:val="fr-FR"/>
        </w:rPr>
      </w:pPr>
      <w:proofErr w:type="spellStart"/>
      <w:ins w:id="52" w:author="Author" w:date="2025-06-12T14:12:00Z" w16du:dateUtc="2025-06-12T13:12:00Z">
        <w:r w:rsidRPr="00956704">
          <w:rPr>
            <w:lang w:val="fr-FR"/>
          </w:rPr>
          <w:t>Hermeslaan</w:t>
        </w:r>
        <w:proofErr w:type="spellEnd"/>
        <w:r w:rsidRPr="00956704">
          <w:rPr>
            <w:lang w:val="fr-FR"/>
          </w:rPr>
          <w:t xml:space="preserve"> 11</w:t>
        </w:r>
      </w:ins>
    </w:p>
    <w:p w14:paraId="07BD1710" w14:textId="7F21F117" w:rsidR="00AB5164" w:rsidRPr="004F5FB4" w:rsidDel="00EC03BF" w:rsidRDefault="00EC03BF" w:rsidP="00982118">
      <w:pPr>
        <w:pStyle w:val="BodyText"/>
        <w:keepNext/>
        <w:widowControl/>
        <w:kinsoku w:val="0"/>
        <w:overflowPunct w:val="0"/>
        <w:ind w:left="0"/>
        <w:rPr>
          <w:del w:id="53" w:author="Author" w:date="2025-06-12T14:12:00Z" w16du:dateUtc="2025-06-12T13:12:00Z"/>
          <w:color w:val="000000"/>
        </w:rPr>
      </w:pPr>
      <w:ins w:id="54" w:author="Author" w:date="2025-06-12T14:12:00Z" w16du:dateUtc="2025-06-12T13:12:00Z">
        <w:r>
          <w:rPr>
            <w:color w:val="000000"/>
          </w:rPr>
          <w:t xml:space="preserve">1932 </w:t>
        </w:r>
      </w:ins>
      <w:del w:id="55" w:author="Author" w:date="2025-06-12T14:12:00Z" w16du:dateUtc="2025-06-12T13:12:00Z">
        <w:r w:rsidR="00AB5164" w:rsidRPr="004F5FB4" w:rsidDel="00EC03BF">
          <w:rPr>
            <w:color w:val="000000"/>
          </w:rPr>
          <w:delText>Hoge Wei 10</w:delText>
        </w:r>
      </w:del>
    </w:p>
    <w:p w14:paraId="7C2A6A52" w14:textId="77777777" w:rsidR="00AB5164" w:rsidRPr="004F5FB4" w:rsidRDefault="00AB5164" w:rsidP="00982118">
      <w:pPr>
        <w:pStyle w:val="BodyText"/>
        <w:keepNext/>
        <w:widowControl/>
        <w:kinsoku w:val="0"/>
        <w:overflowPunct w:val="0"/>
        <w:ind w:left="0"/>
        <w:rPr>
          <w:color w:val="000000"/>
        </w:rPr>
      </w:pPr>
      <w:r w:rsidRPr="004F5FB4">
        <w:rPr>
          <w:color w:val="000000"/>
        </w:rPr>
        <w:t>Zaventem</w:t>
      </w:r>
      <w:del w:id="56" w:author="Author" w:date="2025-06-12T14:12:00Z" w16du:dateUtc="2025-06-12T13:12:00Z">
        <w:r w:rsidRPr="004F5FB4" w:rsidDel="00EC03BF">
          <w:rPr>
            <w:color w:val="000000"/>
          </w:rPr>
          <w:delText xml:space="preserve"> 1930</w:delText>
        </w:r>
      </w:del>
    </w:p>
    <w:p w14:paraId="023DBDC2" w14:textId="77777777" w:rsidR="00AB5164" w:rsidRPr="004F5FB4" w:rsidRDefault="00AB5164" w:rsidP="00982118">
      <w:pPr>
        <w:pStyle w:val="BodyText"/>
        <w:keepNext/>
        <w:widowControl/>
        <w:kinsoku w:val="0"/>
        <w:overflowPunct w:val="0"/>
        <w:ind w:left="0"/>
        <w:rPr>
          <w:color w:val="000000"/>
        </w:rPr>
      </w:pPr>
      <w:r w:rsidRPr="004F5FB4">
        <w:rPr>
          <w:color w:val="000000"/>
        </w:rPr>
        <w:t>Belgien</w:t>
      </w:r>
    </w:p>
    <w:p w14:paraId="15A57998" w14:textId="77777777" w:rsidR="00C46587" w:rsidRPr="004F5FB4" w:rsidRDefault="00C46587" w:rsidP="00982118">
      <w:pPr>
        <w:rPr>
          <w:color w:val="000000"/>
        </w:rPr>
      </w:pPr>
    </w:p>
    <w:p w14:paraId="083685F4" w14:textId="77777777" w:rsidR="00C46587" w:rsidRPr="004F5FB4" w:rsidRDefault="00C46587" w:rsidP="00982118">
      <w:pPr>
        <w:rPr>
          <w:color w:val="000000"/>
        </w:rPr>
      </w:pPr>
      <w:r w:rsidRPr="004F5FB4">
        <w:rPr>
          <w:color w:val="000000"/>
        </w:rPr>
        <w:t xml:space="preserve">Falls Sie weitere Informationen über </w:t>
      </w:r>
      <w:r w:rsidR="000E7C79" w:rsidRPr="004F5FB4">
        <w:rPr>
          <w:color w:val="000000"/>
        </w:rPr>
        <w:t>das</w:t>
      </w:r>
      <w:r w:rsidRPr="004F5FB4">
        <w:rPr>
          <w:color w:val="000000"/>
        </w:rPr>
        <w:t xml:space="preserve"> Arzneimittel wünschen, setzen Sie sich bitte mit dem örtlichen Vertreter des pharmazeutischen Unternehmers in Verbindung: </w:t>
      </w:r>
    </w:p>
    <w:p w14:paraId="2EBDA1EE" w14:textId="77777777" w:rsidR="00C46587" w:rsidRPr="004F5FB4" w:rsidRDefault="00C46587" w:rsidP="00982118">
      <w:pPr>
        <w:rPr>
          <w:color w:val="000000"/>
        </w:rPr>
      </w:pPr>
    </w:p>
    <w:tbl>
      <w:tblPr>
        <w:tblW w:w="5000" w:type="pct"/>
        <w:tblCellMar>
          <w:left w:w="0" w:type="dxa"/>
          <w:right w:w="0" w:type="dxa"/>
        </w:tblCellMar>
        <w:tblLook w:val="04A0" w:firstRow="1" w:lastRow="0" w:firstColumn="1" w:lastColumn="0" w:noHBand="0" w:noVBand="1"/>
      </w:tblPr>
      <w:tblGrid>
        <w:gridCol w:w="4200"/>
        <w:gridCol w:w="4815"/>
        <w:gridCol w:w="60"/>
      </w:tblGrid>
      <w:tr w:rsidR="00BF4C0F" w:rsidRPr="000E0085" w14:paraId="6974707D" w14:textId="77777777" w:rsidTr="00443BC7">
        <w:trPr>
          <w:cantSplit/>
        </w:trPr>
        <w:tc>
          <w:tcPr>
            <w:tcW w:w="4224" w:type="dxa"/>
            <w:tcMar>
              <w:top w:w="0" w:type="dxa"/>
              <w:left w:w="108" w:type="dxa"/>
              <w:bottom w:w="0" w:type="dxa"/>
              <w:right w:w="108" w:type="dxa"/>
            </w:tcMar>
            <w:hideMark/>
          </w:tcPr>
          <w:p w14:paraId="7D619301" w14:textId="77777777" w:rsidR="00BF4C0F" w:rsidRPr="00C05F53" w:rsidRDefault="00BF4C0F" w:rsidP="00443BC7">
            <w:pPr>
              <w:rPr>
                <w:b/>
                <w:bCs/>
              </w:rPr>
            </w:pPr>
            <w:r w:rsidRPr="00C05F53">
              <w:rPr>
                <w:b/>
                <w:bCs/>
              </w:rPr>
              <w:t>België/Belgique/Belgien</w:t>
            </w:r>
          </w:p>
          <w:p w14:paraId="23518A7F" w14:textId="77777777" w:rsidR="00BF4C0F" w:rsidRPr="00C05F53" w:rsidRDefault="00BF4C0F" w:rsidP="00443BC7">
            <w:pPr>
              <w:rPr>
                <w:b/>
                <w:bCs/>
              </w:rPr>
            </w:pPr>
            <w:r w:rsidRPr="00C05F53">
              <w:rPr>
                <w:b/>
                <w:bCs/>
              </w:rPr>
              <w:t>Luxembourg/Luxemburg</w:t>
            </w:r>
          </w:p>
          <w:p w14:paraId="0A3AEACE" w14:textId="77777777" w:rsidR="00BF4C0F" w:rsidRPr="00C05F53" w:rsidRDefault="00BF4C0F" w:rsidP="00443BC7">
            <w:r w:rsidRPr="00C05F53">
              <w:t>Pfizer NV/SA</w:t>
            </w:r>
          </w:p>
          <w:p w14:paraId="114E8AF3" w14:textId="77777777" w:rsidR="00BF4C0F" w:rsidRPr="000E0085" w:rsidRDefault="00BF4C0F" w:rsidP="00443BC7">
            <w:pPr>
              <w:autoSpaceDE w:val="0"/>
              <w:autoSpaceDN w:val="0"/>
              <w:rPr>
                <w:lang w:val="en-GB"/>
              </w:rPr>
            </w:pPr>
            <w:proofErr w:type="spellStart"/>
            <w:r w:rsidRPr="000E0085">
              <w:rPr>
                <w:lang w:val="en-GB"/>
              </w:rPr>
              <w:t>Tél</w:t>
            </w:r>
            <w:proofErr w:type="spellEnd"/>
            <w:r w:rsidRPr="000E0085">
              <w:rPr>
                <w:lang w:val="en-GB"/>
              </w:rPr>
              <w:t>/Tel: +32 (0)2 554 62 11</w:t>
            </w:r>
          </w:p>
          <w:p w14:paraId="0D3542E7"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4F545B5A" w14:textId="77777777" w:rsidR="00BF4C0F" w:rsidRPr="00444B76" w:rsidRDefault="00BF4C0F" w:rsidP="00443BC7">
            <w:pPr>
              <w:rPr>
                <w:b/>
                <w:bCs/>
                <w:lang w:val="en-GB"/>
              </w:rPr>
            </w:pPr>
            <w:proofErr w:type="spellStart"/>
            <w:r w:rsidRPr="00444B76">
              <w:rPr>
                <w:b/>
                <w:bCs/>
                <w:lang w:val="en-GB"/>
              </w:rPr>
              <w:t>Kύ</w:t>
            </w:r>
            <w:proofErr w:type="spellEnd"/>
            <w:r w:rsidRPr="00444B76">
              <w:rPr>
                <w:b/>
                <w:bCs/>
                <w:lang w:val="en-GB"/>
              </w:rPr>
              <w:t>προς</w:t>
            </w:r>
          </w:p>
          <w:p w14:paraId="724177D0" w14:textId="77777777" w:rsidR="00BF4C0F" w:rsidRPr="00444B76" w:rsidRDefault="00BF4C0F" w:rsidP="00443BC7">
            <w:pPr>
              <w:rPr>
                <w:lang w:val="en-GB"/>
              </w:rPr>
            </w:pPr>
            <w:r w:rsidRPr="00444B76">
              <w:rPr>
                <w:lang w:val="en-GB"/>
              </w:rPr>
              <w:t>PFIZER EΛΛAΣ A.E. (CYPRUS BRANCH)</w:t>
            </w:r>
          </w:p>
          <w:p w14:paraId="549E6AE3" w14:textId="77777777" w:rsidR="00BF4C0F" w:rsidRPr="00444B76" w:rsidRDefault="00BF4C0F" w:rsidP="00443BC7">
            <w:pPr>
              <w:rPr>
                <w:lang w:val="en-GB"/>
              </w:rPr>
            </w:pPr>
            <w:proofErr w:type="spellStart"/>
            <w:r w:rsidRPr="00444B76">
              <w:rPr>
                <w:lang w:val="en-GB"/>
              </w:rPr>
              <w:t>Τηλ</w:t>
            </w:r>
            <w:proofErr w:type="spellEnd"/>
            <w:r w:rsidRPr="00444B76">
              <w:rPr>
                <w:lang w:val="en-GB"/>
              </w:rPr>
              <w:t>: +357 22 817690</w:t>
            </w:r>
          </w:p>
          <w:p w14:paraId="5C7757E9" w14:textId="77777777" w:rsidR="00BF4C0F" w:rsidRPr="00444B76" w:rsidRDefault="00BF4C0F" w:rsidP="00443BC7">
            <w:pPr>
              <w:autoSpaceDE w:val="0"/>
              <w:autoSpaceDN w:val="0"/>
              <w:rPr>
                <w:lang w:val="en-GB"/>
              </w:rPr>
            </w:pPr>
          </w:p>
        </w:tc>
      </w:tr>
      <w:tr w:rsidR="00BF4C0F" w:rsidRPr="000E0085" w14:paraId="3FEB170D" w14:textId="77777777" w:rsidTr="00443BC7">
        <w:trPr>
          <w:gridAfter w:val="1"/>
          <w:wAfter w:w="61" w:type="dxa"/>
          <w:cantSplit/>
        </w:trPr>
        <w:tc>
          <w:tcPr>
            <w:tcW w:w="4224" w:type="dxa"/>
            <w:tcMar>
              <w:top w:w="0" w:type="dxa"/>
              <w:left w:w="108" w:type="dxa"/>
              <w:bottom w:w="0" w:type="dxa"/>
              <w:right w:w="108" w:type="dxa"/>
            </w:tcMar>
          </w:tcPr>
          <w:p w14:paraId="330C6C5D" w14:textId="77777777" w:rsidR="00BF4C0F" w:rsidRPr="000E0085" w:rsidRDefault="00BF4C0F" w:rsidP="00443BC7">
            <w:pPr>
              <w:rPr>
                <w:b/>
                <w:bCs/>
                <w:lang w:val="en-GB"/>
              </w:rPr>
            </w:pPr>
          </w:p>
        </w:tc>
        <w:tc>
          <w:tcPr>
            <w:tcW w:w="4863" w:type="dxa"/>
            <w:tcMar>
              <w:top w:w="0" w:type="dxa"/>
              <w:left w:w="108" w:type="dxa"/>
              <w:bottom w:w="0" w:type="dxa"/>
              <w:right w:w="108" w:type="dxa"/>
            </w:tcMar>
          </w:tcPr>
          <w:p w14:paraId="7EA5F669" w14:textId="77777777" w:rsidR="00BF4C0F" w:rsidRPr="000E0085" w:rsidRDefault="00BF4C0F" w:rsidP="00443BC7">
            <w:pPr>
              <w:rPr>
                <w:b/>
                <w:bCs/>
                <w:lang w:val="en-GB"/>
              </w:rPr>
            </w:pPr>
          </w:p>
        </w:tc>
      </w:tr>
      <w:tr w:rsidR="00BF4C0F" w:rsidRPr="000E0085" w14:paraId="143BF944" w14:textId="77777777" w:rsidTr="00443BC7">
        <w:trPr>
          <w:cantSplit/>
        </w:trPr>
        <w:tc>
          <w:tcPr>
            <w:tcW w:w="4224" w:type="dxa"/>
            <w:tcMar>
              <w:top w:w="0" w:type="dxa"/>
              <w:left w:w="108" w:type="dxa"/>
              <w:bottom w:w="0" w:type="dxa"/>
              <w:right w:w="108" w:type="dxa"/>
            </w:tcMar>
          </w:tcPr>
          <w:p w14:paraId="38E01FC5" w14:textId="77777777" w:rsidR="00BF4C0F" w:rsidRPr="00C05F53" w:rsidRDefault="00BF4C0F" w:rsidP="00443BC7">
            <w:pPr>
              <w:rPr>
                <w:b/>
                <w:bCs/>
              </w:rPr>
            </w:pPr>
            <w:r w:rsidRPr="00C05F53">
              <w:rPr>
                <w:b/>
                <w:bCs/>
              </w:rPr>
              <w:t>Česká Republika</w:t>
            </w:r>
          </w:p>
          <w:p w14:paraId="092F9E70" w14:textId="77777777" w:rsidR="00BF4C0F" w:rsidRPr="00C05F53" w:rsidRDefault="00BF4C0F" w:rsidP="00443BC7">
            <w:r w:rsidRPr="00C05F53">
              <w:t>Pfizer, spol.  s r.o.</w:t>
            </w:r>
          </w:p>
          <w:p w14:paraId="02DDE850" w14:textId="77777777" w:rsidR="00BF4C0F" w:rsidRPr="000E0085" w:rsidRDefault="00BF4C0F" w:rsidP="00443BC7">
            <w:pPr>
              <w:rPr>
                <w:lang w:val="en-GB"/>
              </w:rPr>
            </w:pPr>
            <w:r w:rsidRPr="000E0085">
              <w:rPr>
                <w:lang w:val="en-GB"/>
              </w:rPr>
              <w:t>Tel: +420-283-004-111</w:t>
            </w:r>
          </w:p>
          <w:p w14:paraId="1625EC54"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47E80CE3" w14:textId="77777777" w:rsidR="00BF4C0F" w:rsidRPr="000E0085" w:rsidRDefault="00BF4C0F" w:rsidP="00443BC7">
            <w:pPr>
              <w:rPr>
                <w:b/>
                <w:bCs/>
                <w:lang w:val="en-GB"/>
              </w:rPr>
            </w:pPr>
            <w:proofErr w:type="spellStart"/>
            <w:r w:rsidRPr="000E0085">
              <w:rPr>
                <w:b/>
                <w:bCs/>
                <w:lang w:val="en-GB"/>
              </w:rPr>
              <w:t>Magyarország</w:t>
            </w:r>
            <w:proofErr w:type="spellEnd"/>
          </w:p>
          <w:p w14:paraId="2C433E0D" w14:textId="77777777" w:rsidR="00BF4C0F" w:rsidRPr="000E0085" w:rsidRDefault="00BF4C0F" w:rsidP="00443BC7">
            <w:pPr>
              <w:rPr>
                <w:lang w:val="en-GB"/>
              </w:rPr>
            </w:pPr>
            <w:r w:rsidRPr="000E0085">
              <w:rPr>
                <w:lang w:val="en-GB"/>
              </w:rPr>
              <w:t>Pfizer Kft.</w:t>
            </w:r>
          </w:p>
          <w:p w14:paraId="2AB04D8B" w14:textId="77777777" w:rsidR="00BF4C0F" w:rsidRPr="000E0085" w:rsidRDefault="00BF4C0F" w:rsidP="00443BC7">
            <w:pPr>
              <w:rPr>
                <w:lang w:val="en-GB"/>
              </w:rPr>
            </w:pPr>
            <w:r w:rsidRPr="000E0085">
              <w:rPr>
                <w:lang w:val="en-GB"/>
              </w:rPr>
              <w:t>Tel: +36 1 488 3700</w:t>
            </w:r>
          </w:p>
          <w:p w14:paraId="489B98A6" w14:textId="77777777" w:rsidR="00BF4C0F" w:rsidRPr="000E0085" w:rsidRDefault="00BF4C0F" w:rsidP="00443BC7">
            <w:pPr>
              <w:autoSpaceDE w:val="0"/>
              <w:autoSpaceDN w:val="0"/>
              <w:rPr>
                <w:lang w:val="en-GB"/>
              </w:rPr>
            </w:pPr>
          </w:p>
        </w:tc>
      </w:tr>
      <w:tr w:rsidR="00BF4C0F" w:rsidRPr="00E26A2B" w14:paraId="361169E8" w14:textId="77777777" w:rsidTr="00443BC7">
        <w:trPr>
          <w:cantSplit/>
        </w:trPr>
        <w:tc>
          <w:tcPr>
            <w:tcW w:w="4224" w:type="dxa"/>
            <w:tcMar>
              <w:top w:w="0" w:type="dxa"/>
              <w:left w:w="108" w:type="dxa"/>
              <w:bottom w:w="0" w:type="dxa"/>
              <w:right w:w="108" w:type="dxa"/>
            </w:tcMar>
          </w:tcPr>
          <w:p w14:paraId="5BD65AD3" w14:textId="77777777" w:rsidR="00BF4C0F" w:rsidRPr="000E0085" w:rsidRDefault="00BF4C0F" w:rsidP="00443BC7">
            <w:pPr>
              <w:rPr>
                <w:b/>
                <w:bCs/>
                <w:lang w:val="en-GB"/>
              </w:rPr>
            </w:pPr>
            <w:r w:rsidRPr="000E0085">
              <w:rPr>
                <w:b/>
                <w:bCs/>
                <w:lang w:val="en-GB"/>
              </w:rPr>
              <w:t>Danmark</w:t>
            </w:r>
          </w:p>
          <w:p w14:paraId="4967488A" w14:textId="77777777" w:rsidR="00BF4C0F" w:rsidRPr="000E0085" w:rsidRDefault="00BF4C0F" w:rsidP="00443BC7">
            <w:pPr>
              <w:rPr>
                <w:lang w:val="en-GB"/>
              </w:rPr>
            </w:pPr>
            <w:r w:rsidRPr="000E0085">
              <w:rPr>
                <w:lang w:val="en-GB"/>
              </w:rPr>
              <w:t xml:space="preserve">Pfizer </w:t>
            </w:r>
            <w:proofErr w:type="spellStart"/>
            <w:r w:rsidRPr="000E0085">
              <w:rPr>
                <w:lang w:val="en-GB"/>
              </w:rPr>
              <w:t>ApS</w:t>
            </w:r>
            <w:proofErr w:type="spellEnd"/>
          </w:p>
          <w:p w14:paraId="1A56A197" w14:textId="77777777" w:rsidR="00BF4C0F" w:rsidRPr="000E0085" w:rsidRDefault="00BF4C0F" w:rsidP="00443BC7">
            <w:pPr>
              <w:rPr>
                <w:lang w:val="en-GB"/>
              </w:rPr>
            </w:pPr>
            <w:proofErr w:type="spellStart"/>
            <w:r w:rsidRPr="000E0085">
              <w:rPr>
                <w:lang w:val="en-GB"/>
              </w:rPr>
              <w:t>Tlf</w:t>
            </w:r>
            <w:proofErr w:type="spellEnd"/>
            <w:r>
              <w:rPr>
                <w:lang w:val="en-GB"/>
              </w:rPr>
              <w:t>.</w:t>
            </w:r>
            <w:r w:rsidRPr="000E0085">
              <w:rPr>
                <w:lang w:val="en-GB"/>
              </w:rPr>
              <w:t>: +45 44 201 100</w:t>
            </w:r>
          </w:p>
          <w:p w14:paraId="0881CDF7"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76C7215E" w14:textId="77777777" w:rsidR="00BF4C0F" w:rsidRPr="00EC03BF" w:rsidRDefault="00BF4C0F" w:rsidP="00443BC7">
            <w:pPr>
              <w:rPr>
                <w:b/>
                <w:lang w:val="it-IT"/>
              </w:rPr>
            </w:pPr>
            <w:r w:rsidRPr="00EC03BF">
              <w:rPr>
                <w:b/>
                <w:lang w:val="it-IT"/>
              </w:rPr>
              <w:t>Malta</w:t>
            </w:r>
          </w:p>
          <w:p w14:paraId="50580C88" w14:textId="77777777" w:rsidR="00BF4C0F" w:rsidRPr="00EC03BF" w:rsidRDefault="00BF4C0F" w:rsidP="00443BC7">
            <w:pPr>
              <w:rPr>
                <w:lang w:val="it-IT"/>
              </w:rPr>
            </w:pPr>
            <w:r w:rsidRPr="00EC03BF">
              <w:rPr>
                <w:lang w:val="it-IT"/>
              </w:rPr>
              <w:t xml:space="preserve">Vivian Corporation Ltd. </w:t>
            </w:r>
          </w:p>
          <w:p w14:paraId="5CE5A122" w14:textId="77777777" w:rsidR="00BF4C0F" w:rsidRPr="00EC03BF" w:rsidRDefault="00BF4C0F" w:rsidP="00443BC7">
            <w:pPr>
              <w:rPr>
                <w:lang w:val="it-IT"/>
              </w:rPr>
            </w:pPr>
            <w:r w:rsidRPr="00EC03BF">
              <w:rPr>
                <w:lang w:val="it-IT"/>
              </w:rPr>
              <w:t>Tel: +356 21344610</w:t>
            </w:r>
          </w:p>
          <w:p w14:paraId="70638C7C" w14:textId="77777777" w:rsidR="00BF4C0F" w:rsidRPr="00EC03BF" w:rsidRDefault="00BF4C0F" w:rsidP="00443BC7">
            <w:pPr>
              <w:autoSpaceDE w:val="0"/>
              <w:autoSpaceDN w:val="0"/>
              <w:rPr>
                <w:lang w:val="it-IT"/>
              </w:rPr>
            </w:pPr>
          </w:p>
        </w:tc>
      </w:tr>
      <w:tr w:rsidR="00BF4C0F" w:rsidRPr="000E0085" w14:paraId="5BD94022" w14:textId="77777777" w:rsidTr="00443BC7">
        <w:trPr>
          <w:cantSplit/>
        </w:trPr>
        <w:tc>
          <w:tcPr>
            <w:tcW w:w="4224" w:type="dxa"/>
            <w:tcMar>
              <w:top w:w="0" w:type="dxa"/>
              <w:left w:w="108" w:type="dxa"/>
              <w:bottom w:w="0" w:type="dxa"/>
              <w:right w:w="108" w:type="dxa"/>
            </w:tcMar>
          </w:tcPr>
          <w:p w14:paraId="5518C2AB" w14:textId="77777777" w:rsidR="00BF4C0F" w:rsidRPr="00C05F53" w:rsidRDefault="00BF4C0F" w:rsidP="00443BC7">
            <w:pPr>
              <w:rPr>
                <w:b/>
              </w:rPr>
            </w:pPr>
            <w:r w:rsidRPr="00C05F53">
              <w:rPr>
                <w:b/>
              </w:rPr>
              <w:t>Deutchland</w:t>
            </w:r>
          </w:p>
          <w:p w14:paraId="31F10EB6" w14:textId="77777777" w:rsidR="00BF4C0F" w:rsidRPr="00C05F53" w:rsidRDefault="00BF4C0F" w:rsidP="00443BC7">
            <w:pPr>
              <w:keepNext/>
            </w:pPr>
            <w:r w:rsidRPr="00C05F53">
              <w:t>PFIZER PHARMA GmbH</w:t>
            </w:r>
          </w:p>
          <w:p w14:paraId="07CE27E0" w14:textId="77777777" w:rsidR="00BF4C0F" w:rsidRPr="00C05F53" w:rsidRDefault="00BF4C0F" w:rsidP="00443BC7">
            <w:pPr>
              <w:numPr>
                <w:ilvl w:val="12"/>
                <w:numId w:val="0"/>
              </w:numPr>
            </w:pPr>
            <w:r w:rsidRPr="00C05F53">
              <w:t>Tel: +49 (0)30 550055-51000</w:t>
            </w:r>
          </w:p>
          <w:p w14:paraId="0ADC61FE" w14:textId="77777777" w:rsidR="00BF4C0F" w:rsidRPr="00C05F53" w:rsidRDefault="00BF4C0F" w:rsidP="00443BC7">
            <w:pPr>
              <w:autoSpaceDE w:val="0"/>
              <w:autoSpaceDN w:val="0"/>
            </w:pPr>
          </w:p>
        </w:tc>
        <w:tc>
          <w:tcPr>
            <w:tcW w:w="4863" w:type="dxa"/>
            <w:gridSpan w:val="2"/>
            <w:tcMar>
              <w:top w:w="0" w:type="dxa"/>
              <w:left w:w="108" w:type="dxa"/>
              <w:bottom w:w="0" w:type="dxa"/>
              <w:right w:w="108" w:type="dxa"/>
            </w:tcMar>
          </w:tcPr>
          <w:p w14:paraId="43A807CB" w14:textId="77777777" w:rsidR="00BF4C0F" w:rsidRPr="000E0085" w:rsidRDefault="00BF4C0F" w:rsidP="00443BC7">
            <w:pPr>
              <w:rPr>
                <w:b/>
                <w:bCs/>
                <w:lang w:val="en-GB"/>
              </w:rPr>
            </w:pPr>
            <w:r w:rsidRPr="000E0085">
              <w:rPr>
                <w:b/>
                <w:bCs/>
                <w:lang w:val="en-GB"/>
              </w:rPr>
              <w:t>Nederland</w:t>
            </w:r>
          </w:p>
          <w:p w14:paraId="203FCB44" w14:textId="77777777" w:rsidR="00BF4C0F" w:rsidRPr="000E0085" w:rsidRDefault="00BF4C0F" w:rsidP="00443BC7">
            <w:pPr>
              <w:rPr>
                <w:lang w:val="en-GB"/>
              </w:rPr>
            </w:pPr>
            <w:r w:rsidRPr="000E0085">
              <w:rPr>
                <w:lang w:val="en-GB"/>
              </w:rPr>
              <w:t xml:space="preserve">Pfizer </w:t>
            </w:r>
            <w:proofErr w:type="spellStart"/>
            <w:r w:rsidRPr="000E0085">
              <w:rPr>
                <w:lang w:val="en-GB"/>
              </w:rPr>
              <w:t>bv</w:t>
            </w:r>
            <w:proofErr w:type="spellEnd"/>
          </w:p>
          <w:p w14:paraId="4A65C559" w14:textId="77777777" w:rsidR="00BF4C0F" w:rsidRPr="000E0085" w:rsidRDefault="00BF4C0F" w:rsidP="00443BC7">
            <w:pPr>
              <w:rPr>
                <w:lang w:val="en-GB"/>
              </w:rPr>
            </w:pPr>
            <w:r w:rsidRPr="000E0085">
              <w:rPr>
                <w:lang w:val="en-GB"/>
              </w:rPr>
              <w:t>Tel: +31 (0)10 406 43 01</w:t>
            </w:r>
          </w:p>
          <w:p w14:paraId="3D50B269" w14:textId="77777777" w:rsidR="00BF4C0F" w:rsidRPr="000E0085" w:rsidRDefault="00BF4C0F" w:rsidP="00443BC7">
            <w:pPr>
              <w:autoSpaceDE w:val="0"/>
              <w:autoSpaceDN w:val="0"/>
              <w:rPr>
                <w:lang w:val="en-GB"/>
              </w:rPr>
            </w:pPr>
          </w:p>
        </w:tc>
      </w:tr>
      <w:tr w:rsidR="00BF4C0F" w:rsidRPr="000E0085" w14:paraId="78E7B230" w14:textId="77777777" w:rsidTr="00443BC7">
        <w:trPr>
          <w:cantSplit/>
        </w:trPr>
        <w:tc>
          <w:tcPr>
            <w:tcW w:w="4224" w:type="dxa"/>
            <w:tcMar>
              <w:top w:w="0" w:type="dxa"/>
              <w:left w:w="108" w:type="dxa"/>
              <w:bottom w:w="0" w:type="dxa"/>
              <w:right w:w="108" w:type="dxa"/>
            </w:tcMar>
          </w:tcPr>
          <w:p w14:paraId="387E37F6" w14:textId="77777777" w:rsidR="00BF4C0F" w:rsidRPr="00BF4C0F" w:rsidRDefault="00BF4C0F" w:rsidP="00443BC7">
            <w:pPr>
              <w:rPr>
                <w:b/>
                <w:bCs/>
              </w:rPr>
            </w:pPr>
            <w:proofErr w:type="spellStart"/>
            <w:r w:rsidRPr="000E0085">
              <w:rPr>
                <w:b/>
                <w:bCs/>
                <w:lang w:val="en-GB"/>
              </w:rPr>
              <w:t>България</w:t>
            </w:r>
            <w:proofErr w:type="spellEnd"/>
          </w:p>
          <w:p w14:paraId="5D35A983" w14:textId="77777777" w:rsidR="00BF4C0F" w:rsidRPr="00BF4C0F" w:rsidRDefault="00BF4C0F" w:rsidP="00443BC7">
            <w:proofErr w:type="spellStart"/>
            <w:r w:rsidRPr="000E0085">
              <w:rPr>
                <w:lang w:val="en-GB"/>
              </w:rPr>
              <w:t>Пфайзер</w:t>
            </w:r>
            <w:proofErr w:type="spellEnd"/>
            <w:r w:rsidRPr="00BF4C0F">
              <w:t xml:space="preserve"> </w:t>
            </w:r>
            <w:proofErr w:type="spellStart"/>
            <w:r w:rsidRPr="000E0085">
              <w:rPr>
                <w:lang w:val="en-GB"/>
              </w:rPr>
              <w:t>Люксембург</w:t>
            </w:r>
            <w:proofErr w:type="spellEnd"/>
            <w:r w:rsidRPr="00BF4C0F">
              <w:t xml:space="preserve"> </w:t>
            </w:r>
            <w:r w:rsidRPr="000E0085">
              <w:rPr>
                <w:lang w:val="en-GB"/>
              </w:rPr>
              <w:t>САРЛ</w:t>
            </w:r>
            <w:r w:rsidRPr="00BF4C0F">
              <w:t>,</w:t>
            </w:r>
          </w:p>
          <w:p w14:paraId="6EB4FBED" w14:textId="77777777" w:rsidR="00BF4C0F" w:rsidRPr="00BF4C0F" w:rsidRDefault="00BF4C0F" w:rsidP="00443BC7">
            <w:proofErr w:type="spellStart"/>
            <w:r w:rsidRPr="000E0085">
              <w:rPr>
                <w:lang w:val="en-GB"/>
              </w:rPr>
              <w:t>Клон</w:t>
            </w:r>
            <w:proofErr w:type="spellEnd"/>
            <w:r w:rsidRPr="00BF4C0F">
              <w:t xml:space="preserve"> </w:t>
            </w:r>
            <w:proofErr w:type="spellStart"/>
            <w:r w:rsidRPr="000E0085">
              <w:rPr>
                <w:lang w:val="en-GB"/>
              </w:rPr>
              <w:t>България</w:t>
            </w:r>
            <w:proofErr w:type="spellEnd"/>
          </w:p>
          <w:p w14:paraId="30319E2C" w14:textId="77777777" w:rsidR="00BF4C0F" w:rsidRPr="000E0085" w:rsidRDefault="00BF4C0F" w:rsidP="00443BC7">
            <w:pPr>
              <w:rPr>
                <w:lang w:val="en-GB"/>
              </w:rPr>
            </w:pPr>
            <w:proofErr w:type="spellStart"/>
            <w:r w:rsidRPr="000E0085">
              <w:rPr>
                <w:lang w:val="en-GB"/>
              </w:rPr>
              <w:t>Teл</w:t>
            </w:r>
            <w:proofErr w:type="spellEnd"/>
            <w:r w:rsidRPr="000E0085">
              <w:rPr>
                <w:lang w:val="en-GB"/>
              </w:rPr>
              <w:t>: +359 2 970 4333</w:t>
            </w:r>
          </w:p>
          <w:p w14:paraId="7A8DC730"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2C1F6809" w14:textId="77777777" w:rsidR="00BF4C0F" w:rsidRPr="000E0085" w:rsidRDefault="00BF4C0F" w:rsidP="00443BC7">
            <w:pPr>
              <w:rPr>
                <w:b/>
                <w:bCs/>
                <w:lang w:val="en-GB"/>
              </w:rPr>
            </w:pPr>
            <w:r w:rsidRPr="000E0085">
              <w:rPr>
                <w:b/>
                <w:bCs/>
                <w:lang w:val="en-GB"/>
              </w:rPr>
              <w:t>Norge</w:t>
            </w:r>
          </w:p>
          <w:p w14:paraId="4BE6F4D0" w14:textId="77777777" w:rsidR="00BF4C0F" w:rsidRPr="000E0085" w:rsidRDefault="00BF4C0F" w:rsidP="00443BC7">
            <w:pPr>
              <w:rPr>
                <w:lang w:val="en-GB"/>
              </w:rPr>
            </w:pPr>
            <w:r w:rsidRPr="000E0085">
              <w:rPr>
                <w:lang w:val="en-GB"/>
              </w:rPr>
              <w:t>Pfizer AS</w:t>
            </w:r>
          </w:p>
          <w:p w14:paraId="764ABDB4" w14:textId="77777777" w:rsidR="00BF4C0F" w:rsidRPr="000E0085" w:rsidRDefault="00BF4C0F" w:rsidP="00443BC7">
            <w:pPr>
              <w:rPr>
                <w:lang w:val="en-GB"/>
              </w:rPr>
            </w:pPr>
            <w:proofErr w:type="spellStart"/>
            <w:r w:rsidRPr="000E0085">
              <w:rPr>
                <w:lang w:val="en-GB"/>
              </w:rPr>
              <w:t>Tlf</w:t>
            </w:r>
            <w:proofErr w:type="spellEnd"/>
            <w:r w:rsidRPr="000E0085">
              <w:rPr>
                <w:lang w:val="en-GB"/>
              </w:rPr>
              <w:t>: +47 67 52 61 00</w:t>
            </w:r>
          </w:p>
          <w:p w14:paraId="2C5CA30B" w14:textId="77777777" w:rsidR="00BF4C0F" w:rsidRPr="000E0085" w:rsidRDefault="00BF4C0F" w:rsidP="00443BC7">
            <w:pPr>
              <w:autoSpaceDE w:val="0"/>
              <w:autoSpaceDN w:val="0"/>
              <w:rPr>
                <w:lang w:val="en-GB"/>
              </w:rPr>
            </w:pPr>
          </w:p>
        </w:tc>
      </w:tr>
      <w:tr w:rsidR="00BF4C0F" w:rsidRPr="000E0085" w14:paraId="395FC5B8" w14:textId="77777777" w:rsidTr="00443BC7">
        <w:trPr>
          <w:cantSplit/>
        </w:trPr>
        <w:tc>
          <w:tcPr>
            <w:tcW w:w="4224" w:type="dxa"/>
            <w:tcMar>
              <w:top w:w="0" w:type="dxa"/>
              <w:left w:w="108" w:type="dxa"/>
              <w:bottom w:w="0" w:type="dxa"/>
              <w:right w:w="108" w:type="dxa"/>
            </w:tcMar>
          </w:tcPr>
          <w:p w14:paraId="6BABC96E" w14:textId="77777777" w:rsidR="00BF4C0F" w:rsidRPr="00EC03BF" w:rsidRDefault="00BF4C0F" w:rsidP="00443BC7">
            <w:pPr>
              <w:rPr>
                <w:b/>
                <w:bCs/>
                <w:lang w:val="pt-BR"/>
              </w:rPr>
            </w:pPr>
            <w:r w:rsidRPr="00EC03BF">
              <w:rPr>
                <w:b/>
                <w:bCs/>
                <w:lang w:val="pt-BR"/>
              </w:rPr>
              <w:t>Eesti</w:t>
            </w:r>
          </w:p>
          <w:p w14:paraId="385B73AD" w14:textId="77777777" w:rsidR="00BF4C0F" w:rsidRPr="00EC03BF" w:rsidRDefault="00BF4C0F" w:rsidP="00443BC7">
            <w:pPr>
              <w:rPr>
                <w:lang w:val="pt-BR"/>
              </w:rPr>
            </w:pPr>
            <w:r w:rsidRPr="00EC03BF">
              <w:rPr>
                <w:lang w:val="pt-BR"/>
              </w:rPr>
              <w:t>Pfizer Luxembourg SARL Eesti filiaal</w:t>
            </w:r>
          </w:p>
          <w:p w14:paraId="27719149" w14:textId="77777777" w:rsidR="00BF4C0F" w:rsidRPr="000E0085" w:rsidRDefault="00BF4C0F" w:rsidP="00443BC7">
            <w:pPr>
              <w:rPr>
                <w:lang w:val="en-GB"/>
              </w:rPr>
            </w:pPr>
            <w:r w:rsidRPr="000E0085">
              <w:rPr>
                <w:lang w:val="en-GB"/>
              </w:rPr>
              <w:t>Tel: +372 666 7500</w:t>
            </w:r>
          </w:p>
          <w:p w14:paraId="4ADF6467"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771B96CF" w14:textId="77777777" w:rsidR="00BF4C0F" w:rsidRPr="00C05F53" w:rsidRDefault="00BF4C0F" w:rsidP="00443BC7">
            <w:pPr>
              <w:rPr>
                <w:b/>
                <w:bCs/>
              </w:rPr>
            </w:pPr>
            <w:r w:rsidRPr="00C05F53">
              <w:rPr>
                <w:b/>
                <w:bCs/>
              </w:rPr>
              <w:t>Österreich</w:t>
            </w:r>
          </w:p>
          <w:p w14:paraId="787589C4" w14:textId="77777777" w:rsidR="00BF4C0F" w:rsidRPr="00C05F53" w:rsidRDefault="00BF4C0F" w:rsidP="00443BC7">
            <w:r w:rsidRPr="00C05F53">
              <w:t>Pfizer Corporation Austria Ges.m.b.H.</w:t>
            </w:r>
          </w:p>
          <w:p w14:paraId="50332D19" w14:textId="77777777" w:rsidR="00BF4C0F" w:rsidRPr="000E0085" w:rsidRDefault="00BF4C0F" w:rsidP="00443BC7">
            <w:pPr>
              <w:rPr>
                <w:lang w:val="en-GB"/>
              </w:rPr>
            </w:pPr>
            <w:r w:rsidRPr="000E0085">
              <w:rPr>
                <w:lang w:val="en-GB"/>
              </w:rPr>
              <w:t>Tel: +43 (0)1 521 15-0</w:t>
            </w:r>
          </w:p>
          <w:p w14:paraId="5655EC86" w14:textId="77777777" w:rsidR="00BF4C0F" w:rsidRPr="000E0085" w:rsidRDefault="00BF4C0F" w:rsidP="00443BC7">
            <w:pPr>
              <w:autoSpaceDE w:val="0"/>
              <w:autoSpaceDN w:val="0"/>
              <w:rPr>
                <w:lang w:val="en-GB"/>
              </w:rPr>
            </w:pPr>
          </w:p>
        </w:tc>
      </w:tr>
      <w:tr w:rsidR="00BF4C0F" w:rsidRPr="000E0085" w14:paraId="2C358031" w14:textId="77777777" w:rsidTr="00443BC7">
        <w:trPr>
          <w:cantSplit/>
        </w:trPr>
        <w:tc>
          <w:tcPr>
            <w:tcW w:w="4224" w:type="dxa"/>
            <w:tcMar>
              <w:top w:w="0" w:type="dxa"/>
              <w:left w:w="108" w:type="dxa"/>
              <w:bottom w:w="0" w:type="dxa"/>
              <w:right w:w="108" w:type="dxa"/>
            </w:tcMar>
          </w:tcPr>
          <w:p w14:paraId="2A30F30B" w14:textId="77777777" w:rsidR="00BF4C0F" w:rsidRPr="00BF4C0F" w:rsidRDefault="00BF4C0F" w:rsidP="00443BC7">
            <w:pPr>
              <w:rPr>
                <w:b/>
                <w:bCs/>
              </w:rPr>
            </w:pPr>
            <w:proofErr w:type="spellStart"/>
            <w:r w:rsidRPr="00F94824">
              <w:rPr>
                <w:b/>
                <w:bCs/>
                <w:lang w:val="en-GB"/>
              </w:rPr>
              <w:t>Ελλάδ</w:t>
            </w:r>
            <w:proofErr w:type="spellEnd"/>
            <w:r w:rsidRPr="00F94824">
              <w:rPr>
                <w:b/>
                <w:bCs/>
                <w:lang w:val="en-GB"/>
              </w:rPr>
              <w:t>α</w:t>
            </w:r>
          </w:p>
          <w:p w14:paraId="32E8C69D" w14:textId="77777777" w:rsidR="00BF4C0F" w:rsidRPr="00BF4C0F" w:rsidRDefault="00BF4C0F" w:rsidP="00443BC7">
            <w:r w:rsidRPr="00BF4C0F">
              <w:t>PFIZER E</w:t>
            </w:r>
            <w:r w:rsidRPr="00F94824">
              <w:rPr>
                <w:lang w:val="en-GB"/>
              </w:rPr>
              <w:t>ΛΛ</w:t>
            </w:r>
            <w:r w:rsidRPr="00BF4C0F">
              <w:t>A</w:t>
            </w:r>
            <w:r w:rsidRPr="00F94824">
              <w:rPr>
                <w:lang w:val="en-GB"/>
              </w:rPr>
              <w:t>Σ</w:t>
            </w:r>
            <w:r w:rsidRPr="00BF4C0F">
              <w:t xml:space="preserve"> A.E.</w:t>
            </w:r>
          </w:p>
          <w:p w14:paraId="271831CE" w14:textId="77777777" w:rsidR="00BF4C0F" w:rsidRPr="00F94824" w:rsidRDefault="00BF4C0F" w:rsidP="00443BC7">
            <w:pPr>
              <w:rPr>
                <w:lang w:val="en-GB"/>
              </w:rPr>
            </w:pPr>
            <w:proofErr w:type="spellStart"/>
            <w:r w:rsidRPr="00F94824">
              <w:rPr>
                <w:lang w:val="en-GB"/>
              </w:rPr>
              <w:t>Τηλ</w:t>
            </w:r>
            <w:proofErr w:type="spellEnd"/>
            <w:r w:rsidRPr="00F94824">
              <w:rPr>
                <w:lang w:val="en-GB"/>
              </w:rPr>
              <w:t>.: +30 210 67 85 800</w:t>
            </w:r>
          </w:p>
          <w:p w14:paraId="663B6B39" w14:textId="77777777" w:rsidR="00BF4C0F" w:rsidRPr="00F94824" w:rsidRDefault="00BF4C0F" w:rsidP="00443BC7">
            <w:pPr>
              <w:autoSpaceDE w:val="0"/>
              <w:autoSpaceDN w:val="0"/>
              <w:rPr>
                <w:lang w:val="en-GB"/>
              </w:rPr>
            </w:pPr>
          </w:p>
        </w:tc>
        <w:tc>
          <w:tcPr>
            <w:tcW w:w="4863" w:type="dxa"/>
            <w:gridSpan w:val="2"/>
            <w:tcMar>
              <w:top w:w="0" w:type="dxa"/>
              <w:left w:w="108" w:type="dxa"/>
              <w:bottom w:w="0" w:type="dxa"/>
              <w:right w:w="108" w:type="dxa"/>
            </w:tcMar>
          </w:tcPr>
          <w:p w14:paraId="108D5D2D" w14:textId="77777777" w:rsidR="00BF4C0F" w:rsidRPr="00EC03BF" w:rsidRDefault="00BF4C0F" w:rsidP="00443BC7">
            <w:pPr>
              <w:rPr>
                <w:b/>
              </w:rPr>
            </w:pPr>
            <w:r w:rsidRPr="00EC03BF">
              <w:rPr>
                <w:b/>
              </w:rPr>
              <w:t>Polska</w:t>
            </w:r>
          </w:p>
          <w:p w14:paraId="1A3C374E" w14:textId="77777777" w:rsidR="00BF4C0F" w:rsidRPr="00EC03BF" w:rsidRDefault="00BF4C0F" w:rsidP="00443BC7">
            <w:r w:rsidRPr="00EC03BF">
              <w:t>Pfizer Polska Sp. z o.o.</w:t>
            </w:r>
          </w:p>
          <w:p w14:paraId="13226868" w14:textId="77777777" w:rsidR="00BF4C0F" w:rsidRPr="000E0085" w:rsidRDefault="00BF4C0F" w:rsidP="00443BC7">
            <w:pPr>
              <w:rPr>
                <w:lang w:val="en-GB"/>
              </w:rPr>
            </w:pPr>
            <w:r w:rsidRPr="000E0085">
              <w:rPr>
                <w:lang w:val="en-GB"/>
              </w:rPr>
              <w:t>Tel.: +48 22 335 61 00</w:t>
            </w:r>
          </w:p>
          <w:p w14:paraId="2A0C12AF" w14:textId="77777777" w:rsidR="00BF4C0F" w:rsidRPr="000E0085" w:rsidRDefault="00BF4C0F" w:rsidP="00443BC7">
            <w:pPr>
              <w:autoSpaceDE w:val="0"/>
              <w:autoSpaceDN w:val="0"/>
              <w:rPr>
                <w:lang w:val="en-GB"/>
              </w:rPr>
            </w:pPr>
          </w:p>
        </w:tc>
      </w:tr>
      <w:tr w:rsidR="00BF4C0F" w:rsidRPr="00E26A2B" w14:paraId="65F7A006" w14:textId="77777777" w:rsidTr="00443BC7">
        <w:trPr>
          <w:cantSplit/>
        </w:trPr>
        <w:tc>
          <w:tcPr>
            <w:tcW w:w="4224" w:type="dxa"/>
            <w:tcMar>
              <w:top w:w="0" w:type="dxa"/>
              <w:left w:w="108" w:type="dxa"/>
              <w:bottom w:w="0" w:type="dxa"/>
              <w:right w:w="108" w:type="dxa"/>
            </w:tcMar>
          </w:tcPr>
          <w:p w14:paraId="1B83AF9F" w14:textId="77777777" w:rsidR="00BF4C0F" w:rsidRPr="00C05F53" w:rsidRDefault="00BF4C0F" w:rsidP="00443BC7">
            <w:pPr>
              <w:rPr>
                <w:b/>
                <w:bCs/>
                <w:lang w:val="es-ES"/>
              </w:rPr>
            </w:pPr>
            <w:r w:rsidRPr="00C05F53">
              <w:rPr>
                <w:b/>
                <w:bCs/>
                <w:lang w:val="es-ES"/>
              </w:rPr>
              <w:t>España</w:t>
            </w:r>
          </w:p>
          <w:p w14:paraId="25F515BE" w14:textId="77777777" w:rsidR="00BF4C0F" w:rsidRPr="00C05F53" w:rsidRDefault="00BF4C0F" w:rsidP="00443BC7">
            <w:pPr>
              <w:rPr>
                <w:lang w:val="es-ES"/>
              </w:rPr>
            </w:pPr>
            <w:r w:rsidRPr="00C05F53">
              <w:rPr>
                <w:lang w:val="es-ES"/>
              </w:rPr>
              <w:t>Pfizer S.L.</w:t>
            </w:r>
          </w:p>
          <w:p w14:paraId="464FEF97" w14:textId="77777777" w:rsidR="00BF4C0F" w:rsidRPr="00C05F53" w:rsidRDefault="00BF4C0F" w:rsidP="00443BC7">
            <w:pPr>
              <w:rPr>
                <w:lang w:val="es-ES"/>
              </w:rPr>
            </w:pPr>
            <w:r w:rsidRPr="00C05F53">
              <w:rPr>
                <w:lang w:val="es-ES"/>
              </w:rPr>
              <w:t>Tel: +34 91 490 99 00</w:t>
            </w:r>
          </w:p>
          <w:p w14:paraId="03A75E55" w14:textId="77777777" w:rsidR="00BF4C0F" w:rsidRPr="00C05F53" w:rsidRDefault="00BF4C0F" w:rsidP="00443BC7">
            <w:pPr>
              <w:rPr>
                <w:lang w:val="es-ES"/>
              </w:rPr>
            </w:pPr>
          </w:p>
          <w:p w14:paraId="46DA9AA0" w14:textId="77777777" w:rsidR="00BF4C0F" w:rsidRPr="00C05F53" w:rsidRDefault="00BF4C0F" w:rsidP="00443BC7">
            <w:pPr>
              <w:autoSpaceDE w:val="0"/>
              <w:autoSpaceDN w:val="0"/>
              <w:rPr>
                <w:lang w:val="es-ES"/>
              </w:rPr>
            </w:pPr>
          </w:p>
        </w:tc>
        <w:tc>
          <w:tcPr>
            <w:tcW w:w="4863" w:type="dxa"/>
            <w:gridSpan w:val="2"/>
            <w:tcMar>
              <w:top w:w="0" w:type="dxa"/>
              <w:left w:w="108" w:type="dxa"/>
              <w:bottom w:w="0" w:type="dxa"/>
              <w:right w:w="108" w:type="dxa"/>
            </w:tcMar>
          </w:tcPr>
          <w:p w14:paraId="4B6ACB5C" w14:textId="77777777" w:rsidR="00BF4C0F" w:rsidRPr="00C05F53" w:rsidRDefault="00BF4C0F" w:rsidP="00443BC7">
            <w:pPr>
              <w:autoSpaceDE w:val="0"/>
              <w:autoSpaceDN w:val="0"/>
              <w:rPr>
                <w:b/>
                <w:lang w:val="es-ES"/>
              </w:rPr>
            </w:pPr>
            <w:r w:rsidRPr="00C05F53">
              <w:rPr>
                <w:b/>
                <w:lang w:val="es-ES"/>
              </w:rPr>
              <w:t>Portugal</w:t>
            </w:r>
          </w:p>
          <w:p w14:paraId="5B085D17" w14:textId="77777777" w:rsidR="00BF4C0F" w:rsidRPr="00C05F53" w:rsidRDefault="00BF4C0F" w:rsidP="00443BC7">
            <w:pPr>
              <w:autoSpaceDE w:val="0"/>
              <w:autoSpaceDN w:val="0"/>
              <w:rPr>
                <w:lang w:val="es-ES"/>
              </w:rPr>
            </w:pPr>
            <w:proofErr w:type="spellStart"/>
            <w:r w:rsidRPr="00C05F53">
              <w:rPr>
                <w:lang w:val="es-ES"/>
              </w:rPr>
              <w:t>Laboratórios</w:t>
            </w:r>
            <w:proofErr w:type="spellEnd"/>
            <w:r w:rsidRPr="00C05F53">
              <w:rPr>
                <w:lang w:val="es-ES"/>
              </w:rPr>
              <w:t xml:space="preserve"> Pfizer, Lda.</w:t>
            </w:r>
          </w:p>
          <w:p w14:paraId="6AE81EEF" w14:textId="77777777" w:rsidR="00BF4C0F" w:rsidRPr="00C05F53" w:rsidRDefault="00BF4C0F" w:rsidP="00443BC7">
            <w:pPr>
              <w:autoSpaceDE w:val="0"/>
              <w:autoSpaceDN w:val="0"/>
              <w:rPr>
                <w:lang w:val="es-ES"/>
              </w:rPr>
            </w:pPr>
            <w:r w:rsidRPr="00C05F53">
              <w:rPr>
                <w:lang w:val="es-ES"/>
              </w:rPr>
              <w:t>Tel: +351 21 423 5500</w:t>
            </w:r>
          </w:p>
        </w:tc>
      </w:tr>
      <w:tr w:rsidR="00BF4C0F" w:rsidRPr="000E0085" w14:paraId="3DB88504" w14:textId="77777777" w:rsidTr="00443BC7">
        <w:trPr>
          <w:cantSplit/>
        </w:trPr>
        <w:tc>
          <w:tcPr>
            <w:tcW w:w="4224" w:type="dxa"/>
            <w:tcMar>
              <w:top w:w="0" w:type="dxa"/>
              <w:left w:w="108" w:type="dxa"/>
              <w:bottom w:w="0" w:type="dxa"/>
              <w:right w:w="108" w:type="dxa"/>
            </w:tcMar>
          </w:tcPr>
          <w:p w14:paraId="67C2E0EA" w14:textId="77777777" w:rsidR="00BF4C0F" w:rsidRPr="000E0085" w:rsidRDefault="00BF4C0F" w:rsidP="00443BC7">
            <w:pPr>
              <w:rPr>
                <w:b/>
                <w:bCs/>
                <w:lang w:val="en-GB"/>
              </w:rPr>
            </w:pPr>
            <w:r w:rsidRPr="000E0085">
              <w:rPr>
                <w:b/>
                <w:bCs/>
                <w:lang w:val="en-GB"/>
              </w:rPr>
              <w:lastRenderedPageBreak/>
              <w:t>France</w:t>
            </w:r>
          </w:p>
          <w:p w14:paraId="3A3B6FF0" w14:textId="77777777" w:rsidR="00BF4C0F" w:rsidRPr="000E0085" w:rsidRDefault="00BF4C0F" w:rsidP="00443BC7">
            <w:pPr>
              <w:rPr>
                <w:lang w:val="en-GB"/>
              </w:rPr>
            </w:pPr>
            <w:r w:rsidRPr="000E0085">
              <w:rPr>
                <w:lang w:val="en-GB"/>
              </w:rPr>
              <w:t xml:space="preserve">Pfizer </w:t>
            </w:r>
          </w:p>
          <w:p w14:paraId="1542187E" w14:textId="77777777" w:rsidR="00BF4C0F" w:rsidRPr="000E0085" w:rsidRDefault="00BF4C0F" w:rsidP="00443BC7">
            <w:pPr>
              <w:rPr>
                <w:lang w:val="en-GB"/>
              </w:rPr>
            </w:pPr>
            <w:proofErr w:type="spellStart"/>
            <w:r w:rsidRPr="000E0085">
              <w:rPr>
                <w:lang w:val="en-GB"/>
              </w:rPr>
              <w:t>Tél</w:t>
            </w:r>
            <w:proofErr w:type="spellEnd"/>
            <w:r w:rsidRPr="000E0085">
              <w:rPr>
                <w:lang w:val="en-GB"/>
              </w:rPr>
              <w:t>: +33 (0)1 58 07 34 40</w:t>
            </w:r>
          </w:p>
          <w:p w14:paraId="23B24622" w14:textId="77777777" w:rsidR="00BF4C0F" w:rsidRPr="000E0085" w:rsidRDefault="00BF4C0F" w:rsidP="00443BC7">
            <w:pPr>
              <w:rPr>
                <w:lang w:val="en-GB"/>
              </w:rPr>
            </w:pPr>
          </w:p>
        </w:tc>
        <w:tc>
          <w:tcPr>
            <w:tcW w:w="4863" w:type="dxa"/>
            <w:gridSpan w:val="2"/>
            <w:tcMar>
              <w:top w:w="0" w:type="dxa"/>
              <w:left w:w="108" w:type="dxa"/>
              <w:bottom w:w="0" w:type="dxa"/>
              <w:right w:w="108" w:type="dxa"/>
            </w:tcMar>
          </w:tcPr>
          <w:p w14:paraId="09394E36" w14:textId="77777777" w:rsidR="00BF4C0F" w:rsidRPr="00EC03BF" w:rsidRDefault="00BF4C0F" w:rsidP="00443BC7">
            <w:pPr>
              <w:rPr>
                <w:b/>
                <w:bCs/>
                <w:lang w:val="pt-BR"/>
              </w:rPr>
            </w:pPr>
            <w:r w:rsidRPr="00EC03BF">
              <w:rPr>
                <w:b/>
                <w:bCs/>
                <w:lang w:val="pt-BR"/>
              </w:rPr>
              <w:t>România</w:t>
            </w:r>
          </w:p>
          <w:p w14:paraId="767A2882" w14:textId="77777777" w:rsidR="00BF4C0F" w:rsidRPr="00EC03BF" w:rsidRDefault="00BF4C0F" w:rsidP="00443BC7">
            <w:pPr>
              <w:rPr>
                <w:lang w:val="pt-BR"/>
              </w:rPr>
            </w:pPr>
            <w:r w:rsidRPr="00EC03BF">
              <w:rPr>
                <w:lang w:val="pt-BR"/>
              </w:rPr>
              <w:t>Pfizer România S.R.L</w:t>
            </w:r>
          </w:p>
          <w:p w14:paraId="4770FA96" w14:textId="77777777" w:rsidR="00BF4C0F" w:rsidRPr="000E0085" w:rsidRDefault="00BF4C0F" w:rsidP="00443BC7">
            <w:pPr>
              <w:rPr>
                <w:lang w:val="en-GB"/>
              </w:rPr>
            </w:pPr>
            <w:r w:rsidRPr="000E0085">
              <w:rPr>
                <w:lang w:val="en-GB"/>
              </w:rPr>
              <w:t>Tel: +40 (0) 21 207 28 00</w:t>
            </w:r>
          </w:p>
          <w:p w14:paraId="544A33F8" w14:textId="77777777" w:rsidR="00BF4C0F" w:rsidRPr="000E0085" w:rsidRDefault="00BF4C0F" w:rsidP="00443BC7">
            <w:pPr>
              <w:autoSpaceDE w:val="0"/>
              <w:autoSpaceDN w:val="0"/>
              <w:rPr>
                <w:lang w:val="en-GB"/>
              </w:rPr>
            </w:pPr>
          </w:p>
        </w:tc>
      </w:tr>
      <w:tr w:rsidR="00BF4C0F" w:rsidRPr="000E0085" w14:paraId="27FC5539" w14:textId="77777777" w:rsidTr="00443BC7">
        <w:trPr>
          <w:cantSplit/>
        </w:trPr>
        <w:tc>
          <w:tcPr>
            <w:tcW w:w="4224" w:type="dxa"/>
            <w:tcMar>
              <w:top w:w="0" w:type="dxa"/>
              <w:left w:w="108" w:type="dxa"/>
              <w:bottom w:w="0" w:type="dxa"/>
              <w:right w:w="108" w:type="dxa"/>
            </w:tcMar>
          </w:tcPr>
          <w:p w14:paraId="6AD3AEB6" w14:textId="77777777" w:rsidR="00BF4C0F" w:rsidRPr="00EC03BF" w:rsidRDefault="00BF4C0F" w:rsidP="00443BC7">
            <w:pPr>
              <w:rPr>
                <w:b/>
                <w:bCs/>
                <w:lang w:val="pt-BR"/>
              </w:rPr>
            </w:pPr>
            <w:r w:rsidRPr="00EC03BF">
              <w:rPr>
                <w:b/>
                <w:bCs/>
                <w:lang w:val="pt-BR"/>
              </w:rPr>
              <w:t>Hrvatska</w:t>
            </w:r>
          </w:p>
          <w:p w14:paraId="55E2682A" w14:textId="77777777" w:rsidR="00BF4C0F" w:rsidRPr="00EC03BF" w:rsidRDefault="00BF4C0F" w:rsidP="00443BC7">
            <w:pPr>
              <w:rPr>
                <w:lang w:val="pt-BR"/>
              </w:rPr>
            </w:pPr>
            <w:r w:rsidRPr="00EC03BF">
              <w:rPr>
                <w:lang w:val="pt-BR"/>
              </w:rPr>
              <w:t>Pfizer Croatia d.o.o.</w:t>
            </w:r>
          </w:p>
          <w:p w14:paraId="69C2EA66" w14:textId="77777777" w:rsidR="00BF4C0F" w:rsidRPr="000E0085" w:rsidRDefault="00BF4C0F" w:rsidP="00443BC7">
            <w:pPr>
              <w:rPr>
                <w:lang w:val="en-GB"/>
              </w:rPr>
            </w:pPr>
            <w:r w:rsidRPr="000E0085">
              <w:rPr>
                <w:lang w:val="en-GB"/>
              </w:rPr>
              <w:t>Tel: +385 1 3908 777</w:t>
            </w:r>
          </w:p>
          <w:p w14:paraId="75A72E68"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29AC4671" w14:textId="77777777" w:rsidR="00BF4C0F" w:rsidRPr="00EC03BF" w:rsidRDefault="00BF4C0F" w:rsidP="00443BC7">
            <w:pPr>
              <w:rPr>
                <w:b/>
                <w:bCs/>
                <w:lang w:val="pt-BR"/>
              </w:rPr>
            </w:pPr>
            <w:r w:rsidRPr="00EC03BF">
              <w:rPr>
                <w:b/>
                <w:bCs/>
                <w:lang w:val="pt-BR"/>
              </w:rPr>
              <w:t>Slovenija</w:t>
            </w:r>
          </w:p>
          <w:p w14:paraId="51171DDD" w14:textId="77777777" w:rsidR="00BF4C0F" w:rsidRPr="00EC03BF" w:rsidRDefault="00BF4C0F" w:rsidP="00443BC7">
            <w:pPr>
              <w:rPr>
                <w:lang w:val="pt-BR"/>
              </w:rPr>
            </w:pPr>
            <w:r w:rsidRPr="00EC03BF">
              <w:rPr>
                <w:lang w:val="pt-BR"/>
              </w:rPr>
              <w:t>Pfizer Luxembourg SARL</w:t>
            </w:r>
            <w:r w:rsidRPr="00EC03BF">
              <w:rPr>
                <w:i/>
                <w:iCs/>
                <w:lang w:val="pt-BR"/>
              </w:rPr>
              <w:t xml:space="preserve">, </w:t>
            </w:r>
            <w:r w:rsidRPr="00EC03BF">
              <w:rPr>
                <w:lang w:val="pt-BR"/>
              </w:rPr>
              <w:t>Pfizer, podružnica</w:t>
            </w:r>
          </w:p>
          <w:p w14:paraId="7EE185B1" w14:textId="77777777" w:rsidR="00BF4C0F" w:rsidRPr="00EC03BF" w:rsidRDefault="00BF4C0F" w:rsidP="00443BC7">
            <w:pPr>
              <w:rPr>
                <w:lang w:val="pt-BR"/>
              </w:rPr>
            </w:pPr>
            <w:r w:rsidRPr="00EC03BF">
              <w:rPr>
                <w:lang w:val="pt-BR"/>
              </w:rPr>
              <w:t>za svetovanje s področja farmacevtske</w:t>
            </w:r>
          </w:p>
          <w:p w14:paraId="2CD2D269" w14:textId="77777777" w:rsidR="00BF4C0F" w:rsidRPr="00EC03BF" w:rsidRDefault="00BF4C0F" w:rsidP="00443BC7">
            <w:pPr>
              <w:rPr>
                <w:lang w:val="pt-BR"/>
              </w:rPr>
            </w:pPr>
            <w:r w:rsidRPr="00EC03BF">
              <w:rPr>
                <w:lang w:val="pt-BR"/>
              </w:rPr>
              <w:t>dejavnosti, Ljubljana</w:t>
            </w:r>
          </w:p>
          <w:p w14:paraId="2EDECA68" w14:textId="77777777" w:rsidR="00BF4C0F" w:rsidRPr="000E0085" w:rsidRDefault="00BF4C0F" w:rsidP="00443BC7">
            <w:pPr>
              <w:rPr>
                <w:lang w:val="en-GB"/>
              </w:rPr>
            </w:pPr>
            <w:r w:rsidRPr="000E0085">
              <w:rPr>
                <w:lang w:val="en-GB"/>
              </w:rPr>
              <w:t>Tel: +386 (0)1 52 11 400</w:t>
            </w:r>
          </w:p>
          <w:p w14:paraId="3407BD77" w14:textId="77777777" w:rsidR="00BF4C0F" w:rsidRPr="000E0085" w:rsidRDefault="00BF4C0F" w:rsidP="00443BC7">
            <w:pPr>
              <w:autoSpaceDE w:val="0"/>
              <w:autoSpaceDN w:val="0"/>
              <w:rPr>
                <w:lang w:val="en-GB"/>
              </w:rPr>
            </w:pPr>
          </w:p>
        </w:tc>
      </w:tr>
      <w:tr w:rsidR="00BF4C0F" w:rsidRPr="000E0085" w14:paraId="7E5A1DC4" w14:textId="77777777" w:rsidTr="00443BC7">
        <w:trPr>
          <w:cantSplit/>
        </w:trPr>
        <w:tc>
          <w:tcPr>
            <w:tcW w:w="4224" w:type="dxa"/>
            <w:tcMar>
              <w:top w:w="0" w:type="dxa"/>
              <w:left w:w="108" w:type="dxa"/>
              <w:bottom w:w="0" w:type="dxa"/>
              <w:right w:w="108" w:type="dxa"/>
            </w:tcMar>
          </w:tcPr>
          <w:p w14:paraId="165E4121" w14:textId="77777777" w:rsidR="00BF4C0F" w:rsidRPr="000E0085" w:rsidRDefault="00BF4C0F" w:rsidP="00443BC7">
            <w:pPr>
              <w:rPr>
                <w:b/>
                <w:bCs/>
                <w:lang w:val="en-GB"/>
              </w:rPr>
            </w:pPr>
            <w:r w:rsidRPr="000E0085">
              <w:rPr>
                <w:b/>
                <w:bCs/>
                <w:lang w:val="en-GB"/>
              </w:rPr>
              <w:t>Ireland</w:t>
            </w:r>
          </w:p>
          <w:p w14:paraId="38F5452A" w14:textId="5FDA30AA" w:rsidR="00BF4C0F" w:rsidRPr="000E0085" w:rsidRDefault="00BF4C0F" w:rsidP="00443BC7">
            <w:pPr>
              <w:rPr>
                <w:lang w:val="en-GB"/>
              </w:rPr>
            </w:pPr>
            <w:r w:rsidRPr="000E0085">
              <w:rPr>
                <w:lang w:val="en-GB"/>
              </w:rPr>
              <w:t>Pfizer Healthcare Ireland</w:t>
            </w:r>
            <w:ins w:id="57" w:author="Author" w:date="2025-06-12T14:13:00Z" w16du:dateUtc="2025-06-12T13:13:00Z">
              <w:r w:rsidR="00EC03BF">
                <w:rPr>
                  <w:lang w:val="en-GB"/>
                </w:rPr>
                <w:t xml:space="preserve"> Unlimited Company</w:t>
              </w:r>
            </w:ins>
          </w:p>
          <w:p w14:paraId="346B1C3F" w14:textId="77777777" w:rsidR="00BF4C0F" w:rsidRPr="000E0085" w:rsidRDefault="00BF4C0F" w:rsidP="00443BC7">
            <w:pPr>
              <w:rPr>
                <w:lang w:val="en-GB"/>
              </w:rPr>
            </w:pPr>
            <w:r w:rsidRPr="000E0085">
              <w:rPr>
                <w:lang w:val="en-GB"/>
              </w:rPr>
              <w:t>Tel: +1800 633 363 (toll free)</w:t>
            </w:r>
          </w:p>
          <w:p w14:paraId="0C277B60" w14:textId="77777777" w:rsidR="00BF4C0F" w:rsidRPr="000E0085" w:rsidRDefault="00BF4C0F" w:rsidP="00443BC7">
            <w:pPr>
              <w:rPr>
                <w:lang w:val="en-GB"/>
              </w:rPr>
            </w:pPr>
            <w:r w:rsidRPr="000E0085">
              <w:rPr>
                <w:lang w:val="en-GB"/>
              </w:rPr>
              <w:t>Tel: +44 (0)1304 616161</w:t>
            </w:r>
          </w:p>
          <w:p w14:paraId="61B4C739"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6F4BBC22" w14:textId="77777777" w:rsidR="00BF4C0F" w:rsidRPr="00EC03BF" w:rsidRDefault="00BF4C0F" w:rsidP="00443BC7">
            <w:pPr>
              <w:rPr>
                <w:b/>
                <w:bCs/>
                <w:lang w:val="pt-BR"/>
              </w:rPr>
            </w:pPr>
            <w:r w:rsidRPr="00EC03BF">
              <w:rPr>
                <w:b/>
                <w:bCs/>
                <w:lang w:val="pt-BR"/>
              </w:rPr>
              <w:t>Slovenská Republika</w:t>
            </w:r>
          </w:p>
          <w:p w14:paraId="477D49CE" w14:textId="77777777" w:rsidR="00BF4C0F" w:rsidRPr="00EC03BF" w:rsidRDefault="00BF4C0F" w:rsidP="00443BC7">
            <w:pPr>
              <w:rPr>
                <w:lang w:val="pt-BR"/>
              </w:rPr>
            </w:pPr>
            <w:r w:rsidRPr="00EC03BF">
              <w:rPr>
                <w:lang w:val="pt-BR"/>
              </w:rPr>
              <w:t>Pfizer Luxembourg SARL, organizačná zložka</w:t>
            </w:r>
          </w:p>
          <w:p w14:paraId="2C853B94" w14:textId="77777777" w:rsidR="00BF4C0F" w:rsidRPr="000E0085" w:rsidRDefault="00BF4C0F" w:rsidP="00443BC7">
            <w:pPr>
              <w:rPr>
                <w:lang w:val="en-GB"/>
              </w:rPr>
            </w:pPr>
            <w:r w:rsidRPr="000E0085">
              <w:rPr>
                <w:lang w:val="en-GB"/>
              </w:rPr>
              <w:t>Tel: +421 2 3355 5500</w:t>
            </w:r>
          </w:p>
          <w:p w14:paraId="0E4B6B25" w14:textId="77777777" w:rsidR="00BF4C0F" w:rsidRPr="000E0085" w:rsidRDefault="00BF4C0F" w:rsidP="00443BC7">
            <w:pPr>
              <w:autoSpaceDE w:val="0"/>
              <w:autoSpaceDN w:val="0"/>
              <w:rPr>
                <w:lang w:val="en-GB"/>
              </w:rPr>
            </w:pPr>
          </w:p>
        </w:tc>
      </w:tr>
      <w:tr w:rsidR="00BF4C0F" w:rsidRPr="00C05F53" w14:paraId="2F6D3F6A" w14:textId="77777777" w:rsidTr="00443BC7">
        <w:trPr>
          <w:cantSplit/>
        </w:trPr>
        <w:tc>
          <w:tcPr>
            <w:tcW w:w="4224" w:type="dxa"/>
            <w:tcMar>
              <w:top w:w="0" w:type="dxa"/>
              <w:left w:w="108" w:type="dxa"/>
              <w:bottom w:w="0" w:type="dxa"/>
              <w:right w:w="108" w:type="dxa"/>
            </w:tcMar>
          </w:tcPr>
          <w:p w14:paraId="6234D24D" w14:textId="77777777" w:rsidR="00BF4C0F" w:rsidRPr="000E0085" w:rsidRDefault="00BF4C0F" w:rsidP="00443BC7">
            <w:pPr>
              <w:rPr>
                <w:b/>
                <w:bCs/>
                <w:lang w:val="en-GB"/>
              </w:rPr>
            </w:pPr>
            <w:proofErr w:type="spellStart"/>
            <w:r w:rsidRPr="000E0085">
              <w:rPr>
                <w:b/>
                <w:bCs/>
                <w:lang w:val="en-GB"/>
              </w:rPr>
              <w:t>Ísland</w:t>
            </w:r>
            <w:proofErr w:type="spellEnd"/>
          </w:p>
          <w:p w14:paraId="1F74B59B" w14:textId="77777777" w:rsidR="00BF4C0F" w:rsidRPr="000E0085" w:rsidRDefault="00BF4C0F" w:rsidP="00443BC7">
            <w:pPr>
              <w:rPr>
                <w:lang w:val="en-GB"/>
              </w:rPr>
            </w:pPr>
            <w:proofErr w:type="spellStart"/>
            <w:r w:rsidRPr="000E0085">
              <w:rPr>
                <w:lang w:val="en-GB"/>
              </w:rPr>
              <w:t>Icepharma</w:t>
            </w:r>
            <w:proofErr w:type="spellEnd"/>
            <w:r w:rsidRPr="000E0085">
              <w:rPr>
                <w:lang w:val="en-GB"/>
              </w:rPr>
              <w:t xml:space="preserve"> hf.</w:t>
            </w:r>
          </w:p>
          <w:p w14:paraId="5B67C8C8" w14:textId="77777777" w:rsidR="00BF4C0F" w:rsidRPr="000E0085" w:rsidRDefault="00BF4C0F" w:rsidP="00443BC7">
            <w:pPr>
              <w:rPr>
                <w:lang w:val="en-GB"/>
              </w:rPr>
            </w:pPr>
            <w:r w:rsidRPr="000E0085">
              <w:rPr>
                <w:lang w:val="en-GB"/>
              </w:rPr>
              <w:t>Tel: +354 540 8000</w:t>
            </w:r>
          </w:p>
          <w:p w14:paraId="378E99D1"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74AFB5BF" w14:textId="77777777" w:rsidR="00BF4C0F" w:rsidRPr="00C05F53" w:rsidRDefault="00BF4C0F" w:rsidP="00443BC7">
            <w:pPr>
              <w:rPr>
                <w:b/>
                <w:bCs/>
              </w:rPr>
            </w:pPr>
            <w:r w:rsidRPr="00C05F53">
              <w:rPr>
                <w:b/>
                <w:bCs/>
              </w:rPr>
              <w:t>Suomi/Finland</w:t>
            </w:r>
          </w:p>
          <w:p w14:paraId="13DC63E4" w14:textId="77777777" w:rsidR="00BF4C0F" w:rsidRPr="00C05F53" w:rsidRDefault="00BF4C0F" w:rsidP="00443BC7">
            <w:r w:rsidRPr="00C05F53">
              <w:t>Pfizer Oy</w:t>
            </w:r>
          </w:p>
          <w:p w14:paraId="08F0CCEA" w14:textId="77777777" w:rsidR="00BF4C0F" w:rsidRPr="00C05F53" w:rsidRDefault="00BF4C0F" w:rsidP="00443BC7">
            <w:r w:rsidRPr="00C05F53">
              <w:t>Puh/Tel: +358 (0)9 430 040</w:t>
            </w:r>
          </w:p>
          <w:p w14:paraId="18F1F17F" w14:textId="77777777" w:rsidR="00BF4C0F" w:rsidRPr="00C05F53" w:rsidRDefault="00BF4C0F" w:rsidP="00443BC7"/>
          <w:p w14:paraId="14CA495D" w14:textId="77777777" w:rsidR="00BF4C0F" w:rsidRPr="00C05F53" w:rsidRDefault="00BF4C0F" w:rsidP="00443BC7">
            <w:pPr>
              <w:autoSpaceDE w:val="0"/>
              <w:autoSpaceDN w:val="0"/>
            </w:pPr>
          </w:p>
        </w:tc>
      </w:tr>
      <w:tr w:rsidR="00BF4C0F" w:rsidRPr="000E0085" w14:paraId="46C1944B" w14:textId="77777777" w:rsidTr="00443BC7">
        <w:trPr>
          <w:cantSplit/>
        </w:trPr>
        <w:tc>
          <w:tcPr>
            <w:tcW w:w="4224" w:type="dxa"/>
            <w:tcMar>
              <w:top w:w="0" w:type="dxa"/>
              <w:left w:w="108" w:type="dxa"/>
              <w:bottom w:w="0" w:type="dxa"/>
              <w:right w:w="108" w:type="dxa"/>
            </w:tcMar>
          </w:tcPr>
          <w:p w14:paraId="0D269C0E" w14:textId="77777777" w:rsidR="00BF4C0F" w:rsidRPr="00EC03BF" w:rsidRDefault="00BF4C0F" w:rsidP="00443BC7">
            <w:pPr>
              <w:rPr>
                <w:lang w:val="pt-BR"/>
              </w:rPr>
            </w:pPr>
            <w:r w:rsidRPr="00EC03BF">
              <w:rPr>
                <w:b/>
                <w:bCs/>
                <w:lang w:val="pt-BR"/>
              </w:rPr>
              <w:t>Italia</w:t>
            </w:r>
          </w:p>
          <w:p w14:paraId="1D3D70B2" w14:textId="77777777" w:rsidR="00BF4C0F" w:rsidRPr="00EC03BF" w:rsidRDefault="00BF4C0F" w:rsidP="00443BC7">
            <w:pPr>
              <w:rPr>
                <w:lang w:val="pt-BR"/>
              </w:rPr>
            </w:pPr>
            <w:r w:rsidRPr="00EC03BF">
              <w:rPr>
                <w:lang w:val="pt-BR"/>
              </w:rPr>
              <w:t xml:space="preserve">Pfizer S.r.l. </w:t>
            </w:r>
          </w:p>
          <w:p w14:paraId="59192B90" w14:textId="77777777" w:rsidR="00BF4C0F" w:rsidRPr="000E0085" w:rsidRDefault="00BF4C0F" w:rsidP="00443BC7">
            <w:pPr>
              <w:rPr>
                <w:lang w:val="en-GB"/>
              </w:rPr>
            </w:pPr>
            <w:r w:rsidRPr="000E0085">
              <w:rPr>
                <w:lang w:val="en-GB"/>
              </w:rPr>
              <w:t>Tel: +39 06 33 18 21</w:t>
            </w:r>
          </w:p>
          <w:p w14:paraId="35A9176B" w14:textId="77777777" w:rsidR="00BF4C0F" w:rsidRPr="000E0085" w:rsidRDefault="00BF4C0F" w:rsidP="00443BC7">
            <w:pPr>
              <w:autoSpaceDE w:val="0"/>
              <w:autoSpaceDN w:val="0"/>
              <w:rPr>
                <w:lang w:val="en-GB"/>
              </w:rPr>
            </w:pPr>
          </w:p>
        </w:tc>
        <w:tc>
          <w:tcPr>
            <w:tcW w:w="4863" w:type="dxa"/>
            <w:gridSpan w:val="2"/>
            <w:tcMar>
              <w:top w:w="0" w:type="dxa"/>
              <w:left w:w="108" w:type="dxa"/>
              <w:bottom w:w="0" w:type="dxa"/>
              <w:right w:w="108" w:type="dxa"/>
            </w:tcMar>
          </w:tcPr>
          <w:p w14:paraId="32F43120" w14:textId="77777777" w:rsidR="00BF4C0F" w:rsidRPr="000E0085" w:rsidRDefault="00BF4C0F" w:rsidP="00443BC7">
            <w:pPr>
              <w:rPr>
                <w:b/>
                <w:bCs/>
                <w:lang w:val="en-GB"/>
              </w:rPr>
            </w:pPr>
            <w:r w:rsidRPr="000E0085">
              <w:rPr>
                <w:b/>
                <w:bCs/>
                <w:lang w:val="en-GB"/>
              </w:rPr>
              <w:t>Sverige</w:t>
            </w:r>
          </w:p>
          <w:p w14:paraId="5D0D5684" w14:textId="77777777" w:rsidR="00BF4C0F" w:rsidRPr="000E0085" w:rsidRDefault="00BF4C0F" w:rsidP="00443BC7">
            <w:pPr>
              <w:rPr>
                <w:lang w:val="en-GB"/>
              </w:rPr>
            </w:pPr>
            <w:r w:rsidRPr="000E0085">
              <w:rPr>
                <w:lang w:val="en-GB"/>
              </w:rPr>
              <w:t>Pfizer AB</w:t>
            </w:r>
          </w:p>
          <w:p w14:paraId="63BCE124" w14:textId="77777777" w:rsidR="00BF4C0F" w:rsidRPr="000E0085" w:rsidRDefault="00BF4C0F" w:rsidP="00443BC7">
            <w:pPr>
              <w:rPr>
                <w:lang w:val="en-GB"/>
              </w:rPr>
            </w:pPr>
            <w:r w:rsidRPr="000E0085">
              <w:rPr>
                <w:lang w:val="en-GB"/>
              </w:rPr>
              <w:t>Tel: +46 (0)8 550 520 00</w:t>
            </w:r>
          </w:p>
          <w:p w14:paraId="6015FE17" w14:textId="77777777" w:rsidR="00BF4C0F" w:rsidRPr="000E0085" w:rsidRDefault="00BF4C0F" w:rsidP="00443BC7">
            <w:pPr>
              <w:autoSpaceDE w:val="0"/>
              <w:autoSpaceDN w:val="0"/>
              <w:rPr>
                <w:lang w:val="en-GB"/>
              </w:rPr>
            </w:pPr>
          </w:p>
        </w:tc>
      </w:tr>
      <w:tr w:rsidR="00BF4C0F" w:rsidRPr="000E0085" w14:paraId="26DA008D" w14:textId="77777777" w:rsidTr="00443BC7">
        <w:trPr>
          <w:cantSplit/>
        </w:trPr>
        <w:tc>
          <w:tcPr>
            <w:tcW w:w="4224" w:type="dxa"/>
            <w:tcMar>
              <w:top w:w="0" w:type="dxa"/>
              <w:left w:w="108" w:type="dxa"/>
              <w:bottom w:w="0" w:type="dxa"/>
              <w:right w:w="108" w:type="dxa"/>
            </w:tcMar>
          </w:tcPr>
          <w:p w14:paraId="0B62D638" w14:textId="77777777" w:rsidR="00BF4C0F" w:rsidRPr="00EC03BF" w:rsidRDefault="00BF4C0F" w:rsidP="00443BC7">
            <w:pPr>
              <w:rPr>
                <w:b/>
                <w:bCs/>
                <w:lang w:val="pt-BR"/>
              </w:rPr>
            </w:pPr>
            <w:r w:rsidRPr="00EC03BF">
              <w:rPr>
                <w:b/>
                <w:bCs/>
                <w:lang w:val="pt-BR"/>
              </w:rPr>
              <w:t>Latvija</w:t>
            </w:r>
          </w:p>
          <w:p w14:paraId="69C0D511" w14:textId="77777777" w:rsidR="00BF4C0F" w:rsidRPr="00EC03BF" w:rsidRDefault="00BF4C0F" w:rsidP="00443BC7">
            <w:pPr>
              <w:rPr>
                <w:lang w:val="pt-BR"/>
              </w:rPr>
            </w:pPr>
            <w:r w:rsidRPr="00EC03BF">
              <w:rPr>
                <w:lang w:val="pt-BR"/>
              </w:rPr>
              <w:t>Pfizer Luxembourg SARL filiāle Latvijā</w:t>
            </w:r>
          </w:p>
          <w:p w14:paraId="25BAEC42" w14:textId="77777777" w:rsidR="00BF4C0F" w:rsidRPr="000E0085" w:rsidRDefault="00BF4C0F" w:rsidP="00443BC7">
            <w:pPr>
              <w:rPr>
                <w:lang w:val="en-GB"/>
              </w:rPr>
            </w:pPr>
            <w:r w:rsidRPr="000E0085">
              <w:rPr>
                <w:lang w:val="en-GB"/>
              </w:rPr>
              <w:t>Tel. +371 67035775</w:t>
            </w:r>
          </w:p>
          <w:p w14:paraId="0F0655DA" w14:textId="77777777" w:rsidR="00BF4C0F" w:rsidRPr="000E0085" w:rsidRDefault="00BF4C0F" w:rsidP="00443BC7">
            <w:pPr>
              <w:autoSpaceDE w:val="0"/>
              <w:autoSpaceDN w:val="0"/>
              <w:rPr>
                <w:b/>
                <w:bCs/>
                <w:lang w:val="en-GB"/>
              </w:rPr>
            </w:pPr>
          </w:p>
        </w:tc>
        <w:tc>
          <w:tcPr>
            <w:tcW w:w="4863" w:type="dxa"/>
            <w:gridSpan w:val="2"/>
            <w:tcMar>
              <w:top w:w="0" w:type="dxa"/>
              <w:left w:w="108" w:type="dxa"/>
              <w:bottom w:w="0" w:type="dxa"/>
              <w:right w:w="108" w:type="dxa"/>
            </w:tcMar>
          </w:tcPr>
          <w:p w14:paraId="011856AE" w14:textId="5C509119" w:rsidR="00BF4C0F" w:rsidRPr="000E0085" w:rsidDel="00EC03BF" w:rsidRDefault="00BF4C0F" w:rsidP="00443BC7">
            <w:pPr>
              <w:rPr>
                <w:del w:id="58" w:author="Author" w:date="2025-06-12T14:13:00Z" w16du:dateUtc="2025-06-12T13:13:00Z"/>
                <w:b/>
                <w:bCs/>
                <w:lang w:val="en-GB"/>
              </w:rPr>
            </w:pPr>
            <w:del w:id="59" w:author="Author" w:date="2025-06-12T14:13:00Z" w16du:dateUtc="2025-06-12T13:13:00Z">
              <w:r w:rsidRPr="000E0085" w:rsidDel="00EC03BF">
                <w:rPr>
                  <w:b/>
                  <w:bCs/>
                  <w:lang w:val="en-GB"/>
                </w:rPr>
                <w:delText>United Kingdom</w:delText>
              </w:r>
              <w:r w:rsidDel="00EC03BF">
                <w:rPr>
                  <w:b/>
                  <w:bCs/>
                  <w:lang w:val="en-GB"/>
                </w:rPr>
                <w:delText xml:space="preserve"> (Northern Ireland)</w:delText>
              </w:r>
            </w:del>
          </w:p>
          <w:p w14:paraId="1DC1F375" w14:textId="0BB764AD" w:rsidR="00BF4C0F" w:rsidRPr="000E0085" w:rsidDel="00EC03BF" w:rsidRDefault="00BF4C0F" w:rsidP="00443BC7">
            <w:pPr>
              <w:rPr>
                <w:del w:id="60" w:author="Author" w:date="2025-06-12T14:13:00Z" w16du:dateUtc="2025-06-12T13:13:00Z"/>
                <w:lang w:val="en-GB"/>
              </w:rPr>
            </w:pPr>
            <w:del w:id="61" w:author="Author" w:date="2025-06-12T14:13:00Z" w16du:dateUtc="2025-06-12T13:13:00Z">
              <w:r w:rsidRPr="000E0085" w:rsidDel="00EC03BF">
                <w:rPr>
                  <w:lang w:val="en-GB"/>
                </w:rPr>
                <w:delText>Pfizer Limited</w:delText>
              </w:r>
            </w:del>
          </w:p>
          <w:p w14:paraId="34A5835B" w14:textId="6AC3A284" w:rsidR="00BF4C0F" w:rsidRPr="000E0085" w:rsidDel="00EC03BF" w:rsidRDefault="00BF4C0F" w:rsidP="00443BC7">
            <w:pPr>
              <w:rPr>
                <w:del w:id="62" w:author="Author" w:date="2025-06-12T14:13:00Z" w16du:dateUtc="2025-06-12T13:13:00Z"/>
                <w:lang w:val="en-GB"/>
              </w:rPr>
            </w:pPr>
            <w:del w:id="63" w:author="Author" w:date="2025-06-12T14:13:00Z" w16du:dateUtc="2025-06-12T13:13:00Z">
              <w:r w:rsidRPr="000E0085" w:rsidDel="00EC03BF">
                <w:rPr>
                  <w:lang w:val="en-GB"/>
                </w:rPr>
                <w:delText>Tel: +44 (0)1304 616161</w:delText>
              </w:r>
            </w:del>
          </w:p>
          <w:p w14:paraId="4CAD13B6" w14:textId="77777777" w:rsidR="00BF4C0F" w:rsidRPr="000E0085" w:rsidRDefault="00BF4C0F" w:rsidP="00EC03BF">
            <w:pPr>
              <w:rPr>
                <w:b/>
                <w:bCs/>
                <w:lang w:val="en-GB"/>
              </w:rPr>
            </w:pPr>
          </w:p>
        </w:tc>
      </w:tr>
      <w:tr w:rsidR="00BF4C0F" w:rsidRPr="000E0085" w14:paraId="305E8DA3" w14:textId="77777777" w:rsidTr="00443BC7">
        <w:trPr>
          <w:cantSplit/>
        </w:trPr>
        <w:tc>
          <w:tcPr>
            <w:tcW w:w="4224" w:type="dxa"/>
            <w:tcMar>
              <w:top w:w="0" w:type="dxa"/>
              <w:left w:w="108" w:type="dxa"/>
              <w:bottom w:w="0" w:type="dxa"/>
              <w:right w:w="108" w:type="dxa"/>
            </w:tcMar>
            <w:hideMark/>
          </w:tcPr>
          <w:p w14:paraId="1453F1B3" w14:textId="77777777" w:rsidR="00BF4C0F" w:rsidRPr="00EC03BF" w:rsidRDefault="00BF4C0F" w:rsidP="00443BC7">
            <w:pPr>
              <w:rPr>
                <w:b/>
                <w:bCs/>
                <w:lang w:val="pt-BR"/>
              </w:rPr>
            </w:pPr>
            <w:r w:rsidRPr="00EC03BF">
              <w:rPr>
                <w:b/>
                <w:bCs/>
                <w:lang w:val="pt-BR"/>
              </w:rPr>
              <w:t>Lietuva</w:t>
            </w:r>
          </w:p>
          <w:p w14:paraId="736C16A6" w14:textId="77777777" w:rsidR="00BF4C0F" w:rsidRPr="00EC03BF" w:rsidRDefault="00BF4C0F" w:rsidP="00443BC7">
            <w:pPr>
              <w:rPr>
                <w:lang w:val="pt-BR"/>
              </w:rPr>
            </w:pPr>
            <w:r w:rsidRPr="00EC03BF">
              <w:rPr>
                <w:lang w:val="pt-BR"/>
              </w:rPr>
              <w:t>Pfizer Luxembourg SARL filialas Lietuvoje</w:t>
            </w:r>
          </w:p>
          <w:p w14:paraId="14ADC81B" w14:textId="77777777" w:rsidR="00BF4C0F" w:rsidRPr="000E0085" w:rsidRDefault="00BF4C0F" w:rsidP="00443BC7">
            <w:pPr>
              <w:autoSpaceDE w:val="0"/>
              <w:autoSpaceDN w:val="0"/>
              <w:rPr>
                <w:b/>
                <w:bCs/>
                <w:lang w:val="en-GB"/>
              </w:rPr>
            </w:pPr>
            <w:r w:rsidRPr="000E0085">
              <w:rPr>
                <w:lang w:val="en-GB"/>
              </w:rPr>
              <w:t>Tel. +3705 2514000</w:t>
            </w:r>
          </w:p>
        </w:tc>
        <w:tc>
          <w:tcPr>
            <w:tcW w:w="4863" w:type="dxa"/>
            <w:gridSpan w:val="2"/>
            <w:tcMar>
              <w:top w:w="0" w:type="dxa"/>
              <w:left w:w="108" w:type="dxa"/>
              <w:bottom w:w="0" w:type="dxa"/>
              <w:right w:w="108" w:type="dxa"/>
            </w:tcMar>
          </w:tcPr>
          <w:p w14:paraId="69E27991" w14:textId="77777777" w:rsidR="00BF4C0F" w:rsidRPr="000E0085" w:rsidRDefault="00BF4C0F" w:rsidP="00443BC7">
            <w:pPr>
              <w:autoSpaceDE w:val="0"/>
              <w:autoSpaceDN w:val="0"/>
              <w:rPr>
                <w:b/>
                <w:bCs/>
                <w:lang w:val="en-GB"/>
              </w:rPr>
            </w:pPr>
          </w:p>
        </w:tc>
      </w:tr>
    </w:tbl>
    <w:p w14:paraId="271B4461" w14:textId="77777777" w:rsidR="003E58A8" w:rsidRPr="004F5FB4" w:rsidRDefault="003E58A8" w:rsidP="00982118">
      <w:pPr>
        <w:rPr>
          <w:color w:val="000000"/>
          <w:lang w:val="en-GB"/>
        </w:rPr>
      </w:pPr>
    </w:p>
    <w:p w14:paraId="5C1B0A90" w14:textId="77777777" w:rsidR="00D9510A" w:rsidRPr="004F5FB4" w:rsidRDefault="00D9510A" w:rsidP="00982118">
      <w:pPr>
        <w:rPr>
          <w:color w:val="000000"/>
          <w:lang w:val="en-GB"/>
        </w:rPr>
      </w:pPr>
    </w:p>
    <w:p w14:paraId="1471218A" w14:textId="77777777" w:rsidR="00C46587" w:rsidRPr="004F5FB4" w:rsidRDefault="00C46587" w:rsidP="00771BD7">
      <w:pPr>
        <w:keepNext/>
        <w:rPr>
          <w:b/>
          <w:color w:val="000000"/>
        </w:rPr>
      </w:pPr>
      <w:r w:rsidRPr="004F5FB4">
        <w:rPr>
          <w:b/>
          <w:color w:val="000000"/>
        </w:rPr>
        <w:t>Diese Packungsbeilage wurde zuletzt überarbeitet i</w:t>
      </w:r>
      <w:r w:rsidR="00C958F5" w:rsidRPr="004F5FB4">
        <w:rPr>
          <w:b/>
          <w:color w:val="000000"/>
        </w:rPr>
        <w:t>m</w:t>
      </w:r>
    </w:p>
    <w:p w14:paraId="53205BD6" w14:textId="77777777" w:rsidR="00C46587" w:rsidRPr="004F5FB4" w:rsidRDefault="00C46587" w:rsidP="00982118">
      <w:pPr>
        <w:rPr>
          <w:color w:val="000000"/>
        </w:rPr>
      </w:pPr>
    </w:p>
    <w:p w14:paraId="1B6FFD22" w14:textId="7C89535C" w:rsidR="00C46587" w:rsidRPr="004F5FB4" w:rsidRDefault="00C46587" w:rsidP="00982118">
      <w:pPr>
        <w:rPr>
          <w:color w:val="000000"/>
        </w:rPr>
      </w:pPr>
      <w:r w:rsidRPr="004F5FB4">
        <w:rPr>
          <w:color w:val="000000"/>
        </w:rPr>
        <w:t xml:space="preserve">Ausführliche Informationen zu diesem Arzneimittel sind auf den Internetseiten der Europäischen Arzneimittel-Agentur </w:t>
      </w:r>
      <w:hyperlink r:id="rId50" w:history="1">
        <w:r w:rsidR="00C13C04" w:rsidRPr="00A242C3">
          <w:rPr>
            <w:rStyle w:val="Hyperlink"/>
          </w:rPr>
          <w:t>https://www.ema.europa.eu</w:t>
        </w:r>
      </w:hyperlink>
      <w:r w:rsidR="00C13C04" w:rsidRPr="00000C6C">
        <w:rPr>
          <w:rStyle w:val="Hyperlink"/>
          <w:color w:val="000000" w:themeColor="text1"/>
        </w:rPr>
        <w:t xml:space="preserve"> </w:t>
      </w:r>
      <w:r w:rsidRPr="004F5FB4">
        <w:rPr>
          <w:color w:val="000000"/>
        </w:rPr>
        <w:t>verfügbar.</w:t>
      </w:r>
    </w:p>
    <w:p w14:paraId="324EB368" w14:textId="77777777" w:rsidR="0002005F" w:rsidRPr="004F5FB4" w:rsidRDefault="0002005F" w:rsidP="00982118">
      <w:pPr>
        <w:rPr>
          <w:color w:val="000000"/>
        </w:rPr>
      </w:pPr>
    </w:p>
    <w:p w14:paraId="10455D26" w14:textId="77777777" w:rsidR="003E58A8" w:rsidRPr="004F5FB4" w:rsidRDefault="00C33D47" w:rsidP="00982118">
      <w:pPr>
        <w:jc w:val="center"/>
        <w:rPr>
          <w:b/>
          <w:bCs/>
          <w:color w:val="000000"/>
        </w:rPr>
      </w:pPr>
      <w:r w:rsidRPr="004F5FB4">
        <w:rPr>
          <w:color w:val="000000"/>
        </w:rPr>
        <w:br w:type="page"/>
      </w:r>
      <w:r w:rsidRPr="004F5FB4">
        <w:rPr>
          <w:b/>
          <w:bCs/>
          <w:color w:val="000000"/>
        </w:rPr>
        <w:lastRenderedPageBreak/>
        <w:t>HINWEISE ZUR ANWENDUNG</w:t>
      </w:r>
    </w:p>
    <w:p w14:paraId="50132F67" w14:textId="77777777" w:rsidR="003E58A8" w:rsidRPr="004F5FB4" w:rsidRDefault="00BE4A9C" w:rsidP="00982118">
      <w:pPr>
        <w:jc w:val="center"/>
        <w:rPr>
          <w:color w:val="000000"/>
        </w:rPr>
      </w:pPr>
      <w:r w:rsidRPr="004F5FB4">
        <w:rPr>
          <w:color w:val="000000"/>
        </w:rPr>
        <w:t>Amsparity (Adalimumab)</w:t>
      </w:r>
    </w:p>
    <w:p w14:paraId="0B0E6FE4" w14:textId="77777777" w:rsidR="003E58A8" w:rsidRPr="004F5FB4" w:rsidRDefault="003E58A8" w:rsidP="00982118">
      <w:pPr>
        <w:jc w:val="center"/>
        <w:rPr>
          <w:color w:val="000000"/>
        </w:rPr>
      </w:pPr>
      <w:r w:rsidRPr="004F5FB4">
        <w:rPr>
          <w:color w:val="000000"/>
        </w:rPr>
        <w:t>Einzeldosis-Fertigpen</w:t>
      </w:r>
    </w:p>
    <w:p w14:paraId="43E73FC4" w14:textId="77777777" w:rsidR="003E58A8" w:rsidRPr="004F5FB4" w:rsidRDefault="003E58A8" w:rsidP="00982118">
      <w:pPr>
        <w:jc w:val="center"/>
        <w:rPr>
          <w:b/>
          <w:color w:val="000000"/>
        </w:rPr>
      </w:pPr>
      <w:r w:rsidRPr="004F5FB4">
        <w:rPr>
          <w:color w:val="000000"/>
        </w:rPr>
        <w:t>40 mg für die subkutane Injektion</w:t>
      </w:r>
      <w:r w:rsidRPr="004F5FB4">
        <w:rPr>
          <w:b/>
          <w:color w:val="000000"/>
        </w:rPr>
        <w:t xml:space="preserve"> </w:t>
      </w:r>
    </w:p>
    <w:p w14:paraId="1986160D" w14:textId="77777777" w:rsidR="003E58A8" w:rsidRPr="004F5FB4" w:rsidRDefault="003E58A8" w:rsidP="00982118">
      <w:pPr>
        <w:rPr>
          <w:color w:val="000000"/>
        </w:rPr>
      </w:pPr>
    </w:p>
    <w:p w14:paraId="4808AE04" w14:textId="77777777" w:rsidR="00CC00FF" w:rsidRPr="004F5FB4" w:rsidRDefault="00CC00FF" w:rsidP="00982118">
      <w:pPr>
        <w:rPr>
          <w:b/>
          <w:color w:val="000000"/>
        </w:rPr>
      </w:pPr>
      <w:r w:rsidRPr="004F5FB4">
        <w:rPr>
          <w:b/>
          <w:color w:val="000000"/>
        </w:rPr>
        <w:t xml:space="preserve">Heben Sie die Packungsbeilage auf. In der Anleitung wird Schritt für Schritt erklärt, wie die Injektion vorbereitet und verabreicht wird. </w:t>
      </w:r>
    </w:p>
    <w:p w14:paraId="10089943" w14:textId="77777777" w:rsidR="00CC00FF" w:rsidRPr="004F5FB4" w:rsidRDefault="00CC00FF" w:rsidP="00982118">
      <w:pPr>
        <w:rPr>
          <w:b/>
          <w:color w:val="000000"/>
        </w:rPr>
      </w:pPr>
      <w:r w:rsidRPr="004F5FB4">
        <w:rPr>
          <w:b/>
          <w:color w:val="000000"/>
        </w:rPr>
        <w:t xml:space="preserve">Bewahren Sie den Amsparity-Pen bei 2 °C bis 8 °C im Kühlschrank auf. </w:t>
      </w:r>
    </w:p>
    <w:p w14:paraId="34EC4F98" w14:textId="77777777" w:rsidR="00CC00FF" w:rsidRPr="004F5FB4" w:rsidRDefault="00CC00FF" w:rsidP="00982118">
      <w:pPr>
        <w:rPr>
          <w:b/>
          <w:color w:val="000000"/>
        </w:rPr>
      </w:pPr>
      <w:r w:rsidRPr="004F5FB4">
        <w:rPr>
          <w:b/>
          <w:color w:val="000000"/>
        </w:rPr>
        <w:t>Bewahren Sie den Amsparity-Pen bis zur Anwendung in der Originalverpackung auf, um den Inhalt vor der Einwirkung von direktem Sonnenlicht zu schützen.</w:t>
      </w:r>
    </w:p>
    <w:p w14:paraId="68B65328" w14:textId="77777777" w:rsidR="002F5EF2" w:rsidRPr="004F5FB4" w:rsidRDefault="002F5EF2" w:rsidP="002F5EF2">
      <w:pPr>
        <w:rPr>
          <w:b/>
          <w:color w:val="000000"/>
        </w:rPr>
      </w:pPr>
      <w:r w:rsidRPr="004F5FB4">
        <w:rPr>
          <w:b/>
          <w:color w:val="000000"/>
        </w:rPr>
        <w:t xml:space="preserve">Wenn erforderlich (zum Beispiel, wenn Sie verreisen), können Sie </w:t>
      </w:r>
      <w:r w:rsidR="00A6731C" w:rsidRPr="004F5FB4">
        <w:rPr>
          <w:b/>
          <w:color w:val="000000"/>
        </w:rPr>
        <w:t>den</w:t>
      </w:r>
      <w:r w:rsidRPr="004F5FB4">
        <w:rPr>
          <w:b/>
          <w:color w:val="000000"/>
        </w:rPr>
        <w:t xml:space="preserve"> Amsparity-</w:t>
      </w:r>
      <w:r w:rsidR="00A6731C" w:rsidRPr="004F5FB4">
        <w:rPr>
          <w:b/>
          <w:color w:val="000000"/>
        </w:rPr>
        <w:t>Pen</w:t>
      </w:r>
      <w:r w:rsidRPr="004F5FB4">
        <w:rPr>
          <w:b/>
          <w:color w:val="000000"/>
        </w:rPr>
        <w:t xml:space="preserve"> auch bis zu 30 Tage lang bei bis zu 30 °C Raumtemperatur aufbewahren.</w:t>
      </w:r>
    </w:p>
    <w:p w14:paraId="35A116AD" w14:textId="77777777" w:rsidR="00CC00FF" w:rsidRPr="004F5FB4" w:rsidRDefault="00CC00FF" w:rsidP="00982118">
      <w:pPr>
        <w:rPr>
          <w:b/>
          <w:color w:val="000000"/>
        </w:rPr>
      </w:pPr>
      <w:r w:rsidRPr="004F5FB4">
        <w:rPr>
          <w:b/>
          <w:color w:val="000000"/>
        </w:rPr>
        <w:t>Bewahren Sie Amsparity, das Injektionszubehör und alle anderen Arzneimittel für Kinder unzugänglich auf.</w:t>
      </w:r>
    </w:p>
    <w:p w14:paraId="7FEFA8F6" w14:textId="77777777" w:rsidR="002F5EF2" w:rsidRPr="004F5FB4" w:rsidRDefault="002F5EF2" w:rsidP="00982118">
      <w:pPr>
        <w:rPr>
          <w:color w:val="000000"/>
        </w:rPr>
      </w:pPr>
    </w:p>
    <w:p w14:paraId="2831D576" w14:textId="77777777" w:rsidR="00CC00FF" w:rsidRPr="004F5FB4" w:rsidRDefault="006A1144" w:rsidP="00982118">
      <w:pPr>
        <w:rPr>
          <w:color w:val="000000"/>
        </w:rPr>
      </w:pPr>
      <w:r w:rsidRPr="004F5FB4">
        <w:rPr>
          <w:color w:val="000000"/>
        </w:rPr>
        <w:t>Amsparity</w:t>
      </w:r>
      <w:r w:rsidRPr="004F5FB4">
        <w:rPr>
          <w:b/>
          <w:color w:val="000000"/>
        </w:rPr>
        <w:t xml:space="preserve"> </w:t>
      </w:r>
      <w:r w:rsidRPr="004F5FB4">
        <w:rPr>
          <w:color w:val="000000"/>
        </w:rPr>
        <w:t>zur Injektion wird in einem Einweg-Fertigpen bereitgestellt, der eine Einzeldosis des Arzneimittels enthält.</w:t>
      </w:r>
    </w:p>
    <w:p w14:paraId="1AD6DF85" w14:textId="77777777" w:rsidR="002F5EF2" w:rsidRPr="004F5FB4" w:rsidRDefault="002F5EF2" w:rsidP="002F5EF2">
      <w:pPr>
        <w:rPr>
          <w:color w:val="000000"/>
        </w:rPr>
      </w:pPr>
      <w:r w:rsidRPr="004F5FB4">
        <w:rPr>
          <w:b/>
          <w:color w:val="000000"/>
        </w:rPr>
        <w:t>Versuchen Sie nicht</w:t>
      </w:r>
      <w:r w:rsidRPr="004F5FB4">
        <w:rPr>
          <w:color w:val="000000"/>
        </w:rPr>
        <w:t>, sich selbst eine Amsparity-Injektion zu verabreichen, bevor Sie die Hinweise zur Anwendung gelesen und verstanden haben. Wenn Ihr Arzt, das medizinische Fachpersonal oder der Apotheker entscheidet, dass Sie sich selbst oder eine Betreuungsperson die Amsparity-Injektionen zuhause verabreichen können, sollten Sie in der richtigen Art und Weise der Vorbereitung und Injektion von Amsparity eingewiesen werden.</w:t>
      </w:r>
    </w:p>
    <w:p w14:paraId="4049A804" w14:textId="77777777" w:rsidR="002F5EF2" w:rsidRPr="004F5FB4" w:rsidRDefault="00497C67" w:rsidP="002F5EF2">
      <w:pPr>
        <w:rPr>
          <w:color w:val="000000"/>
        </w:rPr>
      </w:pPr>
      <w:r w:rsidRPr="004F5FB4">
        <w:rPr>
          <w:color w:val="000000"/>
        </w:rPr>
        <w:t>Es ist wichtig mit dem Arzt, medizinischen Fachpersonal oder Apotheker zu sprechen, um sicherzustellen, dass Sie die Amsparity Dosierungshinweise verstanden haben</w:t>
      </w:r>
      <w:r w:rsidR="002F5EF2" w:rsidRPr="004F5FB4">
        <w:rPr>
          <w:color w:val="000000"/>
        </w:rPr>
        <w:t>. Um Sie an die Amsparity-Injektion zu erinnern, können Sie im Voraus entsprechende Einträge in Ihrem Kalender machen. Sprechen Sie mit Ihrem Arzt, dem medizinischen Fachpersonal oder Apotheker, wenn Sie Fragen zur richtigen Injektionsweise von Amsparity haben.</w:t>
      </w:r>
    </w:p>
    <w:p w14:paraId="64BF6BDB" w14:textId="77777777" w:rsidR="00CC00FF" w:rsidRPr="004F5FB4" w:rsidRDefault="002F5EF2" w:rsidP="00982118">
      <w:pPr>
        <w:rPr>
          <w:color w:val="000000"/>
        </w:rPr>
      </w:pPr>
      <w:r w:rsidRPr="004F5FB4">
        <w:rPr>
          <w:color w:val="000000"/>
        </w:rPr>
        <w:t xml:space="preserve">Nach einer sorgfältigen Einweisung </w:t>
      </w:r>
      <w:r w:rsidR="00F76AF0" w:rsidRPr="004F5FB4">
        <w:rPr>
          <w:color w:val="000000"/>
        </w:rPr>
        <w:t>können Sie sich</w:t>
      </w:r>
      <w:r w:rsidRPr="004F5FB4">
        <w:rPr>
          <w:color w:val="000000"/>
        </w:rPr>
        <w:t xml:space="preserve"> d</w:t>
      </w:r>
      <w:r w:rsidR="006A1144" w:rsidRPr="004F5FB4">
        <w:rPr>
          <w:color w:val="000000"/>
        </w:rPr>
        <w:t xml:space="preserve">ie Amsparity-Injektion </w:t>
      </w:r>
      <w:r w:rsidR="00F76AF0" w:rsidRPr="004F5FB4">
        <w:rPr>
          <w:color w:val="000000"/>
        </w:rPr>
        <w:t>selbst verabreichen oder diese von</w:t>
      </w:r>
      <w:r w:rsidR="006A1144" w:rsidRPr="004F5FB4">
        <w:rPr>
          <w:color w:val="000000"/>
        </w:rPr>
        <w:t xml:space="preserve"> einer Betreuungsperson verabreicht </w:t>
      </w:r>
      <w:r w:rsidR="00F76AF0" w:rsidRPr="004F5FB4">
        <w:rPr>
          <w:color w:val="000000"/>
        </w:rPr>
        <w:t>bekommen</w:t>
      </w:r>
      <w:r w:rsidR="006A1144" w:rsidRPr="004F5FB4">
        <w:rPr>
          <w:color w:val="000000"/>
        </w:rPr>
        <w:t>.</w:t>
      </w:r>
    </w:p>
    <w:p w14:paraId="1E999890" w14:textId="77777777" w:rsidR="00CC00FF" w:rsidRDefault="00CC00FF" w:rsidP="00982118">
      <w:pPr>
        <w:rPr>
          <w:b/>
          <w:color w:val="000000"/>
        </w:rPr>
      </w:pPr>
    </w:p>
    <w:p w14:paraId="057E844A" w14:textId="77777777" w:rsidR="00317453" w:rsidRPr="004F5FB4" w:rsidRDefault="00317453" w:rsidP="00982118">
      <w:pPr>
        <w:rPr>
          <w:b/>
          <w:color w:val="000000"/>
        </w:rPr>
      </w:pPr>
    </w:p>
    <w:p w14:paraId="61A5B24B" w14:textId="77777777" w:rsidR="00CC00FF" w:rsidRPr="004F5FB4" w:rsidRDefault="00CC00FF" w:rsidP="00982118">
      <w:pPr>
        <w:rPr>
          <w:b/>
          <w:color w:val="000000"/>
        </w:rPr>
      </w:pPr>
      <w:r w:rsidRPr="004F5FB4">
        <w:rPr>
          <w:b/>
          <w:color w:val="000000"/>
        </w:rPr>
        <w:t>1. Was Sie benötigen</w:t>
      </w:r>
    </w:p>
    <w:p w14:paraId="2CB5D5EB" w14:textId="77777777" w:rsidR="00CC00FF" w:rsidRPr="004F5FB4" w:rsidRDefault="00CC00FF" w:rsidP="00982118">
      <w:pPr>
        <w:jc w:val="center"/>
        <w:rPr>
          <w:color w:val="000000"/>
          <w:lang w:val="en-GB"/>
        </w:rPr>
      </w:pPr>
    </w:p>
    <w:p w14:paraId="56DC56B6" w14:textId="77777777" w:rsidR="00CC00FF" w:rsidRPr="004F5FB4" w:rsidRDefault="00CC00FF" w:rsidP="00053717">
      <w:pPr>
        <w:pStyle w:val="ListParagraph"/>
        <w:numPr>
          <w:ilvl w:val="0"/>
          <w:numId w:val="31"/>
        </w:numPr>
        <w:ind w:left="562" w:hanging="562"/>
        <w:contextualSpacing/>
        <w:rPr>
          <w:color w:val="000000"/>
        </w:rPr>
      </w:pPr>
      <w:r w:rsidRPr="004F5FB4">
        <w:rPr>
          <w:color w:val="000000"/>
        </w:rPr>
        <w:t>Für jede Amsparity-Injektion benötigen Sie die folgenden Gegenstände, die Sie auf einer sauberen, ebenen Arbeitsfläche ablegen.</w:t>
      </w:r>
    </w:p>
    <w:p w14:paraId="5DF762C0" w14:textId="77777777" w:rsidR="00CC00FF" w:rsidRPr="004F5FB4" w:rsidRDefault="00CC00FF" w:rsidP="00053717">
      <w:pPr>
        <w:pStyle w:val="ListParagraph"/>
        <w:numPr>
          <w:ilvl w:val="1"/>
          <w:numId w:val="31"/>
        </w:numPr>
        <w:ind w:left="1124" w:hanging="562"/>
        <w:contextualSpacing/>
        <w:rPr>
          <w:color w:val="000000"/>
        </w:rPr>
      </w:pPr>
      <w:r w:rsidRPr="004F5FB4">
        <w:rPr>
          <w:color w:val="000000"/>
        </w:rPr>
        <w:t>1 Amsparity-Pen in der Faltschachtel</w:t>
      </w:r>
    </w:p>
    <w:p w14:paraId="76944965" w14:textId="77777777" w:rsidR="00CC00FF" w:rsidRPr="004F5FB4" w:rsidRDefault="00CC00FF" w:rsidP="00053717">
      <w:pPr>
        <w:pStyle w:val="ListParagraph"/>
        <w:numPr>
          <w:ilvl w:val="1"/>
          <w:numId w:val="31"/>
        </w:numPr>
        <w:ind w:left="1124" w:hanging="562"/>
        <w:contextualSpacing/>
        <w:rPr>
          <w:color w:val="000000"/>
        </w:rPr>
      </w:pPr>
      <w:r w:rsidRPr="004F5FB4">
        <w:rPr>
          <w:color w:val="000000"/>
        </w:rPr>
        <w:t>1 Alkoholtupfer in der Faltschachtel</w:t>
      </w:r>
    </w:p>
    <w:p w14:paraId="31D0AC3E" w14:textId="77777777" w:rsidR="00CC00FF" w:rsidRPr="004F5FB4" w:rsidRDefault="00CC00FF" w:rsidP="00053717">
      <w:pPr>
        <w:pStyle w:val="ListParagraph"/>
        <w:numPr>
          <w:ilvl w:val="1"/>
          <w:numId w:val="31"/>
        </w:numPr>
        <w:ind w:left="1124" w:hanging="562"/>
        <w:contextualSpacing/>
        <w:rPr>
          <w:color w:val="000000"/>
        </w:rPr>
      </w:pPr>
      <w:r w:rsidRPr="004F5FB4">
        <w:rPr>
          <w:color w:val="000000"/>
        </w:rPr>
        <w:t>1 Wattebausch/</w:t>
      </w:r>
      <w:r w:rsidR="002508D2" w:rsidRPr="004F5FB4">
        <w:rPr>
          <w:color w:val="000000"/>
        </w:rPr>
        <w:t xml:space="preserve"> </w:t>
      </w:r>
      <w:r w:rsidRPr="004F5FB4">
        <w:rPr>
          <w:color w:val="000000"/>
        </w:rPr>
        <w:t>Stück Gaze (nicht in Ihrer Amsparity-Faltschachtel enthalten)</w:t>
      </w:r>
    </w:p>
    <w:p w14:paraId="2D6C8670" w14:textId="77777777" w:rsidR="00CC00FF" w:rsidRPr="004F5FB4" w:rsidRDefault="00CC00FF" w:rsidP="00053717">
      <w:pPr>
        <w:pStyle w:val="ListParagraph"/>
        <w:numPr>
          <w:ilvl w:val="0"/>
          <w:numId w:val="38"/>
        </w:numPr>
        <w:ind w:left="1124" w:hanging="562"/>
        <w:contextualSpacing/>
        <w:rPr>
          <w:color w:val="000000"/>
        </w:rPr>
      </w:pPr>
      <w:r w:rsidRPr="004F5FB4">
        <w:rPr>
          <w:color w:val="000000"/>
        </w:rPr>
        <w:t>1 geeigneter Entsorgungsbehälter für spitze Gegenstände (nicht in Ihrer Amsparity-Faltschachtel enthalten)</w:t>
      </w:r>
    </w:p>
    <w:p w14:paraId="376E4E34" w14:textId="77777777" w:rsidR="00F76AF0" w:rsidRPr="004F5FB4" w:rsidRDefault="00F76AF0" w:rsidP="00687087">
      <w:pPr>
        <w:pStyle w:val="ListParagraph"/>
        <w:ind w:left="567"/>
        <w:contextualSpacing/>
        <w:rPr>
          <w:color w:val="000000"/>
        </w:rPr>
      </w:pPr>
      <w:r w:rsidRPr="004F5FB4">
        <w:rPr>
          <w:b/>
          <w:color w:val="000000"/>
        </w:rPr>
        <w:t>Wichtig:</w:t>
      </w:r>
      <w:r w:rsidRPr="004F5FB4">
        <w:rPr>
          <w:color w:val="000000"/>
        </w:rPr>
        <w:t xml:space="preserve"> Wenn Sie Fragen zu</w:t>
      </w:r>
      <w:r w:rsidR="00A6731C" w:rsidRPr="004F5FB4">
        <w:rPr>
          <w:color w:val="000000"/>
        </w:rPr>
        <w:t>m</w:t>
      </w:r>
      <w:r w:rsidRPr="004F5FB4">
        <w:rPr>
          <w:color w:val="000000"/>
        </w:rPr>
        <w:t xml:space="preserve"> Amsparity</w:t>
      </w:r>
      <w:r w:rsidR="00A6731C" w:rsidRPr="004F5FB4">
        <w:rPr>
          <w:color w:val="000000"/>
        </w:rPr>
        <w:t>-Pen</w:t>
      </w:r>
      <w:r w:rsidRPr="004F5FB4">
        <w:rPr>
          <w:color w:val="000000"/>
        </w:rPr>
        <w:t xml:space="preserve"> oder zum Arzneimittel haben, sprechen Sie mit Ihrem Arzt, dem medizinischen Fachpersonal oder Apotheker.</w:t>
      </w:r>
    </w:p>
    <w:p w14:paraId="1DBB00BA" w14:textId="77777777" w:rsidR="00CC00FF" w:rsidRDefault="00CC00FF" w:rsidP="00982118">
      <w:pPr>
        <w:rPr>
          <w:b/>
          <w:color w:val="000000"/>
        </w:rPr>
      </w:pPr>
    </w:p>
    <w:p w14:paraId="2A179F43" w14:textId="77777777" w:rsidR="00317453" w:rsidRPr="004F5FB4" w:rsidRDefault="00317453" w:rsidP="00982118">
      <w:pPr>
        <w:rPr>
          <w:b/>
          <w:color w:val="000000"/>
        </w:rPr>
      </w:pPr>
    </w:p>
    <w:p w14:paraId="67458FF3" w14:textId="77777777" w:rsidR="00CC00FF" w:rsidRPr="004F5FB4" w:rsidRDefault="00CC00FF" w:rsidP="00982118">
      <w:pPr>
        <w:rPr>
          <w:b/>
          <w:color w:val="000000"/>
        </w:rPr>
      </w:pPr>
      <w:r w:rsidRPr="004F5FB4">
        <w:rPr>
          <w:b/>
          <w:color w:val="000000"/>
        </w:rPr>
        <w:t>2. Vorbereitung</w:t>
      </w:r>
    </w:p>
    <w:p w14:paraId="72B04979" w14:textId="77777777" w:rsidR="00CC00FF" w:rsidRPr="004F5FB4" w:rsidRDefault="00CC00FF" w:rsidP="00982118">
      <w:pPr>
        <w:rPr>
          <w:b/>
          <w:color w:val="000000"/>
          <w:lang w:val="en-GB"/>
        </w:rPr>
      </w:pPr>
    </w:p>
    <w:p w14:paraId="6FFF8BE2" w14:textId="77777777" w:rsidR="00CC00FF" w:rsidRPr="004F5FB4" w:rsidRDefault="00CC00FF" w:rsidP="00E23160">
      <w:pPr>
        <w:pStyle w:val="ListParagraph"/>
        <w:numPr>
          <w:ilvl w:val="0"/>
          <w:numId w:val="33"/>
        </w:numPr>
        <w:ind w:left="562" w:hanging="562"/>
        <w:contextualSpacing/>
        <w:rPr>
          <w:color w:val="000000"/>
        </w:rPr>
      </w:pPr>
      <w:r w:rsidRPr="004F5FB4">
        <w:rPr>
          <w:color w:val="000000"/>
        </w:rPr>
        <w:t>Nehmen Sie die Amsparity-Packung aus dem Kühlschrank.</w:t>
      </w:r>
    </w:p>
    <w:p w14:paraId="39A650B7" w14:textId="77777777" w:rsidR="00CC00FF" w:rsidRPr="004F5FB4" w:rsidRDefault="00CC00FF" w:rsidP="00E23160">
      <w:pPr>
        <w:pStyle w:val="ListParagraph"/>
        <w:numPr>
          <w:ilvl w:val="0"/>
          <w:numId w:val="33"/>
        </w:numPr>
        <w:ind w:left="562" w:hanging="562"/>
        <w:contextualSpacing/>
        <w:rPr>
          <w:color w:val="000000"/>
        </w:rPr>
      </w:pPr>
      <w:r w:rsidRPr="004F5FB4">
        <w:rPr>
          <w:color w:val="000000"/>
        </w:rPr>
        <w:t>Entnehmen Sie 1</w:t>
      </w:r>
      <w:r w:rsidR="007E3AA5" w:rsidRPr="004F5FB4">
        <w:rPr>
          <w:color w:val="000000"/>
        </w:rPr>
        <w:t> </w:t>
      </w:r>
      <w:r w:rsidRPr="004F5FB4">
        <w:rPr>
          <w:color w:val="000000"/>
        </w:rPr>
        <w:t>Amsparity-Pen und den Alkoholtupfer. Halten Sie den Pen von direktem Sonnenlicht fern. Legen Sie die Original-Faltschachtel mit verbleibenden unbenutzten Pens wieder in den Kühlschrank.</w:t>
      </w:r>
    </w:p>
    <w:p w14:paraId="3C7360CF" w14:textId="77777777" w:rsidR="00CC00FF" w:rsidRPr="004F5FB4" w:rsidRDefault="00CC00FF" w:rsidP="00E23160">
      <w:pPr>
        <w:pStyle w:val="ListParagraph"/>
        <w:numPr>
          <w:ilvl w:val="0"/>
          <w:numId w:val="33"/>
        </w:numPr>
        <w:ind w:left="562" w:hanging="562"/>
        <w:contextualSpacing/>
        <w:rPr>
          <w:color w:val="000000"/>
        </w:rPr>
      </w:pPr>
      <w:r w:rsidRPr="004F5FB4">
        <w:rPr>
          <w:color w:val="000000"/>
        </w:rPr>
        <w:t xml:space="preserve">Verwenden Sie den Pen </w:t>
      </w:r>
      <w:r w:rsidRPr="004F5FB4">
        <w:rPr>
          <w:b/>
          <w:color w:val="000000"/>
        </w:rPr>
        <w:t>nicht</w:t>
      </w:r>
      <w:r w:rsidRPr="004F5FB4">
        <w:rPr>
          <w:color w:val="000000"/>
        </w:rPr>
        <w:t>, wenn:</w:t>
      </w:r>
    </w:p>
    <w:p w14:paraId="3155C75B" w14:textId="77777777" w:rsidR="00CC00FF" w:rsidRPr="004F5FB4" w:rsidRDefault="00CC00FF" w:rsidP="00E23160">
      <w:pPr>
        <w:pStyle w:val="ListParagraph"/>
        <w:numPr>
          <w:ilvl w:val="1"/>
          <w:numId w:val="31"/>
        </w:numPr>
        <w:ind w:left="1124" w:hanging="562"/>
        <w:contextualSpacing/>
        <w:rPr>
          <w:color w:val="000000"/>
        </w:rPr>
      </w:pPr>
      <w:r w:rsidRPr="004F5FB4">
        <w:rPr>
          <w:color w:val="000000"/>
        </w:rPr>
        <w:t>der Pen oder die Faltschachtel mit dem Pen heruntergefallen ist</w:t>
      </w:r>
      <w:r w:rsidR="002508D2" w:rsidRPr="004F5FB4">
        <w:rPr>
          <w:color w:val="000000"/>
        </w:rPr>
        <w:t>,</w:t>
      </w:r>
      <w:r w:rsidR="00F76AF0" w:rsidRPr="004F5FB4">
        <w:rPr>
          <w:color w:val="000000"/>
        </w:rPr>
        <w:t xml:space="preserve"> auch wenn er unbeschädigt aussieht,</w:t>
      </w:r>
    </w:p>
    <w:p w14:paraId="42CDC5F3" w14:textId="77777777" w:rsidR="00CC00FF" w:rsidRPr="004F5FB4" w:rsidRDefault="00CC00FF" w:rsidP="00E23160">
      <w:pPr>
        <w:pStyle w:val="ListParagraph"/>
        <w:numPr>
          <w:ilvl w:val="1"/>
          <w:numId w:val="31"/>
        </w:numPr>
        <w:ind w:left="1124" w:hanging="562"/>
        <w:contextualSpacing/>
        <w:rPr>
          <w:color w:val="000000"/>
        </w:rPr>
      </w:pPr>
      <w:r w:rsidRPr="004F5FB4">
        <w:rPr>
          <w:color w:val="000000"/>
        </w:rPr>
        <w:t>der Pen eingefroren war oder aufgetaut wurde</w:t>
      </w:r>
      <w:r w:rsidR="002508D2" w:rsidRPr="004F5FB4">
        <w:rPr>
          <w:color w:val="000000"/>
        </w:rPr>
        <w:t>,</w:t>
      </w:r>
    </w:p>
    <w:p w14:paraId="6B2FD796" w14:textId="77777777" w:rsidR="00CC00FF" w:rsidRPr="004F5FB4" w:rsidRDefault="00CC00FF" w:rsidP="00E23160">
      <w:pPr>
        <w:pStyle w:val="ListParagraph"/>
        <w:numPr>
          <w:ilvl w:val="1"/>
          <w:numId w:val="31"/>
        </w:numPr>
        <w:ind w:left="1124" w:hanging="562"/>
        <w:contextualSpacing/>
        <w:rPr>
          <w:color w:val="000000"/>
        </w:rPr>
      </w:pPr>
      <w:r w:rsidRPr="004F5FB4">
        <w:rPr>
          <w:color w:val="000000"/>
        </w:rPr>
        <w:t>der Pen beschädigt aussieht</w:t>
      </w:r>
      <w:r w:rsidR="002508D2" w:rsidRPr="004F5FB4">
        <w:rPr>
          <w:color w:val="000000"/>
        </w:rPr>
        <w:t>,</w:t>
      </w:r>
    </w:p>
    <w:p w14:paraId="256E8D4E" w14:textId="77777777" w:rsidR="00CC00FF" w:rsidRPr="004F5FB4" w:rsidRDefault="00CC00FF" w:rsidP="00E23160">
      <w:pPr>
        <w:pStyle w:val="ListParagraph"/>
        <w:numPr>
          <w:ilvl w:val="1"/>
          <w:numId w:val="31"/>
        </w:numPr>
        <w:ind w:left="1124" w:hanging="562"/>
        <w:contextualSpacing/>
        <w:rPr>
          <w:color w:val="000000"/>
        </w:rPr>
      </w:pPr>
      <w:r w:rsidRPr="004F5FB4">
        <w:rPr>
          <w:color w:val="000000"/>
        </w:rPr>
        <w:t xml:space="preserve">das Siegel einer neuen Faltschachtel </w:t>
      </w:r>
      <w:r w:rsidR="00497C67" w:rsidRPr="004F5FB4">
        <w:rPr>
          <w:color w:val="000000"/>
        </w:rPr>
        <w:t xml:space="preserve">bereits </w:t>
      </w:r>
      <w:r w:rsidRPr="004F5FB4">
        <w:rPr>
          <w:color w:val="000000"/>
        </w:rPr>
        <w:t xml:space="preserve">gebrochen </w:t>
      </w:r>
      <w:r w:rsidR="00497C67" w:rsidRPr="004F5FB4">
        <w:rPr>
          <w:color w:val="000000"/>
        </w:rPr>
        <w:t>ist</w:t>
      </w:r>
      <w:r w:rsidR="002508D2" w:rsidRPr="004F5FB4">
        <w:rPr>
          <w:color w:val="000000"/>
        </w:rPr>
        <w:t>,</w:t>
      </w:r>
    </w:p>
    <w:p w14:paraId="1D2FADE6" w14:textId="77777777" w:rsidR="00CC00FF" w:rsidRPr="004F5FB4" w:rsidRDefault="00CC00FF" w:rsidP="00E23160">
      <w:pPr>
        <w:pStyle w:val="ListParagraph"/>
        <w:numPr>
          <w:ilvl w:val="1"/>
          <w:numId w:val="31"/>
        </w:numPr>
        <w:ind w:left="1124" w:hanging="562"/>
        <w:contextualSpacing/>
        <w:rPr>
          <w:color w:val="000000"/>
        </w:rPr>
      </w:pPr>
      <w:r w:rsidRPr="004F5FB4">
        <w:rPr>
          <w:color w:val="000000"/>
        </w:rPr>
        <w:t>der Pen länger als 30 Tage nicht im Kühlschrank aufbewahrt wurde</w:t>
      </w:r>
      <w:r w:rsidR="002508D2" w:rsidRPr="004F5FB4">
        <w:rPr>
          <w:color w:val="000000"/>
        </w:rPr>
        <w:t>,</w:t>
      </w:r>
    </w:p>
    <w:p w14:paraId="492F0BBF" w14:textId="77777777" w:rsidR="00CC00FF" w:rsidRPr="004F5FB4" w:rsidRDefault="00CC00FF" w:rsidP="00E23160">
      <w:pPr>
        <w:pStyle w:val="ListParagraph"/>
        <w:numPr>
          <w:ilvl w:val="1"/>
          <w:numId w:val="31"/>
        </w:numPr>
        <w:ind w:left="1124" w:hanging="562"/>
        <w:contextualSpacing/>
        <w:rPr>
          <w:color w:val="000000"/>
        </w:rPr>
      </w:pPr>
      <w:r w:rsidRPr="004F5FB4">
        <w:rPr>
          <w:color w:val="000000"/>
        </w:rPr>
        <w:lastRenderedPageBreak/>
        <w:t>das Verfalldatum abgelaufen ist.</w:t>
      </w:r>
    </w:p>
    <w:p w14:paraId="2CE28B42" w14:textId="77777777" w:rsidR="00F76AF0" w:rsidRPr="004F5FB4" w:rsidRDefault="00F76AF0" w:rsidP="00687087">
      <w:pPr>
        <w:pStyle w:val="ListParagraph"/>
        <w:numPr>
          <w:ilvl w:val="0"/>
          <w:numId w:val="31"/>
        </w:numPr>
        <w:ind w:left="567" w:hanging="567"/>
        <w:contextualSpacing/>
        <w:rPr>
          <w:color w:val="000000"/>
        </w:rPr>
      </w:pPr>
      <w:r w:rsidRPr="004F5FB4">
        <w:rPr>
          <w:color w:val="000000"/>
        </w:rPr>
        <w:t>Sollte einer der oben genannten Punkte zutreffen, entsorgen Sie den Pen auf die gleiche Weise wie einen benutzten Pen und verwenden Sie einen neuen Pen für die Injektion.</w:t>
      </w:r>
    </w:p>
    <w:p w14:paraId="0A0539E6" w14:textId="77777777" w:rsidR="00F76AF0" w:rsidRPr="004F5FB4" w:rsidRDefault="00F76AF0" w:rsidP="00687087">
      <w:pPr>
        <w:pStyle w:val="ListParagraph"/>
        <w:numPr>
          <w:ilvl w:val="0"/>
          <w:numId w:val="31"/>
        </w:numPr>
        <w:ind w:left="567" w:hanging="567"/>
        <w:contextualSpacing/>
        <w:rPr>
          <w:color w:val="000000"/>
        </w:rPr>
      </w:pPr>
      <w:r w:rsidRPr="004F5FB4">
        <w:rPr>
          <w:color w:val="000000"/>
        </w:rPr>
        <w:t>Der Pen kann direkt nach der Entnahme aus dem Kühlschrank angewendet werden.</w:t>
      </w:r>
    </w:p>
    <w:p w14:paraId="058AD4A5" w14:textId="77777777" w:rsidR="00CC00FF" w:rsidRPr="004F5FB4" w:rsidRDefault="00497C67" w:rsidP="00F76AF0">
      <w:pPr>
        <w:pStyle w:val="ListParagraph"/>
        <w:numPr>
          <w:ilvl w:val="0"/>
          <w:numId w:val="39"/>
        </w:numPr>
        <w:ind w:left="562" w:hanging="562"/>
        <w:contextualSpacing/>
        <w:rPr>
          <w:color w:val="000000"/>
        </w:rPr>
      </w:pPr>
      <w:r w:rsidRPr="004F5FB4">
        <w:rPr>
          <w:color w:val="000000"/>
        </w:rPr>
        <w:t>Eventuell wird durch die Anwendung eines auf Raumtemperatur aufgewärmten Pens ein Brennen reduziert und als weniger unangenehm empfunden</w:t>
      </w:r>
      <w:r w:rsidR="00F76AF0" w:rsidRPr="004F5FB4">
        <w:rPr>
          <w:color w:val="000000"/>
        </w:rPr>
        <w:t>. Lassen</w:t>
      </w:r>
      <w:r w:rsidR="00CC00FF" w:rsidRPr="004F5FB4">
        <w:rPr>
          <w:color w:val="000000"/>
        </w:rPr>
        <w:t xml:space="preserve"> Sie den Pen vor der Injektion 15 bis 30 Minuten bei Raumtemperatur</w:t>
      </w:r>
      <w:r w:rsidR="00F76AF0" w:rsidRPr="004F5FB4">
        <w:rPr>
          <w:color w:val="000000"/>
        </w:rPr>
        <w:t xml:space="preserve"> und vor direktem Sonnenlicht geschützt</w:t>
      </w:r>
      <w:r w:rsidR="00CC00FF" w:rsidRPr="004F5FB4">
        <w:rPr>
          <w:color w:val="000000"/>
        </w:rPr>
        <w:t xml:space="preserve"> liegen.</w:t>
      </w:r>
    </w:p>
    <w:p w14:paraId="3A0C783C" w14:textId="77777777" w:rsidR="00CC00FF" w:rsidRPr="004F5FB4" w:rsidRDefault="00CC00FF" w:rsidP="00E23160">
      <w:pPr>
        <w:pStyle w:val="ListParagraph"/>
        <w:numPr>
          <w:ilvl w:val="0"/>
          <w:numId w:val="39"/>
        </w:numPr>
        <w:ind w:left="562" w:hanging="562"/>
        <w:contextualSpacing/>
        <w:rPr>
          <w:color w:val="000000"/>
        </w:rPr>
      </w:pPr>
      <w:r w:rsidRPr="004F5FB4">
        <w:rPr>
          <w:color w:val="000000"/>
        </w:rPr>
        <w:t xml:space="preserve">Waschen Sie Ihre Hände mit Seife und Wasser und trocknen Sie sie gut ab. </w:t>
      </w:r>
    </w:p>
    <w:p w14:paraId="0B6D7BC7" w14:textId="77777777" w:rsidR="00CC00FF" w:rsidRPr="004F5FB4" w:rsidRDefault="00CC00FF" w:rsidP="00E23160">
      <w:pPr>
        <w:pStyle w:val="ListParagraph"/>
        <w:numPr>
          <w:ilvl w:val="0"/>
          <w:numId w:val="39"/>
        </w:numPr>
        <w:ind w:left="562" w:hanging="562"/>
        <w:contextualSpacing/>
        <w:rPr>
          <w:color w:val="000000"/>
        </w:rPr>
      </w:pPr>
      <w:r w:rsidRPr="004F5FB4">
        <w:rPr>
          <w:color w:val="000000"/>
        </w:rPr>
        <w:t xml:space="preserve">Entfernen Sie die Schutzkappe erst </w:t>
      </w:r>
      <w:r w:rsidRPr="004F5FB4">
        <w:rPr>
          <w:b/>
          <w:bCs/>
          <w:color w:val="000000"/>
        </w:rPr>
        <w:t>unmittelbar vor</w:t>
      </w:r>
      <w:r w:rsidRPr="004F5FB4">
        <w:rPr>
          <w:color w:val="000000"/>
        </w:rPr>
        <w:t xml:space="preserve"> der Injektion. </w:t>
      </w:r>
    </w:p>
    <w:p w14:paraId="02323CF1" w14:textId="77777777" w:rsidR="00CC00FF" w:rsidRPr="004F5FB4" w:rsidRDefault="00CC00FF" w:rsidP="00982118">
      <w:pPr>
        <w:pStyle w:val="ListParagraph"/>
        <w:autoSpaceDE w:val="0"/>
        <w:autoSpaceDN w:val="0"/>
        <w:adjustRightInd w:val="0"/>
        <w:ind w:left="709"/>
        <w:contextualSpacing/>
        <w:rPr>
          <w:color w:val="000000"/>
        </w:rPr>
      </w:pPr>
    </w:p>
    <w:p w14:paraId="5C588D24" w14:textId="77777777" w:rsidR="00CC00FF" w:rsidRPr="004F5FB4" w:rsidRDefault="00CC00FF" w:rsidP="00982118">
      <w:pPr>
        <w:pStyle w:val="ListParagraph"/>
        <w:autoSpaceDE w:val="0"/>
        <w:autoSpaceDN w:val="0"/>
        <w:adjustRightInd w:val="0"/>
        <w:ind w:left="709"/>
        <w:rPr>
          <w:color w:val="000000"/>
        </w:rPr>
      </w:pPr>
    </w:p>
    <w:p w14:paraId="4C2B82A2" w14:textId="195A1DB5" w:rsidR="00CC00FF" w:rsidRPr="004F5FB4" w:rsidRDefault="00032CD3" w:rsidP="00982118">
      <w:pPr>
        <w:pStyle w:val="ListParagraph"/>
        <w:autoSpaceDE w:val="0"/>
        <w:autoSpaceDN w:val="0"/>
        <w:adjustRightInd w:val="0"/>
        <w:ind w:left="709"/>
        <w:rPr>
          <w:color w:val="000000"/>
          <w:lang w:val="en-GB"/>
        </w:rPr>
      </w:pPr>
      <w:r w:rsidRPr="004F5FB4">
        <w:rPr>
          <w:noProof/>
          <w:color w:val="000000"/>
        </w:rPr>
        <mc:AlternateContent>
          <mc:Choice Requires="wps">
            <w:drawing>
              <wp:anchor distT="0" distB="0" distL="114300" distR="114300" simplePos="0" relativeHeight="251658285" behindDoc="0" locked="0" layoutInCell="1" allowOverlap="1" wp14:anchorId="61C3532D" wp14:editId="68156F42">
                <wp:simplePos x="0" y="0"/>
                <wp:positionH relativeFrom="column">
                  <wp:posOffset>765810</wp:posOffset>
                </wp:positionH>
                <wp:positionV relativeFrom="paragraph">
                  <wp:posOffset>1374140</wp:posOffset>
                </wp:positionV>
                <wp:extent cx="819785" cy="201930"/>
                <wp:effectExtent l="0" t="0" r="0" b="0"/>
                <wp:wrapNone/>
                <wp:docPr id="9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785" cy="201930"/>
                        </a:xfrm>
                        <a:prstGeom prst="rect">
                          <a:avLst/>
                        </a:prstGeom>
                        <a:solidFill>
                          <a:srgbClr val="FFFFFF"/>
                        </a:solidFill>
                        <a:ln>
                          <a:noFill/>
                        </a:ln>
                      </wps:spPr>
                      <wps:txbx>
                        <w:txbxContent>
                          <w:p w14:paraId="1C518349" w14:textId="77777777" w:rsidR="008F3710" w:rsidRPr="009E6D01" w:rsidRDefault="008F3710" w:rsidP="00CD3253">
                            <w:pPr>
                              <w:rPr>
                                <w:sz w:val="16"/>
                                <w:szCs w:val="16"/>
                              </w:rPr>
                            </w:pPr>
                            <w:r>
                              <w:rPr>
                                <w:sz w:val="16"/>
                                <w:szCs w:val="16"/>
                              </w:rPr>
                              <w:t>Schutzkappe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3532D" id="Text Box 296" o:spid="_x0000_s1110" type="#_x0000_t202" style="position:absolute;left:0;text-align:left;margin-left:60.3pt;margin-top:108.2pt;width:64.55pt;height:15.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" stroked="f">
                <v:textbox>
                  <w:txbxContent>
                    <w:p w14:paraId="1C518349" w14:textId="77777777" w:rsidR="008F3710" w:rsidRPr="009E6D01" w:rsidRDefault="008F3710" w:rsidP="00CD3253">
                      <w:pPr>
                        <w:rPr>
                          <w:sz w:val="16"/>
                          <w:szCs w:val="16"/>
                        </w:rPr>
                      </w:pPr>
                      <w:r>
                        <w:rPr>
                          <w:sz w:val="16"/>
                          <w:szCs w:val="16"/>
                        </w:rPr>
                        <w:t>Schutzkappe</w:t>
                      </w:r>
                    </w:p>
                  </w:txbxContent>
                </v:textbox>
              </v:shape>
            </w:pict>
          </mc:Fallback>
        </mc:AlternateContent>
      </w:r>
      <w:r w:rsidRPr="004F5FB4">
        <w:rPr>
          <w:noProof/>
          <w:color w:val="000000"/>
        </w:rPr>
        <mc:AlternateContent>
          <mc:Choice Requires="wps">
            <w:drawing>
              <wp:anchor distT="0" distB="0" distL="114300" distR="114300" simplePos="0" relativeHeight="251658282" behindDoc="0" locked="0" layoutInCell="1" allowOverlap="1" wp14:anchorId="1D5ACA5A" wp14:editId="0C83FA48">
                <wp:simplePos x="0" y="0"/>
                <wp:positionH relativeFrom="column">
                  <wp:posOffset>4399915</wp:posOffset>
                </wp:positionH>
                <wp:positionV relativeFrom="paragraph">
                  <wp:posOffset>658495</wp:posOffset>
                </wp:positionV>
                <wp:extent cx="883285" cy="201930"/>
                <wp:effectExtent l="0" t="0" r="0" b="0"/>
                <wp:wrapNone/>
                <wp:docPr id="9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1B2B0064" w14:textId="77777777" w:rsidR="008F3710" w:rsidRPr="009E6D01" w:rsidRDefault="008F3710" w:rsidP="00CD3253">
                            <w:pPr>
                              <w:rPr>
                                <w:sz w:val="16"/>
                                <w:szCs w:val="16"/>
                              </w:rPr>
                            </w:pPr>
                            <w:r>
                              <w:rPr>
                                <w:sz w:val="16"/>
                                <w:szCs w:val="16"/>
                              </w:rPr>
                              <w:t>Verfalldatum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ACA5A" id="Text Box 293" o:spid="_x0000_s1111" type="#_x0000_t202" style="position:absolute;left:0;text-align:left;margin-left:346.45pt;margin-top:51.85pt;width:69.55pt;height:15.9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" stroked="f">
                <v:textbox>
                  <w:txbxContent>
                    <w:p w14:paraId="1B2B0064" w14:textId="77777777" w:rsidR="008F3710" w:rsidRPr="009E6D01" w:rsidRDefault="008F3710" w:rsidP="00CD3253">
                      <w:pPr>
                        <w:rPr>
                          <w:sz w:val="16"/>
                          <w:szCs w:val="16"/>
                        </w:rPr>
                      </w:pPr>
                      <w:r>
                        <w:rPr>
                          <w:sz w:val="16"/>
                          <w:szCs w:val="16"/>
                        </w:rPr>
                        <w:t>Verfalldatum</w:t>
                      </w:r>
                    </w:p>
                  </w:txbxContent>
                </v:textbox>
              </v:shape>
            </w:pict>
          </mc:Fallback>
        </mc:AlternateContent>
      </w:r>
      <w:r w:rsidRPr="004F5FB4">
        <w:rPr>
          <w:noProof/>
          <w:color w:val="000000"/>
        </w:rPr>
        <mc:AlternateContent>
          <mc:Choice Requires="wps">
            <w:drawing>
              <wp:anchor distT="0" distB="0" distL="114300" distR="114300" simplePos="0" relativeHeight="251658283" behindDoc="0" locked="0" layoutInCell="1" allowOverlap="1" wp14:anchorId="3F11B2D7" wp14:editId="36515670">
                <wp:simplePos x="0" y="0"/>
                <wp:positionH relativeFrom="column">
                  <wp:posOffset>3389630</wp:posOffset>
                </wp:positionH>
                <wp:positionV relativeFrom="paragraph">
                  <wp:posOffset>1040130</wp:posOffset>
                </wp:positionV>
                <wp:extent cx="883285" cy="266700"/>
                <wp:effectExtent l="0" t="0" r="0" b="0"/>
                <wp:wrapNone/>
                <wp:docPr id="9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66700"/>
                        </a:xfrm>
                        <a:prstGeom prst="rect">
                          <a:avLst/>
                        </a:prstGeom>
                        <a:solidFill>
                          <a:srgbClr val="FFFFFF"/>
                        </a:solidFill>
                        <a:ln>
                          <a:noFill/>
                        </a:ln>
                      </wps:spPr>
                      <wps:txbx>
                        <w:txbxContent>
                          <w:p w14:paraId="2430C0EC" w14:textId="77777777" w:rsidR="008F3710" w:rsidRPr="009E6D01" w:rsidRDefault="008F3710" w:rsidP="00CD3253">
                            <w:pPr>
                              <w:rPr>
                                <w:sz w:val="16"/>
                                <w:szCs w:val="16"/>
                              </w:rPr>
                            </w:pPr>
                            <w:r>
                              <w:rPr>
                                <w:sz w:val="16"/>
                                <w:szCs w:val="16"/>
                              </w:rPr>
                              <w:t>Injektionsknopf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1B2D7" id="Text Box 294" o:spid="_x0000_s1112" type="#_x0000_t202" style="position:absolute;left:0;text-align:left;margin-left:266.9pt;margin-top:81.9pt;width:69.55pt;height:21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" stroked="f">
                <v:textbox>
                  <w:txbxContent>
                    <w:p w14:paraId="2430C0EC" w14:textId="77777777" w:rsidR="008F3710" w:rsidRPr="009E6D01" w:rsidRDefault="008F3710" w:rsidP="00CD3253">
                      <w:pPr>
                        <w:rPr>
                          <w:sz w:val="16"/>
                          <w:szCs w:val="16"/>
                        </w:rPr>
                      </w:pPr>
                      <w:r>
                        <w:rPr>
                          <w:sz w:val="16"/>
                          <w:szCs w:val="16"/>
                        </w:rPr>
                        <w:t>Injektionsknopf</w:t>
                      </w:r>
                    </w:p>
                  </w:txbxContent>
                </v:textbox>
              </v:shape>
            </w:pict>
          </mc:Fallback>
        </mc:AlternateContent>
      </w:r>
      <w:r w:rsidRPr="004F5FB4">
        <w:rPr>
          <w:noProof/>
          <w:color w:val="000000"/>
        </w:rPr>
        <mc:AlternateContent>
          <mc:Choice Requires="wps">
            <w:drawing>
              <wp:anchor distT="0" distB="0" distL="114300" distR="114300" simplePos="0" relativeHeight="251658284" behindDoc="0" locked="0" layoutInCell="1" allowOverlap="1" wp14:anchorId="2506BB46" wp14:editId="115261A4">
                <wp:simplePos x="0" y="0"/>
                <wp:positionH relativeFrom="column">
                  <wp:posOffset>1514475</wp:posOffset>
                </wp:positionH>
                <wp:positionV relativeFrom="paragraph">
                  <wp:posOffset>1262380</wp:posOffset>
                </wp:positionV>
                <wp:extent cx="883285" cy="201930"/>
                <wp:effectExtent l="0" t="0" r="0" b="0"/>
                <wp:wrapNone/>
                <wp:docPr id="94"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4AEBDEAE" w14:textId="77777777" w:rsidR="008F3710" w:rsidRPr="009E6D01" w:rsidRDefault="008F3710" w:rsidP="00CD3253">
                            <w:pPr>
                              <w:rPr>
                                <w:sz w:val="16"/>
                                <w:szCs w:val="16"/>
                              </w:rPr>
                            </w:pPr>
                            <w:r>
                              <w:rPr>
                                <w:sz w:val="16"/>
                                <w:szCs w:val="16"/>
                              </w:rPr>
                              <w:t>Sichtfenster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6BB46" id="Text Box 295" o:spid="_x0000_s1113" type="#_x0000_t202" style="position:absolute;left:0;text-align:left;margin-left:119.25pt;margin-top:99.4pt;width:69.55pt;height:15.9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" stroked="f">
                <v:textbox>
                  <w:txbxContent>
                    <w:p w14:paraId="4AEBDEAE" w14:textId="77777777" w:rsidR="008F3710" w:rsidRPr="009E6D01" w:rsidRDefault="008F3710" w:rsidP="00CD3253">
                      <w:pPr>
                        <w:rPr>
                          <w:sz w:val="16"/>
                          <w:szCs w:val="16"/>
                        </w:rPr>
                      </w:pPr>
                      <w:r>
                        <w:rPr>
                          <w:sz w:val="16"/>
                          <w:szCs w:val="16"/>
                        </w:rPr>
                        <w:t>Sichtfenster</w:t>
                      </w:r>
                    </w:p>
                  </w:txbxContent>
                </v:textbox>
              </v:shape>
            </w:pict>
          </mc:Fallback>
        </mc:AlternateContent>
      </w:r>
      <w:r w:rsidRPr="004F5FB4">
        <w:rPr>
          <w:noProof/>
          <w:color w:val="000000"/>
        </w:rPr>
        <w:drawing>
          <wp:inline distT="0" distB="0" distL="0" distR="0" wp14:anchorId="3B3A5B2B" wp14:editId="2FF7D595">
            <wp:extent cx="5114925" cy="1628775"/>
            <wp:effectExtent l="0" t="0" r="0" b="0"/>
            <wp:docPr id="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14925" cy="1628775"/>
                    </a:xfrm>
                    <a:prstGeom prst="rect">
                      <a:avLst/>
                    </a:prstGeom>
                    <a:noFill/>
                    <a:ln>
                      <a:noFill/>
                    </a:ln>
                  </pic:spPr>
                </pic:pic>
              </a:graphicData>
            </a:graphic>
          </wp:inline>
        </w:drawing>
      </w:r>
    </w:p>
    <w:p w14:paraId="3C3F688E" w14:textId="77777777" w:rsidR="00CC00FF" w:rsidRPr="004F5FB4" w:rsidRDefault="00CC00FF" w:rsidP="00982118">
      <w:pPr>
        <w:pStyle w:val="ListParagraph"/>
        <w:autoSpaceDE w:val="0"/>
        <w:autoSpaceDN w:val="0"/>
        <w:adjustRightInd w:val="0"/>
        <w:ind w:left="709"/>
        <w:rPr>
          <w:color w:val="000000"/>
          <w:lang w:val="en-GB"/>
        </w:rPr>
      </w:pPr>
    </w:p>
    <w:p w14:paraId="679AD20C" w14:textId="77777777" w:rsidR="00CC00FF" w:rsidRPr="004F5FB4" w:rsidRDefault="00CC00FF" w:rsidP="00982118">
      <w:pPr>
        <w:pStyle w:val="ListParagraph"/>
        <w:autoSpaceDE w:val="0"/>
        <w:autoSpaceDN w:val="0"/>
        <w:adjustRightInd w:val="0"/>
        <w:ind w:left="709"/>
        <w:rPr>
          <w:color w:val="000000"/>
          <w:lang w:val="en-GB"/>
        </w:rPr>
      </w:pPr>
    </w:p>
    <w:p w14:paraId="3978F49F" w14:textId="28811744" w:rsidR="00CC00FF" w:rsidRPr="004F5FB4" w:rsidRDefault="00032CD3" w:rsidP="00982118">
      <w:pPr>
        <w:jc w:val="center"/>
        <w:rPr>
          <w:noProof/>
          <w:color w:val="000000"/>
        </w:rPr>
      </w:pPr>
      <w:r w:rsidRPr="004F5FB4">
        <w:rPr>
          <w:noProof/>
          <w:color w:val="000000"/>
          <w:lang w:eastAsia="de-DE"/>
        </w:rPr>
        <mc:AlternateContent>
          <mc:Choice Requires="wps">
            <w:drawing>
              <wp:anchor distT="0" distB="0" distL="114300" distR="114300" simplePos="0" relativeHeight="251658299" behindDoc="0" locked="0" layoutInCell="1" allowOverlap="1" wp14:anchorId="0E4B25C1" wp14:editId="7AE7C518">
                <wp:simplePos x="0" y="0"/>
                <wp:positionH relativeFrom="column">
                  <wp:posOffset>468630</wp:posOffset>
                </wp:positionH>
                <wp:positionV relativeFrom="paragraph">
                  <wp:posOffset>88265</wp:posOffset>
                </wp:positionV>
                <wp:extent cx="1958975" cy="197485"/>
                <wp:effectExtent l="1905" t="2540" r="1270" b="0"/>
                <wp:wrapNone/>
                <wp:docPr id="8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197485"/>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4D38D8" w14:textId="77777777" w:rsidR="008F3710" w:rsidRPr="009A1F4C" w:rsidRDefault="008F3710" w:rsidP="00F76AF0">
                            <w:pPr>
                              <w:rPr>
                                <w:rFonts w:ascii="Arial" w:hAnsi="Arial" w:cs="Arial"/>
                                <w:b/>
                                <w:bCs/>
                                <w:color w:val="FFFFFF"/>
                                <w:sz w:val="20"/>
                                <w:szCs w:val="18"/>
                              </w:rPr>
                            </w:pPr>
                            <w:r>
                              <w:rPr>
                                <w:rFonts w:ascii="Arial" w:hAnsi="Arial" w:cs="Arial"/>
                                <w:b/>
                                <w:bCs/>
                                <w:color w:val="FFFFFF"/>
                                <w:sz w:val="20"/>
                                <w:szCs w:val="18"/>
                              </w:rPr>
                              <w:t>Prüfen der Flüssigkeit im Pen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B25C1" id="Text Box 174" o:spid="_x0000_s1114" type="#_x0000_t202" style="position:absolute;left:0;text-align:left;margin-left:36.9pt;margin-top:6.95pt;width:154.25pt;height:15.5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" fillcolor="#5a5a5a" stroked="f">
                <v:textbox inset="0,0,0,0">
                  <w:txbxContent>
                    <w:p w14:paraId="564D38D8" w14:textId="77777777" w:rsidR="008F3710" w:rsidRPr="009A1F4C" w:rsidRDefault="008F3710" w:rsidP="00F76AF0">
                      <w:pPr>
                        <w:rPr>
                          <w:rFonts w:ascii="Arial" w:hAnsi="Arial" w:cs="Arial"/>
                          <w:b/>
                          <w:bCs/>
                          <w:color w:val="FFFFFF"/>
                          <w:sz w:val="20"/>
                          <w:szCs w:val="18"/>
                        </w:rPr>
                      </w:pPr>
                      <w:r>
                        <w:rPr>
                          <w:rFonts w:ascii="Arial" w:hAnsi="Arial" w:cs="Arial"/>
                          <w:b/>
                          <w:bCs/>
                          <w:color w:val="FFFFFF"/>
                          <w:sz w:val="20"/>
                          <w:szCs w:val="18"/>
                        </w:rPr>
                        <w:t>Prüfen der Flüssigkeit im Pen</w:t>
                      </w:r>
                    </w:p>
                  </w:txbxContent>
                </v:textbox>
              </v:shape>
            </w:pict>
          </mc:Fallback>
        </mc:AlternateContent>
      </w:r>
      <w:r w:rsidRPr="004F5FB4">
        <w:rPr>
          <w:noProof/>
          <w:color w:val="000000"/>
        </w:rPr>
        <w:drawing>
          <wp:inline distT="0" distB="0" distL="0" distR="0" wp14:anchorId="48C842EF" wp14:editId="017E5845">
            <wp:extent cx="5734050" cy="2409825"/>
            <wp:effectExtent l="0" t="0" r="0" b="0"/>
            <wp:docPr id="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4050" cy="2409825"/>
                    </a:xfrm>
                    <a:prstGeom prst="rect">
                      <a:avLst/>
                    </a:prstGeom>
                    <a:noFill/>
                    <a:ln>
                      <a:noFill/>
                    </a:ln>
                  </pic:spPr>
                </pic:pic>
              </a:graphicData>
            </a:graphic>
          </wp:inline>
        </w:drawing>
      </w:r>
    </w:p>
    <w:p w14:paraId="704D3E91" w14:textId="77777777" w:rsidR="00004322" w:rsidRPr="004F5FB4" w:rsidRDefault="00004322" w:rsidP="00004322">
      <w:pPr>
        <w:pStyle w:val="ListParagraph"/>
        <w:autoSpaceDE w:val="0"/>
        <w:autoSpaceDN w:val="0"/>
        <w:adjustRightInd w:val="0"/>
        <w:ind w:left="709"/>
        <w:rPr>
          <w:color w:val="000000"/>
          <w:lang w:val="en-GB"/>
        </w:rPr>
      </w:pPr>
    </w:p>
    <w:p w14:paraId="5E663377" w14:textId="77777777" w:rsidR="005B64ED" w:rsidRPr="004F5FB4" w:rsidRDefault="005B64ED" w:rsidP="00982118">
      <w:pPr>
        <w:jc w:val="center"/>
        <w:rPr>
          <w:color w:val="000000"/>
          <w:lang w:val="en-GB"/>
        </w:rPr>
      </w:pPr>
    </w:p>
    <w:p w14:paraId="11D14090" w14:textId="77777777" w:rsidR="005B64ED" w:rsidRPr="004F5FB4" w:rsidRDefault="005B64ED" w:rsidP="005B64ED">
      <w:pPr>
        <w:pStyle w:val="ListParagraph"/>
        <w:numPr>
          <w:ilvl w:val="0"/>
          <w:numId w:val="36"/>
        </w:numPr>
        <w:ind w:left="562" w:hanging="562"/>
        <w:contextualSpacing/>
        <w:rPr>
          <w:color w:val="000000"/>
        </w:rPr>
      </w:pPr>
      <w:r w:rsidRPr="004F5FB4">
        <w:rPr>
          <w:color w:val="000000"/>
        </w:rPr>
        <w:t xml:space="preserve">Schauen Sie sich die Flüssigkeit im </w:t>
      </w:r>
      <w:r w:rsidR="00564088" w:rsidRPr="004F5FB4">
        <w:rPr>
          <w:color w:val="000000"/>
        </w:rPr>
        <w:t>Sichtf</w:t>
      </w:r>
      <w:r w:rsidRPr="004F5FB4">
        <w:rPr>
          <w:color w:val="000000"/>
        </w:rPr>
        <w:t xml:space="preserve">enster genau an. </w:t>
      </w:r>
    </w:p>
    <w:p w14:paraId="23A6901B" w14:textId="77777777" w:rsidR="005B64ED" w:rsidRPr="004F5FB4" w:rsidRDefault="005B64ED" w:rsidP="005B64ED">
      <w:pPr>
        <w:pStyle w:val="ListParagraph"/>
        <w:numPr>
          <w:ilvl w:val="0"/>
          <w:numId w:val="36"/>
        </w:numPr>
        <w:ind w:left="562" w:hanging="562"/>
        <w:contextualSpacing/>
        <w:rPr>
          <w:color w:val="000000"/>
        </w:rPr>
      </w:pPr>
      <w:r w:rsidRPr="004F5FB4">
        <w:rPr>
          <w:color w:val="000000"/>
        </w:rPr>
        <w:t xml:space="preserve">Neigen Sie </w:t>
      </w:r>
      <w:r w:rsidR="00A6731C" w:rsidRPr="004F5FB4">
        <w:rPr>
          <w:color w:val="000000"/>
        </w:rPr>
        <w:t>den Pen</w:t>
      </w:r>
      <w:r w:rsidRPr="004F5FB4">
        <w:rPr>
          <w:color w:val="000000"/>
        </w:rPr>
        <w:t xml:space="preserve"> vorsichtig hin und her, um das Arzneimittel zu prüfen.</w:t>
      </w:r>
    </w:p>
    <w:p w14:paraId="47F333B3" w14:textId="77777777" w:rsidR="005B64ED" w:rsidRPr="004F5FB4" w:rsidRDefault="005B64ED" w:rsidP="005B64ED">
      <w:pPr>
        <w:pStyle w:val="ListParagraph"/>
        <w:numPr>
          <w:ilvl w:val="0"/>
          <w:numId w:val="36"/>
        </w:numPr>
        <w:ind w:left="562" w:hanging="562"/>
        <w:contextualSpacing/>
        <w:rPr>
          <w:color w:val="000000"/>
        </w:rPr>
      </w:pPr>
      <w:r w:rsidRPr="004F5FB4">
        <w:rPr>
          <w:b/>
          <w:color w:val="000000"/>
        </w:rPr>
        <w:t>Schütteln</w:t>
      </w:r>
      <w:r w:rsidRPr="004F5FB4">
        <w:rPr>
          <w:color w:val="000000"/>
        </w:rPr>
        <w:t xml:space="preserve"> Sie </w:t>
      </w:r>
      <w:r w:rsidR="00A6731C" w:rsidRPr="004F5FB4">
        <w:rPr>
          <w:color w:val="000000"/>
        </w:rPr>
        <w:t>den Pen</w:t>
      </w:r>
      <w:r w:rsidRPr="004F5FB4">
        <w:rPr>
          <w:color w:val="000000"/>
        </w:rPr>
        <w:t xml:space="preserve"> </w:t>
      </w:r>
      <w:r w:rsidRPr="004F5FB4">
        <w:rPr>
          <w:b/>
          <w:color w:val="000000"/>
        </w:rPr>
        <w:t>nicht</w:t>
      </w:r>
      <w:r w:rsidRPr="004F5FB4">
        <w:rPr>
          <w:color w:val="000000"/>
        </w:rPr>
        <w:t xml:space="preserve">. Durch Schütteln kann </w:t>
      </w:r>
      <w:r w:rsidR="00A6731C" w:rsidRPr="004F5FB4">
        <w:rPr>
          <w:color w:val="000000"/>
        </w:rPr>
        <w:t>Ihr</w:t>
      </w:r>
      <w:r w:rsidRPr="004F5FB4">
        <w:rPr>
          <w:color w:val="000000"/>
        </w:rPr>
        <w:t xml:space="preserve"> Arzneimittel unbrauchbar werden.</w:t>
      </w:r>
    </w:p>
    <w:p w14:paraId="58133656" w14:textId="77777777" w:rsidR="005B64ED" w:rsidRPr="004F5FB4" w:rsidRDefault="005B64ED" w:rsidP="005B64ED">
      <w:pPr>
        <w:pStyle w:val="ListParagraph"/>
        <w:numPr>
          <w:ilvl w:val="0"/>
          <w:numId w:val="36"/>
        </w:numPr>
        <w:ind w:left="562" w:hanging="562"/>
        <w:contextualSpacing/>
        <w:rPr>
          <w:rFonts w:eastAsia="Calibri"/>
          <w:color w:val="000000"/>
        </w:rPr>
      </w:pPr>
      <w:r w:rsidRPr="004F5FB4">
        <w:rPr>
          <w:color w:val="000000"/>
        </w:rPr>
        <w:t xml:space="preserve">Vergewissern Sie sich, dass die Flüssigkeit klar und farblos bis sehr hellbraun und frei von Flocken oder Teilchen ist. Es ist normal, wenn eine oder mehrere Blasen im </w:t>
      </w:r>
      <w:r w:rsidR="00564088" w:rsidRPr="004F5FB4">
        <w:rPr>
          <w:color w:val="000000"/>
        </w:rPr>
        <w:t>Sichtf</w:t>
      </w:r>
      <w:r w:rsidRPr="004F5FB4">
        <w:rPr>
          <w:color w:val="000000"/>
        </w:rPr>
        <w:t xml:space="preserve">enster sichtbar sind. </w:t>
      </w:r>
      <w:r w:rsidRPr="004F5FB4">
        <w:rPr>
          <w:b/>
          <w:color w:val="000000"/>
        </w:rPr>
        <w:t>Versuchen Sie nicht</w:t>
      </w:r>
      <w:r w:rsidRPr="004F5FB4">
        <w:rPr>
          <w:color w:val="000000"/>
        </w:rPr>
        <w:t>, Luftblasen zu entfernen.</w:t>
      </w:r>
    </w:p>
    <w:p w14:paraId="7418790D" w14:textId="77777777" w:rsidR="00CC00FF" w:rsidRPr="004F5FB4" w:rsidRDefault="00CC00FF" w:rsidP="00687087">
      <w:pPr>
        <w:pStyle w:val="ListParagraph"/>
        <w:ind w:left="562" w:firstLine="5"/>
        <w:contextualSpacing/>
        <w:rPr>
          <w:color w:val="000000"/>
        </w:rPr>
      </w:pPr>
      <w:r w:rsidRPr="004F5FB4">
        <w:rPr>
          <w:color w:val="000000"/>
        </w:rPr>
        <w:t xml:space="preserve">Wenn Sie Fragen zum Arzneimittel haben, </w:t>
      </w:r>
      <w:r w:rsidR="005B64ED" w:rsidRPr="004F5FB4">
        <w:rPr>
          <w:color w:val="000000"/>
        </w:rPr>
        <w:t>sprechen</w:t>
      </w:r>
      <w:r w:rsidRPr="004F5FB4">
        <w:rPr>
          <w:color w:val="000000"/>
        </w:rPr>
        <w:t xml:space="preserve"> Sie bitte </w:t>
      </w:r>
      <w:r w:rsidR="005B64ED" w:rsidRPr="004F5FB4">
        <w:rPr>
          <w:color w:val="000000"/>
        </w:rPr>
        <w:t>mit</w:t>
      </w:r>
      <w:r w:rsidRPr="004F5FB4">
        <w:rPr>
          <w:color w:val="000000"/>
        </w:rPr>
        <w:t xml:space="preserve"> Ihre</w:t>
      </w:r>
      <w:r w:rsidR="005B64ED" w:rsidRPr="004F5FB4">
        <w:rPr>
          <w:color w:val="000000"/>
        </w:rPr>
        <w:t>m</w:t>
      </w:r>
      <w:r w:rsidRPr="004F5FB4">
        <w:rPr>
          <w:color w:val="000000"/>
        </w:rPr>
        <w:t xml:space="preserve"> Arzt</w:t>
      </w:r>
      <w:r w:rsidR="005B64ED" w:rsidRPr="004F5FB4">
        <w:rPr>
          <w:color w:val="000000"/>
        </w:rPr>
        <w:t>, dem medizinischen Fachpersonal</w:t>
      </w:r>
      <w:r w:rsidRPr="004F5FB4">
        <w:rPr>
          <w:color w:val="000000"/>
        </w:rPr>
        <w:t xml:space="preserve"> oder Apotheker.</w:t>
      </w:r>
    </w:p>
    <w:p w14:paraId="69E8D291" w14:textId="77777777" w:rsidR="00CC00FF" w:rsidRPr="004F5FB4" w:rsidRDefault="00CC00FF" w:rsidP="00982118">
      <w:pPr>
        <w:jc w:val="center"/>
        <w:rPr>
          <w:color w:val="000000"/>
        </w:rPr>
      </w:pPr>
    </w:p>
    <w:p w14:paraId="23E305C7" w14:textId="77777777" w:rsidR="00CC00FF" w:rsidRPr="004F5FB4" w:rsidRDefault="00CC00FF" w:rsidP="00982118">
      <w:pPr>
        <w:jc w:val="center"/>
        <w:rPr>
          <w:color w:val="000000"/>
        </w:rPr>
      </w:pPr>
    </w:p>
    <w:p w14:paraId="57617BDB" w14:textId="27C18560" w:rsidR="00CC00FF" w:rsidRPr="004F5FB4" w:rsidRDefault="00032CD3" w:rsidP="005B64ED">
      <w:pPr>
        <w:jc w:val="center"/>
        <w:rPr>
          <w:color w:val="000000"/>
        </w:rPr>
      </w:pPr>
      <w:r w:rsidRPr="004F5FB4">
        <w:rPr>
          <w:noProof/>
          <w:color w:val="000000"/>
          <w:lang w:eastAsia="de-DE"/>
        </w:rPr>
        <w:lastRenderedPageBreak/>
        <mc:AlternateContent>
          <mc:Choice Requires="wps">
            <w:drawing>
              <wp:anchor distT="0" distB="0" distL="114300" distR="114300" simplePos="0" relativeHeight="251658301" behindDoc="0" locked="0" layoutInCell="1" allowOverlap="1" wp14:anchorId="73F40EDD" wp14:editId="04EA335F">
                <wp:simplePos x="0" y="0"/>
                <wp:positionH relativeFrom="column">
                  <wp:posOffset>4074160</wp:posOffset>
                </wp:positionH>
                <wp:positionV relativeFrom="paragraph">
                  <wp:posOffset>1511935</wp:posOffset>
                </wp:positionV>
                <wp:extent cx="1426210" cy="521335"/>
                <wp:effectExtent l="0" t="0" r="0" b="0"/>
                <wp:wrapNone/>
                <wp:docPr id="8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AADC4" w14:textId="77777777" w:rsidR="008F3710" w:rsidRPr="00687087" w:rsidRDefault="008F3710" w:rsidP="005B64ED">
                            <w:pPr>
                              <w:rPr>
                                <w:rFonts w:ascii="Arial" w:hAnsi="Arial" w:cs="Arial"/>
                                <w:b/>
                                <w:bCs/>
                                <w:color w:val="FF0000"/>
                                <w:sz w:val="20"/>
                                <w:szCs w:val="20"/>
                              </w:rPr>
                            </w:pPr>
                            <w:r w:rsidRPr="00687087">
                              <w:rPr>
                                <w:rFonts w:ascii="Arial" w:hAnsi="Arial" w:cs="Arial"/>
                                <w:b/>
                                <w:bCs/>
                                <w:color w:val="FF0000"/>
                                <w:sz w:val="20"/>
                                <w:szCs w:val="20"/>
                              </w:rPr>
                              <w:t>Oberschenkel:</w:t>
                            </w:r>
                          </w:p>
                          <w:p w14:paraId="1AA918F0" w14:textId="77777777" w:rsidR="008F3710" w:rsidRPr="00687087" w:rsidRDefault="008F3710" w:rsidP="005B64ED">
                            <w:pPr>
                              <w:rPr>
                                <w:rFonts w:ascii="Arial" w:hAnsi="Arial" w:cs="Arial"/>
                                <w:sz w:val="20"/>
                                <w:szCs w:val="20"/>
                              </w:rPr>
                            </w:pPr>
                            <w:r w:rsidRPr="00687087">
                              <w:rPr>
                                <w:rFonts w:ascii="Arial" w:hAnsi="Arial" w:cs="Arial"/>
                                <w:sz w:val="20"/>
                                <w:szCs w:val="20"/>
                              </w:rPr>
                              <w:t>Vorderseite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40EDD" id="Text Box 176" o:spid="_x0000_s1115" type="#_x0000_t202" style="position:absolute;left:0;text-align:left;margin-left:320.8pt;margin-top:119.05pt;width:112.3pt;height:41.0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" stroked="f">
                <v:textbox>
                  <w:txbxContent>
                    <w:p w14:paraId="3EBAADC4" w14:textId="77777777" w:rsidR="008F3710" w:rsidRPr="00687087" w:rsidRDefault="008F3710" w:rsidP="005B64ED">
                      <w:pPr>
                        <w:rPr>
                          <w:rFonts w:ascii="Arial" w:hAnsi="Arial" w:cs="Arial"/>
                          <w:b/>
                          <w:bCs/>
                          <w:color w:val="FF0000"/>
                          <w:sz w:val="20"/>
                          <w:szCs w:val="20"/>
                        </w:rPr>
                      </w:pPr>
                      <w:r w:rsidRPr="00687087">
                        <w:rPr>
                          <w:rFonts w:ascii="Arial" w:hAnsi="Arial" w:cs="Arial"/>
                          <w:b/>
                          <w:bCs/>
                          <w:color w:val="FF0000"/>
                          <w:sz w:val="20"/>
                          <w:szCs w:val="20"/>
                        </w:rPr>
                        <w:t>Oberschenkel:</w:t>
                      </w:r>
                    </w:p>
                    <w:p w14:paraId="1AA918F0" w14:textId="77777777" w:rsidR="008F3710" w:rsidRPr="00687087" w:rsidRDefault="008F3710" w:rsidP="005B64ED">
                      <w:pPr>
                        <w:rPr>
                          <w:rFonts w:ascii="Arial" w:hAnsi="Arial" w:cs="Arial"/>
                          <w:sz w:val="20"/>
                          <w:szCs w:val="20"/>
                        </w:rPr>
                      </w:pPr>
                      <w:r w:rsidRPr="00687087">
                        <w:rPr>
                          <w:rFonts w:ascii="Arial" w:hAnsi="Arial" w:cs="Arial"/>
                          <w:sz w:val="20"/>
                          <w:szCs w:val="20"/>
                        </w:rPr>
                        <w:t>Vorderseite</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300" behindDoc="0" locked="0" layoutInCell="1" allowOverlap="1" wp14:anchorId="74EB2580" wp14:editId="79AF2C7E">
                <wp:simplePos x="0" y="0"/>
                <wp:positionH relativeFrom="column">
                  <wp:posOffset>306070</wp:posOffset>
                </wp:positionH>
                <wp:positionV relativeFrom="paragraph">
                  <wp:posOffset>766445</wp:posOffset>
                </wp:positionV>
                <wp:extent cx="1564640" cy="898525"/>
                <wp:effectExtent l="1270" t="4445" r="0" b="1905"/>
                <wp:wrapNone/>
                <wp:docPr id="8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89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8E473" w14:textId="77777777" w:rsidR="008F3710" w:rsidRPr="00687087" w:rsidRDefault="008F3710" w:rsidP="005B64ED">
                            <w:pPr>
                              <w:rPr>
                                <w:rFonts w:ascii="Arial" w:hAnsi="Arial" w:cs="Arial"/>
                                <w:b/>
                                <w:bCs/>
                                <w:color w:val="FF0000"/>
                                <w:sz w:val="20"/>
                                <w:szCs w:val="20"/>
                              </w:rPr>
                            </w:pPr>
                            <w:r w:rsidRPr="00687087">
                              <w:rPr>
                                <w:rFonts w:ascii="Arial" w:hAnsi="Arial" w:cs="Arial"/>
                                <w:b/>
                                <w:bCs/>
                                <w:color w:val="FF0000"/>
                                <w:sz w:val="20"/>
                                <w:szCs w:val="20"/>
                              </w:rPr>
                              <w:t>Bauch:</w:t>
                            </w:r>
                          </w:p>
                          <w:p w14:paraId="04110079" w14:textId="77777777" w:rsidR="008F3710" w:rsidRPr="00687087" w:rsidRDefault="008F3710" w:rsidP="005B64ED">
                            <w:pPr>
                              <w:rPr>
                                <w:rFonts w:ascii="Arial" w:hAnsi="Arial" w:cs="Arial"/>
                                <w:sz w:val="20"/>
                                <w:szCs w:val="20"/>
                              </w:rPr>
                            </w:pPr>
                            <w:r w:rsidRPr="00687087">
                              <w:rPr>
                                <w:rFonts w:ascii="Arial" w:hAnsi="Arial" w:cs="Arial"/>
                                <w:sz w:val="20"/>
                                <w:szCs w:val="20"/>
                              </w:rPr>
                              <w:t>Wählen Sie eine Stelle, die mindestens 5 cm vom Bauchnabel entfernt 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B2580" id="Text Box 175" o:spid="_x0000_s1116" type="#_x0000_t202" style="position:absolute;left:0;text-align:left;margin-left:24.1pt;margin-top:60.35pt;width:123.2pt;height:70.7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" stroked="f">
                <v:textbox>
                  <w:txbxContent>
                    <w:p w14:paraId="6568E473" w14:textId="77777777" w:rsidR="008F3710" w:rsidRPr="00687087" w:rsidRDefault="008F3710" w:rsidP="005B64ED">
                      <w:pPr>
                        <w:rPr>
                          <w:rFonts w:ascii="Arial" w:hAnsi="Arial" w:cs="Arial"/>
                          <w:b/>
                          <w:bCs/>
                          <w:color w:val="FF0000"/>
                          <w:sz w:val="20"/>
                          <w:szCs w:val="20"/>
                        </w:rPr>
                      </w:pPr>
                      <w:r w:rsidRPr="00687087">
                        <w:rPr>
                          <w:rFonts w:ascii="Arial" w:hAnsi="Arial" w:cs="Arial"/>
                          <w:b/>
                          <w:bCs/>
                          <w:color w:val="FF0000"/>
                          <w:sz w:val="20"/>
                          <w:szCs w:val="20"/>
                        </w:rPr>
                        <w:t>Bauch:</w:t>
                      </w:r>
                    </w:p>
                    <w:p w14:paraId="04110079" w14:textId="77777777" w:rsidR="008F3710" w:rsidRPr="00687087" w:rsidRDefault="008F3710" w:rsidP="005B64ED">
                      <w:pPr>
                        <w:rPr>
                          <w:rFonts w:ascii="Arial" w:hAnsi="Arial" w:cs="Arial"/>
                          <w:sz w:val="20"/>
                          <w:szCs w:val="20"/>
                        </w:rPr>
                      </w:pPr>
                      <w:r w:rsidRPr="00687087">
                        <w:rPr>
                          <w:rFonts w:ascii="Arial" w:hAnsi="Arial" w:cs="Arial"/>
                          <w:sz w:val="20"/>
                          <w:szCs w:val="20"/>
                        </w:rPr>
                        <w:t>Wählen Sie eine Stelle, die mindestens 5 cm vom Bauchnabel entfernt ist.</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302" behindDoc="0" locked="0" layoutInCell="1" allowOverlap="1" wp14:anchorId="7C0A8B05" wp14:editId="6510D28F">
                <wp:simplePos x="0" y="0"/>
                <wp:positionH relativeFrom="column">
                  <wp:posOffset>577215</wp:posOffset>
                </wp:positionH>
                <wp:positionV relativeFrom="paragraph">
                  <wp:posOffset>60325</wp:posOffset>
                </wp:positionV>
                <wp:extent cx="3402965" cy="249555"/>
                <wp:effectExtent l="0" t="3175" r="1270" b="4445"/>
                <wp:wrapNone/>
                <wp:docPr id="84"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4955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BC895" w14:textId="77777777" w:rsidR="008F3710" w:rsidRPr="009A1F4C" w:rsidRDefault="008F3710" w:rsidP="005B64ED">
                            <w:pPr>
                              <w:rPr>
                                <w:rFonts w:ascii="Arial" w:hAnsi="Arial" w:cs="Arial"/>
                                <w:b/>
                                <w:bCs/>
                                <w:color w:val="FFFFFF"/>
                                <w:sz w:val="20"/>
                                <w:szCs w:val="18"/>
                              </w:rPr>
                            </w:pPr>
                            <w:r>
                              <w:rPr>
                                <w:rFonts w:ascii="Arial" w:hAnsi="Arial" w:cs="Arial"/>
                                <w:b/>
                                <w:bCs/>
                                <w:color w:val="FFFFFF"/>
                                <w:sz w:val="20"/>
                                <w:szCs w:val="18"/>
                              </w:rPr>
                              <w:t>Auswahl und Vorbereitung der Injektionsstelle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A8B05" id="Text Box 177" o:spid="_x0000_s1117" type="#_x0000_t202" style="position:absolute;left:0;text-align:left;margin-left:45.45pt;margin-top:4.75pt;width:267.95pt;height:19.6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" fillcolor="#656666" stroked="f">
                <v:textbox>
                  <w:txbxContent>
                    <w:p w14:paraId="485BC895" w14:textId="77777777" w:rsidR="008F3710" w:rsidRPr="009A1F4C" w:rsidRDefault="008F3710" w:rsidP="005B64ED">
                      <w:pPr>
                        <w:rPr>
                          <w:rFonts w:ascii="Arial" w:hAnsi="Arial" w:cs="Arial"/>
                          <w:b/>
                          <w:bCs/>
                          <w:color w:val="FFFFFF"/>
                          <w:sz w:val="20"/>
                          <w:szCs w:val="18"/>
                        </w:rPr>
                      </w:pPr>
                      <w:r>
                        <w:rPr>
                          <w:rFonts w:ascii="Arial" w:hAnsi="Arial" w:cs="Arial"/>
                          <w:b/>
                          <w:bCs/>
                          <w:color w:val="FFFFFF"/>
                          <w:sz w:val="20"/>
                          <w:szCs w:val="18"/>
                        </w:rPr>
                        <w:t>Auswahl und Vorbereitung der Injektionsstelle</w:t>
                      </w:r>
                    </w:p>
                  </w:txbxContent>
                </v:textbox>
              </v:shape>
            </w:pict>
          </mc:Fallback>
        </mc:AlternateContent>
      </w:r>
      <w:r w:rsidRPr="004F5FB4">
        <w:rPr>
          <w:noProof/>
          <w:color w:val="000000"/>
        </w:rPr>
        <w:drawing>
          <wp:inline distT="0" distB="0" distL="0" distR="0" wp14:anchorId="45BC9B26" wp14:editId="51659D82">
            <wp:extent cx="5734050" cy="2362200"/>
            <wp:effectExtent l="0" t="0" r="0" b="0"/>
            <wp:docPr id="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4050" cy="2362200"/>
                    </a:xfrm>
                    <a:prstGeom prst="rect">
                      <a:avLst/>
                    </a:prstGeom>
                    <a:noFill/>
                    <a:ln>
                      <a:noFill/>
                    </a:ln>
                  </pic:spPr>
                </pic:pic>
              </a:graphicData>
            </a:graphic>
          </wp:inline>
        </w:drawing>
      </w:r>
    </w:p>
    <w:p w14:paraId="51D97539" w14:textId="77777777" w:rsidR="00CC00FF" w:rsidRPr="004F5FB4" w:rsidRDefault="00CC00FF" w:rsidP="00982118">
      <w:pPr>
        <w:jc w:val="center"/>
        <w:rPr>
          <w:color w:val="000000"/>
          <w:lang w:val="en-GB"/>
        </w:rPr>
      </w:pPr>
    </w:p>
    <w:p w14:paraId="1E72DE6E" w14:textId="77777777" w:rsidR="00CC00FF" w:rsidRPr="004F5FB4" w:rsidRDefault="00CC00FF" w:rsidP="00982118">
      <w:pPr>
        <w:jc w:val="center"/>
        <w:rPr>
          <w:color w:val="000000"/>
          <w:lang w:val="en-GB"/>
        </w:rPr>
      </w:pPr>
    </w:p>
    <w:p w14:paraId="37CBE9D1"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Wählen Sie bei jeder Selbstinjektion eine andere Körperstelle aus.</w:t>
      </w:r>
    </w:p>
    <w:p w14:paraId="24D5D82F"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 xml:space="preserve">Spritzen Sie </w:t>
      </w:r>
      <w:r w:rsidRPr="004F5FB4">
        <w:rPr>
          <w:b/>
          <w:color w:val="000000"/>
        </w:rPr>
        <w:t xml:space="preserve">nicht </w:t>
      </w:r>
      <w:r w:rsidRPr="004F5FB4">
        <w:rPr>
          <w:color w:val="000000"/>
        </w:rPr>
        <w:t>in Körperstellen, an denen sich Knochen dicht unter der Haut befinden oder die Blutergüsse oder Rötungen aufweisen oder wund (berührungsempfindlich) oder verhärtet sind. Vermeiden Sie Injektionen in Hautstellen mit Narben oder Dehnungsstreifen.</w:t>
      </w:r>
    </w:p>
    <w:p w14:paraId="3AD35413" w14:textId="77777777" w:rsidR="00CC00FF" w:rsidRPr="004F5FB4" w:rsidRDefault="00CC00FF" w:rsidP="00E23160">
      <w:pPr>
        <w:pStyle w:val="ListParagraph"/>
        <w:numPr>
          <w:ilvl w:val="1"/>
          <w:numId w:val="35"/>
        </w:numPr>
        <w:ind w:left="1124" w:hanging="562"/>
        <w:contextualSpacing/>
        <w:rPr>
          <w:color w:val="000000"/>
        </w:rPr>
      </w:pPr>
      <w:r w:rsidRPr="004F5FB4">
        <w:rPr>
          <w:color w:val="000000"/>
        </w:rPr>
        <w:t>Psoriasis-Patienten sollten nicht unmittelbar in Stellen mit erhabener, verdickter, geröteter, schuppender oder wunder Haut spritzen.</w:t>
      </w:r>
    </w:p>
    <w:p w14:paraId="584D1DF0" w14:textId="77777777" w:rsidR="00CC00FF" w:rsidRPr="004F5FB4" w:rsidRDefault="00CC00FF" w:rsidP="00E23160">
      <w:pPr>
        <w:pStyle w:val="ListParagraph"/>
        <w:numPr>
          <w:ilvl w:val="0"/>
          <w:numId w:val="35"/>
        </w:numPr>
        <w:ind w:left="562" w:hanging="562"/>
        <w:contextualSpacing/>
        <w:rPr>
          <w:b/>
          <w:color w:val="000000"/>
        </w:rPr>
      </w:pPr>
      <w:r w:rsidRPr="004F5FB4">
        <w:rPr>
          <w:color w:val="000000"/>
        </w:rPr>
        <w:t xml:space="preserve">Spritzen Sie </w:t>
      </w:r>
      <w:r w:rsidRPr="004F5FB4">
        <w:rPr>
          <w:b/>
          <w:bCs/>
          <w:color w:val="000000"/>
        </w:rPr>
        <w:t>nicht</w:t>
      </w:r>
      <w:r w:rsidRPr="004F5FB4">
        <w:rPr>
          <w:color w:val="000000"/>
        </w:rPr>
        <w:t xml:space="preserve"> durch Kleidung.</w:t>
      </w:r>
    </w:p>
    <w:p w14:paraId="21827381"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Wischen Sie die Haut an der gewählten Injektionsstelle mit einem Alkoholtupfer ab.</w:t>
      </w:r>
    </w:p>
    <w:p w14:paraId="2495E43F"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Warten Sie, bis die Haut an der Injektionsstelle getrocknet ist.</w:t>
      </w:r>
    </w:p>
    <w:p w14:paraId="25620A33" w14:textId="77777777" w:rsidR="00CC00FF" w:rsidRPr="004F5FB4" w:rsidRDefault="00CC00FF" w:rsidP="00982118">
      <w:pPr>
        <w:jc w:val="center"/>
        <w:rPr>
          <w:color w:val="000000"/>
        </w:rPr>
      </w:pPr>
    </w:p>
    <w:p w14:paraId="3D2DFAAE" w14:textId="77777777" w:rsidR="00CC00FF" w:rsidRPr="004F5FB4" w:rsidRDefault="00CC00FF" w:rsidP="00982118">
      <w:pPr>
        <w:jc w:val="center"/>
        <w:rPr>
          <w:color w:val="000000"/>
        </w:rPr>
      </w:pPr>
    </w:p>
    <w:p w14:paraId="27F6A8DF" w14:textId="273DA8EF" w:rsidR="00CC00FF" w:rsidRPr="004F5FB4" w:rsidRDefault="00032CD3" w:rsidP="00982118">
      <w:pPr>
        <w:jc w:val="center"/>
        <w:rPr>
          <w:color w:val="000000"/>
          <w:lang w:val="en-GB"/>
        </w:rPr>
      </w:pPr>
      <w:r w:rsidRPr="004F5FB4">
        <w:rPr>
          <w:b/>
          <w:noProof/>
          <w:color w:val="000000"/>
          <w:lang w:eastAsia="de-DE"/>
        </w:rPr>
        <mc:AlternateContent>
          <mc:Choice Requires="wps">
            <w:drawing>
              <wp:anchor distT="0" distB="0" distL="114300" distR="114300" simplePos="0" relativeHeight="251658303" behindDoc="0" locked="0" layoutInCell="1" allowOverlap="1" wp14:anchorId="3B8431D5" wp14:editId="6897EBCB">
                <wp:simplePos x="0" y="0"/>
                <wp:positionH relativeFrom="column">
                  <wp:posOffset>1939290</wp:posOffset>
                </wp:positionH>
                <wp:positionV relativeFrom="paragraph">
                  <wp:posOffset>88900</wp:posOffset>
                </wp:positionV>
                <wp:extent cx="1421130" cy="235585"/>
                <wp:effectExtent l="0" t="3175" r="1905" b="0"/>
                <wp:wrapNone/>
                <wp:docPr id="8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2355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2323B" w14:textId="77777777" w:rsidR="008F3710" w:rsidRPr="005B64ED" w:rsidRDefault="008F3710" w:rsidP="005B64ED">
                            <w:pPr>
                              <w:rPr>
                                <w:rFonts w:ascii="Arial" w:hAnsi="Arial" w:cs="Arial"/>
                                <w:b/>
                                <w:bCs/>
                                <w:color w:val="FFFFFF"/>
                                <w:sz w:val="20"/>
                                <w:szCs w:val="20"/>
                              </w:rPr>
                            </w:pPr>
                            <w:r w:rsidRPr="005B64ED">
                              <w:rPr>
                                <w:rFonts w:ascii="Arial" w:hAnsi="Arial" w:cs="Arial"/>
                                <w:b/>
                                <w:bCs/>
                                <w:color w:val="FFFFFF"/>
                                <w:sz w:val="20"/>
                                <w:szCs w:val="20"/>
                              </w:rPr>
                              <w:t>Schutzkappe entfernen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431D5" id="Text Box 178" o:spid="_x0000_s1118" type="#_x0000_t202" style="position:absolute;left:0;text-align:left;margin-left:152.7pt;margin-top:7pt;width:111.9pt;height:18.5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" fillcolor="#656666" stroked="f">
                <v:textbox inset="0,0,0,0">
                  <w:txbxContent>
                    <w:p w14:paraId="7882323B" w14:textId="77777777" w:rsidR="008F3710" w:rsidRPr="005B64ED" w:rsidRDefault="008F3710" w:rsidP="005B64ED">
                      <w:pPr>
                        <w:rPr>
                          <w:rFonts w:ascii="Arial" w:hAnsi="Arial" w:cs="Arial"/>
                          <w:b/>
                          <w:bCs/>
                          <w:color w:val="FFFFFF"/>
                          <w:sz w:val="20"/>
                          <w:szCs w:val="20"/>
                        </w:rPr>
                      </w:pPr>
                      <w:r w:rsidRPr="005B64ED">
                        <w:rPr>
                          <w:rFonts w:ascii="Arial" w:hAnsi="Arial" w:cs="Arial"/>
                          <w:b/>
                          <w:bCs/>
                          <w:color w:val="FFFFFF"/>
                          <w:sz w:val="20"/>
                          <w:szCs w:val="20"/>
                        </w:rPr>
                        <w:t>Schutzkappe entfernen</w:t>
                      </w:r>
                    </w:p>
                  </w:txbxContent>
                </v:textbox>
              </v:shape>
            </w:pict>
          </mc:Fallback>
        </mc:AlternateContent>
      </w:r>
      <w:r w:rsidRPr="004F5FB4">
        <w:rPr>
          <w:noProof/>
          <w:color w:val="000000"/>
        </w:rPr>
        <w:drawing>
          <wp:inline distT="0" distB="0" distL="0" distR="0" wp14:anchorId="6F98CFDA" wp14:editId="27FECBF7">
            <wp:extent cx="2981325" cy="2486025"/>
            <wp:effectExtent l="0" t="0" r="0" b="0"/>
            <wp:docPr id="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81325" cy="2486025"/>
                    </a:xfrm>
                    <a:prstGeom prst="rect">
                      <a:avLst/>
                    </a:prstGeom>
                    <a:noFill/>
                    <a:ln>
                      <a:noFill/>
                    </a:ln>
                  </pic:spPr>
                </pic:pic>
              </a:graphicData>
            </a:graphic>
          </wp:inline>
        </w:drawing>
      </w:r>
    </w:p>
    <w:p w14:paraId="3CB94DAD" w14:textId="77777777" w:rsidR="0007471D" w:rsidRPr="004F5FB4" w:rsidRDefault="0007471D" w:rsidP="00982118">
      <w:pPr>
        <w:jc w:val="center"/>
        <w:rPr>
          <w:color w:val="000000"/>
          <w:lang w:val="en-GB"/>
        </w:rPr>
      </w:pPr>
    </w:p>
    <w:p w14:paraId="2BE5B772" w14:textId="77777777" w:rsidR="00CC00FF" w:rsidRPr="004F5FB4" w:rsidRDefault="00CC00FF" w:rsidP="00982118">
      <w:pPr>
        <w:jc w:val="center"/>
        <w:rPr>
          <w:color w:val="000000"/>
          <w:lang w:val="en-GB"/>
        </w:rPr>
      </w:pPr>
    </w:p>
    <w:p w14:paraId="26BB62D6" w14:textId="77777777" w:rsidR="00CC00FF" w:rsidRPr="004F5FB4" w:rsidRDefault="00CC00FF" w:rsidP="00E23160">
      <w:pPr>
        <w:pStyle w:val="ListParagraph"/>
        <w:numPr>
          <w:ilvl w:val="0"/>
          <w:numId w:val="41"/>
        </w:numPr>
        <w:ind w:left="562" w:hanging="562"/>
        <w:contextualSpacing/>
        <w:rPr>
          <w:rFonts w:eastAsia="Wingdings-Regular"/>
          <w:color w:val="000000"/>
        </w:rPr>
      </w:pPr>
      <w:r w:rsidRPr="004F5FB4">
        <w:rPr>
          <w:color w:val="000000"/>
        </w:rPr>
        <w:t xml:space="preserve">Ziehen Sie die Schutzkappe mit einer Drehbewegung ab. </w:t>
      </w:r>
    </w:p>
    <w:p w14:paraId="7DCB7E16" w14:textId="77777777" w:rsidR="00CC00FF" w:rsidRPr="004F5FB4" w:rsidRDefault="00CC00FF" w:rsidP="00E23160">
      <w:pPr>
        <w:pStyle w:val="ListParagraph"/>
        <w:numPr>
          <w:ilvl w:val="0"/>
          <w:numId w:val="41"/>
        </w:numPr>
        <w:ind w:left="562" w:hanging="562"/>
        <w:contextualSpacing/>
        <w:rPr>
          <w:rFonts w:eastAsia="Wingdings-Regular"/>
          <w:color w:val="000000"/>
        </w:rPr>
      </w:pPr>
      <w:r w:rsidRPr="004F5FB4">
        <w:rPr>
          <w:color w:val="000000"/>
        </w:rPr>
        <w:t>Werfen Sie die Kappe in einen Entsorgungsbehälter für scharfe und spitze Gegenstände. Sie wird nicht mehr benötigt.</w:t>
      </w:r>
    </w:p>
    <w:p w14:paraId="02B103BD" w14:textId="77777777" w:rsidR="005B64ED" w:rsidRPr="004F5FB4" w:rsidRDefault="005B64ED" w:rsidP="005B64ED">
      <w:pPr>
        <w:pStyle w:val="ListParagraph"/>
        <w:numPr>
          <w:ilvl w:val="0"/>
          <w:numId w:val="41"/>
        </w:numPr>
        <w:ind w:left="567" w:hanging="567"/>
        <w:contextualSpacing/>
        <w:rPr>
          <w:color w:val="000000"/>
        </w:rPr>
      </w:pPr>
      <w:r w:rsidRPr="004F5FB4">
        <w:rPr>
          <w:color w:val="000000"/>
        </w:rPr>
        <w:t xml:space="preserve">Es ist normal, wenn beim Abnehmen der Nadelkappe ein paar Tropfen </w:t>
      </w:r>
      <w:r w:rsidR="00926900" w:rsidRPr="004F5FB4">
        <w:rPr>
          <w:color w:val="000000"/>
        </w:rPr>
        <w:t>Arzneimittel</w:t>
      </w:r>
      <w:r w:rsidRPr="004F5FB4">
        <w:rPr>
          <w:color w:val="000000"/>
        </w:rPr>
        <w:t xml:space="preserve"> an der Nadelspitze zu sehen sind.</w:t>
      </w:r>
    </w:p>
    <w:p w14:paraId="5BE912F2" w14:textId="77777777" w:rsidR="00CC00FF" w:rsidRPr="004F5FB4" w:rsidRDefault="00CC00FF" w:rsidP="00E23160">
      <w:pPr>
        <w:pStyle w:val="ListParagraph"/>
        <w:ind w:left="562"/>
        <w:contextualSpacing/>
        <w:rPr>
          <w:rFonts w:eastAsia="Wingdings-Regular"/>
          <w:color w:val="000000"/>
        </w:rPr>
      </w:pPr>
      <w:r w:rsidRPr="004F5FB4">
        <w:rPr>
          <w:b/>
          <w:bCs/>
          <w:color w:val="000000"/>
        </w:rPr>
        <w:t>Achtung:</w:t>
      </w:r>
      <w:r w:rsidRPr="004F5FB4">
        <w:rPr>
          <w:color w:val="000000"/>
        </w:rPr>
        <w:t xml:space="preserve"> Seien Sie vorsichtig im Umgang mit dem Pen, damit Sie sich nicht versehentlich stechen.</w:t>
      </w:r>
    </w:p>
    <w:p w14:paraId="1788AAFB" w14:textId="77777777" w:rsidR="00CC00FF" w:rsidRPr="004F5FB4" w:rsidRDefault="00CC00FF" w:rsidP="00E23160">
      <w:pPr>
        <w:ind w:left="562"/>
        <w:contextualSpacing/>
        <w:rPr>
          <w:bCs/>
          <w:color w:val="000000"/>
        </w:rPr>
      </w:pPr>
      <w:r w:rsidRPr="004F5FB4">
        <w:rPr>
          <w:b/>
          <w:bCs/>
          <w:color w:val="000000"/>
        </w:rPr>
        <w:t>Hinweis:</w:t>
      </w:r>
      <w:r w:rsidRPr="004F5FB4">
        <w:rPr>
          <w:color w:val="000000"/>
        </w:rPr>
        <w:t xml:space="preserve"> Die Nadelkappe bleibt nach dem Entfernen in der Schutzkappe.</w:t>
      </w:r>
    </w:p>
    <w:p w14:paraId="71141A39" w14:textId="77777777" w:rsidR="00CC00FF" w:rsidRPr="004F5FB4" w:rsidRDefault="00CC00FF" w:rsidP="00982118">
      <w:pPr>
        <w:ind w:firstLine="310"/>
        <w:rPr>
          <w:color w:val="000000"/>
        </w:rPr>
      </w:pPr>
    </w:p>
    <w:p w14:paraId="2B3F0202" w14:textId="77777777" w:rsidR="005B64ED" w:rsidRPr="004F5FB4" w:rsidRDefault="005B64ED" w:rsidP="00982118">
      <w:pPr>
        <w:ind w:firstLine="310"/>
        <w:rPr>
          <w:color w:val="000000"/>
        </w:rPr>
      </w:pPr>
    </w:p>
    <w:p w14:paraId="2B3CBF99" w14:textId="26E8BCA1" w:rsidR="00CC00FF" w:rsidRPr="004F5FB4" w:rsidRDefault="00032CD3" w:rsidP="00982118">
      <w:pPr>
        <w:jc w:val="center"/>
        <w:rPr>
          <w:color w:val="000000"/>
        </w:rPr>
      </w:pPr>
      <w:r w:rsidRPr="004F5FB4">
        <w:rPr>
          <w:noProof/>
          <w:color w:val="000000"/>
          <w:lang w:eastAsia="de-DE"/>
        </w:rPr>
        <w:lastRenderedPageBreak/>
        <mc:AlternateContent>
          <mc:Choice Requires="wps">
            <w:drawing>
              <wp:anchor distT="0" distB="0" distL="114300" distR="114300" simplePos="0" relativeHeight="251658305" behindDoc="0" locked="0" layoutInCell="1" allowOverlap="1" wp14:anchorId="59788B53" wp14:editId="5247C8A1">
                <wp:simplePos x="0" y="0"/>
                <wp:positionH relativeFrom="column">
                  <wp:posOffset>2872740</wp:posOffset>
                </wp:positionH>
                <wp:positionV relativeFrom="paragraph">
                  <wp:posOffset>406400</wp:posOffset>
                </wp:positionV>
                <wp:extent cx="1081405" cy="209550"/>
                <wp:effectExtent l="0" t="0" r="0" b="3175"/>
                <wp:wrapNone/>
                <wp:docPr id="8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209550"/>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927DC" w14:textId="77777777" w:rsidR="008F3710" w:rsidRPr="009A1F4C" w:rsidRDefault="008F3710" w:rsidP="005B64ED">
                            <w:pPr>
                              <w:rPr>
                                <w:rFonts w:ascii="Arial" w:hAnsi="Arial" w:cs="Arial"/>
                                <w:b/>
                                <w:bCs/>
                                <w:color w:val="FFFFFF"/>
                                <w:sz w:val="20"/>
                                <w:szCs w:val="18"/>
                              </w:rPr>
                            </w:pPr>
                            <w:r>
                              <w:rPr>
                                <w:rFonts w:ascii="Arial" w:hAnsi="Arial" w:cs="Arial"/>
                                <w:b/>
                                <w:bCs/>
                                <w:color w:val="FFFFFF"/>
                                <w:sz w:val="20"/>
                                <w:szCs w:val="18"/>
                              </w:rPr>
                              <w:t>Herunterdrücken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88B53" id="Text Box 180" o:spid="_x0000_s1119" type="#_x0000_t202" style="position:absolute;left:0;text-align:left;margin-left:226.2pt;margin-top:32pt;width:85.15pt;height:16.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" fillcolor="#e74b39" stroked="f">
                <v:textbox inset="0,0,0,0">
                  <w:txbxContent>
                    <w:p w14:paraId="3A1927DC" w14:textId="77777777" w:rsidR="008F3710" w:rsidRPr="009A1F4C" w:rsidRDefault="008F3710" w:rsidP="005B64ED">
                      <w:pPr>
                        <w:rPr>
                          <w:rFonts w:ascii="Arial" w:hAnsi="Arial" w:cs="Arial"/>
                          <w:b/>
                          <w:bCs/>
                          <w:color w:val="FFFFFF"/>
                          <w:sz w:val="20"/>
                          <w:szCs w:val="18"/>
                        </w:rPr>
                      </w:pPr>
                      <w:r>
                        <w:rPr>
                          <w:rFonts w:ascii="Arial" w:hAnsi="Arial" w:cs="Arial"/>
                          <w:b/>
                          <w:bCs/>
                          <w:color w:val="FFFFFF"/>
                          <w:sz w:val="20"/>
                          <w:szCs w:val="18"/>
                        </w:rPr>
                        <w:t>Herunterdrücken</w:t>
                      </w:r>
                    </w:p>
                  </w:txbxContent>
                </v:textbox>
              </v:shape>
            </w:pict>
          </mc:Fallback>
        </mc:AlternateContent>
      </w:r>
      <w:r w:rsidRPr="004F5FB4">
        <w:rPr>
          <w:noProof/>
          <w:color w:val="000000"/>
          <w:lang w:eastAsia="de-DE"/>
        </w:rPr>
        <mc:AlternateContent>
          <mc:Choice Requires="wps">
            <w:drawing>
              <wp:anchor distT="0" distB="0" distL="114300" distR="114300" simplePos="0" relativeHeight="251658304" behindDoc="0" locked="0" layoutInCell="1" allowOverlap="1" wp14:anchorId="0085CBEB" wp14:editId="34681708">
                <wp:simplePos x="0" y="0"/>
                <wp:positionH relativeFrom="column">
                  <wp:posOffset>1943100</wp:posOffset>
                </wp:positionH>
                <wp:positionV relativeFrom="paragraph">
                  <wp:posOffset>112395</wp:posOffset>
                </wp:positionV>
                <wp:extent cx="1310640" cy="205105"/>
                <wp:effectExtent l="0" t="0" r="3810" b="0"/>
                <wp:wrapNone/>
                <wp:docPr id="8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20510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D3306" w14:textId="77777777" w:rsidR="008F3710" w:rsidRPr="009A1F4C" w:rsidRDefault="008F3710" w:rsidP="005B64ED">
                            <w:pPr>
                              <w:rPr>
                                <w:rFonts w:ascii="Arial" w:hAnsi="Arial" w:cs="Arial"/>
                                <w:b/>
                                <w:bCs/>
                                <w:color w:val="FFFFFF"/>
                                <w:sz w:val="20"/>
                                <w:szCs w:val="18"/>
                              </w:rPr>
                            </w:pPr>
                            <w:r>
                              <w:rPr>
                                <w:rFonts w:ascii="Arial" w:hAnsi="Arial" w:cs="Arial"/>
                                <w:b/>
                                <w:bCs/>
                                <w:color w:val="FFFFFF"/>
                                <w:sz w:val="20"/>
                                <w:szCs w:val="18"/>
                              </w:rPr>
                              <w:t>Nadel einstechen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5CBEB" id="Text Box 179" o:spid="_x0000_s1120" type="#_x0000_t202" style="position:absolute;left:0;text-align:left;margin-left:153pt;margin-top:8.85pt;width:103.2pt;height:16.1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" fillcolor="#656666" stroked="f">
                <v:textbox inset="0,0,0,0">
                  <w:txbxContent>
                    <w:p w14:paraId="10AD3306" w14:textId="77777777" w:rsidR="008F3710" w:rsidRPr="009A1F4C" w:rsidRDefault="008F3710" w:rsidP="005B64ED">
                      <w:pPr>
                        <w:rPr>
                          <w:rFonts w:ascii="Arial" w:hAnsi="Arial" w:cs="Arial"/>
                          <w:b/>
                          <w:bCs/>
                          <w:color w:val="FFFFFF"/>
                          <w:sz w:val="20"/>
                          <w:szCs w:val="18"/>
                        </w:rPr>
                      </w:pPr>
                      <w:r>
                        <w:rPr>
                          <w:rFonts w:ascii="Arial" w:hAnsi="Arial" w:cs="Arial"/>
                          <w:b/>
                          <w:bCs/>
                          <w:color w:val="FFFFFF"/>
                          <w:sz w:val="20"/>
                          <w:szCs w:val="18"/>
                        </w:rPr>
                        <w:t>Nadel einstechen</w:t>
                      </w:r>
                    </w:p>
                  </w:txbxContent>
                </v:textbox>
              </v:shape>
            </w:pict>
          </mc:Fallback>
        </mc:AlternateContent>
      </w:r>
      <w:r w:rsidRPr="004F5FB4">
        <w:rPr>
          <w:noProof/>
          <w:color w:val="000000"/>
        </w:rPr>
        <w:drawing>
          <wp:inline distT="0" distB="0" distL="0" distR="0" wp14:anchorId="546AD03C" wp14:editId="6CC5A5D9">
            <wp:extent cx="2990850" cy="2447925"/>
            <wp:effectExtent l="0" t="0" r="0" b="0"/>
            <wp:docPr id="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90850" cy="2447925"/>
                    </a:xfrm>
                    <a:prstGeom prst="rect">
                      <a:avLst/>
                    </a:prstGeom>
                    <a:noFill/>
                    <a:ln>
                      <a:noFill/>
                    </a:ln>
                  </pic:spPr>
                </pic:pic>
              </a:graphicData>
            </a:graphic>
          </wp:inline>
        </w:drawing>
      </w:r>
    </w:p>
    <w:p w14:paraId="548F2540" w14:textId="77777777" w:rsidR="00CC00FF" w:rsidRPr="004F5FB4" w:rsidRDefault="00CC00FF" w:rsidP="00982118">
      <w:pPr>
        <w:jc w:val="center"/>
        <w:rPr>
          <w:color w:val="000000"/>
          <w:lang w:val="en-GB"/>
        </w:rPr>
      </w:pPr>
    </w:p>
    <w:p w14:paraId="1294EBD5" w14:textId="77777777" w:rsidR="00CC00FF" w:rsidRPr="004F5FB4" w:rsidRDefault="00CC00FF" w:rsidP="00982118">
      <w:pPr>
        <w:jc w:val="center"/>
        <w:rPr>
          <w:color w:val="000000"/>
          <w:lang w:val="en-GB"/>
        </w:rPr>
      </w:pPr>
    </w:p>
    <w:p w14:paraId="76280D36" w14:textId="77777777" w:rsidR="00CC00FF" w:rsidRPr="004F5FB4" w:rsidRDefault="00CC00FF" w:rsidP="00E23160">
      <w:pPr>
        <w:pStyle w:val="ListParagraph"/>
        <w:numPr>
          <w:ilvl w:val="0"/>
          <w:numId w:val="35"/>
        </w:numPr>
        <w:ind w:left="562" w:hanging="562"/>
        <w:contextualSpacing/>
        <w:rPr>
          <w:color w:val="000000"/>
        </w:rPr>
      </w:pPr>
      <w:r w:rsidRPr="004F5FB4">
        <w:rPr>
          <w:b/>
          <w:color w:val="000000"/>
        </w:rPr>
        <w:t>Drücken</w:t>
      </w:r>
      <w:r w:rsidRPr="004F5FB4">
        <w:rPr>
          <w:color w:val="000000"/>
        </w:rPr>
        <w:t xml:space="preserve"> Sie den Pen in einem Winkel von 90 Grad fest auf die Haut (siehe Abbildung).</w:t>
      </w:r>
    </w:p>
    <w:p w14:paraId="798FD1B7" w14:textId="77777777" w:rsidR="00CC00FF" w:rsidRPr="004F5FB4" w:rsidRDefault="00CC00FF" w:rsidP="00687087">
      <w:pPr>
        <w:pStyle w:val="ListParagraph"/>
        <w:ind w:left="562"/>
        <w:contextualSpacing/>
        <w:rPr>
          <w:color w:val="000000"/>
        </w:rPr>
      </w:pPr>
      <w:r w:rsidRPr="004F5FB4">
        <w:rPr>
          <w:b/>
          <w:color w:val="000000"/>
        </w:rPr>
        <w:t>Hinweis:</w:t>
      </w:r>
      <w:r w:rsidRPr="004F5FB4">
        <w:rPr>
          <w:color w:val="000000"/>
        </w:rPr>
        <w:t xml:space="preserve"> Beim Herunterdrücken des Pens dringt die Nadel in die Haut ein. Wenn Sie den Pen fest genug auf die Haut drücken, wird der Injektionsknopf entsperrt.</w:t>
      </w:r>
    </w:p>
    <w:p w14:paraId="1D6D587D" w14:textId="77777777" w:rsidR="00CC00FF" w:rsidRPr="004F5FB4" w:rsidRDefault="00CC00FF" w:rsidP="00E23160">
      <w:pPr>
        <w:pStyle w:val="ListParagraph"/>
        <w:numPr>
          <w:ilvl w:val="0"/>
          <w:numId w:val="42"/>
        </w:numPr>
        <w:ind w:left="562" w:hanging="562"/>
        <w:contextualSpacing/>
        <w:rPr>
          <w:b/>
          <w:color w:val="000000"/>
        </w:rPr>
      </w:pPr>
      <w:r w:rsidRPr="004F5FB4">
        <w:rPr>
          <w:b/>
          <w:color w:val="000000"/>
        </w:rPr>
        <w:t>Drücken Sie den Pen bis Schritt 8 weiter auf die Haut.</w:t>
      </w:r>
    </w:p>
    <w:p w14:paraId="06E86265" w14:textId="77777777" w:rsidR="005B64ED" w:rsidRPr="004F5FB4" w:rsidRDefault="00463FEB" w:rsidP="00687087">
      <w:pPr>
        <w:pStyle w:val="ListParagraph"/>
        <w:tabs>
          <w:tab w:val="left" w:pos="567"/>
        </w:tabs>
        <w:ind w:left="567"/>
        <w:contextualSpacing/>
        <w:rPr>
          <w:color w:val="000000"/>
        </w:rPr>
      </w:pPr>
      <w:r w:rsidRPr="004F5FB4">
        <w:rPr>
          <w:b/>
          <w:color w:val="000000"/>
        </w:rPr>
        <w:t>Hinweis</w:t>
      </w:r>
      <w:r w:rsidR="005B64ED" w:rsidRPr="004F5FB4">
        <w:rPr>
          <w:b/>
          <w:color w:val="000000"/>
        </w:rPr>
        <w:t>:</w:t>
      </w:r>
      <w:r w:rsidR="005B64ED" w:rsidRPr="004F5FB4">
        <w:rPr>
          <w:color w:val="000000"/>
        </w:rPr>
        <w:t xml:space="preserve"> Stechen Sie die Nadel </w:t>
      </w:r>
      <w:r w:rsidR="005B64ED" w:rsidRPr="004F5FB4">
        <w:rPr>
          <w:b/>
          <w:color w:val="000000"/>
        </w:rPr>
        <w:t>nicht erneut</w:t>
      </w:r>
      <w:r w:rsidR="005B64ED" w:rsidRPr="004F5FB4">
        <w:rPr>
          <w:color w:val="000000"/>
        </w:rPr>
        <w:t xml:space="preserve"> in die Haut ein</w:t>
      </w:r>
      <w:r w:rsidR="00926900" w:rsidRPr="004F5FB4">
        <w:rPr>
          <w:color w:val="000000"/>
        </w:rPr>
        <w:t xml:space="preserve">. Wenn </w:t>
      </w:r>
      <w:r w:rsidR="005B64ED" w:rsidRPr="004F5FB4">
        <w:rPr>
          <w:color w:val="000000"/>
        </w:rPr>
        <w:t xml:space="preserve">Sie </w:t>
      </w:r>
      <w:r w:rsidR="00926900" w:rsidRPr="004F5FB4">
        <w:rPr>
          <w:color w:val="000000"/>
        </w:rPr>
        <w:t xml:space="preserve">nach dem Einstechen doch </w:t>
      </w:r>
      <w:r w:rsidR="005B64ED" w:rsidRPr="004F5FB4">
        <w:rPr>
          <w:color w:val="000000"/>
        </w:rPr>
        <w:t>eine andere Injektionsstelle auswählen</w:t>
      </w:r>
      <w:r w:rsidR="00926900" w:rsidRPr="004F5FB4">
        <w:rPr>
          <w:color w:val="000000"/>
        </w:rPr>
        <w:t xml:space="preserve"> möchten</w:t>
      </w:r>
      <w:r w:rsidR="005B64ED" w:rsidRPr="004F5FB4">
        <w:rPr>
          <w:color w:val="000000"/>
        </w:rPr>
        <w:t>, müssen Sie eine</w:t>
      </w:r>
      <w:r w:rsidR="00926900" w:rsidRPr="004F5FB4">
        <w:rPr>
          <w:color w:val="000000"/>
        </w:rPr>
        <w:t>n</w:t>
      </w:r>
      <w:r w:rsidR="005B64ED" w:rsidRPr="004F5FB4">
        <w:rPr>
          <w:color w:val="000000"/>
        </w:rPr>
        <w:t xml:space="preserve"> neue</w:t>
      </w:r>
      <w:r w:rsidR="00926900" w:rsidRPr="004F5FB4">
        <w:rPr>
          <w:color w:val="000000"/>
        </w:rPr>
        <w:t>n</w:t>
      </w:r>
      <w:r w:rsidR="005B64ED" w:rsidRPr="004F5FB4">
        <w:rPr>
          <w:color w:val="000000"/>
        </w:rPr>
        <w:t xml:space="preserve"> </w:t>
      </w:r>
      <w:r w:rsidR="00926900" w:rsidRPr="004F5FB4">
        <w:rPr>
          <w:color w:val="000000"/>
        </w:rPr>
        <w:t>Pen</w:t>
      </w:r>
      <w:r w:rsidR="005B64ED" w:rsidRPr="004F5FB4">
        <w:rPr>
          <w:color w:val="000000"/>
        </w:rPr>
        <w:t xml:space="preserve"> verwenden.</w:t>
      </w:r>
    </w:p>
    <w:p w14:paraId="1C136BE6" w14:textId="77777777" w:rsidR="00CC00FF" w:rsidRPr="004F5FB4" w:rsidRDefault="00CC00FF" w:rsidP="00982118">
      <w:pPr>
        <w:jc w:val="center"/>
        <w:rPr>
          <w:color w:val="000000"/>
        </w:rPr>
      </w:pPr>
    </w:p>
    <w:p w14:paraId="301F1AAA" w14:textId="77777777" w:rsidR="00CC00FF" w:rsidRPr="004F5FB4" w:rsidRDefault="00CC00FF" w:rsidP="00982118">
      <w:pPr>
        <w:jc w:val="center"/>
        <w:rPr>
          <w:color w:val="000000"/>
        </w:rPr>
      </w:pPr>
    </w:p>
    <w:p w14:paraId="344EC9DE" w14:textId="74197D25" w:rsidR="00CC00FF" w:rsidRPr="004F5FB4" w:rsidRDefault="00032CD3" w:rsidP="00982118">
      <w:pPr>
        <w:jc w:val="center"/>
        <w:rPr>
          <w:color w:val="000000"/>
        </w:rPr>
      </w:pPr>
      <w:r>
        <w:rPr>
          <w:noProof/>
          <w:color w:val="000000"/>
          <w:lang w:eastAsia="de-DE"/>
        </w:rPr>
        <mc:AlternateContent>
          <mc:Choice Requires="wpg">
            <w:drawing>
              <wp:anchor distT="0" distB="0" distL="114300" distR="114300" simplePos="0" relativeHeight="251658337" behindDoc="0" locked="0" layoutInCell="1" allowOverlap="1" wp14:anchorId="27ECA4E7" wp14:editId="2E32F624">
                <wp:simplePos x="0" y="0"/>
                <wp:positionH relativeFrom="column">
                  <wp:posOffset>1176655</wp:posOffset>
                </wp:positionH>
                <wp:positionV relativeFrom="paragraph">
                  <wp:posOffset>52705</wp:posOffset>
                </wp:positionV>
                <wp:extent cx="3129280" cy="1682750"/>
                <wp:effectExtent l="0" t="0" r="0" b="0"/>
                <wp:wrapNone/>
                <wp:docPr id="73"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9280" cy="1682750"/>
                          <a:chOff x="3270" y="7633"/>
                          <a:chExt cx="4928" cy="2650"/>
                        </a:xfrm>
                      </wpg:grpSpPr>
                      <wps:wsp>
                        <wps:cNvPr id="74" name="Text Box 182"/>
                        <wps:cNvSpPr txBox="1">
                          <a:spLocks noChangeArrowheads="1"/>
                        </wps:cNvSpPr>
                        <wps:spPr bwMode="auto">
                          <a:xfrm>
                            <a:off x="3270" y="7633"/>
                            <a:ext cx="2150" cy="428"/>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4D8C0" w14:textId="77777777" w:rsidR="008F3710" w:rsidRPr="009A1F4C" w:rsidRDefault="008F3710" w:rsidP="00463FEB">
                              <w:pPr>
                                <w:rPr>
                                  <w:rFonts w:ascii="Arial" w:hAnsi="Arial" w:cs="Arial"/>
                                  <w:b/>
                                  <w:bCs/>
                                  <w:color w:val="FFFFFF"/>
                                  <w:sz w:val="18"/>
                                  <w:szCs w:val="18"/>
                                </w:rPr>
                              </w:pPr>
                              <w:r>
                                <w:rPr>
                                  <w:rFonts w:ascii="Arial" w:hAnsi="Arial" w:cs="Arial"/>
                                  <w:b/>
                                  <w:bCs/>
                                  <w:color w:val="FFFFFF"/>
                                  <w:sz w:val="18"/>
                                  <w:szCs w:val="18"/>
                                </w:rPr>
                                <w:t>Arzneimittel injizieren</w:t>
                              </w:r>
                            </w:p>
                          </w:txbxContent>
                        </wps:txbx>
                        <wps:bodyPr rot="0" vert="horz" wrap="square" lIns="91440" tIns="45720" rIns="91440" bIns="45720" anchor="t" anchorCtr="0" upright="1">
                          <a:noAutofit/>
                        </wps:bodyPr>
                      </wps:wsp>
                      <wps:wsp>
                        <wps:cNvPr id="75" name="Text Box 183"/>
                        <wps:cNvSpPr txBox="1">
                          <a:spLocks noChangeArrowheads="1"/>
                        </wps:cNvSpPr>
                        <wps:spPr bwMode="auto">
                          <a:xfrm>
                            <a:off x="3964" y="8651"/>
                            <a:ext cx="428" cy="1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68849" w14:textId="77777777" w:rsidR="008F3710" w:rsidRPr="00986ED0" w:rsidRDefault="008F3710" w:rsidP="00463FEB">
                              <w:pPr>
                                <w:jc w:val="center"/>
                                <w:rPr>
                                  <w:rFonts w:ascii="Arial" w:hAnsi="Arial" w:cs="Arial"/>
                                  <w:b/>
                                  <w:bCs/>
                                  <w:sz w:val="14"/>
                                  <w:szCs w:val="14"/>
                                </w:rPr>
                              </w:pPr>
                              <w:r w:rsidRPr="00986ED0">
                                <w:rPr>
                                  <w:rFonts w:ascii="Arial" w:hAnsi="Arial" w:cs="Arial"/>
                                  <w:b/>
                                  <w:bCs/>
                                  <w:sz w:val="14"/>
                                  <w:szCs w:val="14"/>
                                </w:rPr>
                                <w:t>Klick</w:t>
                              </w:r>
                            </w:p>
                          </w:txbxContent>
                        </wps:txbx>
                        <wps:bodyPr rot="0" vert="horz" wrap="square" lIns="0" tIns="0" rIns="0" bIns="0" anchor="t" anchorCtr="0" upright="1">
                          <a:noAutofit/>
                        </wps:bodyPr>
                      </wps:wsp>
                      <wps:wsp>
                        <wps:cNvPr id="76" name="Text Box 184"/>
                        <wps:cNvSpPr txBox="1">
                          <a:spLocks noChangeArrowheads="1"/>
                        </wps:cNvSpPr>
                        <wps:spPr bwMode="auto">
                          <a:xfrm>
                            <a:off x="6947" y="8113"/>
                            <a:ext cx="838" cy="325"/>
                          </a:xfrm>
                          <a:prstGeom prst="rect">
                            <a:avLst/>
                          </a:prstGeom>
                          <a:solidFill>
                            <a:srgbClr val="F18C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B001F" w14:textId="77777777" w:rsidR="008F3710" w:rsidRPr="009A1F4C" w:rsidRDefault="008F3710" w:rsidP="00463FEB">
                              <w:pPr>
                                <w:rPr>
                                  <w:rFonts w:ascii="Arial" w:hAnsi="Arial" w:cs="Arial"/>
                                  <w:b/>
                                  <w:bCs/>
                                  <w:color w:val="FFFFFF"/>
                                  <w:sz w:val="14"/>
                                  <w:szCs w:val="14"/>
                                </w:rPr>
                              </w:pPr>
                              <w:r>
                                <w:rPr>
                                  <w:rFonts w:ascii="Arial" w:hAnsi="Arial" w:cs="Arial"/>
                                  <w:b/>
                                  <w:bCs/>
                                  <w:color w:val="FFFFFF"/>
                                  <w:sz w:val="14"/>
                                  <w:szCs w:val="14"/>
                                </w:rPr>
                                <w:t>Warten</w:t>
                              </w:r>
                            </w:p>
                          </w:txbxContent>
                        </wps:txbx>
                        <wps:bodyPr rot="0" vert="horz" wrap="square" lIns="91440" tIns="45720" rIns="91440" bIns="45720" anchor="t" anchorCtr="0" upright="1">
                          <a:noAutofit/>
                        </wps:bodyPr>
                      </wps:wsp>
                      <wps:wsp>
                        <wps:cNvPr id="77" name="Text Box 185"/>
                        <wps:cNvSpPr txBox="1">
                          <a:spLocks noChangeArrowheads="1"/>
                        </wps:cNvSpPr>
                        <wps:spPr bwMode="auto">
                          <a:xfrm>
                            <a:off x="3509" y="8113"/>
                            <a:ext cx="849" cy="305"/>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27CE3" w14:textId="77777777" w:rsidR="008F3710" w:rsidRPr="009A1F4C" w:rsidRDefault="008F3710" w:rsidP="00463FEB">
                              <w:pPr>
                                <w:rPr>
                                  <w:rFonts w:ascii="Arial" w:hAnsi="Arial" w:cs="Arial"/>
                                  <w:b/>
                                  <w:bCs/>
                                  <w:color w:val="FFFFFF"/>
                                  <w:sz w:val="14"/>
                                  <w:szCs w:val="14"/>
                                </w:rPr>
                              </w:pPr>
                              <w:r>
                                <w:rPr>
                                  <w:rFonts w:ascii="Arial" w:hAnsi="Arial" w:cs="Arial"/>
                                  <w:b/>
                                  <w:bCs/>
                                  <w:color w:val="FFFFFF"/>
                                  <w:sz w:val="14"/>
                                  <w:szCs w:val="14"/>
                                </w:rPr>
                                <w:t>Drücken</w:t>
                              </w:r>
                            </w:p>
                          </w:txbxContent>
                        </wps:txbx>
                        <wps:bodyPr rot="0" vert="horz" wrap="none" lIns="91440" tIns="45720" rIns="91440" bIns="45720" anchor="t" anchorCtr="0" upright="1">
                          <a:spAutoFit/>
                        </wps:bodyPr>
                      </wps:wsp>
                      <wps:wsp>
                        <wps:cNvPr id="78" name="Text Box 186"/>
                        <wps:cNvSpPr txBox="1">
                          <a:spLocks noChangeArrowheads="1"/>
                        </wps:cNvSpPr>
                        <wps:spPr bwMode="auto">
                          <a:xfrm>
                            <a:off x="6720" y="8677"/>
                            <a:ext cx="681" cy="1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8EBF0" w14:textId="77777777" w:rsidR="008F3710" w:rsidRPr="009A1F4C" w:rsidRDefault="008F3710" w:rsidP="00463FEB">
                              <w:pPr>
                                <w:rPr>
                                  <w:rFonts w:ascii="Arial" w:hAnsi="Arial" w:cs="Arial"/>
                                  <w:b/>
                                  <w:bCs/>
                                  <w:sz w:val="14"/>
                                  <w:szCs w:val="14"/>
                                </w:rPr>
                              </w:pPr>
                              <w:r w:rsidRPr="009A1F4C">
                                <w:rPr>
                                  <w:rFonts w:ascii="Arial" w:hAnsi="Arial" w:cs="Arial"/>
                                  <w:b/>
                                  <w:bCs/>
                                  <w:sz w:val="14"/>
                                  <w:szCs w:val="14"/>
                                </w:rPr>
                                <w:t>2</w:t>
                              </w:r>
                              <w:r>
                                <w:rPr>
                                  <w:rFonts w:ascii="Arial" w:hAnsi="Arial" w:cs="Arial"/>
                                  <w:b/>
                                  <w:bCs/>
                                  <w:sz w:val="14"/>
                                  <w:szCs w:val="14"/>
                                </w:rPr>
                                <w:t xml:space="preserve">. </w:t>
                              </w:r>
                              <w:r w:rsidRPr="00463FEB">
                                <w:rPr>
                                  <w:rFonts w:ascii="Arial" w:hAnsi="Arial" w:cs="Arial"/>
                                  <w:b/>
                                  <w:sz w:val="14"/>
                                  <w:szCs w:val="14"/>
                                </w:rPr>
                                <w:t>Klick</w:t>
                              </w:r>
                            </w:p>
                          </w:txbxContent>
                        </wps:txbx>
                        <wps:bodyPr rot="0" vert="horz" wrap="square" lIns="0" tIns="0" rIns="0" bIns="0" anchor="t" anchorCtr="0" upright="1">
                          <a:noAutofit/>
                        </wps:bodyPr>
                      </wps:wsp>
                      <wps:wsp>
                        <wps:cNvPr id="79" name="Text Box 187"/>
                        <wps:cNvSpPr txBox="1">
                          <a:spLocks noChangeArrowheads="1"/>
                        </wps:cNvSpPr>
                        <wps:spPr bwMode="auto">
                          <a:xfrm>
                            <a:off x="6809" y="9500"/>
                            <a:ext cx="1389" cy="7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CC55D" w14:textId="77777777" w:rsidR="008F3710" w:rsidRPr="00463FEB" w:rsidRDefault="008F3710" w:rsidP="00463FEB">
                              <w:pPr>
                                <w:jc w:val="center"/>
                                <w:rPr>
                                  <w:rFonts w:ascii="Arial" w:hAnsi="Arial" w:cs="Arial"/>
                                  <w:b/>
                                  <w:bCs/>
                                  <w:sz w:val="18"/>
                                  <w:szCs w:val="18"/>
                                </w:rPr>
                              </w:pPr>
                              <w:r w:rsidRPr="00463FEB">
                                <w:rPr>
                                  <w:rFonts w:ascii="Arial" w:hAnsi="Arial" w:cs="Arial"/>
                                  <w:b/>
                                  <w:bCs/>
                                  <w:sz w:val="18"/>
                                  <w:szCs w:val="18"/>
                                </w:rPr>
                                <w:t>Weitere</w:t>
                              </w:r>
                              <w:r w:rsidRPr="00463FEB">
                                <w:rPr>
                                  <w:rFonts w:ascii="Arial" w:hAnsi="Arial" w:cs="Arial"/>
                                  <w:b/>
                                  <w:bCs/>
                                  <w:color w:val="C45911"/>
                                  <w:sz w:val="18"/>
                                  <w:szCs w:val="18"/>
                                </w:rPr>
                                <w:t xml:space="preserve"> 5</w:t>
                              </w:r>
                              <w:r>
                                <w:rPr>
                                  <w:rFonts w:ascii="Arial" w:hAnsi="Arial" w:cs="Arial"/>
                                  <w:b/>
                                  <w:bCs/>
                                  <w:sz w:val="18"/>
                                  <w:szCs w:val="18"/>
                                </w:rPr>
                                <w:t> </w:t>
                              </w:r>
                              <w:r w:rsidRPr="00463FEB">
                                <w:rPr>
                                  <w:rFonts w:ascii="Arial" w:hAnsi="Arial" w:cs="Arial"/>
                                  <w:b/>
                                  <w:bCs/>
                                  <w:sz w:val="18"/>
                                  <w:szCs w:val="18"/>
                                </w:rPr>
                                <w:t>Sekunden lang halten</w:t>
                              </w:r>
                            </w:p>
                          </w:txbxContent>
                        </wps:txbx>
                        <wps:bodyPr rot="0" vert="horz" wrap="square" lIns="91440" tIns="45720" rIns="91440" bIns="45720" anchor="t" anchorCtr="0" upright="1">
                          <a:noAutofit/>
                        </wps:bodyPr>
                      </wps:wsp>
                      <wps:wsp>
                        <wps:cNvPr id="80" name="Text Box 188"/>
                        <wps:cNvSpPr txBox="1">
                          <a:spLocks noChangeArrowheads="1"/>
                        </wps:cNvSpPr>
                        <wps:spPr bwMode="auto">
                          <a:xfrm>
                            <a:off x="4982" y="8113"/>
                            <a:ext cx="1439" cy="325"/>
                          </a:xfrm>
                          <a:prstGeom prst="rect">
                            <a:avLst/>
                          </a:prstGeom>
                          <a:solidFill>
                            <a:srgbClr val="ED70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F6F4F" w14:textId="77777777" w:rsidR="008F3710" w:rsidRPr="009A1F4C" w:rsidRDefault="008F3710" w:rsidP="00463FEB">
                              <w:pPr>
                                <w:rPr>
                                  <w:rFonts w:ascii="Arial" w:hAnsi="Arial" w:cs="Arial"/>
                                  <w:b/>
                                  <w:bCs/>
                                  <w:color w:val="FFFFFF"/>
                                  <w:sz w:val="14"/>
                                  <w:szCs w:val="14"/>
                                </w:rPr>
                              </w:pPr>
                              <w:r>
                                <w:rPr>
                                  <w:rFonts w:ascii="Arial" w:hAnsi="Arial" w:cs="Arial"/>
                                  <w:b/>
                                  <w:bCs/>
                                  <w:color w:val="FFFFFF"/>
                                  <w:sz w:val="14"/>
                                  <w:szCs w:val="14"/>
                                </w:rPr>
                                <w:t>Halten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CA4E7" id="Group 286" o:spid="_x0000_s1121" style="position:absolute;left:0;text-align:left;margin-left:92.65pt;margin-top:4.15pt;width:246.4pt;height:132.5pt;z-index:251658337" coordorigin="3270,7633" coordsize="4928,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">
                <v:shape id="Text Box 182" o:spid="_x0000_s1122" type="#_x0000_t202" style="position:absolute;left:3270;top:7633;width:2150;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" fillcolor="#545454" stroked="f">
                  <v:textbox>
                    <w:txbxContent>
                      <w:p w14:paraId="77F4D8C0" w14:textId="77777777" w:rsidR="008F3710" w:rsidRPr="009A1F4C" w:rsidRDefault="008F3710" w:rsidP="00463FEB">
                        <w:pPr>
                          <w:rPr>
                            <w:rFonts w:ascii="Arial" w:hAnsi="Arial" w:cs="Arial"/>
                            <w:b/>
                            <w:bCs/>
                            <w:color w:val="FFFFFF"/>
                            <w:sz w:val="18"/>
                            <w:szCs w:val="18"/>
                          </w:rPr>
                        </w:pPr>
                        <w:r>
                          <w:rPr>
                            <w:rFonts w:ascii="Arial" w:hAnsi="Arial" w:cs="Arial"/>
                            <w:b/>
                            <w:bCs/>
                            <w:color w:val="FFFFFF"/>
                            <w:sz w:val="18"/>
                            <w:szCs w:val="18"/>
                          </w:rPr>
                          <w:t>Arzneimittel injizieren</w:t>
                        </w:r>
                      </w:p>
                    </w:txbxContent>
                  </v:textbox>
                </v:shape>
                <v:shape id="Text Box 183" o:spid="_x0000_s1123" type="#_x0000_t202" style="position:absolute;left:3964;top:8651;width:42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" stroked="f">
                  <v:textbox inset="0,0,0,0">
                    <w:txbxContent>
                      <w:p w14:paraId="47968849" w14:textId="77777777" w:rsidR="008F3710" w:rsidRPr="00986ED0" w:rsidRDefault="008F3710" w:rsidP="00463FEB">
                        <w:pPr>
                          <w:jc w:val="center"/>
                          <w:rPr>
                            <w:rFonts w:ascii="Arial" w:hAnsi="Arial" w:cs="Arial"/>
                            <w:b/>
                            <w:bCs/>
                            <w:sz w:val="14"/>
                            <w:szCs w:val="14"/>
                          </w:rPr>
                        </w:pPr>
                        <w:r w:rsidRPr="00986ED0">
                          <w:rPr>
                            <w:rFonts w:ascii="Arial" w:hAnsi="Arial" w:cs="Arial"/>
                            <w:b/>
                            <w:bCs/>
                            <w:sz w:val="14"/>
                            <w:szCs w:val="14"/>
                          </w:rPr>
                          <w:t>Klick</w:t>
                        </w:r>
                      </w:p>
                    </w:txbxContent>
                  </v:textbox>
                </v:shape>
                <v:shape id="Text Box 184" o:spid="_x0000_s1124" type="#_x0000_t202" style="position:absolute;left:6947;top:8113;width:838;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" fillcolor="#f18c77" stroked="f">
                  <v:textbox>
                    <w:txbxContent>
                      <w:p w14:paraId="47FB001F" w14:textId="77777777" w:rsidR="008F3710" w:rsidRPr="009A1F4C" w:rsidRDefault="008F3710" w:rsidP="00463FEB">
                        <w:pPr>
                          <w:rPr>
                            <w:rFonts w:ascii="Arial" w:hAnsi="Arial" w:cs="Arial"/>
                            <w:b/>
                            <w:bCs/>
                            <w:color w:val="FFFFFF"/>
                            <w:sz w:val="14"/>
                            <w:szCs w:val="14"/>
                          </w:rPr>
                        </w:pPr>
                        <w:r>
                          <w:rPr>
                            <w:rFonts w:ascii="Arial" w:hAnsi="Arial" w:cs="Arial"/>
                            <w:b/>
                            <w:bCs/>
                            <w:color w:val="FFFFFF"/>
                            <w:sz w:val="14"/>
                            <w:szCs w:val="14"/>
                          </w:rPr>
                          <w:t>Warten</w:t>
                        </w:r>
                      </w:p>
                    </w:txbxContent>
                  </v:textbox>
                </v:shape>
                <v:shape id="Text Box 185" o:spid="_x0000_s1125" type="#_x0000_t202" style="position:absolute;left:3509;top:8113;width:849;height:3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" fillcolor="#e74b39" stroked="f">
                  <v:textbox style="mso-fit-shape-to-text:t">
                    <w:txbxContent>
                      <w:p w14:paraId="5EE27CE3" w14:textId="77777777" w:rsidR="008F3710" w:rsidRPr="009A1F4C" w:rsidRDefault="008F3710" w:rsidP="00463FEB">
                        <w:pPr>
                          <w:rPr>
                            <w:rFonts w:ascii="Arial" w:hAnsi="Arial" w:cs="Arial"/>
                            <w:b/>
                            <w:bCs/>
                            <w:color w:val="FFFFFF"/>
                            <w:sz w:val="14"/>
                            <w:szCs w:val="14"/>
                          </w:rPr>
                        </w:pPr>
                        <w:r>
                          <w:rPr>
                            <w:rFonts w:ascii="Arial" w:hAnsi="Arial" w:cs="Arial"/>
                            <w:b/>
                            <w:bCs/>
                            <w:color w:val="FFFFFF"/>
                            <w:sz w:val="14"/>
                            <w:szCs w:val="14"/>
                          </w:rPr>
                          <w:t>Drücken</w:t>
                        </w:r>
                      </w:p>
                    </w:txbxContent>
                  </v:textbox>
                </v:shape>
                <v:shape id="Text Box 186" o:spid="_x0000_s1126" type="#_x0000_t202" style="position:absolute;left:6720;top:8677;width:681;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z34wQAAANsAAAAPAAAAZHJzL2Rvd25yZXYueG1sRE+7bsIw&#10;FN0r9R+sW4mlAgcGilIMggSkDu3AQ8xX8W0SEV9HtvPg7/FQqePR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LqLPfjBAAAA2wAAAA8AAAAA&#10;AAAAAAAAAAAABwIAAGRycy9kb3ducmV2LnhtbFBLBQYAAAAAAwADALcAAAD1AgAAAAA=&#10;" stroked="f">
                  <v:textbox inset="0,0,0,0">
                    <w:txbxContent>
                      <w:p w14:paraId="2D88EBF0" w14:textId="77777777" w:rsidR="008F3710" w:rsidRPr="009A1F4C" w:rsidRDefault="008F3710" w:rsidP="00463FEB">
                        <w:pPr>
                          <w:rPr>
                            <w:rFonts w:ascii="Arial" w:hAnsi="Arial" w:cs="Arial"/>
                            <w:b/>
                            <w:bCs/>
                            <w:sz w:val="14"/>
                            <w:szCs w:val="14"/>
                          </w:rPr>
                        </w:pPr>
                        <w:r w:rsidRPr="009A1F4C">
                          <w:rPr>
                            <w:rFonts w:ascii="Arial" w:hAnsi="Arial" w:cs="Arial"/>
                            <w:b/>
                            <w:bCs/>
                            <w:sz w:val="14"/>
                            <w:szCs w:val="14"/>
                          </w:rPr>
                          <w:t>2</w:t>
                        </w:r>
                        <w:r>
                          <w:rPr>
                            <w:rFonts w:ascii="Arial" w:hAnsi="Arial" w:cs="Arial"/>
                            <w:b/>
                            <w:bCs/>
                            <w:sz w:val="14"/>
                            <w:szCs w:val="14"/>
                          </w:rPr>
                          <w:t xml:space="preserve">. </w:t>
                        </w:r>
                        <w:r w:rsidRPr="00463FEB">
                          <w:rPr>
                            <w:rFonts w:ascii="Arial" w:hAnsi="Arial" w:cs="Arial"/>
                            <w:b/>
                            <w:sz w:val="14"/>
                            <w:szCs w:val="14"/>
                          </w:rPr>
                          <w:t>Klick</w:t>
                        </w:r>
                      </w:p>
                    </w:txbxContent>
                  </v:textbox>
                </v:shape>
                <v:shape id="Text Box 187" o:spid="_x0000_s1127" type="#_x0000_t202" style="position:absolute;left:6809;top:9500;width:1389;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63CCC55D" w14:textId="77777777" w:rsidR="008F3710" w:rsidRPr="00463FEB" w:rsidRDefault="008F3710" w:rsidP="00463FEB">
                        <w:pPr>
                          <w:jc w:val="center"/>
                          <w:rPr>
                            <w:rFonts w:ascii="Arial" w:hAnsi="Arial" w:cs="Arial"/>
                            <w:b/>
                            <w:bCs/>
                            <w:sz w:val="18"/>
                            <w:szCs w:val="18"/>
                          </w:rPr>
                        </w:pPr>
                        <w:r w:rsidRPr="00463FEB">
                          <w:rPr>
                            <w:rFonts w:ascii="Arial" w:hAnsi="Arial" w:cs="Arial"/>
                            <w:b/>
                            <w:bCs/>
                            <w:sz w:val="18"/>
                            <w:szCs w:val="18"/>
                          </w:rPr>
                          <w:t>Weitere</w:t>
                        </w:r>
                        <w:r w:rsidRPr="00463FEB">
                          <w:rPr>
                            <w:rFonts w:ascii="Arial" w:hAnsi="Arial" w:cs="Arial"/>
                            <w:b/>
                            <w:bCs/>
                            <w:color w:val="C45911"/>
                            <w:sz w:val="18"/>
                            <w:szCs w:val="18"/>
                          </w:rPr>
                          <w:t xml:space="preserve"> 5</w:t>
                        </w:r>
                        <w:r>
                          <w:rPr>
                            <w:rFonts w:ascii="Arial" w:hAnsi="Arial" w:cs="Arial"/>
                            <w:b/>
                            <w:bCs/>
                            <w:sz w:val="18"/>
                            <w:szCs w:val="18"/>
                          </w:rPr>
                          <w:t> </w:t>
                        </w:r>
                        <w:r w:rsidRPr="00463FEB">
                          <w:rPr>
                            <w:rFonts w:ascii="Arial" w:hAnsi="Arial" w:cs="Arial"/>
                            <w:b/>
                            <w:bCs/>
                            <w:sz w:val="18"/>
                            <w:szCs w:val="18"/>
                          </w:rPr>
                          <w:t>Sekunden lang halten</w:t>
                        </w:r>
                      </w:p>
                    </w:txbxContent>
                  </v:textbox>
                </v:shape>
                <v:shape id="Text Box 188" o:spid="_x0000_s1128" type="#_x0000_t202" style="position:absolute;left:4982;top:8113;width:1439;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" fillcolor="#ed705a" stroked="f">
                  <v:textbox>
                    <w:txbxContent>
                      <w:p w14:paraId="732F6F4F" w14:textId="77777777" w:rsidR="008F3710" w:rsidRPr="009A1F4C" w:rsidRDefault="008F3710" w:rsidP="00463FEB">
                        <w:pPr>
                          <w:rPr>
                            <w:rFonts w:ascii="Arial" w:hAnsi="Arial" w:cs="Arial"/>
                            <w:b/>
                            <w:bCs/>
                            <w:color w:val="FFFFFF"/>
                            <w:sz w:val="14"/>
                            <w:szCs w:val="14"/>
                          </w:rPr>
                        </w:pPr>
                        <w:r>
                          <w:rPr>
                            <w:rFonts w:ascii="Arial" w:hAnsi="Arial" w:cs="Arial"/>
                            <w:b/>
                            <w:bCs/>
                            <w:color w:val="FFFFFF"/>
                            <w:sz w:val="14"/>
                            <w:szCs w:val="14"/>
                          </w:rPr>
                          <w:t>Halten</w:t>
                        </w:r>
                      </w:p>
                    </w:txbxContent>
                  </v:textbox>
                </v:shape>
              </v:group>
            </w:pict>
          </mc:Fallback>
        </mc:AlternateContent>
      </w:r>
      <w:r w:rsidRPr="004F5FB4">
        <w:rPr>
          <w:noProof/>
          <w:color w:val="000000"/>
          <w:lang w:eastAsia="en-GB"/>
        </w:rPr>
        <w:drawing>
          <wp:inline distT="0" distB="0" distL="0" distR="0" wp14:anchorId="20C37952" wp14:editId="3669FEC1">
            <wp:extent cx="4762500" cy="2019300"/>
            <wp:effectExtent l="0" t="0" r="0" b="0"/>
            <wp:docPr id="6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p>
    <w:p w14:paraId="4DA328E2" w14:textId="77777777" w:rsidR="00CC00FF" w:rsidRPr="004F5FB4" w:rsidRDefault="00CC00FF" w:rsidP="00982118">
      <w:pPr>
        <w:jc w:val="center"/>
        <w:rPr>
          <w:color w:val="000000"/>
          <w:lang w:val="en-GB"/>
        </w:rPr>
      </w:pPr>
    </w:p>
    <w:p w14:paraId="07643AC6" w14:textId="77777777" w:rsidR="00CC00FF" w:rsidRPr="004F5FB4" w:rsidRDefault="00CC00FF" w:rsidP="00982118">
      <w:pPr>
        <w:jc w:val="center"/>
        <w:rPr>
          <w:color w:val="000000"/>
          <w:lang w:val="en-GB"/>
        </w:rPr>
      </w:pPr>
    </w:p>
    <w:p w14:paraId="2B2F7B26" w14:textId="77777777" w:rsidR="00CC00FF" w:rsidRPr="004F5FB4" w:rsidRDefault="00CC00FF" w:rsidP="00E23160">
      <w:pPr>
        <w:pStyle w:val="ListParagraph"/>
        <w:numPr>
          <w:ilvl w:val="0"/>
          <w:numId w:val="42"/>
        </w:numPr>
        <w:ind w:left="562" w:hanging="562"/>
        <w:contextualSpacing/>
        <w:rPr>
          <w:color w:val="000000"/>
        </w:rPr>
      </w:pPr>
      <w:r w:rsidRPr="004F5FB4">
        <w:rPr>
          <w:color w:val="000000"/>
        </w:rPr>
        <w:t xml:space="preserve">Injektionsknopf vollständig nach unten </w:t>
      </w:r>
      <w:r w:rsidRPr="004F5FB4">
        <w:rPr>
          <w:b/>
          <w:color w:val="000000"/>
        </w:rPr>
        <w:t xml:space="preserve">drücken, </w:t>
      </w:r>
      <w:r w:rsidRPr="004F5FB4">
        <w:rPr>
          <w:color w:val="000000"/>
        </w:rPr>
        <w:t>bis ein Klicken zu hören ist.</w:t>
      </w:r>
      <w:r w:rsidR="00463FEB" w:rsidRPr="004F5FB4">
        <w:rPr>
          <w:color w:val="000000"/>
        </w:rPr>
        <w:t xml:space="preserve"> Sie können den Injektionsknopf loslassen, wenn die Injektion gestartet wurde.</w:t>
      </w:r>
    </w:p>
    <w:p w14:paraId="579423A4" w14:textId="77777777" w:rsidR="00CC00FF" w:rsidRPr="004F5FB4" w:rsidRDefault="00CC00FF" w:rsidP="00E23160">
      <w:pPr>
        <w:pStyle w:val="ListParagraph"/>
        <w:numPr>
          <w:ilvl w:val="0"/>
          <w:numId w:val="35"/>
        </w:numPr>
        <w:ind w:left="562" w:hanging="562"/>
        <w:contextualSpacing/>
        <w:rPr>
          <w:b/>
          <w:color w:val="000000"/>
        </w:rPr>
      </w:pPr>
      <w:r w:rsidRPr="004F5FB4">
        <w:rPr>
          <w:color w:val="000000"/>
        </w:rPr>
        <w:t xml:space="preserve">Pen </w:t>
      </w:r>
      <w:r w:rsidRPr="004F5FB4">
        <w:rPr>
          <w:b/>
          <w:bCs/>
          <w:color w:val="000000"/>
        </w:rPr>
        <w:t>weiterhin</w:t>
      </w:r>
      <w:r w:rsidRPr="004F5FB4">
        <w:rPr>
          <w:color w:val="000000"/>
        </w:rPr>
        <w:t xml:space="preserve"> fest auf die Haut </w:t>
      </w:r>
      <w:r w:rsidRPr="004F5FB4">
        <w:rPr>
          <w:b/>
          <w:bCs/>
          <w:color w:val="000000"/>
        </w:rPr>
        <w:t>drücken</w:t>
      </w:r>
      <w:r w:rsidRPr="004F5FB4">
        <w:rPr>
          <w:color w:val="000000"/>
        </w:rPr>
        <w:t>, während sich die orangefarbene Markierung in das Sichtfenster schiebt.</w:t>
      </w:r>
      <w:r w:rsidR="00463FEB" w:rsidRPr="004F5FB4">
        <w:rPr>
          <w:color w:val="000000"/>
        </w:rPr>
        <w:t xml:space="preserve"> Die Verabreichung der Dosis dauert in der Regel 3 bis 10 Sekunden.</w:t>
      </w:r>
    </w:p>
    <w:p w14:paraId="69282550"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Nach dem 2.</w:t>
      </w:r>
      <w:r w:rsidR="00D31FB3" w:rsidRPr="004F5FB4">
        <w:rPr>
          <w:color w:val="000000"/>
        </w:rPr>
        <w:t> </w:t>
      </w:r>
      <w:r w:rsidRPr="004F5FB4">
        <w:rPr>
          <w:color w:val="000000"/>
        </w:rPr>
        <w:t xml:space="preserve">Klicken mindestens weitere 5 Sekunden </w:t>
      </w:r>
      <w:r w:rsidRPr="004F5FB4">
        <w:rPr>
          <w:b/>
          <w:color w:val="000000"/>
        </w:rPr>
        <w:t xml:space="preserve">abwarten, </w:t>
      </w:r>
      <w:r w:rsidRPr="004F5FB4">
        <w:rPr>
          <w:color w:val="000000"/>
        </w:rPr>
        <w:t>damit das Arzneimittel vollständig aufgenommen werden kann.</w:t>
      </w:r>
      <w:r w:rsidR="00463FEB" w:rsidRPr="004F5FB4">
        <w:rPr>
          <w:color w:val="000000"/>
        </w:rPr>
        <w:br/>
      </w:r>
      <w:r w:rsidR="00463FEB" w:rsidRPr="004F5FB4">
        <w:rPr>
          <w:b/>
          <w:color w:val="000000"/>
        </w:rPr>
        <w:t>Hinweis:</w:t>
      </w:r>
      <w:r w:rsidR="00463FEB" w:rsidRPr="004F5FB4">
        <w:rPr>
          <w:color w:val="000000"/>
        </w:rPr>
        <w:t xml:space="preserve"> Wenn Sie den Injektionsknopf nicht herunterdrücken können, halten Sie den Pen nicht fest genug auf die Haut gedrückt. Lassen Sie den Injektionsknopf los und drücken Sie den Pen noch fester auf die Haut. Versuchen Sie nun, den Injektionsknopf erneut zu drücken. Sollte dies nicht möglich sein, ziehen Sie die Haut auseinander oder </w:t>
      </w:r>
      <w:r w:rsidR="001A44B4" w:rsidRPr="004F5FB4">
        <w:rPr>
          <w:color w:val="000000"/>
        </w:rPr>
        <w:t>heben Sie sie an. Dadurch wird die Injektionsstelle fester und der Injektionsknopf ist einfacher zu drücken.</w:t>
      </w:r>
    </w:p>
    <w:p w14:paraId="442C6CFE" w14:textId="77777777" w:rsidR="00CC00FF" w:rsidRPr="004F5FB4" w:rsidRDefault="00CC00FF" w:rsidP="00982118">
      <w:pPr>
        <w:pStyle w:val="ListParagraph"/>
        <w:contextualSpacing/>
        <w:rPr>
          <w:color w:val="000000"/>
        </w:rPr>
      </w:pPr>
    </w:p>
    <w:p w14:paraId="775E1A92" w14:textId="77777777" w:rsidR="00CC00FF" w:rsidRPr="004F5FB4" w:rsidRDefault="00CC00FF" w:rsidP="00982118">
      <w:pPr>
        <w:pStyle w:val="ListParagraph"/>
        <w:contextualSpacing/>
        <w:rPr>
          <w:color w:val="000000"/>
        </w:rPr>
      </w:pPr>
    </w:p>
    <w:p w14:paraId="702E4C1F" w14:textId="35F2C13B" w:rsidR="00CC00FF" w:rsidRPr="004F5FB4" w:rsidRDefault="00032CD3" w:rsidP="00982118">
      <w:pPr>
        <w:jc w:val="center"/>
        <w:rPr>
          <w:color w:val="000000"/>
        </w:rPr>
      </w:pPr>
      <w:r w:rsidRPr="004F5FB4">
        <w:rPr>
          <w:noProof/>
          <w:color w:val="000000"/>
          <w:lang w:eastAsia="de-DE"/>
        </w:rPr>
        <w:lastRenderedPageBreak/>
        <mc:AlternateContent>
          <mc:Choice Requires="wps">
            <w:drawing>
              <wp:anchor distT="0" distB="0" distL="114300" distR="114300" simplePos="0" relativeHeight="251658306" behindDoc="0" locked="0" layoutInCell="1" allowOverlap="1" wp14:anchorId="3C7F040B" wp14:editId="45610467">
                <wp:simplePos x="0" y="0"/>
                <wp:positionH relativeFrom="column">
                  <wp:posOffset>1925320</wp:posOffset>
                </wp:positionH>
                <wp:positionV relativeFrom="paragraph">
                  <wp:posOffset>80645</wp:posOffset>
                </wp:positionV>
                <wp:extent cx="1472565" cy="285750"/>
                <wp:effectExtent l="1270" t="4445" r="2540" b="0"/>
                <wp:wrapNone/>
                <wp:docPr id="7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B1782"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Pen entfernen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F040B" id="_x0000_s1129" type="#_x0000_t202" style="position:absolute;left:0;text-align:left;margin-left:151.6pt;margin-top:6.35pt;width:115.95pt;height:22.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" fillcolor="#656666" stroked="f">
                <v:textbox>
                  <w:txbxContent>
                    <w:p w14:paraId="68EB1782"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Pen entfernen</w:t>
                      </w:r>
                    </w:p>
                  </w:txbxContent>
                </v:textbox>
              </v:shape>
            </w:pict>
          </mc:Fallback>
        </mc:AlternateContent>
      </w:r>
      <w:r w:rsidRPr="004F5FB4">
        <w:rPr>
          <w:noProof/>
          <w:color w:val="000000"/>
        </w:rPr>
        <w:drawing>
          <wp:inline distT="0" distB="0" distL="0" distR="0" wp14:anchorId="06120B5F" wp14:editId="0A304ADA">
            <wp:extent cx="2971800" cy="2476500"/>
            <wp:effectExtent l="0" t="0" r="0" b="0"/>
            <wp:docPr id="6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71800" cy="2476500"/>
                    </a:xfrm>
                    <a:prstGeom prst="rect">
                      <a:avLst/>
                    </a:prstGeom>
                    <a:noFill/>
                    <a:ln>
                      <a:noFill/>
                    </a:ln>
                  </pic:spPr>
                </pic:pic>
              </a:graphicData>
            </a:graphic>
          </wp:inline>
        </w:drawing>
      </w:r>
    </w:p>
    <w:p w14:paraId="3B2B2F7B" w14:textId="77777777" w:rsidR="00CC00FF" w:rsidRPr="004F5FB4" w:rsidRDefault="00CC00FF" w:rsidP="00982118">
      <w:pPr>
        <w:jc w:val="center"/>
        <w:rPr>
          <w:color w:val="000000"/>
          <w:lang w:val="en-GB"/>
        </w:rPr>
      </w:pPr>
    </w:p>
    <w:p w14:paraId="02C96305" w14:textId="77777777" w:rsidR="00CC00FF" w:rsidRPr="004F5FB4" w:rsidRDefault="00CC00FF" w:rsidP="00982118">
      <w:pPr>
        <w:jc w:val="center"/>
        <w:rPr>
          <w:color w:val="000000"/>
          <w:lang w:val="en-GB"/>
        </w:rPr>
      </w:pPr>
    </w:p>
    <w:p w14:paraId="02E8686C" w14:textId="77777777" w:rsidR="00CC00FF" w:rsidRPr="004F5FB4" w:rsidRDefault="00CC00FF" w:rsidP="00E23160">
      <w:pPr>
        <w:pStyle w:val="ListParagraph"/>
        <w:numPr>
          <w:ilvl w:val="0"/>
          <w:numId w:val="35"/>
        </w:numPr>
        <w:ind w:left="562" w:hanging="562"/>
        <w:contextualSpacing/>
        <w:rPr>
          <w:b/>
          <w:color w:val="000000"/>
        </w:rPr>
      </w:pPr>
      <w:r w:rsidRPr="004F5FB4">
        <w:rPr>
          <w:b/>
          <w:color w:val="000000"/>
        </w:rPr>
        <w:t>Entfernen Sie den Pen erst, wenn Sie nach dem 2.</w:t>
      </w:r>
      <w:r w:rsidR="00D31FB3" w:rsidRPr="004F5FB4">
        <w:rPr>
          <w:b/>
          <w:color w:val="000000"/>
        </w:rPr>
        <w:t> </w:t>
      </w:r>
      <w:r w:rsidRPr="004F5FB4">
        <w:rPr>
          <w:b/>
          <w:color w:val="000000"/>
        </w:rPr>
        <w:t xml:space="preserve">Klick mindestens 5 Sekunden abgewartet haben. </w:t>
      </w:r>
    </w:p>
    <w:p w14:paraId="28FAB428"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Pen von der Haut entfernen.</w:t>
      </w:r>
    </w:p>
    <w:p w14:paraId="34DE207E" w14:textId="77777777" w:rsidR="00CC00FF" w:rsidRPr="004F5FB4" w:rsidRDefault="00CC00FF" w:rsidP="00E23160">
      <w:pPr>
        <w:pStyle w:val="ListParagraph"/>
        <w:ind w:left="562"/>
        <w:contextualSpacing/>
        <w:rPr>
          <w:color w:val="000000"/>
        </w:rPr>
      </w:pPr>
      <w:r w:rsidRPr="004F5FB4">
        <w:rPr>
          <w:b/>
          <w:color w:val="000000"/>
        </w:rPr>
        <w:t xml:space="preserve">Hinweis: </w:t>
      </w:r>
      <w:r w:rsidRPr="004F5FB4">
        <w:rPr>
          <w:color w:val="000000"/>
        </w:rPr>
        <w:t>Nach dem Entfernen des Pens von der Haut wird die Nadel automatisch abgedeckt.</w:t>
      </w:r>
    </w:p>
    <w:p w14:paraId="48915C49" w14:textId="77777777" w:rsidR="001A44B4" w:rsidRPr="004F5FB4" w:rsidRDefault="001A44B4" w:rsidP="00687087">
      <w:pPr>
        <w:pStyle w:val="ListParagraph"/>
        <w:numPr>
          <w:ilvl w:val="0"/>
          <w:numId w:val="70"/>
        </w:numPr>
        <w:ind w:left="567" w:hanging="567"/>
        <w:contextualSpacing/>
        <w:rPr>
          <w:color w:val="000000"/>
        </w:rPr>
      </w:pPr>
      <w:r w:rsidRPr="004F5FB4">
        <w:rPr>
          <w:color w:val="000000"/>
        </w:rPr>
        <w:t>Ist nach der Injektion mehr als ein kleiner Arzneimitteltropfen auf der Haut sichtbar, warten Sie das nächste Mal bei der Injektion länger ab, bevor Sie den Pen wieder von der Haut abnehmen.</w:t>
      </w:r>
    </w:p>
    <w:p w14:paraId="0B8E468C" w14:textId="77777777" w:rsidR="00CC00FF" w:rsidRPr="004F5FB4" w:rsidRDefault="00CC00FF" w:rsidP="00982118">
      <w:pPr>
        <w:rPr>
          <w:color w:val="000000"/>
        </w:rPr>
      </w:pPr>
    </w:p>
    <w:p w14:paraId="6C351D28" w14:textId="77777777" w:rsidR="00CC00FF" w:rsidRPr="004F5FB4" w:rsidRDefault="00CC00FF" w:rsidP="00982118">
      <w:pPr>
        <w:rPr>
          <w:color w:val="000000"/>
        </w:rPr>
      </w:pPr>
    </w:p>
    <w:p w14:paraId="4CAC7F7E" w14:textId="51814631" w:rsidR="00CC00FF" w:rsidRPr="004F5FB4" w:rsidRDefault="00032CD3" w:rsidP="00982118">
      <w:pPr>
        <w:jc w:val="center"/>
        <w:rPr>
          <w:b/>
          <w:color w:val="000000"/>
        </w:rPr>
      </w:pPr>
      <w:r w:rsidRPr="004F5FB4">
        <w:rPr>
          <w:noProof/>
          <w:color w:val="000000"/>
          <w:lang w:eastAsia="de-DE"/>
        </w:rPr>
        <mc:AlternateContent>
          <mc:Choice Requires="wps">
            <w:drawing>
              <wp:anchor distT="0" distB="0" distL="114300" distR="114300" simplePos="0" relativeHeight="251658307" behindDoc="0" locked="0" layoutInCell="1" allowOverlap="1" wp14:anchorId="6FCADBF8" wp14:editId="3343F7AC">
                <wp:simplePos x="0" y="0"/>
                <wp:positionH relativeFrom="column">
                  <wp:posOffset>1925320</wp:posOffset>
                </wp:positionH>
                <wp:positionV relativeFrom="paragraph">
                  <wp:posOffset>74930</wp:posOffset>
                </wp:positionV>
                <wp:extent cx="1472565" cy="285750"/>
                <wp:effectExtent l="1270" t="0" r="2540" b="1270"/>
                <wp:wrapNone/>
                <wp:docPr id="7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FEA69"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Sichtfenster prüfen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DBF8" id="Text Box 190" o:spid="_x0000_s1130" type="#_x0000_t202" style="position:absolute;left:0;text-align:left;margin-left:151.6pt;margin-top:5.9pt;width:115.95pt;height:22.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" fillcolor="#656666" stroked="f">
                <v:textbox>
                  <w:txbxContent>
                    <w:p w14:paraId="5F0FEA69"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Sichtfenster prüfen</w:t>
                      </w:r>
                    </w:p>
                  </w:txbxContent>
                </v:textbox>
              </v:shape>
            </w:pict>
          </mc:Fallback>
        </mc:AlternateContent>
      </w:r>
      <w:r w:rsidRPr="004F5FB4">
        <w:rPr>
          <w:noProof/>
          <w:color w:val="000000"/>
        </w:rPr>
        <w:drawing>
          <wp:inline distT="0" distB="0" distL="0" distR="0" wp14:anchorId="7D4AE10C" wp14:editId="2122C83E">
            <wp:extent cx="2981325" cy="2476500"/>
            <wp:effectExtent l="0" t="0" r="0" b="0"/>
            <wp:docPr id="6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81325" cy="2476500"/>
                    </a:xfrm>
                    <a:prstGeom prst="rect">
                      <a:avLst/>
                    </a:prstGeom>
                    <a:noFill/>
                    <a:ln>
                      <a:noFill/>
                    </a:ln>
                  </pic:spPr>
                </pic:pic>
              </a:graphicData>
            </a:graphic>
          </wp:inline>
        </w:drawing>
      </w:r>
    </w:p>
    <w:p w14:paraId="10A3D746" w14:textId="77777777" w:rsidR="00CC00FF" w:rsidRPr="004F5FB4" w:rsidRDefault="00CC00FF" w:rsidP="00982118">
      <w:pPr>
        <w:jc w:val="center"/>
        <w:rPr>
          <w:color w:val="000000"/>
          <w:lang w:val="en-GB"/>
        </w:rPr>
      </w:pPr>
    </w:p>
    <w:p w14:paraId="78864B61" w14:textId="77777777" w:rsidR="00CC00FF" w:rsidRPr="004F5FB4" w:rsidRDefault="00CC00FF" w:rsidP="00982118">
      <w:pPr>
        <w:jc w:val="center"/>
        <w:rPr>
          <w:color w:val="000000"/>
          <w:lang w:val="en-GB"/>
        </w:rPr>
      </w:pPr>
    </w:p>
    <w:p w14:paraId="5306B5DC" w14:textId="77777777" w:rsidR="00CC00FF" w:rsidRPr="004F5FB4" w:rsidRDefault="00CC00FF" w:rsidP="00E23160">
      <w:pPr>
        <w:pStyle w:val="ListParagraph"/>
        <w:numPr>
          <w:ilvl w:val="0"/>
          <w:numId w:val="43"/>
        </w:numPr>
        <w:ind w:left="562" w:hanging="562"/>
        <w:contextualSpacing/>
        <w:rPr>
          <w:color w:val="000000"/>
        </w:rPr>
      </w:pPr>
      <w:r w:rsidRPr="004F5FB4">
        <w:rPr>
          <w:color w:val="000000"/>
        </w:rPr>
        <w:t>Im Sichtfenster sollte eine orangefarbene Markierung zu sehen sein.</w:t>
      </w:r>
    </w:p>
    <w:p w14:paraId="437B88DF" w14:textId="77777777" w:rsidR="00CC00FF" w:rsidRPr="004F5FB4" w:rsidRDefault="00CC00FF" w:rsidP="00E23160">
      <w:pPr>
        <w:pStyle w:val="ListParagraph"/>
        <w:numPr>
          <w:ilvl w:val="0"/>
          <w:numId w:val="43"/>
        </w:numPr>
        <w:ind w:left="562" w:hanging="562"/>
        <w:contextualSpacing/>
        <w:rPr>
          <w:b/>
          <w:color w:val="000000"/>
        </w:rPr>
      </w:pPr>
      <w:r w:rsidRPr="004F5FB4">
        <w:rPr>
          <w:color w:val="000000"/>
        </w:rPr>
        <w:t xml:space="preserve">Wenn das Sichtfenster nicht orangefarben geworden ist oder es so aussieht, als ob die Injektion nicht abgeschlossen ist, haben Sie nicht die vollständige Dosis erhalten. </w:t>
      </w:r>
      <w:r w:rsidR="001A44B4" w:rsidRPr="004F5FB4">
        <w:rPr>
          <w:color w:val="000000"/>
        </w:rPr>
        <w:t xml:space="preserve">Sprechen </w:t>
      </w:r>
      <w:r w:rsidRPr="004F5FB4">
        <w:rPr>
          <w:color w:val="000000"/>
        </w:rPr>
        <w:t xml:space="preserve">Sie in diesem Fall bitte umgehend </w:t>
      </w:r>
      <w:r w:rsidR="001A44B4" w:rsidRPr="004F5FB4">
        <w:rPr>
          <w:color w:val="000000"/>
        </w:rPr>
        <w:t>mit</w:t>
      </w:r>
      <w:r w:rsidRPr="004F5FB4">
        <w:rPr>
          <w:color w:val="000000"/>
        </w:rPr>
        <w:t xml:space="preserve"> Ihre</w:t>
      </w:r>
      <w:r w:rsidR="001A44B4" w:rsidRPr="004F5FB4">
        <w:rPr>
          <w:color w:val="000000"/>
        </w:rPr>
        <w:t>m</w:t>
      </w:r>
      <w:r w:rsidRPr="004F5FB4">
        <w:rPr>
          <w:color w:val="000000"/>
        </w:rPr>
        <w:t xml:space="preserve"> Arzt</w:t>
      </w:r>
      <w:r w:rsidR="001A44B4" w:rsidRPr="004F5FB4">
        <w:rPr>
          <w:color w:val="000000"/>
        </w:rPr>
        <w:t>, dem medizinischen Fachpersonal</w:t>
      </w:r>
      <w:r w:rsidRPr="004F5FB4">
        <w:rPr>
          <w:color w:val="000000"/>
        </w:rPr>
        <w:t xml:space="preserve"> oder Apotheker.</w:t>
      </w:r>
    </w:p>
    <w:p w14:paraId="753EA594" w14:textId="77777777" w:rsidR="00CC00FF" w:rsidRPr="004F5FB4" w:rsidRDefault="00CC00FF" w:rsidP="00E23160">
      <w:pPr>
        <w:pStyle w:val="ListParagraph"/>
        <w:numPr>
          <w:ilvl w:val="0"/>
          <w:numId w:val="43"/>
        </w:numPr>
        <w:ind w:left="562" w:hanging="562"/>
        <w:contextualSpacing/>
        <w:rPr>
          <w:b/>
          <w:color w:val="000000"/>
        </w:rPr>
      </w:pPr>
      <w:r w:rsidRPr="004F5FB4">
        <w:rPr>
          <w:b/>
          <w:color w:val="000000"/>
        </w:rPr>
        <w:t>Injizieren Sie keine weitere Dosis.</w:t>
      </w:r>
    </w:p>
    <w:p w14:paraId="7F632569" w14:textId="77777777" w:rsidR="00CC00FF" w:rsidRPr="004F5FB4" w:rsidRDefault="00CC00FF" w:rsidP="00982118">
      <w:pPr>
        <w:jc w:val="center"/>
        <w:rPr>
          <w:color w:val="000000"/>
        </w:rPr>
      </w:pPr>
    </w:p>
    <w:p w14:paraId="199F16B9" w14:textId="77777777" w:rsidR="00CC00FF" w:rsidRPr="004F5FB4" w:rsidRDefault="00CC00FF" w:rsidP="00982118">
      <w:pPr>
        <w:jc w:val="center"/>
        <w:rPr>
          <w:color w:val="000000"/>
        </w:rPr>
      </w:pPr>
    </w:p>
    <w:p w14:paraId="07376824" w14:textId="4B8FFFC7" w:rsidR="00CC00FF" w:rsidRPr="004F5FB4" w:rsidRDefault="00032CD3" w:rsidP="00982118">
      <w:pPr>
        <w:jc w:val="center"/>
        <w:rPr>
          <w:color w:val="000000"/>
        </w:rPr>
      </w:pPr>
      <w:r w:rsidRPr="004F5FB4">
        <w:rPr>
          <w:noProof/>
          <w:color w:val="000000"/>
          <w:lang w:eastAsia="de-DE"/>
        </w:rPr>
        <w:lastRenderedPageBreak/>
        <mc:AlternateContent>
          <mc:Choice Requires="wps">
            <w:drawing>
              <wp:anchor distT="0" distB="0" distL="114300" distR="114300" simplePos="0" relativeHeight="251658308" behindDoc="0" locked="0" layoutInCell="1" allowOverlap="1" wp14:anchorId="5465A3A4" wp14:editId="0C62F650">
                <wp:simplePos x="0" y="0"/>
                <wp:positionH relativeFrom="column">
                  <wp:posOffset>1974850</wp:posOffset>
                </wp:positionH>
                <wp:positionV relativeFrom="paragraph">
                  <wp:posOffset>104140</wp:posOffset>
                </wp:positionV>
                <wp:extent cx="1931670" cy="285750"/>
                <wp:effectExtent l="3175" t="0" r="0" b="635"/>
                <wp:wrapNone/>
                <wp:docPr id="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3CB7E"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Verwendeten Pen entsorgen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5A3A4" id="Text Box 191" o:spid="_x0000_s1131" type="#_x0000_t202" style="position:absolute;left:0;text-align:left;margin-left:155.5pt;margin-top:8.2pt;width:152.1pt;height: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" fillcolor="#656666" stroked="f">
                <v:textbox>
                  <w:txbxContent>
                    <w:p w14:paraId="2F23CB7E"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Verwendeten Pen entsorgen</w:t>
                      </w:r>
                    </w:p>
                  </w:txbxContent>
                </v:textbox>
              </v:shape>
            </w:pict>
          </mc:Fallback>
        </mc:AlternateContent>
      </w:r>
      <w:r w:rsidRPr="004F5FB4">
        <w:rPr>
          <w:noProof/>
          <w:color w:val="000000"/>
        </w:rPr>
        <w:drawing>
          <wp:inline distT="0" distB="0" distL="0" distR="0" wp14:anchorId="3CA889A3" wp14:editId="03AE7726">
            <wp:extent cx="2981325" cy="2466975"/>
            <wp:effectExtent l="0" t="0" r="0" b="0"/>
            <wp:docPr id="6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14:paraId="73A2D1A4" w14:textId="77777777" w:rsidR="00CC00FF" w:rsidRPr="004F5FB4" w:rsidRDefault="00CC00FF" w:rsidP="00982118">
      <w:pPr>
        <w:jc w:val="center"/>
        <w:rPr>
          <w:color w:val="000000"/>
          <w:lang w:val="en-GB"/>
        </w:rPr>
      </w:pPr>
    </w:p>
    <w:p w14:paraId="485172FE" w14:textId="77777777" w:rsidR="00CC00FF" w:rsidRPr="004F5FB4" w:rsidRDefault="00CC00FF" w:rsidP="00982118">
      <w:pPr>
        <w:jc w:val="center"/>
        <w:rPr>
          <w:color w:val="000000"/>
          <w:lang w:val="en-GB"/>
        </w:rPr>
      </w:pPr>
    </w:p>
    <w:p w14:paraId="77B56232" w14:textId="77777777" w:rsidR="00CC00FF" w:rsidRPr="004F5FB4" w:rsidRDefault="00CC00FF" w:rsidP="00E23160">
      <w:pPr>
        <w:pStyle w:val="ListParagraph"/>
        <w:numPr>
          <w:ilvl w:val="0"/>
          <w:numId w:val="37"/>
        </w:numPr>
        <w:ind w:left="562" w:hanging="562"/>
        <w:contextualSpacing/>
        <w:rPr>
          <w:color w:val="000000"/>
        </w:rPr>
      </w:pPr>
      <w:r w:rsidRPr="004F5FB4">
        <w:rPr>
          <w:color w:val="000000"/>
        </w:rPr>
        <w:t>Entsorgen Sie den Pen umgehend gemäß den Anweisungen Ihres Arztes</w:t>
      </w:r>
      <w:r w:rsidR="001A44B4" w:rsidRPr="004F5FB4">
        <w:rPr>
          <w:color w:val="000000"/>
        </w:rPr>
        <w:t>, des medizinischen Fachpersonals</w:t>
      </w:r>
      <w:r w:rsidRPr="004F5FB4">
        <w:rPr>
          <w:color w:val="000000"/>
        </w:rPr>
        <w:t xml:space="preserve"> oder Apothekers und im Einklang mit vor Ort geltenden Gesundheits- und Sicherheitsvorschriften.</w:t>
      </w:r>
    </w:p>
    <w:p w14:paraId="048515E6" w14:textId="77777777" w:rsidR="00CC00FF" w:rsidRPr="004F5FB4" w:rsidRDefault="00CC00FF" w:rsidP="00982118">
      <w:pPr>
        <w:jc w:val="center"/>
        <w:rPr>
          <w:color w:val="000000"/>
        </w:rPr>
      </w:pPr>
    </w:p>
    <w:p w14:paraId="00A5C43E" w14:textId="77777777" w:rsidR="00CC00FF" w:rsidRPr="004F5FB4" w:rsidRDefault="00CC00FF" w:rsidP="00982118">
      <w:pPr>
        <w:jc w:val="center"/>
        <w:rPr>
          <w:color w:val="000000"/>
        </w:rPr>
      </w:pPr>
    </w:p>
    <w:p w14:paraId="72662E06" w14:textId="50B63C12" w:rsidR="00CC00FF" w:rsidRPr="004F5FB4" w:rsidRDefault="00032CD3" w:rsidP="00982118">
      <w:pPr>
        <w:jc w:val="center"/>
        <w:rPr>
          <w:color w:val="000000"/>
        </w:rPr>
      </w:pPr>
      <w:r w:rsidRPr="004F5FB4">
        <w:rPr>
          <w:noProof/>
          <w:color w:val="000000"/>
          <w:lang w:eastAsia="de-DE"/>
        </w:rPr>
        <mc:AlternateContent>
          <mc:Choice Requires="wps">
            <w:drawing>
              <wp:anchor distT="0" distB="0" distL="114300" distR="114300" simplePos="0" relativeHeight="251658309" behindDoc="0" locked="0" layoutInCell="1" allowOverlap="1" wp14:anchorId="5A43AFCE" wp14:editId="469B591B">
                <wp:simplePos x="0" y="0"/>
                <wp:positionH relativeFrom="column">
                  <wp:posOffset>1974850</wp:posOffset>
                </wp:positionH>
                <wp:positionV relativeFrom="paragraph">
                  <wp:posOffset>80645</wp:posOffset>
                </wp:positionV>
                <wp:extent cx="1472565" cy="285750"/>
                <wp:effectExtent l="3175" t="4445" r="635" b="0"/>
                <wp:wrapNone/>
                <wp:docPr id="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A189D"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Nach der Injektion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3AFCE" id="Text Box 192" o:spid="_x0000_s1132" type="#_x0000_t202" style="position:absolute;left:0;text-align:left;margin-left:155.5pt;margin-top:6.35pt;width:115.95pt;height:22.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" fillcolor="#656666" stroked="f">
                <v:textbox>
                  <w:txbxContent>
                    <w:p w14:paraId="0D6A189D" w14:textId="77777777" w:rsidR="008F3710" w:rsidRPr="009A1F4C" w:rsidRDefault="008F3710" w:rsidP="001A44B4">
                      <w:pPr>
                        <w:rPr>
                          <w:rFonts w:ascii="Arial" w:hAnsi="Arial" w:cs="Arial"/>
                          <w:b/>
                          <w:bCs/>
                          <w:color w:val="FFFFFF"/>
                          <w:sz w:val="20"/>
                          <w:szCs w:val="18"/>
                        </w:rPr>
                      </w:pPr>
                      <w:r>
                        <w:rPr>
                          <w:rFonts w:ascii="Arial" w:hAnsi="Arial" w:cs="Arial"/>
                          <w:b/>
                          <w:bCs/>
                          <w:color w:val="FFFFFF"/>
                          <w:sz w:val="20"/>
                          <w:szCs w:val="18"/>
                        </w:rPr>
                        <w:t>Nach der Injektion</w:t>
                      </w:r>
                    </w:p>
                  </w:txbxContent>
                </v:textbox>
              </v:shape>
            </w:pict>
          </mc:Fallback>
        </mc:AlternateContent>
      </w:r>
      <w:r w:rsidRPr="004F5FB4">
        <w:rPr>
          <w:noProof/>
          <w:color w:val="000000"/>
        </w:rPr>
        <w:drawing>
          <wp:inline distT="0" distB="0" distL="0" distR="0" wp14:anchorId="28B50ADB" wp14:editId="22AF523A">
            <wp:extent cx="3000375" cy="2466975"/>
            <wp:effectExtent l="0" t="0" r="0" b="0"/>
            <wp:docPr id="7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00375" cy="2466975"/>
                    </a:xfrm>
                    <a:prstGeom prst="rect">
                      <a:avLst/>
                    </a:prstGeom>
                    <a:noFill/>
                    <a:ln>
                      <a:noFill/>
                    </a:ln>
                  </pic:spPr>
                </pic:pic>
              </a:graphicData>
            </a:graphic>
          </wp:inline>
        </w:drawing>
      </w:r>
    </w:p>
    <w:p w14:paraId="5500A287" w14:textId="77777777" w:rsidR="00CC00FF" w:rsidRPr="004F5FB4" w:rsidRDefault="00CC00FF" w:rsidP="00982118">
      <w:pPr>
        <w:jc w:val="center"/>
        <w:rPr>
          <w:color w:val="000000"/>
          <w:lang w:val="en-GB"/>
        </w:rPr>
      </w:pPr>
    </w:p>
    <w:p w14:paraId="1467EE49" w14:textId="77777777" w:rsidR="00CC00FF" w:rsidRPr="004F5FB4" w:rsidRDefault="00CC00FF" w:rsidP="00982118">
      <w:pPr>
        <w:jc w:val="center"/>
        <w:rPr>
          <w:color w:val="000000"/>
          <w:lang w:val="en-GB"/>
        </w:rPr>
      </w:pPr>
    </w:p>
    <w:p w14:paraId="722D26CE"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 xml:space="preserve">Prüfen Sie die Injektionsstelle sorgfältig. Wenn Blut austritt, drücken Sie ein sauberes Stück Gaze oder einen Wattebausch für einige Sekunden leicht auf die Haut. </w:t>
      </w:r>
    </w:p>
    <w:p w14:paraId="4936A732" w14:textId="77777777" w:rsidR="00CC00FF" w:rsidRPr="004F5FB4" w:rsidRDefault="00CC00FF" w:rsidP="00E23160">
      <w:pPr>
        <w:pStyle w:val="ListParagraph"/>
        <w:numPr>
          <w:ilvl w:val="0"/>
          <w:numId w:val="35"/>
        </w:numPr>
        <w:ind w:left="562" w:hanging="562"/>
        <w:contextualSpacing/>
        <w:rPr>
          <w:color w:val="000000"/>
        </w:rPr>
      </w:pPr>
      <w:r w:rsidRPr="004F5FB4">
        <w:rPr>
          <w:color w:val="000000"/>
        </w:rPr>
        <w:t xml:space="preserve">Einstichstelle </w:t>
      </w:r>
      <w:r w:rsidRPr="004F5FB4">
        <w:rPr>
          <w:b/>
          <w:bCs/>
          <w:color w:val="000000"/>
        </w:rPr>
        <w:t xml:space="preserve">nicht </w:t>
      </w:r>
      <w:r w:rsidRPr="004F5FB4">
        <w:rPr>
          <w:color w:val="000000"/>
        </w:rPr>
        <w:t>reiben.</w:t>
      </w:r>
    </w:p>
    <w:p w14:paraId="50B8F477" w14:textId="77777777" w:rsidR="00CC00FF" w:rsidRPr="004F5FB4" w:rsidRDefault="00CC00FF" w:rsidP="00E23160">
      <w:pPr>
        <w:pStyle w:val="ListParagraph"/>
        <w:ind w:left="562"/>
        <w:contextualSpacing/>
        <w:rPr>
          <w:color w:val="000000"/>
        </w:rPr>
      </w:pPr>
      <w:r w:rsidRPr="004F5FB4">
        <w:rPr>
          <w:b/>
          <w:color w:val="000000"/>
        </w:rPr>
        <w:t xml:space="preserve">Hinweis: </w:t>
      </w:r>
      <w:r w:rsidRPr="004F5FB4">
        <w:rPr>
          <w:color w:val="000000"/>
        </w:rPr>
        <w:t>Bewahren Sie nicht verwendete Pens in der Original-Faltschachtel im Kühlschrank auf.</w:t>
      </w:r>
    </w:p>
    <w:p w14:paraId="6287681F" w14:textId="77777777" w:rsidR="00CC00FF" w:rsidRPr="004F5FB4" w:rsidRDefault="00CC00FF" w:rsidP="00E03946">
      <w:pPr>
        <w:pStyle w:val="ListParagraph"/>
        <w:ind w:left="0"/>
        <w:rPr>
          <w:color w:val="000000"/>
        </w:rPr>
      </w:pPr>
    </w:p>
    <w:p w14:paraId="7FB266DE" w14:textId="77777777" w:rsidR="00CC00FF" w:rsidRPr="004F5FB4" w:rsidRDefault="00CC00FF" w:rsidP="00E03946">
      <w:pPr>
        <w:pStyle w:val="ListParagraph"/>
        <w:ind w:left="0"/>
        <w:rPr>
          <w:color w:val="000000"/>
        </w:rPr>
      </w:pPr>
    </w:p>
    <w:p w14:paraId="7A214B48" w14:textId="77777777" w:rsidR="003E58A8" w:rsidRPr="004F5FB4" w:rsidRDefault="003E58A8" w:rsidP="00982118">
      <w:pPr>
        <w:rPr>
          <w:color w:val="000000"/>
        </w:rPr>
      </w:pPr>
      <w:r w:rsidRPr="004F5FB4">
        <w:rPr>
          <w:color w:val="000000"/>
        </w:rPr>
        <w:t>Siehe auch</w:t>
      </w:r>
    </w:p>
    <w:p w14:paraId="6A51F414" w14:textId="449700EF" w:rsidR="00657C0C" w:rsidRPr="00F60620" w:rsidRDefault="003E58A8" w:rsidP="00982118">
      <w:pPr>
        <w:rPr>
          <w:color w:val="000000"/>
        </w:rPr>
      </w:pPr>
      <w:r w:rsidRPr="004F5FB4">
        <w:rPr>
          <w:color w:val="000000"/>
        </w:rPr>
        <w:t>Gebrauchsinformation: Information für Patienten</w:t>
      </w:r>
    </w:p>
    <w:sectPr w:rsidR="00657C0C" w:rsidRPr="00F60620" w:rsidSect="00A242C3">
      <w:footerReference w:type="default" r:id="rId61"/>
      <w:pgSz w:w="11909" w:h="16834"/>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6B41" w14:textId="77777777" w:rsidR="00EB5913" w:rsidRDefault="00EB5913" w:rsidP="004B6804">
      <w:r>
        <w:separator/>
      </w:r>
    </w:p>
  </w:endnote>
  <w:endnote w:type="continuationSeparator" w:id="0">
    <w:p w14:paraId="001A82D1" w14:textId="77777777" w:rsidR="00EB5913" w:rsidRDefault="00EB5913" w:rsidP="004B6804">
      <w:r>
        <w:continuationSeparator/>
      </w:r>
    </w:p>
  </w:endnote>
  <w:endnote w:type="continuationNotice" w:id="1">
    <w:p w14:paraId="24F04322" w14:textId="77777777" w:rsidR="00EB5913" w:rsidRDefault="00EB5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C3C5" w14:textId="77777777" w:rsidR="008F3710" w:rsidRPr="00687087" w:rsidRDefault="008F3710" w:rsidP="00687087">
    <w:pPr>
      <w:pStyle w:val="Footer"/>
      <w:jc w:val="center"/>
      <w:rPr>
        <w:rFonts w:ascii="Arial" w:hAnsi="Arial" w:cs="Arial"/>
        <w:color w:val="000000"/>
        <w:sz w:val="16"/>
      </w:rPr>
    </w:pPr>
    <w:r w:rsidRPr="00687087">
      <w:rPr>
        <w:rFonts w:ascii="Arial" w:hAnsi="Arial" w:cs="Arial"/>
        <w:color w:val="000000"/>
        <w:sz w:val="16"/>
      </w:rPr>
      <w:fldChar w:fldCharType="begin"/>
    </w:r>
    <w:r w:rsidRPr="00687087">
      <w:rPr>
        <w:rFonts w:ascii="Arial" w:hAnsi="Arial" w:cs="Arial"/>
        <w:color w:val="000000"/>
        <w:sz w:val="16"/>
      </w:rPr>
      <w:instrText xml:space="preserve"> PAGE   \* MERGEFORMAT </w:instrText>
    </w:r>
    <w:r w:rsidRPr="00687087">
      <w:rPr>
        <w:rFonts w:ascii="Arial" w:hAnsi="Arial" w:cs="Arial"/>
        <w:color w:val="000000"/>
        <w:sz w:val="16"/>
      </w:rPr>
      <w:fldChar w:fldCharType="separate"/>
    </w:r>
    <w:r>
      <w:rPr>
        <w:rFonts w:ascii="Arial" w:hAnsi="Arial" w:cs="Arial"/>
        <w:noProof/>
        <w:color w:val="000000"/>
        <w:sz w:val="16"/>
      </w:rPr>
      <w:t>286</w:t>
    </w:r>
    <w:r w:rsidRPr="00687087">
      <w:rP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C8FB" w14:textId="77777777" w:rsidR="00EB5913" w:rsidRDefault="00EB5913" w:rsidP="004B6804">
      <w:r>
        <w:separator/>
      </w:r>
    </w:p>
  </w:footnote>
  <w:footnote w:type="continuationSeparator" w:id="0">
    <w:p w14:paraId="329E4AF3" w14:textId="77777777" w:rsidR="00EB5913" w:rsidRDefault="00EB5913" w:rsidP="004B6804">
      <w:r>
        <w:continuationSeparator/>
      </w:r>
    </w:p>
  </w:footnote>
  <w:footnote w:type="continuationNotice" w:id="1">
    <w:p w14:paraId="1C274803" w14:textId="77777777" w:rsidR="00EB5913" w:rsidRDefault="00EB59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6117604" o:spid="_x0000_i1181" type="#_x0000_t75" style="width:24.45pt;height:21.75pt;visibility:visible;mso-wrap-style:square" o:bullet="t">
        <v:imagedata r:id="rId1" o:title=""/>
      </v:shape>
    </w:pict>
  </w:numPicBullet>
  <w:numPicBullet w:numPicBulletId="1">
    <w:pict>
      <v:shape id="Picture 1185195983" o:spid="_x0000_i1182" type="#_x0000_t75" style="width:15.6pt;height:13.6pt;visibility:visible;mso-wrap-style:square" o:bullet="t">
        <v:imagedata r:id="rId2" o:title=""/>
      </v:shape>
    </w:pict>
  </w:numPicBullet>
  <w:abstractNum w:abstractNumId="0" w15:restartNumberingAfterBreak="0">
    <w:nsid w:val="00000402"/>
    <w:multiLevelType w:val="multilevel"/>
    <w:tmpl w:val="B582C232"/>
    <w:lvl w:ilvl="0">
      <w:start w:val="1"/>
      <w:numFmt w:val="decimal"/>
      <w:lvlText w:val="%1."/>
      <w:lvlJc w:val="left"/>
      <w:pPr>
        <w:ind w:left="111" w:hanging="562"/>
      </w:pPr>
      <w:rPr>
        <w:rFonts w:ascii="Times New Roman Bold" w:hAnsi="Times New Roman Bold" w:cs="Times New Roman"/>
        <w:b/>
        <w:bCs/>
        <w:w w:val="100"/>
        <w:sz w:val="22"/>
        <w:szCs w:val="22"/>
      </w:rPr>
    </w:lvl>
    <w:lvl w:ilvl="1">
      <w:start w:val="1"/>
      <w:numFmt w:val="decimal"/>
      <w:lvlText w:val="%1.%2"/>
      <w:lvlJc w:val="left"/>
      <w:pPr>
        <w:ind w:left="672" w:hanging="562"/>
      </w:pPr>
      <w:rPr>
        <w:rFonts w:ascii="Times New Roman Bold" w:hAnsi="Times New Roman Bold" w:cs="Times New Roman"/>
        <w:b/>
        <w:bCs/>
        <w:w w:val="100"/>
        <w:sz w:val="22"/>
        <w:szCs w:val="22"/>
      </w:rPr>
    </w:lvl>
    <w:lvl w:ilvl="2">
      <w:numFmt w:val="bullet"/>
      <w:lvlText w:val="•"/>
      <w:lvlJc w:val="left"/>
      <w:pPr>
        <w:ind w:left="672" w:hanging="562"/>
      </w:pPr>
    </w:lvl>
    <w:lvl w:ilvl="3">
      <w:numFmt w:val="bullet"/>
      <w:lvlText w:val="•"/>
      <w:lvlJc w:val="left"/>
      <w:pPr>
        <w:ind w:left="672" w:hanging="562"/>
      </w:pPr>
    </w:lvl>
    <w:lvl w:ilvl="4">
      <w:numFmt w:val="bullet"/>
      <w:lvlText w:val="•"/>
      <w:lvlJc w:val="left"/>
      <w:pPr>
        <w:ind w:left="2673" w:hanging="562"/>
      </w:pPr>
    </w:lvl>
    <w:lvl w:ilvl="5">
      <w:numFmt w:val="bullet"/>
      <w:lvlText w:val="•"/>
      <w:lvlJc w:val="left"/>
      <w:pPr>
        <w:ind w:left="3821" w:hanging="562"/>
      </w:pPr>
    </w:lvl>
    <w:lvl w:ilvl="6">
      <w:numFmt w:val="bullet"/>
      <w:lvlText w:val="•"/>
      <w:lvlJc w:val="left"/>
      <w:pPr>
        <w:ind w:left="4968" w:hanging="562"/>
      </w:pPr>
    </w:lvl>
    <w:lvl w:ilvl="7">
      <w:numFmt w:val="bullet"/>
      <w:lvlText w:val="•"/>
      <w:lvlJc w:val="left"/>
      <w:pPr>
        <w:ind w:left="6116" w:hanging="562"/>
      </w:pPr>
    </w:lvl>
    <w:lvl w:ilvl="8">
      <w:numFmt w:val="bullet"/>
      <w:lvlText w:val="•"/>
      <w:lvlJc w:val="left"/>
      <w:pPr>
        <w:ind w:left="7264" w:hanging="562"/>
      </w:pPr>
    </w:lvl>
  </w:abstractNum>
  <w:abstractNum w:abstractNumId="1" w15:restartNumberingAfterBreak="0">
    <w:nsid w:val="00000405"/>
    <w:multiLevelType w:val="multilevel"/>
    <w:tmpl w:val="00000888"/>
    <w:lvl w:ilvl="0">
      <w:numFmt w:val="bullet"/>
      <w:lvlText w:val=""/>
      <w:lvlJc w:val="left"/>
      <w:pPr>
        <w:ind w:left="470" w:hanging="540"/>
      </w:pPr>
      <w:rPr>
        <w:rFonts w:ascii="Symbol" w:hAnsi="Symbol" w:cs="Symbol"/>
        <w:b w:val="0"/>
        <w:bCs w:val="0"/>
        <w:w w:val="99"/>
        <w:sz w:val="22"/>
        <w:szCs w:val="22"/>
      </w:rPr>
    </w:lvl>
    <w:lvl w:ilvl="1">
      <w:numFmt w:val="bullet"/>
      <w:lvlText w:val=""/>
      <w:lvlJc w:val="left"/>
      <w:pPr>
        <w:ind w:left="111" w:hanging="360"/>
      </w:pPr>
      <w:rPr>
        <w:rFonts w:ascii="Symbol" w:hAnsi="Symbol" w:cs="Symbol"/>
        <w:b w:val="0"/>
        <w:bCs w:val="0"/>
        <w:w w:val="99"/>
        <w:sz w:val="22"/>
        <w:szCs w:val="22"/>
      </w:rPr>
    </w:lvl>
    <w:lvl w:ilvl="2">
      <w:numFmt w:val="bullet"/>
      <w:lvlText w:val="•"/>
      <w:lvlJc w:val="left"/>
      <w:pPr>
        <w:ind w:left="470" w:hanging="360"/>
      </w:pPr>
    </w:lvl>
    <w:lvl w:ilvl="3">
      <w:numFmt w:val="bullet"/>
      <w:lvlText w:val="•"/>
      <w:lvlJc w:val="left"/>
      <w:pPr>
        <w:ind w:left="651" w:hanging="360"/>
      </w:pPr>
    </w:lvl>
    <w:lvl w:ilvl="4">
      <w:numFmt w:val="bullet"/>
      <w:lvlText w:val="•"/>
      <w:lvlJc w:val="left"/>
      <w:pPr>
        <w:ind w:left="678" w:hanging="360"/>
      </w:pPr>
    </w:lvl>
    <w:lvl w:ilvl="5">
      <w:numFmt w:val="bullet"/>
      <w:lvlText w:val="•"/>
      <w:lvlJc w:val="left"/>
      <w:pPr>
        <w:ind w:left="740" w:hanging="360"/>
      </w:pPr>
    </w:lvl>
    <w:lvl w:ilvl="6">
      <w:numFmt w:val="bullet"/>
      <w:lvlText w:val="•"/>
      <w:lvlJc w:val="left"/>
      <w:pPr>
        <w:ind w:left="743" w:hanging="360"/>
      </w:pPr>
    </w:lvl>
    <w:lvl w:ilvl="7">
      <w:numFmt w:val="bullet"/>
      <w:lvlText w:val="•"/>
      <w:lvlJc w:val="left"/>
      <w:pPr>
        <w:ind w:left="831" w:hanging="360"/>
      </w:pPr>
    </w:lvl>
    <w:lvl w:ilvl="8">
      <w:numFmt w:val="bullet"/>
      <w:lvlText w:val="•"/>
      <w:lvlJc w:val="left"/>
      <w:pPr>
        <w:ind w:left="831" w:hanging="360"/>
      </w:pPr>
    </w:lvl>
  </w:abstractNum>
  <w:abstractNum w:abstractNumId="2" w15:restartNumberingAfterBreak="0">
    <w:nsid w:val="00000406"/>
    <w:multiLevelType w:val="multilevel"/>
    <w:tmpl w:val="57C4786A"/>
    <w:lvl w:ilvl="0">
      <w:start w:val="1"/>
      <w:numFmt w:val="lowerLetter"/>
      <w:lvlText w:val="%1."/>
      <w:lvlJc w:val="left"/>
      <w:pPr>
        <w:ind w:left="462" w:hanging="330"/>
      </w:pPr>
      <w:rPr>
        <w:rFonts w:ascii="Times New Roman" w:hAnsi="Times New Roman" w:cs="Times New Roman"/>
        <w:b w:val="0"/>
        <w:bCs w:val="0"/>
        <w:spacing w:val="0"/>
        <w:w w:val="100"/>
        <w:sz w:val="22"/>
        <w:szCs w:val="22"/>
      </w:rPr>
    </w:lvl>
    <w:lvl w:ilvl="1">
      <w:numFmt w:val="bullet"/>
      <w:lvlText w:val="•"/>
      <w:lvlJc w:val="left"/>
      <w:pPr>
        <w:ind w:left="1338" w:hanging="330"/>
      </w:pPr>
    </w:lvl>
    <w:lvl w:ilvl="2">
      <w:numFmt w:val="bullet"/>
      <w:lvlText w:val="•"/>
      <w:lvlJc w:val="left"/>
      <w:pPr>
        <w:ind w:left="2215" w:hanging="330"/>
      </w:pPr>
    </w:lvl>
    <w:lvl w:ilvl="3">
      <w:numFmt w:val="bullet"/>
      <w:lvlText w:val="•"/>
      <w:lvlJc w:val="left"/>
      <w:pPr>
        <w:ind w:left="3091" w:hanging="330"/>
      </w:pPr>
    </w:lvl>
    <w:lvl w:ilvl="4">
      <w:numFmt w:val="bullet"/>
      <w:lvlText w:val="•"/>
      <w:lvlJc w:val="left"/>
      <w:pPr>
        <w:ind w:left="3968" w:hanging="330"/>
      </w:pPr>
    </w:lvl>
    <w:lvl w:ilvl="5">
      <w:numFmt w:val="bullet"/>
      <w:lvlText w:val="•"/>
      <w:lvlJc w:val="left"/>
      <w:pPr>
        <w:ind w:left="4844" w:hanging="330"/>
      </w:pPr>
    </w:lvl>
    <w:lvl w:ilvl="6">
      <w:numFmt w:val="bullet"/>
      <w:lvlText w:val="•"/>
      <w:lvlJc w:val="left"/>
      <w:pPr>
        <w:ind w:left="5721" w:hanging="330"/>
      </w:pPr>
    </w:lvl>
    <w:lvl w:ilvl="7">
      <w:numFmt w:val="bullet"/>
      <w:lvlText w:val="•"/>
      <w:lvlJc w:val="left"/>
      <w:pPr>
        <w:ind w:left="6597" w:hanging="330"/>
      </w:pPr>
    </w:lvl>
    <w:lvl w:ilvl="8">
      <w:numFmt w:val="bullet"/>
      <w:lvlText w:val="•"/>
      <w:lvlJc w:val="left"/>
      <w:pPr>
        <w:ind w:left="7474" w:hanging="330"/>
      </w:pPr>
    </w:lvl>
  </w:abstractNum>
  <w:abstractNum w:abstractNumId="3" w15:restartNumberingAfterBreak="0">
    <w:nsid w:val="00000407"/>
    <w:multiLevelType w:val="multilevel"/>
    <w:tmpl w:val="0000088A"/>
    <w:lvl w:ilvl="0">
      <w:numFmt w:val="bullet"/>
      <w:lvlText w:val=""/>
      <w:lvlJc w:val="left"/>
      <w:pPr>
        <w:ind w:left="346" w:hanging="228"/>
      </w:pPr>
      <w:rPr>
        <w:rFonts w:ascii="Symbol" w:hAnsi="Symbol" w:cs="Symbol"/>
        <w:b w:val="0"/>
        <w:bCs w:val="0"/>
        <w:sz w:val="22"/>
        <w:szCs w:val="22"/>
      </w:rPr>
    </w:lvl>
    <w:lvl w:ilvl="1">
      <w:numFmt w:val="bullet"/>
      <w:lvlText w:val="•"/>
      <w:lvlJc w:val="left"/>
      <w:pPr>
        <w:ind w:left="1231" w:hanging="228"/>
      </w:pPr>
    </w:lvl>
    <w:lvl w:ilvl="2">
      <w:numFmt w:val="bullet"/>
      <w:lvlText w:val="•"/>
      <w:lvlJc w:val="left"/>
      <w:pPr>
        <w:ind w:left="2117" w:hanging="228"/>
      </w:pPr>
    </w:lvl>
    <w:lvl w:ilvl="3">
      <w:numFmt w:val="bullet"/>
      <w:lvlText w:val="•"/>
      <w:lvlJc w:val="left"/>
      <w:pPr>
        <w:ind w:left="3002" w:hanging="228"/>
      </w:pPr>
    </w:lvl>
    <w:lvl w:ilvl="4">
      <w:numFmt w:val="bullet"/>
      <w:lvlText w:val="•"/>
      <w:lvlJc w:val="left"/>
      <w:pPr>
        <w:ind w:left="3888" w:hanging="228"/>
      </w:pPr>
    </w:lvl>
    <w:lvl w:ilvl="5">
      <w:numFmt w:val="bullet"/>
      <w:lvlText w:val="•"/>
      <w:lvlJc w:val="left"/>
      <w:pPr>
        <w:ind w:left="4773" w:hanging="228"/>
      </w:pPr>
    </w:lvl>
    <w:lvl w:ilvl="6">
      <w:numFmt w:val="bullet"/>
      <w:lvlText w:val="•"/>
      <w:lvlJc w:val="left"/>
      <w:pPr>
        <w:ind w:left="5659" w:hanging="228"/>
      </w:pPr>
    </w:lvl>
    <w:lvl w:ilvl="7">
      <w:numFmt w:val="bullet"/>
      <w:lvlText w:val="•"/>
      <w:lvlJc w:val="left"/>
      <w:pPr>
        <w:ind w:left="6544" w:hanging="228"/>
      </w:pPr>
    </w:lvl>
    <w:lvl w:ilvl="8">
      <w:numFmt w:val="bullet"/>
      <w:lvlText w:val="•"/>
      <w:lvlJc w:val="left"/>
      <w:pPr>
        <w:ind w:left="7429" w:hanging="228"/>
      </w:pPr>
    </w:lvl>
  </w:abstractNum>
  <w:abstractNum w:abstractNumId="4" w15:restartNumberingAfterBreak="0">
    <w:nsid w:val="0000041B"/>
    <w:multiLevelType w:val="multilevel"/>
    <w:tmpl w:val="0000089E"/>
    <w:lvl w:ilvl="0">
      <w:numFmt w:val="bullet"/>
      <w:lvlText w:val=""/>
      <w:lvlJc w:val="left"/>
      <w:pPr>
        <w:ind w:left="678" w:hanging="568"/>
      </w:pPr>
      <w:rPr>
        <w:rFonts w:ascii="Symbol" w:hAnsi="Symbol" w:cs="Symbol"/>
        <w:b w:val="0"/>
        <w:bCs w:val="0"/>
        <w:w w:val="99"/>
        <w:sz w:val="22"/>
        <w:szCs w:val="22"/>
      </w:rPr>
    </w:lvl>
    <w:lvl w:ilvl="1">
      <w:numFmt w:val="bullet"/>
      <w:lvlText w:val="•"/>
      <w:lvlJc w:val="left"/>
      <w:pPr>
        <w:ind w:left="1568"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5" w15:restartNumberingAfterBreak="0">
    <w:nsid w:val="0000041C"/>
    <w:multiLevelType w:val="multilevel"/>
    <w:tmpl w:val="D9DC67D0"/>
    <w:lvl w:ilvl="0">
      <w:start w:val="1"/>
      <w:numFmt w:val="decimal"/>
      <w:lvlText w:val="%1."/>
      <w:lvlJc w:val="left"/>
      <w:pPr>
        <w:ind w:left="678" w:hanging="568"/>
      </w:pPr>
      <w:rPr>
        <w:rFonts w:ascii="Times New Roman" w:hAnsi="Times New Roman" w:cs="Times New Roman"/>
        <w:b w:val="0"/>
        <w:bCs w:val="0"/>
        <w:w w:val="99"/>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6" w15:restartNumberingAfterBreak="0">
    <w:nsid w:val="0000041D"/>
    <w:multiLevelType w:val="multilevel"/>
    <w:tmpl w:val="EC701754"/>
    <w:lvl w:ilvl="0">
      <w:start w:val="6"/>
      <w:numFmt w:val="decimal"/>
      <w:lvlText w:val="%1."/>
      <w:lvlJc w:val="left"/>
      <w:pPr>
        <w:ind w:left="678" w:hanging="568"/>
      </w:pPr>
      <w:rPr>
        <w:rFonts w:ascii="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7" w15:restartNumberingAfterBreak="0">
    <w:nsid w:val="0000041E"/>
    <w:multiLevelType w:val="multilevel"/>
    <w:tmpl w:val="000008A1"/>
    <w:lvl w:ilvl="0">
      <w:start w:val="1"/>
      <w:numFmt w:val="decimal"/>
      <w:lvlText w:val="%1."/>
      <w:lvlJc w:val="left"/>
      <w:pPr>
        <w:ind w:left="111" w:hanging="562"/>
      </w:pPr>
      <w:rPr>
        <w:rFonts w:ascii="Times New Roman" w:hAnsi="Times New Roman" w:cs="Times New Roman"/>
        <w:b/>
        <w:bCs/>
        <w:w w:val="99"/>
        <w:sz w:val="22"/>
        <w:szCs w:val="22"/>
      </w:rPr>
    </w:lvl>
    <w:lvl w:ilvl="1">
      <w:numFmt w:val="bullet"/>
      <w:lvlText w:val=""/>
      <w:lvlJc w:val="left"/>
      <w:pPr>
        <w:ind w:left="831" w:hanging="360"/>
      </w:pPr>
      <w:rPr>
        <w:rFonts w:ascii="Symbol" w:hAnsi="Symbol" w:cs="Symbol"/>
        <w:b w:val="0"/>
        <w:bCs w:val="0"/>
        <w:w w:val="99"/>
        <w:sz w:val="22"/>
        <w:szCs w:val="22"/>
      </w:rPr>
    </w:lvl>
    <w:lvl w:ilvl="2">
      <w:numFmt w:val="bullet"/>
      <w:lvlText w:val=""/>
      <w:lvlJc w:val="left"/>
      <w:pPr>
        <w:ind w:left="1550" w:hanging="360"/>
      </w:pPr>
      <w:rPr>
        <w:rFonts w:ascii="Symbol" w:hAnsi="Symbol" w:cs="Symbol"/>
        <w:b w:val="0"/>
        <w:bCs w:val="0"/>
        <w:w w:val="99"/>
        <w:sz w:val="22"/>
        <w:szCs w:val="22"/>
      </w:rPr>
    </w:lvl>
    <w:lvl w:ilvl="3">
      <w:numFmt w:val="bullet"/>
      <w:lvlText w:val="•"/>
      <w:lvlJc w:val="left"/>
      <w:pPr>
        <w:ind w:left="831" w:hanging="360"/>
      </w:pPr>
    </w:lvl>
    <w:lvl w:ilvl="4">
      <w:numFmt w:val="bullet"/>
      <w:lvlText w:val="•"/>
      <w:lvlJc w:val="left"/>
      <w:pPr>
        <w:ind w:left="931" w:hanging="360"/>
      </w:pPr>
    </w:lvl>
    <w:lvl w:ilvl="5">
      <w:numFmt w:val="bullet"/>
      <w:lvlText w:val="•"/>
      <w:lvlJc w:val="left"/>
      <w:pPr>
        <w:ind w:left="1550" w:hanging="360"/>
      </w:pPr>
    </w:lvl>
    <w:lvl w:ilvl="6">
      <w:numFmt w:val="bullet"/>
      <w:lvlText w:val="•"/>
      <w:lvlJc w:val="left"/>
      <w:pPr>
        <w:ind w:left="1551" w:hanging="360"/>
      </w:pPr>
    </w:lvl>
    <w:lvl w:ilvl="7">
      <w:numFmt w:val="bullet"/>
      <w:lvlText w:val="•"/>
      <w:lvlJc w:val="left"/>
      <w:pPr>
        <w:ind w:left="3538" w:hanging="360"/>
      </w:pPr>
    </w:lvl>
    <w:lvl w:ilvl="8">
      <w:numFmt w:val="bullet"/>
      <w:lvlText w:val="•"/>
      <w:lvlJc w:val="left"/>
      <w:pPr>
        <w:ind w:left="5525" w:hanging="360"/>
      </w:pPr>
    </w:lvl>
  </w:abstractNum>
  <w:abstractNum w:abstractNumId="8" w15:restartNumberingAfterBreak="0">
    <w:nsid w:val="004D361F"/>
    <w:multiLevelType w:val="hybridMultilevel"/>
    <w:tmpl w:val="5B7AEC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0706C54"/>
    <w:multiLevelType w:val="hybridMultilevel"/>
    <w:tmpl w:val="53A4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7A7768"/>
    <w:multiLevelType w:val="hybridMultilevel"/>
    <w:tmpl w:val="615457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0D21E02"/>
    <w:multiLevelType w:val="hybridMultilevel"/>
    <w:tmpl w:val="F3103F0E"/>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24A0FB1"/>
    <w:multiLevelType w:val="multilevel"/>
    <w:tmpl w:val="00000889"/>
    <w:lvl w:ilvl="0">
      <w:start w:val="1"/>
      <w:numFmt w:val="lowerLetter"/>
      <w:lvlText w:val="%1."/>
      <w:lvlJc w:val="left"/>
      <w:pPr>
        <w:ind w:left="462" w:hanging="330"/>
      </w:pPr>
      <w:rPr>
        <w:rFonts w:ascii="Times New Roman" w:hAnsi="Times New Roman" w:cs="Times New Roman"/>
        <w:b w:val="0"/>
        <w:bCs w:val="0"/>
        <w:spacing w:val="-1"/>
        <w:w w:val="99"/>
        <w:sz w:val="22"/>
        <w:szCs w:val="22"/>
      </w:rPr>
    </w:lvl>
    <w:lvl w:ilvl="1">
      <w:numFmt w:val="bullet"/>
      <w:lvlText w:val="•"/>
      <w:lvlJc w:val="left"/>
      <w:pPr>
        <w:ind w:left="1338" w:hanging="330"/>
      </w:pPr>
    </w:lvl>
    <w:lvl w:ilvl="2">
      <w:numFmt w:val="bullet"/>
      <w:lvlText w:val="•"/>
      <w:lvlJc w:val="left"/>
      <w:pPr>
        <w:ind w:left="2215" w:hanging="330"/>
      </w:pPr>
    </w:lvl>
    <w:lvl w:ilvl="3">
      <w:numFmt w:val="bullet"/>
      <w:lvlText w:val="•"/>
      <w:lvlJc w:val="left"/>
      <w:pPr>
        <w:ind w:left="3091" w:hanging="330"/>
      </w:pPr>
    </w:lvl>
    <w:lvl w:ilvl="4">
      <w:numFmt w:val="bullet"/>
      <w:lvlText w:val="•"/>
      <w:lvlJc w:val="left"/>
      <w:pPr>
        <w:ind w:left="3968" w:hanging="330"/>
      </w:pPr>
    </w:lvl>
    <w:lvl w:ilvl="5">
      <w:numFmt w:val="bullet"/>
      <w:lvlText w:val="•"/>
      <w:lvlJc w:val="left"/>
      <w:pPr>
        <w:ind w:left="4844" w:hanging="330"/>
      </w:pPr>
    </w:lvl>
    <w:lvl w:ilvl="6">
      <w:numFmt w:val="bullet"/>
      <w:lvlText w:val="•"/>
      <w:lvlJc w:val="left"/>
      <w:pPr>
        <w:ind w:left="5721" w:hanging="330"/>
      </w:pPr>
    </w:lvl>
    <w:lvl w:ilvl="7">
      <w:numFmt w:val="bullet"/>
      <w:lvlText w:val="•"/>
      <w:lvlJc w:val="left"/>
      <w:pPr>
        <w:ind w:left="6597" w:hanging="330"/>
      </w:pPr>
    </w:lvl>
    <w:lvl w:ilvl="8">
      <w:numFmt w:val="bullet"/>
      <w:lvlText w:val="•"/>
      <w:lvlJc w:val="left"/>
      <w:pPr>
        <w:ind w:left="7474" w:hanging="330"/>
      </w:pPr>
    </w:lvl>
  </w:abstractNum>
  <w:abstractNum w:abstractNumId="13" w15:restartNumberingAfterBreak="0">
    <w:nsid w:val="039216A6"/>
    <w:multiLevelType w:val="hybridMultilevel"/>
    <w:tmpl w:val="1D2A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B40CC6"/>
    <w:multiLevelType w:val="hybridMultilevel"/>
    <w:tmpl w:val="6EC8469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5303D94"/>
    <w:multiLevelType w:val="hybridMultilevel"/>
    <w:tmpl w:val="2C065640"/>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53E443C"/>
    <w:multiLevelType w:val="hybridMultilevel"/>
    <w:tmpl w:val="DB7017D4"/>
    <w:lvl w:ilvl="0" w:tplc="53EE3348">
      <w:start w:val="1"/>
      <w:numFmt w:val="decimal"/>
      <w:lvlText w:val="%1"/>
      <w:lvlJc w:val="left"/>
      <w:pPr>
        <w:ind w:left="915" w:hanging="5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729555E"/>
    <w:multiLevelType w:val="hybridMultilevel"/>
    <w:tmpl w:val="6D1A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7420BD"/>
    <w:multiLevelType w:val="hybridMultilevel"/>
    <w:tmpl w:val="519643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1D6702"/>
    <w:multiLevelType w:val="hybridMultilevel"/>
    <w:tmpl w:val="1CBCB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090F2989"/>
    <w:multiLevelType w:val="hybridMultilevel"/>
    <w:tmpl w:val="1218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68077B"/>
    <w:multiLevelType w:val="hybridMultilevel"/>
    <w:tmpl w:val="65B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1C37C6"/>
    <w:multiLevelType w:val="hybridMultilevel"/>
    <w:tmpl w:val="DA58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E24C10"/>
    <w:multiLevelType w:val="hybridMultilevel"/>
    <w:tmpl w:val="BDE4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EE0E93"/>
    <w:multiLevelType w:val="hybridMultilevel"/>
    <w:tmpl w:val="7D56BE66"/>
    <w:lvl w:ilvl="0" w:tplc="E2B28A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13E60F96"/>
    <w:multiLevelType w:val="hybridMultilevel"/>
    <w:tmpl w:val="84F42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614337C"/>
    <w:multiLevelType w:val="hybridMultilevel"/>
    <w:tmpl w:val="4BC2B648"/>
    <w:lvl w:ilvl="0" w:tplc="3B407AD2">
      <w:start w:val="1"/>
      <w:numFmt w:val="decimal"/>
      <w:lvlText w:val="%1"/>
      <w:lvlJc w:val="left"/>
      <w:pPr>
        <w:ind w:left="915" w:hanging="5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17AD6BC1"/>
    <w:multiLevelType w:val="hybridMultilevel"/>
    <w:tmpl w:val="EE0CEC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186163EA"/>
    <w:multiLevelType w:val="hybridMultilevel"/>
    <w:tmpl w:val="1B8E86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187909CD"/>
    <w:multiLevelType w:val="hybridMultilevel"/>
    <w:tmpl w:val="65EA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200F4B"/>
    <w:multiLevelType w:val="hybridMultilevel"/>
    <w:tmpl w:val="C0A4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276282"/>
    <w:multiLevelType w:val="hybridMultilevel"/>
    <w:tmpl w:val="A4780F8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1B4B42FD"/>
    <w:multiLevelType w:val="hybridMultilevel"/>
    <w:tmpl w:val="530C58CC"/>
    <w:lvl w:ilvl="0" w:tplc="E2B28A28">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B7929DD"/>
    <w:multiLevelType w:val="hybridMultilevel"/>
    <w:tmpl w:val="593CD0DC"/>
    <w:lvl w:ilvl="0" w:tplc="04070001">
      <w:start w:val="1"/>
      <w:numFmt w:val="bullet"/>
      <w:lvlText w:val=""/>
      <w:lvlJc w:val="left"/>
      <w:pPr>
        <w:ind w:left="1282" w:hanging="360"/>
      </w:pPr>
      <w:rPr>
        <w:rFonts w:ascii="Symbol" w:hAnsi="Symbol" w:hint="default"/>
      </w:rPr>
    </w:lvl>
    <w:lvl w:ilvl="1" w:tplc="04070003" w:tentative="1">
      <w:start w:val="1"/>
      <w:numFmt w:val="bullet"/>
      <w:lvlText w:val="o"/>
      <w:lvlJc w:val="left"/>
      <w:pPr>
        <w:ind w:left="2002" w:hanging="360"/>
      </w:pPr>
      <w:rPr>
        <w:rFonts w:ascii="Courier New" w:hAnsi="Courier New" w:cs="Courier New" w:hint="default"/>
      </w:rPr>
    </w:lvl>
    <w:lvl w:ilvl="2" w:tplc="04070005" w:tentative="1">
      <w:start w:val="1"/>
      <w:numFmt w:val="bullet"/>
      <w:lvlText w:val=""/>
      <w:lvlJc w:val="left"/>
      <w:pPr>
        <w:ind w:left="2722" w:hanging="360"/>
      </w:pPr>
      <w:rPr>
        <w:rFonts w:ascii="Wingdings" w:hAnsi="Wingdings" w:hint="default"/>
      </w:rPr>
    </w:lvl>
    <w:lvl w:ilvl="3" w:tplc="04070001" w:tentative="1">
      <w:start w:val="1"/>
      <w:numFmt w:val="bullet"/>
      <w:lvlText w:val=""/>
      <w:lvlJc w:val="left"/>
      <w:pPr>
        <w:ind w:left="3442" w:hanging="360"/>
      </w:pPr>
      <w:rPr>
        <w:rFonts w:ascii="Symbol" w:hAnsi="Symbol" w:hint="default"/>
      </w:rPr>
    </w:lvl>
    <w:lvl w:ilvl="4" w:tplc="04070003" w:tentative="1">
      <w:start w:val="1"/>
      <w:numFmt w:val="bullet"/>
      <w:lvlText w:val="o"/>
      <w:lvlJc w:val="left"/>
      <w:pPr>
        <w:ind w:left="4162" w:hanging="360"/>
      </w:pPr>
      <w:rPr>
        <w:rFonts w:ascii="Courier New" w:hAnsi="Courier New" w:cs="Courier New" w:hint="default"/>
      </w:rPr>
    </w:lvl>
    <w:lvl w:ilvl="5" w:tplc="04070005" w:tentative="1">
      <w:start w:val="1"/>
      <w:numFmt w:val="bullet"/>
      <w:lvlText w:val=""/>
      <w:lvlJc w:val="left"/>
      <w:pPr>
        <w:ind w:left="4882" w:hanging="360"/>
      </w:pPr>
      <w:rPr>
        <w:rFonts w:ascii="Wingdings" w:hAnsi="Wingdings" w:hint="default"/>
      </w:rPr>
    </w:lvl>
    <w:lvl w:ilvl="6" w:tplc="04070001" w:tentative="1">
      <w:start w:val="1"/>
      <w:numFmt w:val="bullet"/>
      <w:lvlText w:val=""/>
      <w:lvlJc w:val="left"/>
      <w:pPr>
        <w:ind w:left="5602" w:hanging="360"/>
      </w:pPr>
      <w:rPr>
        <w:rFonts w:ascii="Symbol" w:hAnsi="Symbol" w:hint="default"/>
      </w:rPr>
    </w:lvl>
    <w:lvl w:ilvl="7" w:tplc="04070003" w:tentative="1">
      <w:start w:val="1"/>
      <w:numFmt w:val="bullet"/>
      <w:lvlText w:val="o"/>
      <w:lvlJc w:val="left"/>
      <w:pPr>
        <w:ind w:left="6322" w:hanging="360"/>
      </w:pPr>
      <w:rPr>
        <w:rFonts w:ascii="Courier New" w:hAnsi="Courier New" w:cs="Courier New" w:hint="default"/>
      </w:rPr>
    </w:lvl>
    <w:lvl w:ilvl="8" w:tplc="04070005" w:tentative="1">
      <w:start w:val="1"/>
      <w:numFmt w:val="bullet"/>
      <w:lvlText w:val=""/>
      <w:lvlJc w:val="left"/>
      <w:pPr>
        <w:ind w:left="7042" w:hanging="360"/>
      </w:pPr>
      <w:rPr>
        <w:rFonts w:ascii="Wingdings" w:hAnsi="Wingdings" w:hint="default"/>
      </w:rPr>
    </w:lvl>
  </w:abstractNum>
  <w:abstractNum w:abstractNumId="34" w15:restartNumberingAfterBreak="0">
    <w:nsid w:val="1D7428C1"/>
    <w:multiLevelType w:val="hybridMultilevel"/>
    <w:tmpl w:val="37AC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0D4FB6"/>
    <w:multiLevelType w:val="hybridMultilevel"/>
    <w:tmpl w:val="A4B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3A35DBF"/>
    <w:multiLevelType w:val="hybridMultilevel"/>
    <w:tmpl w:val="EC96E23E"/>
    <w:lvl w:ilvl="0" w:tplc="57780D1A">
      <w:start w:val="1"/>
      <w:numFmt w:val="bullet"/>
      <w:lvlText w:val=""/>
      <w:lvlPicBulletId w:val="0"/>
      <w:lvlJc w:val="left"/>
      <w:pPr>
        <w:tabs>
          <w:tab w:val="num" w:pos="720"/>
        </w:tabs>
        <w:ind w:left="720" w:hanging="360"/>
      </w:pPr>
      <w:rPr>
        <w:rFonts w:ascii="Symbol" w:hAnsi="Symbol" w:hint="default"/>
      </w:rPr>
    </w:lvl>
    <w:lvl w:ilvl="1" w:tplc="1E180970" w:tentative="1">
      <w:start w:val="1"/>
      <w:numFmt w:val="bullet"/>
      <w:lvlText w:val=""/>
      <w:lvlJc w:val="left"/>
      <w:pPr>
        <w:tabs>
          <w:tab w:val="num" w:pos="1440"/>
        </w:tabs>
        <w:ind w:left="1440" w:hanging="360"/>
      </w:pPr>
      <w:rPr>
        <w:rFonts w:ascii="Symbol" w:hAnsi="Symbol" w:hint="default"/>
      </w:rPr>
    </w:lvl>
    <w:lvl w:ilvl="2" w:tplc="48BA9D4A" w:tentative="1">
      <w:start w:val="1"/>
      <w:numFmt w:val="bullet"/>
      <w:lvlText w:val=""/>
      <w:lvlJc w:val="left"/>
      <w:pPr>
        <w:tabs>
          <w:tab w:val="num" w:pos="2160"/>
        </w:tabs>
        <w:ind w:left="2160" w:hanging="360"/>
      </w:pPr>
      <w:rPr>
        <w:rFonts w:ascii="Symbol" w:hAnsi="Symbol" w:hint="default"/>
      </w:rPr>
    </w:lvl>
    <w:lvl w:ilvl="3" w:tplc="B67AD4D8" w:tentative="1">
      <w:start w:val="1"/>
      <w:numFmt w:val="bullet"/>
      <w:lvlText w:val=""/>
      <w:lvlJc w:val="left"/>
      <w:pPr>
        <w:tabs>
          <w:tab w:val="num" w:pos="2880"/>
        </w:tabs>
        <w:ind w:left="2880" w:hanging="360"/>
      </w:pPr>
      <w:rPr>
        <w:rFonts w:ascii="Symbol" w:hAnsi="Symbol" w:hint="default"/>
      </w:rPr>
    </w:lvl>
    <w:lvl w:ilvl="4" w:tplc="E17AA1CC" w:tentative="1">
      <w:start w:val="1"/>
      <w:numFmt w:val="bullet"/>
      <w:lvlText w:val=""/>
      <w:lvlJc w:val="left"/>
      <w:pPr>
        <w:tabs>
          <w:tab w:val="num" w:pos="3600"/>
        </w:tabs>
        <w:ind w:left="3600" w:hanging="360"/>
      </w:pPr>
      <w:rPr>
        <w:rFonts w:ascii="Symbol" w:hAnsi="Symbol" w:hint="default"/>
      </w:rPr>
    </w:lvl>
    <w:lvl w:ilvl="5" w:tplc="B42EC5B4" w:tentative="1">
      <w:start w:val="1"/>
      <w:numFmt w:val="bullet"/>
      <w:lvlText w:val=""/>
      <w:lvlJc w:val="left"/>
      <w:pPr>
        <w:tabs>
          <w:tab w:val="num" w:pos="4320"/>
        </w:tabs>
        <w:ind w:left="4320" w:hanging="360"/>
      </w:pPr>
      <w:rPr>
        <w:rFonts w:ascii="Symbol" w:hAnsi="Symbol" w:hint="default"/>
      </w:rPr>
    </w:lvl>
    <w:lvl w:ilvl="6" w:tplc="4542439A" w:tentative="1">
      <w:start w:val="1"/>
      <w:numFmt w:val="bullet"/>
      <w:lvlText w:val=""/>
      <w:lvlJc w:val="left"/>
      <w:pPr>
        <w:tabs>
          <w:tab w:val="num" w:pos="5040"/>
        </w:tabs>
        <w:ind w:left="5040" w:hanging="360"/>
      </w:pPr>
      <w:rPr>
        <w:rFonts w:ascii="Symbol" w:hAnsi="Symbol" w:hint="default"/>
      </w:rPr>
    </w:lvl>
    <w:lvl w:ilvl="7" w:tplc="ED822022" w:tentative="1">
      <w:start w:val="1"/>
      <w:numFmt w:val="bullet"/>
      <w:lvlText w:val=""/>
      <w:lvlJc w:val="left"/>
      <w:pPr>
        <w:tabs>
          <w:tab w:val="num" w:pos="5760"/>
        </w:tabs>
        <w:ind w:left="5760" w:hanging="360"/>
      </w:pPr>
      <w:rPr>
        <w:rFonts w:ascii="Symbol" w:hAnsi="Symbol" w:hint="default"/>
      </w:rPr>
    </w:lvl>
    <w:lvl w:ilvl="8" w:tplc="1DBE76D6"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25461BCF"/>
    <w:multiLevelType w:val="hybridMultilevel"/>
    <w:tmpl w:val="321A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993A58"/>
    <w:multiLevelType w:val="hybridMultilevel"/>
    <w:tmpl w:val="EC90D6D4"/>
    <w:lvl w:ilvl="0" w:tplc="F76A3C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2D92065C"/>
    <w:multiLevelType w:val="hybridMultilevel"/>
    <w:tmpl w:val="694E72B4"/>
    <w:lvl w:ilvl="0" w:tplc="F76A3C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2E0C3C76"/>
    <w:multiLevelType w:val="hybridMultilevel"/>
    <w:tmpl w:val="8B8C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586D14"/>
    <w:multiLevelType w:val="hybridMultilevel"/>
    <w:tmpl w:val="CB6698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15:restartNumberingAfterBreak="0">
    <w:nsid w:val="30CD5ABF"/>
    <w:multiLevelType w:val="hybridMultilevel"/>
    <w:tmpl w:val="20F83F6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1A1285A"/>
    <w:multiLevelType w:val="hybridMultilevel"/>
    <w:tmpl w:val="5E88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213B95"/>
    <w:multiLevelType w:val="hybridMultilevel"/>
    <w:tmpl w:val="E56874DA"/>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3B32A99"/>
    <w:multiLevelType w:val="hybridMultilevel"/>
    <w:tmpl w:val="BD16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6A21D67"/>
    <w:multiLevelType w:val="hybridMultilevel"/>
    <w:tmpl w:val="F9B05BE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7A744D8"/>
    <w:multiLevelType w:val="hybridMultilevel"/>
    <w:tmpl w:val="611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CFF43BC"/>
    <w:multiLevelType w:val="hybridMultilevel"/>
    <w:tmpl w:val="B18A6DD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0E1409"/>
    <w:multiLevelType w:val="hybridMultilevel"/>
    <w:tmpl w:val="7CDEF814"/>
    <w:lvl w:ilvl="0" w:tplc="F76A3C3E">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0" w15:restartNumberingAfterBreak="0">
    <w:nsid w:val="44B93381"/>
    <w:multiLevelType w:val="hybridMultilevel"/>
    <w:tmpl w:val="1B562DC0"/>
    <w:lvl w:ilvl="0" w:tplc="2A80D8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8A0094"/>
    <w:multiLevelType w:val="hybridMultilevel"/>
    <w:tmpl w:val="B7E8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5C307D6"/>
    <w:multiLevelType w:val="hybridMultilevel"/>
    <w:tmpl w:val="9440D7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46EB5FC4"/>
    <w:multiLevelType w:val="hybridMultilevel"/>
    <w:tmpl w:val="60DAE1D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4" w15:restartNumberingAfterBreak="0">
    <w:nsid w:val="4AAA301C"/>
    <w:multiLevelType w:val="hybridMultilevel"/>
    <w:tmpl w:val="C5000546"/>
    <w:lvl w:ilvl="0" w:tplc="04090001">
      <w:start w:val="1"/>
      <w:numFmt w:val="bullet"/>
      <w:lvlText w:val=""/>
      <w:lvlJc w:val="left"/>
      <w:pPr>
        <w:tabs>
          <w:tab w:val="num" w:pos="720"/>
        </w:tabs>
        <w:ind w:left="720" w:hanging="360"/>
      </w:pPr>
      <w:rPr>
        <w:rFonts w:ascii="Symbol" w:hAnsi="Symbol" w:hint="default"/>
      </w:rPr>
    </w:lvl>
    <w:lvl w:ilvl="1" w:tplc="1E180970" w:tentative="1">
      <w:start w:val="1"/>
      <w:numFmt w:val="bullet"/>
      <w:lvlText w:val=""/>
      <w:lvlJc w:val="left"/>
      <w:pPr>
        <w:tabs>
          <w:tab w:val="num" w:pos="1440"/>
        </w:tabs>
        <w:ind w:left="1440" w:hanging="360"/>
      </w:pPr>
      <w:rPr>
        <w:rFonts w:ascii="Symbol" w:hAnsi="Symbol" w:hint="default"/>
      </w:rPr>
    </w:lvl>
    <w:lvl w:ilvl="2" w:tplc="48BA9D4A" w:tentative="1">
      <w:start w:val="1"/>
      <w:numFmt w:val="bullet"/>
      <w:lvlText w:val=""/>
      <w:lvlJc w:val="left"/>
      <w:pPr>
        <w:tabs>
          <w:tab w:val="num" w:pos="2160"/>
        </w:tabs>
        <w:ind w:left="2160" w:hanging="360"/>
      </w:pPr>
      <w:rPr>
        <w:rFonts w:ascii="Symbol" w:hAnsi="Symbol" w:hint="default"/>
      </w:rPr>
    </w:lvl>
    <w:lvl w:ilvl="3" w:tplc="B67AD4D8" w:tentative="1">
      <w:start w:val="1"/>
      <w:numFmt w:val="bullet"/>
      <w:lvlText w:val=""/>
      <w:lvlJc w:val="left"/>
      <w:pPr>
        <w:tabs>
          <w:tab w:val="num" w:pos="2880"/>
        </w:tabs>
        <w:ind w:left="2880" w:hanging="360"/>
      </w:pPr>
      <w:rPr>
        <w:rFonts w:ascii="Symbol" w:hAnsi="Symbol" w:hint="default"/>
      </w:rPr>
    </w:lvl>
    <w:lvl w:ilvl="4" w:tplc="E17AA1CC" w:tentative="1">
      <w:start w:val="1"/>
      <w:numFmt w:val="bullet"/>
      <w:lvlText w:val=""/>
      <w:lvlJc w:val="left"/>
      <w:pPr>
        <w:tabs>
          <w:tab w:val="num" w:pos="3600"/>
        </w:tabs>
        <w:ind w:left="3600" w:hanging="360"/>
      </w:pPr>
      <w:rPr>
        <w:rFonts w:ascii="Symbol" w:hAnsi="Symbol" w:hint="default"/>
      </w:rPr>
    </w:lvl>
    <w:lvl w:ilvl="5" w:tplc="B42EC5B4" w:tentative="1">
      <w:start w:val="1"/>
      <w:numFmt w:val="bullet"/>
      <w:lvlText w:val=""/>
      <w:lvlJc w:val="left"/>
      <w:pPr>
        <w:tabs>
          <w:tab w:val="num" w:pos="4320"/>
        </w:tabs>
        <w:ind w:left="4320" w:hanging="360"/>
      </w:pPr>
      <w:rPr>
        <w:rFonts w:ascii="Symbol" w:hAnsi="Symbol" w:hint="default"/>
      </w:rPr>
    </w:lvl>
    <w:lvl w:ilvl="6" w:tplc="4542439A" w:tentative="1">
      <w:start w:val="1"/>
      <w:numFmt w:val="bullet"/>
      <w:lvlText w:val=""/>
      <w:lvlJc w:val="left"/>
      <w:pPr>
        <w:tabs>
          <w:tab w:val="num" w:pos="5040"/>
        </w:tabs>
        <w:ind w:left="5040" w:hanging="360"/>
      </w:pPr>
      <w:rPr>
        <w:rFonts w:ascii="Symbol" w:hAnsi="Symbol" w:hint="default"/>
      </w:rPr>
    </w:lvl>
    <w:lvl w:ilvl="7" w:tplc="ED822022" w:tentative="1">
      <w:start w:val="1"/>
      <w:numFmt w:val="bullet"/>
      <w:lvlText w:val=""/>
      <w:lvlJc w:val="left"/>
      <w:pPr>
        <w:tabs>
          <w:tab w:val="num" w:pos="5760"/>
        </w:tabs>
        <w:ind w:left="5760" w:hanging="360"/>
      </w:pPr>
      <w:rPr>
        <w:rFonts w:ascii="Symbol" w:hAnsi="Symbol" w:hint="default"/>
      </w:rPr>
    </w:lvl>
    <w:lvl w:ilvl="8" w:tplc="1DBE76D6" w:tentative="1">
      <w:start w:val="1"/>
      <w:numFmt w:val="bullet"/>
      <w:lvlText w:val=""/>
      <w:lvlJc w:val="left"/>
      <w:pPr>
        <w:tabs>
          <w:tab w:val="num" w:pos="6480"/>
        </w:tabs>
        <w:ind w:left="6480" w:hanging="360"/>
      </w:pPr>
      <w:rPr>
        <w:rFonts w:ascii="Symbol" w:hAnsi="Symbol" w:hint="default"/>
      </w:rPr>
    </w:lvl>
  </w:abstractNum>
  <w:abstractNum w:abstractNumId="55" w15:restartNumberingAfterBreak="0">
    <w:nsid w:val="4C8E2892"/>
    <w:multiLevelType w:val="hybridMultilevel"/>
    <w:tmpl w:val="1020EB06"/>
    <w:lvl w:ilvl="0" w:tplc="0407000F">
      <w:start w:val="1"/>
      <w:numFmt w:val="decimal"/>
      <w:lvlText w:val="%1."/>
      <w:lvlJc w:val="left"/>
      <w:pPr>
        <w:ind w:left="915" w:hanging="5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4EFE1BEE"/>
    <w:multiLevelType w:val="hybridMultilevel"/>
    <w:tmpl w:val="7D70C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B907584"/>
    <w:multiLevelType w:val="hybridMultilevel"/>
    <w:tmpl w:val="56BA7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C3569B"/>
    <w:multiLevelType w:val="hybridMultilevel"/>
    <w:tmpl w:val="F474B05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60E50E81"/>
    <w:multiLevelType w:val="hybridMultilevel"/>
    <w:tmpl w:val="6B587C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6225605D"/>
    <w:multiLevelType w:val="hybridMultilevel"/>
    <w:tmpl w:val="F48C55D4"/>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3021250"/>
    <w:multiLevelType w:val="hybridMultilevel"/>
    <w:tmpl w:val="E9A8785C"/>
    <w:lvl w:ilvl="0" w:tplc="F1668C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32F54D7"/>
    <w:multiLevelType w:val="hybridMultilevel"/>
    <w:tmpl w:val="6FA0CE06"/>
    <w:lvl w:ilvl="0" w:tplc="560C8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653ED4"/>
    <w:multiLevelType w:val="hybridMultilevel"/>
    <w:tmpl w:val="F09AC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87B719B"/>
    <w:multiLevelType w:val="hybridMultilevel"/>
    <w:tmpl w:val="CB6698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5" w15:restartNumberingAfterBreak="0">
    <w:nsid w:val="73C760BA"/>
    <w:multiLevelType w:val="hybridMultilevel"/>
    <w:tmpl w:val="CBF89B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66" w15:restartNumberingAfterBreak="0">
    <w:nsid w:val="74C447CD"/>
    <w:multiLevelType w:val="hybridMultilevel"/>
    <w:tmpl w:val="909C3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57D10A0"/>
    <w:multiLevelType w:val="hybridMultilevel"/>
    <w:tmpl w:val="E07CB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5E45C2"/>
    <w:multiLevelType w:val="hybridMultilevel"/>
    <w:tmpl w:val="EE6C383C"/>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790D3979"/>
    <w:multiLevelType w:val="multilevel"/>
    <w:tmpl w:val="D5DAA268"/>
    <w:lvl w:ilvl="0">
      <w:start w:val="1"/>
      <w:numFmt w:val="decimal"/>
      <w:lvlText w:val="%1."/>
      <w:lvlJc w:val="left"/>
      <w:pPr>
        <w:ind w:left="678" w:hanging="568"/>
      </w:pPr>
      <w:rPr>
        <w:rFonts w:ascii="Times New Roman" w:eastAsia="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70" w15:restartNumberingAfterBreak="0">
    <w:nsid w:val="7EAB292E"/>
    <w:multiLevelType w:val="hybridMultilevel"/>
    <w:tmpl w:val="06CE5372"/>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7F3E3DD6"/>
    <w:multiLevelType w:val="hybridMultilevel"/>
    <w:tmpl w:val="F3E8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7366">
    <w:abstractNumId w:val="10"/>
  </w:num>
  <w:num w:numId="2" w16cid:durableId="1656029913">
    <w:abstractNumId w:val="46"/>
  </w:num>
  <w:num w:numId="3" w16cid:durableId="1715227959">
    <w:abstractNumId w:val="11"/>
  </w:num>
  <w:num w:numId="4" w16cid:durableId="2125542096">
    <w:abstractNumId w:val="70"/>
  </w:num>
  <w:num w:numId="5" w16cid:durableId="490486989">
    <w:abstractNumId w:val="60"/>
  </w:num>
  <w:num w:numId="6" w16cid:durableId="1401252629">
    <w:abstractNumId w:val="68"/>
  </w:num>
  <w:num w:numId="7" w16cid:durableId="1173449079">
    <w:abstractNumId w:val="58"/>
  </w:num>
  <w:num w:numId="8" w16cid:durableId="1357999712">
    <w:abstractNumId w:val="49"/>
  </w:num>
  <w:num w:numId="9" w16cid:durableId="706025430">
    <w:abstractNumId w:val="24"/>
  </w:num>
  <w:num w:numId="10" w16cid:durableId="669331774">
    <w:abstractNumId w:val="39"/>
  </w:num>
  <w:num w:numId="11" w16cid:durableId="1709838337">
    <w:abstractNumId w:val="38"/>
  </w:num>
  <w:num w:numId="12" w16cid:durableId="5748956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91078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17916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076848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761899">
    <w:abstractNumId w:val="34"/>
  </w:num>
  <w:num w:numId="17" w16cid:durableId="458189845">
    <w:abstractNumId w:val="45"/>
  </w:num>
  <w:num w:numId="18" w16cid:durableId="1077939806">
    <w:abstractNumId w:val="9"/>
  </w:num>
  <w:num w:numId="19" w16cid:durableId="1730837850">
    <w:abstractNumId w:val="21"/>
  </w:num>
  <w:num w:numId="20" w16cid:durableId="1097870112">
    <w:abstractNumId w:val="71"/>
  </w:num>
  <w:num w:numId="21" w16cid:durableId="817913889">
    <w:abstractNumId w:val="0"/>
  </w:num>
  <w:num w:numId="22" w16cid:durableId="645815537">
    <w:abstractNumId w:val="7"/>
  </w:num>
  <w:num w:numId="23" w16cid:durableId="1086151423">
    <w:abstractNumId w:val="6"/>
  </w:num>
  <w:num w:numId="24" w16cid:durableId="612858435">
    <w:abstractNumId w:val="5"/>
  </w:num>
  <w:num w:numId="25" w16cid:durableId="1025328656">
    <w:abstractNumId w:val="4"/>
  </w:num>
  <w:num w:numId="26" w16cid:durableId="86973724">
    <w:abstractNumId w:val="2"/>
  </w:num>
  <w:num w:numId="27" w16cid:durableId="65960046">
    <w:abstractNumId w:val="1"/>
  </w:num>
  <w:num w:numId="28" w16cid:durableId="1986005626">
    <w:abstractNumId w:val="25"/>
  </w:num>
  <w:num w:numId="29" w16cid:durableId="370492773">
    <w:abstractNumId w:val="66"/>
  </w:num>
  <w:num w:numId="30" w16cid:durableId="1966345759">
    <w:abstractNumId w:val="61"/>
  </w:num>
  <w:num w:numId="31" w16cid:durableId="2059545164">
    <w:abstractNumId w:val="63"/>
  </w:num>
  <w:num w:numId="32" w16cid:durableId="1826315141">
    <w:abstractNumId w:val="28"/>
  </w:num>
  <w:num w:numId="33" w16cid:durableId="995230851">
    <w:abstractNumId w:val="23"/>
  </w:num>
  <w:num w:numId="34" w16cid:durableId="955675983">
    <w:abstractNumId w:val="19"/>
  </w:num>
  <w:num w:numId="35" w16cid:durableId="635599108">
    <w:abstractNumId w:val="56"/>
  </w:num>
  <w:num w:numId="36" w16cid:durableId="1446462627">
    <w:abstractNumId w:val="17"/>
  </w:num>
  <w:num w:numId="37" w16cid:durableId="1940409709">
    <w:abstractNumId w:val="47"/>
  </w:num>
  <w:num w:numId="38" w16cid:durableId="474029966">
    <w:abstractNumId w:val="15"/>
  </w:num>
  <w:num w:numId="39" w16cid:durableId="1200120507">
    <w:abstractNumId w:val="14"/>
  </w:num>
  <w:num w:numId="40" w16cid:durableId="1906182759">
    <w:abstractNumId w:val="30"/>
  </w:num>
  <w:num w:numId="41" w16cid:durableId="1202934472">
    <w:abstractNumId w:val="13"/>
  </w:num>
  <w:num w:numId="42" w16cid:durableId="417675368">
    <w:abstractNumId w:val="29"/>
  </w:num>
  <w:num w:numId="43" w16cid:durableId="904031953">
    <w:abstractNumId w:val="18"/>
  </w:num>
  <w:num w:numId="44" w16cid:durableId="696810521">
    <w:abstractNumId w:val="31"/>
  </w:num>
  <w:num w:numId="45" w16cid:durableId="683869492">
    <w:abstractNumId w:val="20"/>
  </w:num>
  <w:num w:numId="46" w16cid:durableId="1453942849">
    <w:abstractNumId w:val="67"/>
  </w:num>
  <w:num w:numId="47" w16cid:durableId="1168986571">
    <w:abstractNumId w:val="40"/>
  </w:num>
  <w:num w:numId="48" w16cid:durableId="517620094">
    <w:abstractNumId w:val="22"/>
  </w:num>
  <w:num w:numId="49" w16cid:durableId="1309438008">
    <w:abstractNumId w:val="36"/>
  </w:num>
  <w:num w:numId="50" w16cid:durableId="1998806083">
    <w:abstractNumId w:val="54"/>
  </w:num>
  <w:num w:numId="51" w16cid:durableId="865605276">
    <w:abstractNumId w:val="65"/>
  </w:num>
  <w:num w:numId="52" w16cid:durableId="60717300">
    <w:abstractNumId w:val="12"/>
  </w:num>
  <w:num w:numId="53" w16cid:durableId="126778728">
    <w:abstractNumId w:val="3"/>
  </w:num>
  <w:num w:numId="54" w16cid:durableId="1197235794">
    <w:abstractNumId w:val="24"/>
  </w:num>
  <w:num w:numId="55" w16cid:durableId="925305669">
    <w:abstractNumId w:val="60"/>
  </w:num>
  <w:num w:numId="56" w16cid:durableId="2052149892">
    <w:abstractNumId w:val="69"/>
  </w:num>
  <w:num w:numId="57" w16cid:durableId="1590116673">
    <w:abstractNumId w:val="50"/>
  </w:num>
  <w:num w:numId="58" w16cid:durableId="415370564">
    <w:abstractNumId w:val="62"/>
  </w:num>
  <w:num w:numId="59" w16cid:durableId="229704209">
    <w:abstractNumId w:val="57"/>
  </w:num>
  <w:num w:numId="60" w16cid:durableId="1791239934">
    <w:abstractNumId w:val="51"/>
  </w:num>
  <w:num w:numId="61" w16cid:durableId="569773510">
    <w:abstractNumId w:val="35"/>
  </w:num>
  <w:num w:numId="62" w16cid:durableId="313603953">
    <w:abstractNumId w:val="37"/>
  </w:num>
  <w:num w:numId="63" w16cid:durableId="601231331">
    <w:abstractNumId w:val="43"/>
  </w:num>
  <w:num w:numId="64" w16cid:durableId="631054403">
    <w:abstractNumId w:val="8"/>
  </w:num>
  <w:num w:numId="65" w16cid:durableId="1407998799">
    <w:abstractNumId w:val="16"/>
  </w:num>
  <w:num w:numId="66" w16cid:durableId="483816921">
    <w:abstractNumId w:val="27"/>
  </w:num>
  <w:num w:numId="67" w16cid:durableId="1612980454">
    <w:abstractNumId w:val="26"/>
  </w:num>
  <w:num w:numId="68" w16cid:durableId="1448113140">
    <w:abstractNumId w:val="52"/>
  </w:num>
  <w:num w:numId="69" w16cid:durableId="466632993">
    <w:abstractNumId w:val="55"/>
  </w:num>
  <w:num w:numId="70" w16cid:durableId="1334187539">
    <w:abstractNumId w:val="33"/>
  </w:num>
  <w:num w:numId="71" w16cid:durableId="2089883529">
    <w:abstractNumId w:val="42"/>
  </w:num>
  <w:num w:numId="72" w16cid:durableId="631208980">
    <w:abstractNumId w:val="48"/>
  </w:num>
  <w:num w:numId="73" w16cid:durableId="1398894112">
    <w:abstractNumId w:val="44"/>
  </w:num>
  <w:num w:numId="74" w16cid:durableId="510293485">
    <w:abstractNumId w:val="32"/>
  </w:num>
  <w:num w:numId="75" w16cid:durableId="861937196">
    <w:abstractNumId w:val="59"/>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562"/>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7A"/>
    <w:rsid w:val="00000C6C"/>
    <w:rsid w:val="00002BDC"/>
    <w:rsid w:val="00003526"/>
    <w:rsid w:val="00004322"/>
    <w:rsid w:val="00004C2C"/>
    <w:rsid w:val="00004CC2"/>
    <w:rsid w:val="0000533B"/>
    <w:rsid w:val="00005528"/>
    <w:rsid w:val="00005C27"/>
    <w:rsid w:val="00005E2E"/>
    <w:rsid w:val="00005E6C"/>
    <w:rsid w:val="00005F22"/>
    <w:rsid w:val="0000627C"/>
    <w:rsid w:val="0000666D"/>
    <w:rsid w:val="00006E4F"/>
    <w:rsid w:val="000079DD"/>
    <w:rsid w:val="00007FF5"/>
    <w:rsid w:val="000102A9"/>
    <w:rsid w:val="00010BA6"/>
    <w:rsid w:val="00011724"/>
    <w:rsid w:val="00011C29"/>
    <w:rsid w:val="00011D58"/>
    <w:rsid w:val="00011F2E"/>
    <w:rsid w:val="00012981"/>
    <w:rsid w:val="00013811"/>
    <w:rsid w:val="00013871"/>
    <w:rsid w:val="000139CE"/>
    <w:rsid w:val="00014498"/>
    <w:rsid w:val="000147F7"/>
    <w:rsid w:val="00015FEB"/>
    <w:rsid w:val="00016492"/>
    <w:rsid w:val="000166A1"/>
    <w:rsid w:val="0001706E"/>
    <w:rsid w:val="000175DD"/>
    <w:rsid w:val="000178DC"/>
    <w:rsid w:val="0002005F"/>
    <w:rsid w:val="00020790"/>
    <w:rsid w:val="000207AB"/>
    <w:rsid w:val="000217A1"/>
    <w:rsid w:val="0002203B"/>
    <w:rsid w:val="00022BEC"/>
    <w:rsid w:val="000230EA"/>
    <w:rsid w:val="00023455"/>
    <w:rsid w:val="000235E9"/>
    <w:rsid w:val="0002473D"/>
    <w:rsid w:val="00024AED"/>
    <w:rsid w:val="00025291"/>
    <w:rsid w:val="000272F1"/>
    <w:rsid w:val="000303D4"/>
    <w:rsid w:val="000309C6"/>
    <w:rsid w:val="00030ADB"/>
    <w:rsid w:val="00030BF1"/>
    <w:rsid w:val="00031DA1"/>
    <w:rsid w:val="000322AA"/>
    <w:rsid w:val="00032527"/>
    <w:rsid w:val="00032CB5"/>
    <w:rsid w:val="00032CD3"/>
    <w:rsid w:val="00032D9B"/>
    <w:rsid w:val="00032F10"/>
    <w:rsid w:val="00033670"/>
    <w:rsid w:val="00033EEF"/>
    <w:rsid w:val="0003515B"/>
    <w:rsid w:val="00035787"/>
    <w:rsid w:val="000362B3"/>
    <w:rsid w:val="00036475"/>
    <w:rsid w:val="00036D76"/>
    <w:rsid w:val="0003704A"/>
    <w:rsid w:val="00037ED2"/>
    <w:rsid w:val="000404C2"/>
    <w:rsid w:val="00040C71"/>
    <w:rsid w:val="00041168"/>
    <w:rsid w:val="00041751"/>
    <w:rsid w:val="00041F96"/>
    <w:rsid w:val="00042884"/>
    <w:rsid w:val="00042977"/>
    <w:rsid w:val="00046A80"/>
    <w:rsid w:val="00046C4F"/>
    <w:rsid w:val="00050D20"/>
    <w:rsid w:val="000514FC"/>
    <w:rsid w:val="00053638"/>
    <w:rsid w:val="00053717"/>
    <w:rsid w:val="00053A37"/>
    <w:rsid w:val="00054609"/>
    <w:rsid w:val="00054847"/>
    <w:rsid w:val="00054A92"/>
    <w:rsid w:val="00054CAB"/>
    <w:rsid w:val="000558D3"/>
    <w:rsid w:val="00056D0F"/>
    <w:rsid w:val="00056F25"/>
    <w:rsid w:val="0005739A"/>
    <w:rsid w:val="00057706"/>
    <w:rsid w:val="0006191C"/>
    <w:rsid w:val="00061F0D"/>
    <w:rsid w:val="00062013"/>
    <w:rsid w:val="00062A8A"/>
    <w:rsid w:val="000632CF"/>
    <w:rsid w:val="00064180"/>
    <w:rsid w:val="00065271"/>
    <w:rsid w:val="000653A3"/>
    <w:rsid w:val="00065E3A"/>
    <w:rsid w:val="00066A3F"/>
    <w:rsid w:val="000675BF"/>
    <w:rsid w:val="0006785A"/>
    <w:rsid w:val="000679EC"/>
    <w:rsid w:val="00071654"/>
    <w:rsid w:val="0007471D"/>
    <w:rsid w:val="00075AEA"/>
    <w:rsid w:val="000765BA"/>
    <w:rsid w:val="00076C30"/>
    <w:rsid w:val="00077E50"/>
    <w:rsid w:val="00080E9F"/>
    <w:rsid w:val="0008118E"/>
    <w:rsid w:val="0008147A"/>
    <w:rsid w:val="00081520"/>
    <w:rsid w:val="00081A6C"/>
    <w:rsid w:val="0008338D"/>
    <w:rsid w:val="0008451C"/>
    <w:rsid w:val="000852E4"/>
    <w:rsid w:val="00085E15"/>
    <w:rsid w:val="0008762A"/>
    <w:rsid w:val="00091912"/>
    <w:rsid w:val="00091B01"/>
    <w:rsid w:val="00091EEC"/>
    <w:rsid w:val="00091F30"/>
    <w:rsid w:val="00092369"/>
    <w:rsid w:val="0009270F"/>
    <w:rsid w:val="00092E33"/>
    <w:rsid w:val="0009304A"/>
    <w:rsid w:val="00094540"/>
    <w:rsid w:val="00095463"/>
    <w:rsid w:val="000955F2"/>
    <w:rsid w:val="0009577A"/>
    <w:rsid w:val="00095A76"/>
    <w:rsid w:val="0009685B"/>
    <w:rsid w:val="00096F1B"/>
    <w:rsid w:val="000A0BFB"/>
    <w:rsid w:val="000A176B"/>
    <w:rsid w:val="000A24A6"/>
    <w:rsid w:val="000A2977"/>
    <w:rsid w:val="000A3934"/>
    <w:rsid w:val="000A39BC"/>
    <w:rsid w:val="000A43EA"/>
    <w:rsid w:val="000A4A21"/>
    <w:rsid w:val="000A61CC"/>
    <w:rsid w:val="000A68CA"/>
    <w:rsid w:val="000A7A99"/>
    <w:rsid w:val="000B11AF"/>
    <w:rsid w:val="000B161E"/>
    <w:rsid w:val="000B31DC"/>
    <w:rsid w:val="000B3690"/>
    <w:rsid w:val="000B37DD"/>
    <w:rsid w:val="000B4BDD"/>
    <w:rsid w:val="000B54A7"/>
    <w:rsid w:val="000B5E46"/>
    <w:rsid w:val="000B6623"/>
    <w:rsid w:val="000B71DE"/>
    <w:rsid w:val="000C078E"/>
    <w:rsid w:val="000C0F65"/>
    <w:rsid w:val="000C1027"/>
    <w:rsid w:val="000C1171"/>
    <w:rsid w:val="000C1B81"/>
    <w:rsid w:val="000C1BA9"/>
    <w:rsid w:val="000C1E51"/>
    <w:rsid w:val="000C256C"/>
    <w:rsid w:val="000C2E7D"/>
    <w:rsid w:val="000C319D"/>
    <w:rsid w:val="000C4753"/>
    <w:rsid w:val="000C4ABE"/>
    <w:rsid w:val="000C5178"/>
    <w:rsid w:val="000C6653"/>
    <w:rsid w:val="000C69A6"/>
    <w:rsid w:val="000C7370"/>
    <w:rsid w:val="000D01FE"/>
    <w:rsid w:val="000D160F"/>
    <w:rsid w:val="000D27F4"/>
    <w:rsid w:val="000D2984"/>
    <w:rsid w:val="000D3022"/>
    <w:rsid w:val="000D345B"/>
    <w:rsid w:val="000D3832"/>
    <w:rsid w:val="000D3E92"/>
    <w:rsid w:val="000D4596"/>
    <w:rsid w:val="000D4745"/>
    <w:rsid w:val="000D6BE3"/>
    <w:rsid w:val="000D75B1"/>
    <w:rsid w:val="000D7799"/>
    <w:rsid w:val="000E0015"/>
    <w:rsid w:val="000E0085"/>
    <w:rsid w:val="000E06D0"/>
    <w:rsid w:val="000E1BE4"/>
    <w:rsid w:val="000E2689"/>
    <w:rsid w:val="000E2A68"/>
    <w:rsid w:val="000E3250"/>
    <w:rsid w:val="000E3450"/>
    <w:rsid w:val="000E4EF6"/>
    <w:rsid w:val="000E58B6"/>
    <w:rsid w:val="000E7C79"/>
    <w:rsid w:val="000F03F1"/>
    <w:rsid w:val="000F07BE"/>
    <w:rsid w:val="000F0EB9"/>
    <w:rsid w:val="000F14DD"/>
    <w:rsid w:val="000F364D"/>
    <w:rsid w:val="000F4235"/>
    <w:rsid w:val="000F470F"/>
    <w:rsid w:val="000F4DA7"/>
    <w:rsid w:val="000F77F7"/>
    <w:rsid w:val="00100302"/>
    <w:rsid w:val="0010036E"/>
    <w:rsid w:val="00100D54"/>
    <w:rsid w:val="00101D20"/>
    <w:rsid w:val="001020CF"/>
    <w:rsid w:val="00102AA6"/>
    <w:rsid w:val="00103C67"/>
    <w:rsid w:val="00103DE3"/>
    <w:rsid w:val="00103E37"/>
    <w:rsid w:val="00104090"/>
    <w:rsid w:val="00104C1E"/>
    <w:rsid w:val="00104FD4"/>
    <w:rsid w:val="00111345"/>
    <w:rsid w:val="001114E0"/>
    <w:rsid w:val="00113ED2"/>
    <w:rsid w:val="00114279"/>
    <w:rsid w:val="00114706"/>
    <w:rsid w:val="001147C8"/>
    <w:rsid w:val="00115510"/>
    <w:rsid w:val="00116420"/>
    <w:rsid w:val="001174F4"/>
    <w:rsid w:val="00117BE9"/>
    <w:rsid w:val="00120DA5"/>
    <w:rsid w:val="001220DD"/>
    <w:rsid w:val="001223E4"/>
    <w:rsid w:val="00122502"/>
    <w:rsid w:val="001248DF"/>
    <w:rsid w:val="00125931"/>
    <w:rsid w:val="00127A80"/>
    <w:rsid w:val="00130132"/>
    <w:rsid w:val="00130A4B"/>
    <w:rsid w:val="001329DD"/>
    <w:rsid w:val="001331F6"/>
    <w:rsid w:val="0013439A"/>
    <w:rsid w:val="001359F3"/>
    <w:rsid w:val="00135BEB"/>
    <w:rsid w:val="00136326"/>
    <w:rsid w:val="001368B8"/>
    <w:rsid w:val="001376C9"/>
    <w:rsid w:val="00141962"/>
    <w:rsid w:val="00141B94"/>
    <w:rsid w:val="001424A7"/>
    <w:rsid w:val="00142590"/>
    <w:rsid w:val="0014272B"/>
    <w:rsid w:val="00142926"/>
    <w:rsid w:val="001435C3"/>
    <w:rsid w:val="001439EF"/>
    <w:rsid w:val="00143CBB"/>
    <w:rsid w:val="00143F59"/>
    <w:rsid w:val="00145009"/>
    <w:rsid w:val="00145BB7"/>
    <w:rsid w:val="00146E68"/>
    <w:rsid w:val="00150A78"/>
    <w:rsid w:val="00150D33"/>
    <w:rsid w:val="00151469"/>
    <w:rsid w:val="00151911"/>
    <w:rsid w:val="00151BF0"/>
    <w:rsid w:val="001520A8"/>
    <w:rsid w:val="00153852"/>
    <w:rsid w:val="001540AD"/>
    <w:rsid w:val="00154AA9"/>
    <w:rsid w:val="00155496"/>
    <w:rsid w:val="00156BFF"/>
    <w:rsid w:val="00157D8E"/>
    <w:rsid w:val="00157DFC"/>
    <w:rsid w:val="001616D9"/>
    <w:rsid w:val="00161932"/>
    <w:rsid w:val="0016315F"/>
    <w:rsid w:val="0016344D"/>
    <w:rsid w:val="00163E5D"/>
    <w:rsid w:val="00164009"/>
    <w:rsid w:val="00164360"/>
    <w:rsid w:val="0016465E"/>
    <w:rsid w:val="00164BC4"/>
    <w:rsid w:val="00164FF6"/>
    <w:rsid w:val="00165543"/>
    <w:rsid w:val="00165A70"/>
    <w:rsid w:val="001663C9"/>
    <w:rsid w:val="00166693"/>
    <w:rsid w:val="001673AF"/>
    <w:rsid w:val="00167535"/>
    <w:rsid w:val="00167CCD"/>
    <w:rsid w:val="00170CC3"/>
    <w:rsid w:val="00172509"/>
    <w:rsid w:val="00172ABD"/>
    <w:rsid w:val="00172DF4"/>
    <w:rsid w:val="00174900"/>
    <w:rsid w:val="00174D22"/>
    <w:rsid w:val="0017564C"/>
    <w:rsid w:val="00176CC7"/>
    <w:rsid w:val="0017712F"/>
    <w:rsid w:val="00177B3E"/>
    <w:rsid w:val="001809D6"/>
    <w:rsid w:val="00181177"/>
    <w:rsid w:val="00181343"/>
    <w:rsid w:val="00181F7E"/>
    <w:rsid w:val="00182695"/>
    <w:rsid w:val="0018362D"/>
    <w:rsid w:val="00183BDA"/>
    <w:rsid w:val="00183DF2"/>
    <w:rsid w:val="00185438"/>
    <w:rsid w:val="00186764"/>
    <w:rsid w:val="00192922"/>
    <w:rsid w:val="00193775"/>
    <w:rsid w:val="00193AC7"/>
    <w:rsid w:val="00193B52"/>
    <w:rsid w:val="00194625"/>
    <w:rsid w:val="0019482B"/>
    <w:rsid w:val="0019687E"/>
    <w:rsid w:val="00196917"/>
    <w:rsid w:val="00197B44"/>
    <w:rsid w:val="001A02E3"/>
    <w:rsid w:val="001A0497"/>
    <w:rsid w:val="001A1074"/>
    <w:rsid w:val="001A1D0F"/>
    <w:rsid w:val="001A1EEE"/>
    <w:rsid w:val="001A1F78"/>
    <w:rsid w:val="001A2F7E"/>
    <w:rsid w:val="001A33A9"/>
    <w:rsid w:val="001A3D8A"/>
    <w:rsid w:val="001A44B4"/>
    <w:rsid w:val="001A4EA3"/>
    <w:rsid w:val="001A52A1"/>
    <w:rsid w:val="001A6074"/>
    <w:rsid w:val="001A63E6"/>
    <w:rsid w:val="001A73CA"/>
    <w:rsid w:val="001A756A"/>
    <w:rsid w:val="001A77BB"/>
    <w:rsid w:val="001A798D"/>
    <w:rsid w:val="001B1081"/>
    <w:rsid w:val="001B20C4"/>
    <w:rsid w:val="001B2F6A"/>
    <w:rsid w:val="001B4AD0"/>
    <w:rsid w:val="001B6AF2"/>
    <w:rsid w:val="001C0964"/>
    <w:rsid w:val="001C1AF8"/>
    <w:rsid w:val="001C1D2A"/>
    <w:rsid w:val="001C258E"/>
    <w:rsid w:val="001C2CEC"/>
    <w:rsid w:val="001C413A"/>
    <w:rsid w:val="001C43E0"/>
    <w:rsid w:val="001C4A6B"/>
    <w:rsid w:val="001C4BC8"/>
    <w:rsid w:val="001C513C"/>
    <w:rsid w:val="001C613D"/>
    <w:rsid w:val="001C6721"/>
    <w:rsid w:val="001C7C54"/>
    <w:rsid w:val="001C7EB4"/>
    <w:rsid w:val="001D1928"/>
    <w:rsid w:val="001D2255"/>
    <w:rsid w:val="001D274E"/>
    <w:rsid w:val="001D2C24"/>
    <w:rsid w:val="001D310A"/>
    <w:rsid w:val="001D3E14"/>
    <w:rsid w:val="001D4EEA"/>
    <w:rsid w:val="001D51F9"/>
    <w:rsid w:val="001D5A54"/>
    <w:rsid w:val="001D690D"/>
    <w:rsid w:val="001D69B9"/>
    <w:rsid w:val="001D6B79"/>
    <w:rsid w:val="001D6C10"/>
    <w:rsid w:val="001D74A1"/>
    <w:rsid w:val="001D7737"/>
    <w:rsid w:val="001D7E2E"/>
    <w:rsid w:val="001E0CF3"/>
    <w:rsid w:val="001E125B"/>
    <w:rsid w:val="001E1DA8"/>
    <w:rsid w:val="001E35BC"/>
    <w:rsid w:val="001E36AD"/>
    <w:rsid w:val="001E4777"/>
    <w:rsid w:val="001F3990"/>
    <w:rsid w:val="001F4E21"/>
    <w:rsid w:val="001F6B8D"/>
    <w:rsid w:val="00200764"/>
    <w:rsid w:val="00200C48"/>
    <w:rsid w:val="00201902"/>
    <w:rsid w:val="00201A19"/>
    <w:rsid w:val="00203AD2"/>
    <w:rsid w:val="00204144"/>
    <w:rsid w:val="00205F6E"/>
    <w:rsid w:val="00206AEA"/>
    <w:rsid w:val="00207FD1"/>
    <w:rsid w:val="00210D8C"/>
    <w:rsid w:val="002116FC"/>
    <w:rsid w:val="00211CB9"/>
    <w:rsid w:val="00213C78"/>
    <w:rsid w:val="0021417A"/>
    <w:rsid w:val="00215BB2"/>
    <w:rsid w:val="00215D48"/>
    <w:rsid w:val="00216223"/>
    <w:rsid w:val="00216602"/>
    <w:rsid w:val="00216C60"/>
    <w:rsid w:val="002170AF"/>
    <w:rsid w:val="002173C6"/>
    <w:rsid w:val="002202A4"/>
    <w:rsid w:val="00220D4F"/>
    <w:rsid w:val="00221102"/>
    <w:rsid w:val="00221355"/>
    <w:rsid w:val="00222456"/>
    <w:rsid w:val="002229CB"/>
    <w:rsid w:val="00222A1F"/>
    <w:rsid w:val="00223CFA"/>
    <w:rsid w:val="002254B3"/>
    <w:rsid w:val="00226B33"/>
    <w:rsid w:val="00226E65"/>
    <w:rsid w:val="002272B0"/>
    <w:rsid w:val="002273C4"/>
    <w:rsid w:val="00230E29"/>
    <w:rsid w:val="00231E21"/>
    <w:rsid w:val="0023205F"/>
    <w:rsid w:val="002327BB"/>
    <w:rsid w:val="0023282C"/>
    <w:rsid w:val="00233A9B"/>
    <w:rsid w:val="00233F7A"/>
    <w:rsid w:val="00234A02"/>
    <w:rsid w:val="00234F3C"/>
    <w:rsid w:val="00235D93"/>
    <w:rsid w:val="00236052"/>
    <w:rsid w:val="0023665E"/>
    <w:rsid w:val="00237B02"/>
    <w:rsid w:val="00237E45"/>
    <w:rsid w:val="0024058F"/>
    <w:rsid w:val="00240C6A"/>
    <w:rsid w:val="00241190"/>
    <w:rsid w:val="002418DA"/>
    <w:rsid w:val="00241A94"/>
    <w:rsid w:val="00242481"/>
    <w:rsid w:val="00242B3F"/>
    <w:rsid w:val="00247EF8"/>
    <w:rsid w:val="00247F1D"/>
    <w:rsid w:val="002504AA"/>
    <w:rsid w:val="00250824"/>
    <w:rsid w:val="002508C4"/>
    <w:rsid w:val="002508D2"/>
    <w:rsid w:val="00250CF4"/>
    <w:rsid w:val="00250DA0"/>
    <w:rsid w:val="00250E42"/>
    <w:rsid w:val="00250F9D"/>
    <w:rsid w:val="002510E7"/>
    <w:rsid w:val="00253786"/>
    <w:rsid w:val="00253E9D"/>
    <w:rsid w:val="00257351"/>
    <w:rsid w:val="00257CFF"/>
    <w:rsid w:val="002600A1"/>
    <w:rsid w:val="00260209"/>
    <w:rsid w:val="00260A57"/>
    <w:rsid w:val="00260E03"/>
    <w:rsid w:val="002611CE"/>
    <w:rsid w:val="00261B54"/>
    <w:rsid w:val="00263674"/>
    <w:rsid w:val="00263DD8"/>
    <w:rsid w:val="00264096"/>
    <w:rsid w:val="002649A6"/>
    <w:rsid w:val="00264D4A"/>
    <w:rsid w:val="0026548C"/>
    <w:rsid w:val="00265DF4"/>
    <w:rsid w:val="002668F7"/>
    <w:rsid w:val="00270C19"/>
    <w:rsid w:val="00270CE3"/>
    <w:rsid w:val="00271CDD"/>
    <w:rsid w:val="00272C72"/>
    <w:rsid w:val="00273F4D"/>
    <w:rsid w:val="00277A46"/>
    <w:rsid w:val="00277C13"/>
    <w:rsid w:val="002800C8"/>
    <w:rsid w:val="002803DB"/>
    <w:rsid w:val="002807AF"/>
    <w:rsid w:val="00280DFF"/>
    <w:rsid w:val="00280F5F"/>
    <w:rsid w:val="00282D28"/>
    <w:rsid w:val="0028517C"/>
    <w:rsid w:val="00286BBD"/>
    <w:rsid w:val="00287241"/>
    <w:rsid w:val="00290739"/>
    <w:rsid w:val="00290EEB"/>
    <w:rsid w:val="00293248"/>
    <w:rsid w:val="00293725"/>
    <w:rsid w:val="002942EB"/>
    <w:rsid w:val="0029457A"/>
    <w:rsid w:val="0029463F"/>
    <w:rsid w:val="00295343"/>
    <w:rsid w:val="002953BE"/>
    <w:rsid w:val="002972D5"/>
    <w:rsid w:val="0029754E"/>
    <w:rsid w:val="0029760B"/>
    <w:rsid w:val="002A4A44"/>
    <w:rsid w:val="002A6BAF"/>
    <w:rsid w:val="002A6F05"/>
    <w:rsid w:val="002A7141"/>
    <w:rsid w:val="002B07CC"/>
    <w:rsid w:val="002B08F5"/>
    <w:rsid w:val="002B0B49"/>
    <w:rsid w:val="002B0EF6"/>
    <w:rsid w:val="002B12C1"/>
    <w:rsid w:val="002B131A"/>
    <w:rsid w:val="002B1969"/>
    <w:rsid w:val="002B2067"/>
    <w:rsid w:val="002B32EE"/>
    <w:rsid w:val="002B3B52"/>
    <w:rsid w:val="002B461C"/>
    <w:rsid w:val="002B493D"/>
    <w:rsid w:val="002B5643"/>
    <w:rsid w:val="002B5A88"/>
    <w:rsid w:val="002B5B8F"/>
    <w:rsid w:val="002B5EA1"/>
    <w:rsid w:val="002B6891"/>
    <w:rsid w:val="002B70DF"/>
    <w:rsid w:val="002C203C"/>
    <w:rsid w:val="002C206A"/>
    <w:rsid w:val="002C31E4"/>
    <w:rsid w:val="002C4050"/>
    <w:rsid w:val="002C50BF"/>
    <w:rsid w:val="002C5437"/>
    <w:rsid w:val="002C6696"/>
    <w:rsid w:val="002C713F"/>
    <w:rsid w:val="002C79E2"/>
    <w:rsid w:val="002D0173"/>
    <w:rsid w:val="002D03D2"/>
    <w:rsid w:val="002D09A7"/>
    <w:rsid w:val="002D0A94"/>
    <w:rsid w:val="002D3A04"/>
    <w:rsid w:val="002D42FF"/>
    <w:rsid w:val="002D51EE"/>
    <w:rsid w:val="002D5545"/>
    <w:rsid w:val="002D5E9B"/>
    <w:rsid w:val="002D6D60"/>
    <w:rsid w:val="002D70D7"/>
    <w:rsid w:val="002D762E"/>
    <w:rsid w:val="002D7B6B"/>
    <w:rsid w:val="002E0429"/>
    <w:rsid w:val="002E0EC0"/>
    <w:rsid w:val="002E166F"/>
    <w:rsid w:val="002E2C7E"/>
    <w:rsid w:val="002E3316"/>
    <w:rsid w:val="002E3654"/>
    <w:rsid w:val="002E513E"/>
    <w:rsid w:val="002E51EA"/>
    <w:rsid w:val="002E5C6A"/>
    <w:rsid w:val="002E641F"/>
    <w:rsid w:val="002E64C9"/>
    <w:rsid w:val="002E6C1E"/>
    <w:rsid w:val="002E704D"/>
    <w:rsid w:val="002E7575"/>
    <w:rsid w:val="002E7CBA"/>
    <w:rsid w:val="002F0197"/>
    <w:rsid w:val="002F01E1"/>
    <w:rsid w:val="002F04C8"/>
    <w:rsid w:val="002F19CF"/>
    <w:rsid w:val="002F19E7"/>
    <w:rsid w:val="002F254C"/>
    <w:rsid w:val="002F28DB"/>
    <w:rsid w:val="002F2F5A"/>
    <w:rsid w:val="002F39BA"/>
    <w:rsid w:val="002F46B4"/>
    <w:rsid w:val="002F4E10"/>
    <w:rsid w:val="002F541D"/>
    <w:rsid w:val="002F558F"/>
    <w:rsid w:val="002F5776"/>
    <w:rsid w:val="002F5EF2"/>
    <w:rsid w:val="002F6F9C"/>
    <w:rsid w:val="002F7167"/>
    <w:rsid w:val="002F76B4"/>
    <w:rsid w:val="002F7C20"/>
    <w:rsid w:val="002F7C70"/>
    <w:rsid w:val="00300B1C"/>
    <w:rsid w:val="00302AD6"/>
    <w:rsid w:val="00302EE1"/>
    <w:rsid w:val="003032C5"/>
    <w:rsid w:val="003036CF"/>
    <w:rsid w:val="003047A3"/>
    <w:rsid w:val="003047FC"/>
    <w:rsid w:val="00304F6A"/>
    <w:rsid w:val="003056F8"/>
    <w:rsid w:val="00306103"/>
    <w:rsid w:val="003068D0"/>
    <w:rsid w:val="0031032C"/>
    <w:rsid w:val="003109E0"/>
    <w:rsid w:val="003132BD"/>
    <w:rsid w:val="00313DFF"/>
    <w:rsid w:val="003143AF"/>
    <w:rsid w:val="003146E9"/>
    <w:rsid w:val="00314AEA"/>
    <w:rsid w:val="00314C9E"/>
    <w:rsid w:val="003159BF"/>
    <w:rsid w:val="00315E6C"/>
    <w:rsid w:val="003162B4"/>
    <w:rsid w:val="00316B5B"/>
    <w:rsid w:val="00317453"/>
    <w:rsid w:val="003210E3"/>
    <w:rsid w:val="00322047"/>
    <w:rsid w:val="00322154"/>
    <w:rsid w:val="00323471"/>
    <w:rsid w:val="00323534"/>
    <w:rsid w:val="00324DDA"/>
    <w:rsid w:val="00326420"/>
    <w:rsid w:val="00327445"/>
    <w:rsid w:val="00327D5D"/>
    <w:rsid w:val="00330536"/>
    <w:rsid w:val="00331001"/>
    <w:rsid w:val="003311A3"/>
    <w:rsid w:val="00333795"/>
    <w:rsid w:val="00333867"/>
    <w:rsid w:val="00333C34"/>
    <w:rsid w:val="00334D7D"/>
    <w:rsid w:val="00334FA1"/>
    <w:rsid w:val="00335ADA"/>
    <w:rsid w:val="003362C4"/>
    <w:rsid w:val="00336C36"/>
    <w:rsid w:val="00337AAB"/>
    <w:rsid w:val="00337B70"/>
    <w:rsid w:val="00337D78"/>
    <w:rsid w:val="00340480"/>
    <w:rsid w:val="0034061D"/>
    <w:rsid w:val="003418BF"/>
    <w:rsid w:val="00342863"/>
    <w:rsid w:val="00342ED8"/>
    <w:rsid w:val="00345406"/>
    <w:rsid w:val="003469D1"/>
    <w:rsid w:val="003471C7"/>
    <w:rsid w:val="00347A3B"/>
    <w:rsid w:val="003518DD"/>
    <w:rsid w:val="003518E2"/>
    <w:rsid w:val="00351BAA"/>
    <w:rsid w:val="00352D3F"/>
    <w:rsid w:val="00352DF6"/>
    <w:rsid w:val="003533D2"/>
    <w:rsid w:val="00353C1C"/>
    <w:rsid w:val="003544E5"/>
    <w:rsid w:val="00355B9D"/>
    <w:rsid w:val="00356658"/>
    <w:rsid w:val="00356926"/>
    <w:rsid w:val="00356A8E"/>
    <w:rsid w:val="00356D94"/>
    <w:rsid w:val="00357298"/>
    <w:rsid w:val="0035749F"/>
    <w:rsid w:val="00357572"/>
    <w:rsid w:val="00357CE7"/>
    <w:rsid w:val="00357E0E"/>
    <w:rsid w:val="003609FA"/>
    <w:rsid w:val="00360FDC"/>
    <w:rsid w:val="00361142"/>
    <w:rsid w:val="003612F5"/>
    <w:rsid w:val="00361EEF"/>
    <w:rsid w:val="00362C89"/>
    <w:rsid w:val="003633AA"/>
    <w:rsid w:val="00363458"/>
    <w:rsid w:val="003639DF"/>
    <w:rsid w:val="003658B8"/>
    <w:rsid w:val="00366E2C"/>
    <w:rsid w:val="00367E19"/>
    <w:rsid w:val="00370567"/>
    <w:rsid w:val="00370E0C"/>
    <w:rsid w:val="00371051"/>
    <w:rsid w:val="003716CB"/>
    <w:rsid w:val="00371A50"/>
    <w:rsid w:val="0037217A"/>
    <w:rsid w:val="00372788"/>
    <w:rsid w:val="00373879"/>
    <w:rsid w:val="00373CD9"/>
    <w:rsid w:val="00374666"/>
    <w:rsid w:val="00377397"/>
    <w:rsid w:val="003802E5"/>
    <w:rsid w:val="00380901"/>
    <w:rsid w:val="00380B38"/>
    <w:rsid w:val="00380E2A"/>
    <w:rsid w:val="00381034"/>
    <w:rsid w:val="00383587"/>
    <w:rsid w:val="00384905"/>
    <w:rsid w:val="00385B65"/>
    <w:rsid w:val="00385F78"/>
    <w:rsid w:val="003874D8"/>
    <w:rsid w:val="00387502"/>
    <w:rsid w:val="003879F1"/>
    <w:rsid w:val="00387D0C"/>
    <w:rsid w:val="00390078"/>
    <w:rsid w:val="003901AA"/>
    <w:rsid w:val="00390783"/>
    <w:rsid w:val="00391F6A"/>
    <w:rsid w:val="00393035"/>
    <w:rsid w:val="003939E2"/>
    <w:rsid w:val="00393CBC"/>
    <w:rsid w:val="00394EA4"/>
    <w:rsid w:val="00395077"/>
    <w:rsid w:val="00396862"/>
    <w:rsid w:val="00396EC7"/>
    <w:rsid w:val="003971C5"/>
    <w:rsid w:val="00397556"/>
    <w:rsid w:val="00397D5A"/>
    <w:rsid w:val="00397E91"/>
    <w:rsid w:val="003A04CA"/>
    <w:rsid w:val="003A10ED"/>
    <w:rsid w:val="003A262C"/>
    <w:rsid w:val="003A2AD2"/>
    <w:rsid w:val="003A3359"/>
    <w:rsid w:val="003A37C6"/>
    <w:rsid w:val="003A488C"/>
    <w:rsid w:val="003A4A16"/>
    <w:rsid w:val="003A5B7A"/>
    <w:rsid w:val="003A631E"/>
    <w:rsid w:val="003A6535"/>
    <w:rsid w:val="003A6B5C"/>
    <w:rsid w:val="003A7506"/>
    <w:rsid w:val="003A774D"/>
    <w:rsid w:val="003A781F"/>
    <w:rsid w:val="003B057E"/>
    <w:rsid w:val="003B05B4"/>
    <w:rsid w:val="003B119A"/>
    <w:rsid w:val="003B2330"/>
    <w:rsid w:val="003B278C"/>
    <w:rsid w:val="003B2912"/>
    <w:rsid w:val="003B3469"/>
    <w:rsid w:val="003B4F8A"/>
    <w:rsid w:val="003B563C"/>
    <w:rsid w:val="003B56B6"/>
    <w:rsid w:val="003B5738"/>
    <w:rsid w:val="003B6785"/>
    <w:rsid w:val="003B6977"/>
    <w:rsid w:val="003B780C"/>
    <w:rsid w:val="003B7C05"/>
    <w:rsid w:val="003C1787"/>
    <w:rsid w:val="003C1C89"/>
    <w:rsid w:val="003C233C"/>
    <w:rsid w:val="003C3951"/>
    <w:rsid w:val="003C3DF2"/>
    <w:rsid w:val="003C4784"/>
    <w:rsid w:val="003C4912"/>
    <w:rsid w:val="003C568C"/>
    <w:rsid w:val="003C5BAC"/>
    <w:rsid w:val="003C61F2"/>
    <w:rsid w:val="003C64B8"/>
    <w:rsid w:val="003D0F0A"/>
    <w:rsid w:val="003D0F5D"/>
    <w:rsid w:val="003D2D77"/>
    <w:rsid w:val="003D30E4"/>
    <w:rsid w:val="003D3F89"/>
    <w:rsid w:val="003D4222"/>
    <w:rsid w:val="003D4368"/>
    <w:rsid w:val="003D466B"/>
    <w:rsid w:val="003D476C"/>
    <w:rsid w:val="003D4A19"/>
    <w:rsid w:val="003D4E76"/>
    <w:rsid w:val="003D5162"/>
    <w:rsid w:val="003D59AB"/>
    <w:rsid w:val="003D5CC2"/>
    <w:rsid w:val="003D6089"/>
    <w:rsid w:val="003D699E"/>
    <w:rsid w:val="003D6E48"/>
    <w:rsid w:val="003D7230"/>
    <w:rsid w:val="003D72F8"/>
    <w:rsid w:val="003D7C9D"/>
    <w:rsid w:val="003E1B8A"/>
    <w:rsid w:val="003E1D67"/>
    <w:rsid w:val="003E26B9"/>
    <w:rsid w:val="003E2827"/>
    <w:rsid w:val="003E3A39"/>
    <w:rsid w:val="003E4A19"/>
    <w:rsid w:val="003E4C7F"/>
    <w:rsid w:val="003E4EE4"/>
    <w:rsid w:val="003E58A8"/>
    <w:rsid w:val="003E5CA6"/>
    <w:rsid w:val="003E71CE"/>
    <w:rsid w:val="003E7EE4"/>
    <w:rsid w:val="003F0571"/>
    <w:rsid w:val="003F0781"/>
    <w:rsid w:val="003F0C06"/>
    <w:rsid w:val="003F3CAC"/>
    <w:rsid w:val="003F473E"/>
    <w:rsid w:val="003F4867"/>
    <w:rsid w:val="003F5AE0"/>
    <w:rsid w:val="003F5C3E"/>
    <w:rsid w:val="003F7837"/>
    <w:rsid w:val="004002F8"/>
    <w:rsid w:val="00401A02"/>
    <w:rsid w:val="00401BC5"/>
    <w:rsid w:val="00402F33"/>
    <w:rsid w:val="004032B2"/>
    <w:rsid w:val="00404685"/>
    <w:rsid w:val="0040570F"/>
    <w:rsid w:val="00405C5C"/>
    <w:rsid w:val="00405D92"/>
    <w:rsid w:val="004066E2"/>
    <w:rsid w:val="00407F35"/>
    <w:rsid w:val="00407FE6"/>
    <w:rsid w:val="00410062"/>
    <w:rsid w:val="004106B9"/>
    <w:rsid w:val="00410BCA"/>
    <w:rsid w:val="00410DCF"/>
    <w:rsid w:val="004122E1"/>
    <w:rsid w:val="004151F0"/>
    <w:rsid w:val="004159A2"/>
    <w:rsid w:val="004168AE"/>
    <w:rsid w:val="004174B0"/>
    <w:rsid w:val="00417E7D"/>
    <w:rsid w:val="0042050C"/>
    <w:rsid w:val="0042075A"/>
    <w:rsid w:val="0042081B"/>
    <w:rsid w:val="004214EC"/>
    <w:rsid w:val="004218C2"/>
    <w:rsid w:val="00421D5B"/>
    <w:rsid w:val="00424F32"/>
    <w:rsid w:val="004256C6"/>
    <w:rsid w:val="00426BA6"/>
    <w:rsid w:val="00430E25"/>
    <w:rsid w:val="004312D8"/>
    <w:rsid w:val="00435311"/>
    <w:rsid w:val="00435578"/>
    <w:rsid w:val="004363C9"/>
    <w:rsid w:val="00436AE2"/>
    <w:rsid w:val="00437FA1"/>
    <w:rsid w:val="0044001D"/>
    <w:rsid w:val="00441392"/>
    <w:rsid w:val="00442155"/>
    <w:rsid w:val="00442625"/>
    <w:rsid w:val="00442AC0"/>
    <w:rsid w:val="00442D71"/>
    <w:rsid w:val="00443172"/>
    <w:rsid w:val="0044320D"/>
    <w:rsid w:val="00443293"/>
    <w:rsid w:val="00443471"/>
    <w:rsid w:val="0044357A"/>
    <w:rsid w:val="004437F2"/>
    <w:rsid w:val="00443AC9"/>
    <w:rsid w:val="004450CA"/>
    <w:rsid w:val="004461FA"/>
    <w:rsid w:val="00446967"/>
    <w:rsid w:val="004479DC"/>
    <w:rsid w:val="00447A72"/>
    <w:rsid w:val="004509D2"/>
    <w:rsid w:val="0045107D"/>
    <w:rsid w:val="0045117F"/>
    <w:rsid w:val="00451542"/>
    <w:rsid w:val="0045156A"/>
    <w:rsid w:val="00452285"/>
    <w:rsid w:val="00452A38"/>
    <w:rsid w:val="00452C34"/>
    <w:rsid w:val="00454301"/>
    <w:rsid w:val="004550F1"/>
    <w:rsid w:val="0045612A"/>
    <w:rsid w:val="004571BF"/>
    <w:rsid w:val="004572E6"/>
    <w:rsid w:val="00457BCB"/>
    <w:rsid w:val="0046008D"/>
    <w:rsid w:val="00460745"/>
    <w:rsid w:val="004616AA"/>
    <w:rsid w:val="00461BCB"/>
    <w:rsid w:val="00461EC8"/>
    <w:rsid w:val="00463370"/>
    <w:rsid w:val="004635DC"/>
    <w:rsid w:val="00463FEB"/>
    <w:rsid w:val="00464112"/>
    <w:rsid w:val="00464155"/>
    <w:rsid w:val="00464875"/>
    <w:rsid w:val="004648BC"/>
    <w:rsid w:val="00465659"/>
    <w:rsid w:val="00465694"/>
    <w:rsid w:val="0046573A"/>
    <w:rsid w:val="00465B53"/>
    <w:rsid w:val="00465F1C"/>
    <w:rsid w:val="004664CA"/>
    <w:rsid w:val="004668A4"/>
    <w:rsid w:val="00467531"/>
    <w:rsid w:val="004705C4"/>
    <w:rsid w:val="00470647"/>
    <w:rsid w:val="00471030"/>
    <w:rsid w:val="0047184B"/>
    <w:rsid w:val="00471F96"/>
    <w:rsid w:val="00472702"/>
    <w:rsid w:val="00472D63"/>
    <w:rsid w:val="00472ECC"/>
    <w:rsid w:val="00473128"/>
    <w:rsid w:val="00473976"/>
    <w:rsid w:val="00474188"/>
    <w:rsid w:val="00474904"/>
    <w:rsid w:val="00474C0D"/>
    <w:rsid w:val="0047558E"/>
    <w:rsid w:val="00475E68"/>
    <w:rsid w:val="00476908"/>
    <w:rsid w:val="004769A1"/>
    <w:rsid w:val="0047716E"/>
    <w:rsid w:val="0047796F"/>
    <w:rsid w:val="004813D7"/>
    <w:rsid w:val="004813FD"/>
    <w:rsid w:val="004831E0"/>
    <w:rsid w:val="00483482"/>
    <w:rsid w:val="00484873"/>
    <w:rsid w:val="0048507E"/>
    <w:rsid w:val="004854F9"/>
    <w:rsid w:val="00485704"/>
    <w:rsid w:val="00485C78"/>
    <w:rsid w:val="00485DC3"/>
    <w:rsid w:val="0048736B"/>
    <w:rsid w:val="00490178"/>
    <w:rsid w:val="00490192"/>
    <w:rsid w:val="004906AD"/>
    <w:rsid w:val="0049189A"/>
    <w:rsid w:val="00491CEC"/>
    <w:rsid w:val="004922EE"/>
    <w:rsid w:val="0049343D"/>
    <w:rsid w:val="00493E8B"/>
    <w:rsid w:val="004946CC"/>
    <w:rsid w:val="00494746"/>
    <w:rsid w:val="00494D2A"/>
    <w:rsid w:val="00496983"/>
    <w:rsid w:val="0049698C"/>
    <w:rsid w:val="00497C67"/>
    <w:rsid w:val="00497E38"/>
    <w:rsid w:val="00497EF9"/>
    <w:rsid w:val="004A004E"/>
    <w:rsid w:val="004A0163"/>
    <w:rsid w:val="004A1C9C"/>
    <w:rsid w:val="004A209A"/>
    <w:rsid w:val="004A2E2D"/>
    <w:rsid w:val="004A3523"/>
    <w:rsid w:val="004A37ED"/>
    <w:rsid w:val="004A4C47"/>
    <w:rsid w:val="004A501F"/>
    <w:rsid w:val="004A550D"/>
    <w:rsid w:val="004A613E"/>
    <w:rsid w:val="004A70AF"/>
    <w:rsid w:val="004A73BE"/>
    <w:rsid w:val="004A792C"/>
    <w:rsid w:val="004B1A9E"/>
    <w:rsid w:val="004B30C8"/>
    <w:rsid w:val="004B31B2"/>
    <w:rsid w:val="004B33D5"/>
    <w:rsid w:val="004B3412"/>
    <w:rsid w:val="004B4652"/>
    <w:rsid w:val="004B4BD9"/>
    <w:rsid w:val="004B6804"/>
    <w:rsid w:val="004B6BEF"/>
    <w:rsid w:val="004B7C95"/>
    <w:rsid w:val="004C0440"/>
    <w:rsid w:val="004C13D3"/>
    <w:rsid w:val="004C14CB"/>
    <w:rsid w:val="004C3123"/>
    <w:rsid w:val="004C3306"/>
    <w:rsid w:val="004C35EE"/>
    <w:rsid w:val="004C38BA"/>
    <w:rsid w:val="004C48F7"/>
    <w:rsid w:val="004C70DE"/>
    <w:rsid w:val="004C7A45"/>
    <w:rsid w:val="004C7AB8"/>
    <w:rsid w:val="004C7DFF"/>
    <w:rsid w:val="004C7EAB"/>
    <w:rsid w:val="004C7F0C"/>
    <w:rsid w:val="004D0185"/>
    <w:rsid w:val="004D0A56"/>
    <w:rsid w:val="004D13B2"/>
    <w:rsid w:val="004D18B5"/>
    <w:rsid w:val="004D376F"/>
    <w:rsid w:val="004D40FD"/>
    <w:rsid w:val="004D4186"/>
    <w:rsid w:val="004D426D"/>
    <w:rsid w:val="004D4285"/>
    <w:rsid w:val="004D46DF"/>
    <w:rsid w:val="004D4ACA"/>
    <w:rsid w:val="004D4E04"/>
    <w:rsid w:val="004D7388"/>
    <w:rsid w:val="004E079F"/>
    <w:rsid w:val="004E19BE"/>
    <w:rsid w:val="004E1C82"/>
    <w:rsid w:val="004E2237"/>
    <w:rsid w:val="004E2704"/>
    <w:rsid w:val="004E2856"/>
    <w:rsid w:val="004E2A9E"/>
    <w:rsid w:val="004E3936"/>
    <w:rsid w:val="004E39F4"/>
    <w:rsid w:val="004E3A1F"/>
    <w:rsid w:val="004E421D"/>
    <w:rsid w:val="004E4C6D"/>
    <w:rsid w:val="004E5FDB"/>
    <w:rsid w:val="004E6403"/>
    <w:rsid w:val="004E6ADB"/>
    <w:rsid w:val="004E7002"/>
    <w:rsid w:val="004E704F"/>
    <w:rsid w:val="004E705D"/>
    <w:rsid w:val="004E7D9F"/>
    <w:rsid w:val="004F04B2"/>
    <w:rsid w:val="004F2C56"/>
    <w:rsid w:val="004F2C66"/>
    <w:rsid w:val="004F2EA2"/>
    <w:rsid w:val="004F2F3B"/>
    <w:rsid w:val="004F30E6"/>
    <w:rsid w:val="004F393A"/>
    <w:rsid w:val="004F3DD5"/>
    <w:rsid w:val="004F418D"/>
    <w:rsid w:val="004F4D5A"/>
    <w:rsid w:val="004F5167"/>
    <w:rsid w:val="004F5FB4"/>
    <w:rsid w:val="004F6641"/>
    <w:rsid w:val="00500F12"/>
    <w:rsid w:val="00501C56"/>
    <w:rsid w:val="00501DE5"/>
    <w:rsid w:val="0050266C"/>
    <w:rsid w:val="00502CD7"/>
    <w:rsid w:val="00503F48"/>
    <w:rsid w:val="005056E1"/>
    <w:rsid w:val="005057D5"/>
    <w:rsid w:val="00506D83"/>
    <w:rsid w:val="005104A5"/>
    <w:rsid w:val="00511C18"/>
    <w:rsid w:val="00511E30"/>
    <w:rsid w:val="005123EE"/>
    <w:rsid w:val="00512442"/>
    <w:rsid w:val="00513C9B"/>
    <w:rsid w:val="00513CA1"/>
    <w:rsid w:val="00515300"/>
    <w:rsid w:val="00515687"/>
    <w:rsid w:val="00515C79"/>
    <w:rsid w:val="005160C9"/>
    <w:rsid w:val="00517AA5"/>
    <w:rsid w:val="00520786"/>
    <w:rsid w:val="00522627"/>
    <w:rsid w:val="00523044"/>
    <w:rsid w:val="00524D69"/>
    <w:rsid w:val="00524E77"/>
    <w:rsid w:val="00525763"/>
    <w:rsid w:val="00525A22"/>
    <w:rsid w:val="00525AAF"/>
    <w:rsid w:val="00526721"/>
    <w:rsid w:val="00530AE6"/>
    <w:rsid w:val="00530C9E"/>
    <w:rsid w:val="00531927"/>
    <w:rsid w:val="00531EE0"/>
    <w:rsid w:val="005321D7"/>
    <w:rsid w:val="005329F2"/>
    <w:rsid w:val="00533B44"/>
    <w:rsid w:val="00533EEC"/>
    <w:rsid w:val="00533F20"/>
    <w:rsid w:val="0053437A"/>
    <w:rsid w:val="00534661"/>
    <w:rsid w:val="00534861"/>
    <w:rsid w:val="00534976"/>
    <w:rsid w:val="00534D6D"/>
    <w:rsid w:val="00535983"/>
    <w:rsid w:val="005377D6"/>
    <w:rsid w:val="005378EB"/>
    <w:rsid w:val="00541D0F"/>
    <w:rsid w:val="00543617"/>
    <w:rsid w:val="0054362D"/>
    <w:rsid w:val="00544375"/>
    <w:rsid w:val="00545634"/>
    <w:rsid w:val="00546A42"/>
    <w:rsid w:val="00546F81"/>
    <w:rsid w:val="0054771D"/>
    <w:rsid w:val="0054782E"/>
    <w:rsid w:val="005500A5"/>
    <w:rsid w:val="005503A6"/>
    <w:rsid w:val="00550B56"/>
    <w:rsid w:val="00551E90"/>
    <w:rsid w:val="00552C87"/>
    <w:rsid w:val="00553817"/>
    <w:rsid w:val="00553A89"/>
    <w:rsid w:val="00554B1A"/>
    <w:rsid w:val="0055505B"/>
    <w:rsid w:val="0055646D"/>
    <w:rsid w:val="00556501"/>
    <w:rsid w:val="005573B1"/>
    <w:rsid w:val="005577C3"/>
    <w:rsid w:val="0056065F"/>
    <w:rsid w:val="00560B5D"/>
    <w:rsid w:val="0056121D"/>
    <w:rsid w:val="00562A57"/>
    <w:rsid w:val="00562F71"/>
    <w:rsid w:val="00563E7C"/>
    <w:rsid w:val="00564088"/>
    <w:rsid w:val="0056561D"/>
    <w:rsid w:val="00565E19"/>
    <w:rsid w:val="00566288"/>
    <w:rsid w:val="005700E5"/>
    <w:rsid w:val="0057104B"/>
    <w:rsid w:val="00572607"/>
    <w:rsid w:val="00573FE7"/>
    <w:rsid w:val="00577164"/>
    <w:rsid w:val="00580BE5"/>
    <w:rsid w:val="005824F0"/>
    <w:rsid w:val="0058324F"/>
    <w:rsid w:val="005843A9"/>
    <w:rsid w:val="005860E8"/>
    <w:rsid w:val="0058750C"/>
    <w:rsid w:val="00587ACE"/>
    <w:rsid w:val="005902F1"/>
    <w:rsid w:val="0059081F"/>
    <w:rsid w:val="005910F1"/>
    <w:rsid w:val="005917BE"/>
    <w:rsid w:val="00591A88"/>
    <w:rsid w:val="00591E8F"/>
    <w:rsid w:val="00593D53"/>
    <w:rsid w:val="00594865"/>
    <w:rsid w:val="00594DE8"/>
    <w:rsid w:val="00594EA8"/>
    <w:rsid w:val="005950F5"/>
    <w:rsid w:val="00595512"/>
    <w:rsid w:val="0059559C"/>
    <w:rsid w:val="0059594F"/>
    <w:rsid w:val="00595C8E"/>
    <w:rsid w:val="00595D94"/>
    <w:rsid w:val="00595F1B"/>
    <w:rsid w:val="0059603B"/>
    <w:rsid w:val="0059638A"/>
    <w:rsid w:val="005966B6"/>
    <w:rsid w:val="00596CB8"/>
    <w:rsid w:val="00596EC6"/>
    <w:rsid w:val="005A4709"/>
    <w:rsid w:val="005A5E6E"/>
    <w:rsid w:val="005A68B9"/>
    <w:rsid w:val="005A6C3C"/>
    <w:rsid w:val="005A70EA"/>
    <w:rsid w:val="005A7858"/>
    <w:rsid w:val="005A78EF"/>
    <w:rsid w:val="005A7F7E"/>
    <w:rsid w:val="005B0B4F"/>
    <w:rsid w:val="005B194F"/>
    <w:rsid w:val="005B2296"/>
    <w:rsid w:val="005B2E82"/>
    <w:rsid w:val="005B336D"/>
    <w:rsid w:val="005B4817"/>
    <w:rsid w:val="005B4EBE"/>
    <w:rsid w:val="005B5068"/>
    <w:rsid w:val="005B515E"/>
    <w:rsid w:val="005B54C2"/>
    <w:rsid w:val="005B5CC1"/>
    <w:rsid w:val="005B60C0"/>
    <w:rsid w:val="005B64ED"/>
    <w:rsid w:val="005B6520"/>
    <w:rsid w:val="005B66A2"/>
    <w:rsid w:val="005B66A5"/>
    <w:rsid w:val="005B671B"/>
    <w:rsid w:val="005B6DCD"/>
    <w:rsid w:val="005B7098"/>
    <w:rsid w:val="005B762F"/>
    <w:rsid w:val="005C14AA"/>
    <w:rsid w:val="005C33D2"/>
    <w:rsid w:val="005C4E13"/>
    <w:rsid w:val="005C58B5"/>
    <w:rsid w:val="005C5A39"/>
    <w:rsid w:val="005C6E32"/>
    <w:rsid w:val="005C7483"/>
    <w:rsid w:val="005C798E"/>
    <w:rsid w:val="005D025C"/>
    <w:rsid w:val="005D12B7"/>
    <w:rsid w:val="005D1976"/>
    <w:rsid w:val="005D27E7"/>
    <w:rsid w:val="005D31CE"/>
    <w:rsid w:val="005D39F2"/>
    <w:rsid w:val="005D3F55"/>
    <w:rsid w:val="005D4E3C"/>
    <w:rsid w:val="005D505F"/>
    <w:rsid w:val="005D644B"/>
    <w:rsid w:val="005D6853"/>
    <w:rsid w:val="005D6D7B"/>
    <w:rsid w:val="005D6F9C"/>
    <w:rsid w:val="005D7FFE"/>
    <w:rsid w:val="005E0640"/>
    <w:rsid w:val="005E089A"/>
    <w:rsid w:val="005E10C0"/>
    <w:rsid w:val="005E1E3F"/>
    <w:rsid w:val="005E20FE"/>
    <w:rsid w:val="005E268C"/>
    <w:rsid w:val="005E3437"/>
    <w:rsid w:val="005E391B"/>
    <w:rsid w:val="005E392B"/>
    <w:rsid w:val="005E5466"/>
    <w:rsid w:val="005E55FC"/>
    <w:rsid w:val="005E5CC6"/>
    <w:rsid w:val="005E5EF5"/>
    <w:rsid w:val="005E627F"/>
    <w:rsid w:val="005E6FE9"/>
    <w:rsid w:val="005E7573"/>
    <w:rsid w:val="005E772E"/>
    <w:rsid w:val="005E77CB"/>
    <w:rsid w:val="005E7C50"/>
    <w:rsid w:val="005E7DFC"/>
    <w:rsid w:val="005F022A"/>
    <w:rsid w:val="005F055F"/>
    <w:rsid w:val="005F08DB"/>
    <w:rsid w:val="005F21D7"/>
    <w:rsid w:val="005F2428"/>
    <w:rsid w:val="005F2C1D"/>
    <w:rsid w:val="005F4682"/>
    <w:rsid w:val="005F6129"/>
    <w:rsid w:val="005F702C"/>
    <w:rsid w:val="005F7C27"/>
    <w:rsid w:val="005F7D13"/>
    <w:rsid w:val="006003B3"/>
    <w:rsid w:val="00600527"/>
    <w:rsid w:val="00600579"/>
    <w:rsid w:val="0060076E"/>
    <w:rsid w:val="00601325"/>
    <w:rsid w:val="00601A08"/>
    <w:rsid w:val="00601E25"/>
    <w:rsid w:val="006028DC"/>
    <w:rsid w:val="006032EA"/>
    <w:rsid w:val="00604A96"/>
    <w:rsid w:val="00604CF7"/>
    <w:rsid w:val="00605145"/>
    <w:rsid w:val="00605B28"/>
    <w:rsid w:val="00606E0E"/>
    <w:rsid w:val="00606EE4"/>
    <w:rsid w:val="006078C4"/>
    <w:rsid w:val="0061033A"/>
    <w:rsid w:val="006106A6"/>
    <w:rsid w:val="0061263C"/>
    <w:rsid w:val="00612AAD"/>
    <w:rsid w:val="00612BBE"/>
    <w:rsid w:val="00613A33"/>
    <w:rsid w:val="0061401C"/>
    <w:rsid w:val="00617BDE"/>
    <w:rsid w:val="00617CB2"/>
    <w:rsid w:val="006211D2"/>
    <w:rsid w:val="00621663"/>
    <w:rsid w:val="00622026"/>
    <w:rsid w:val="00622CA5"/>
    <w:rsid w:val="00623082"/>
    <w:rsid w:val="00624CFA"/>
    <w:rsid w:val="00624F77"/>
    <w:rsid w:val="006255EE"/>
    <w:rsid w:val="00625C36"/>
    <w:rsid w:val="0062604B"/>
    <w:rsid w:val="0062683B"/>
    <w:rsid w:val="006271A6"/>
    <w:rsid w:val="0062725B"/>
    <w:rsid w:val="006304AB"/>
    <w:rsid w:val="00630928"/>
    <w:rsid w:val="00630A3C"/>
    <w:rsid w:val="00630E5A"/>
    <w:rsid w:val="00631149"/>
    <w:rsid w:val="006313B7"/>
    <w:rsid w:val="00631FAF"/>
    <w:rsid w:val="00632060"/>
    <w:rsid w:val="00633CCB"/>
    <w:rsid w:val="00633F25"/>
    <w:rsid w:val="00634610"/>
    <w:rsid w:val="00634701"/>
    <w:rsid w:val="00634BE0"/>
    <w:rsid w:val="00634E59"/>
    <w:rsid w:val="006355A6"/>
    <w:rsid w:val="00635740"/>
    <w:rsid w:val="00635DA2"/>
    <w:rsid w:val="00636AE5"/>
    <w:rsid w:val="00636F3E"/>
    <w:rsid w:val="00637923"/>
    <w:rsid w:val="00637CF5"/>
    <w:rsid w:val="00640D64"/>
    <w:rsid w:val="006444FC"/>
    <w:rsid w:val="006448FF"/>
    <w:rsid w:val="00645483"/>
    <w:rsid w:val="006463F7"/>
    <w:rsid w:val="00652710"/>
    <w:rsid w:val="00653624"/>
    <w:rsid w:val="00653C80"/>
    <w:rsid w:val="00654493"/>
    <w:rsid w:val="00654F89"/>
    <w:rsid w:val="00656126"/>
    <w:rsid w:val="00656C72"/>
    <w:rsid w:val="0065728E"/>
    <w:rsid w:val="00657785"/>
    <w:rsid w:val="00657C0C"/>
    <w:rsid w:val="0066069E"/>
    <w:rsid w:val="00662A48"/>
    <w:rsid w:val="00662D3E"/>
    <w:rsid w:val="00662E58"/>
    <w:rsid w:val="006636B5"/>
    <w:rsid w:val="006639F5"/>
    <w:rsid w:val="00664432"/>
    <w:rsid w:val="00664796"/>
    <w:rsid w:val="006649AF"/>
    <w:rsid w:val="006676FE"/>
    <w:rsid w:val="00667DD3"/>
    <w:rsid w:val="0067067E"/>
    <w:rsid w:val="006707E7"/>
    <w:rsid w:val="006711D1"/>
    <w:rsid w:val="006718BF"/>
    <w:rsid w:val="00672048"/>
    <w:rsid w:val="0067297C"/>
    <w:rsid w:val="00673336"/>
    <w:rsid w:val="00675F71"/>
    <w:rsid w:val="00676232"/>
    <w:rsid w:val="00680D74"/>
    <w:rsid w:val="0068197E"/>
    <w:rsid w:val="006820B5"/>
    <w:rsid w:val="00683181"/>
    <w:rsid w:val="00683554"/>
    <w:rsid w:val="00683ABE"/>
    <w:rsid w:val="006843F5"/>
    <w:rsid w:val="006847A4"/>
    <w:rsid w:val="00685A30"/>
    <w:rsid w:val="0068655E"/>
    <w:rsid w:val="00686AD0"/>
    <w:rsid w:val="00687087"/>
    <w:rsid w:val="00687341"/>
    <w:rsid w:val="006874C2"/>
    <w:rsid w:val="00690589"/>
    <w:rsid w:val="00691065"/>
    <w:rsid w:val="00692412"/>
    <w:rsid w:val="0069312F"/>
    <w:rsid w:val="00693760"/>
    <w:rsid w:val="006942A6"/>
    <w:rsid w:val="0069483F"/>
    <w:rsid w:val="00694D04"/>
    <w:rsid w:val="00695463"/>
    <w:rsid w:val="00696486"/>
    <w:rsid w:val="00696F48"/>
    <w:rsid w:val="00697CD7"/>
    <w:rsid w:val="006A02E4"/>
    <w:rsid w:val="006A04B3"/>
    <w:rsid w:val="006A0AEB"/>
    <w:rsid w:val="006A0B43"/>
    <w:rsid w:val="006A0F7E"/>
    <w:rsid w:val="006A1144"/>
    <w:rsid w:val="006A1A2B"/>
    <w:rsid w:val="006A20ED"/>
    <w:rsid w:val="006A2129"/>
    <w:rsid w:val="006A2275"/>
    <w:rsid w:val="006A26D1"/>
    <w:rsid w:val="006A276F"/>
    <w:rsid w:val="006A3593"/>
    <w:rsid w:val="006A3A6D"/>
    <w:rsid w:val="006A3BA1"/>
    <w:rsid w:val="006A3D0E"/>
    <w:rsid w:val="006A3FF6"/>
    <w:rsid w:val="006A4773"/>
    <w:rsid w:val="006A5811"/>
    <w:rsid w:val="006A5FBC"/>
    <w:rsid w:val="006A6E9E"/>
    <w:rsid w:val="006A7434"/>
    <w:rsid w:val="006B027D"/>
    <w:rsid w:val="006B0F93"/>
    <w:rsid w:val="006B16A9"/>
    <w:rsid w:val="006B1CB6"/>
    <w:rsid w:val="006B3183"/>
    <w:rsid w:val="006B3308"/>
    <w:rsid w:val="006B4ADC"/>
    <w:rsid w:val="006B4E04"/>
    <w:rsid w:val="006B601B"/>
    <w:rsid w:val="006B7D5A"/>
    <w:rsid w:val="006C0593"/>
    <w:rsid w:val="006C0A01"/>
    <w:rsid w:val="006C0B9C"/>
    <w:rsid w:val="006C10EE"/>
    <w:rsid w:val="006C1E3A"/>
    <w:rsid w:val="006C25B3"/>
    <w:rsid w:val="006C3AE3"/>
    <w:rsid w:val="006C3D1F"/>
    <w:rsid w:val="006C6346"/>
    <w:rsid w:val="006C7489"/>
    <w:rsid w:val="006C7827"/>
    <w:rsid w:val="006C7E16"/>
    <w:rsid w:val="006D03CC"/>
    <w:rsid w:val="006D1B5D"/>
    <w:rsid w:val="006D23B8"/>
    <w:rsid w:val="006D2740"/>
    <w:rsid w:val="006D2C01"/>
    <w:rsid w:val="006D3C32"/>
    <w:rsid w:val="006D4658"/>
    <w:rsid w:val="006D5011"/>
    <w:rsid w:val="006D5B31"/>
    <w:rsid w:val="006D6E21"/>
    <w:rsid w:val="006D7BDA"/>
    <w:rsid w:val="006E02C3"/>
    <w:rsid w:val="006E03B5"/>
    <w:rsid w:val="006E0AA3"/>
    <w:rsid w:val="006E11A4"/>
    <w:rsid w:val="006E1391"/>
    <w:rsid w:val="006E30DB"/>
    <w:rsid w:val="006E3428"/>
    <w:rsid w:val="006E3F02"/>
    <w:rsid w:val="006E401F"/>
    <w:rsid w:val="006E4565"/>
    <w:rsid w:val="006E49A5"/>
    <w:rsid w:val="006E71AB"/>
    <w:rsid w:val="006E79E1"/>
    <w:rsid w:val="006F08BA"/>
    <w:rsid w:val="006F0A56"/>
    <w:rsid w:val="006F115D"/>
    <w:rsid w:val="006F2708"/>
    <w:rsid w:val="006F2D15"/>
    <w:rsid w:val="006F2F61"/>
    <w:rsid w:val="006F30A1"/>
    <w:rsid w:val="006F375C"/>
    <w:rsid w:val="006F55E9"/>
    <w:rsid w:val="006F75D7"/>
    <w:rsid w:val="007004B8"/>
    <w:rsid w:val="00700529"/>
    <w:rsid w:val="00700569"/>
    <w:rsid w:val="007007D9"/>
    <w:rsid w:val="00700887"/>
    <w:rsid w:val="00704923"/>
    <w:rsid w:val="00704B98"/>
    <w:rsid w:val="00705363"/>
    <w:rsid w:val="00705A6A"/>
    <w:rsid w:val="00705B16"/>
    <w:rsid w:val="00705E08"/>
    <w:rsid w:val="00706C86"/>
    <w:rsid w:val="00706EE1"/>
    <w:rsid w:val="0071085F"/>
    <w:rsid w:val="0071119C"/>
    <w:rsid w:val="00711497"/>
    <w:rsid w:val="0071184C"/>
    <w:rsid w:val="00712D73"/>
    <w:rsid w:val="00713907"/>
    <w:rsid w:val="00713A84"/>
    <w:rsid w:val="00713CC8"/>
    <w:rsid w:val="00715515"/>
    <w:rsid w:val="007209A0"/>
    <w:rsid w:val="00721408"/>
    <w:rsid w:val="00721CB0"/>
    <w:rsid w:val="0072207D"/>
    <w:rsid w:val="007224D7"/>
    <w:rsid w:val="00722539"/>
    <w:rsid w:val="0072406F"/>
    <w:rsid w:val="007246BB"/>
    <w:rsid w:val="00724AF5"/>
    <w:rsid w:val="00725813"/>
    <w:rsid w:val="007258D2"/>
    <w:rsid w:val="007266AD"/>
    <w:rsid w:val="00726E69"/>
    <w:rsid w:val="0072712F"/>
    <w:rsid w:val="00727662"/>
    <w:rsid w:val="00727B93"/>
    <w:rsid w:val="007319AE"/>
    <w:rsid w:val="00732085"/>
    <w:rsid w:val="00732D4A"/>
    <w:rsid w:val="00732F67"/>
    <w:rsid w:val="0073373B"/>
    <w:rsid w:val="00733A97"/>
    <w:rsid w:val="00733F3E"/>
    <w:rsid w:val="00734D3F"/>
    <w:rsid w:val="007356AD"/>
    <w:rsid w:val="00735C41"/>
    <w:rsid w:val="007362DB"/>
    <w:rsid w:val="00736FE2"/>
    <w:rsid w:val="007379B1"/>
    <w:rsid w:val="00740C32"/>
    <w:rsid w:val="00740E03"/>
    <w:rsid w:val="00742461"/>
    <w:rsid w:val="007426DB"/>
    <w:rsid w:val="0074294F"/>
    <w:rsid w:val="00742DAA"/>
    <w:rsid w:val="007431C8"/>
    <w:rsid w:val="007433BC"/>
    <w:rsid w:val="00744285"/>
    <w:rsid w:val="007455DD"/>
    <w:rsid w:val="0074562C"/>
    <w:rsid w:val="00745DC3"/>
    <w:rsid w:val="007460ED"/>
    <w:rsid w:val="00747E24"/>
    <w:rsid w:val="0075042B"/>
    <w:rsid w:val="00752E5E"/>
    <w:rsid w:val="0075318E"/>
    <w:rsid w:val="0075367E"/>
    <w:rsid w:val="0075388A"/>
    <w:rsid w:val="00753C60"/>
    <w:rsid w:val="0075475A"/>
    <w:rsid w:val="00755463"/>
    <w:rsid w:val="00755502"/>
    <w:rsid w:val="00755F77"/>
    <w:rsid w:val="00756274"/>
    <w:rsid w:val="0075699B"/>
    <w:rsid w:val="00756B78"/>
    <w:rsid w:val="007571D9"/>
    <w:rsid w:val="00760DE7"/>
    <w:rsid w:val="00761638"/>
    <w:rsid w:val="0076243D"/>
    <w:rsid w:val="00763A61"/>
    <w:rsid w:val="00764B9A"/>
    <w:rsid w:val="0076524E"/>
    <w:rsid w:val="00766ABD"/>
    <w:rsid w:val="00767A1A"/>
    <w:rsid w:val="00767AFF"/>
    <w:rsid w:val="00767BFA"/>
    <w:rsid w:val="00767E3F"/>
    <w:rsid w:val="00770C6E"/>
    <w:rsid w:val="007710F5"/>
    <w:rsid w:val="007719A8"/>
    <w:rsid w:val="00771BD7"/>
    <w:rsid w:val="00771CD0"/>
    <w:rsid w:val="00771ECC"/>
    <w:rsid w:val="00772F5E"/>
    <w:rsid w:val="00773B72"/>
    <w:rsid w:val="00773E7E"/>
    <w:rsid w:val="00775887"/>
    <w:rsid w:val="00776B3F"/>
    <w:rsid w:val="00780214"/>
    <w:rsid w:val="0078037B"/>
    <w:rsid w:val="00780560"/>
    <w:rsid w:val="007816E9"/>
    <w:rsid w:val="00781836"/>
    <w:rsid w:val="0078186B"/>
    <w:rsid w:val="0078203C"/>
    <w:rsid w:val="00783000"/>
    <w:rsid w:val="00783B79"/>
    <w:rsid w:val="00785BDA"/>
    <w:rsid w:val="00785DA4"/>
    <w:rsid w:val="007876E0"/>
    <w:rsid w:val="00787A91"/>
    <w:rsid w:val="0079026C"/>
    <w:rsid w:val="0079234F"/>
    <w:rsid w:val="00792CD9"/>
    <w:rsid w:val="00792D7D"/>
    <w:rsid w:val="00793518"/>
    <w:rsid w:val="00793D97"/>
    <w:rsid w:val="007943DC"/>
    <w:rsid w:val="007944FF"/>
    <w:rsid w:val="0079670D"/>
    <w:rsid w:val="007A0B49"/>
    <w:rsid w:val="007A179D"/>
    <w:rsid w:val="007A2E16"/>
    <w:rsid w:val="007A2E3D"/>
    <w:rsid w:val="007A3031"/>
    <w:rsid w:val="007A4999"/>
    <w:rsid w:val="007A4E36"/>
    <w:rsid w:val="007A64A1"/>
    <w:rsid w:val="007A6D86"/>
    <w:rsid w:val="007A729C"/>
    <w:rsid w:val="007A7605"/>
    <w:rsid w:val="007A7BFD"/>
    <w:rsid w:val="007B1316"/>
    <w:rsid w:val="007B141D"/>
    <w:rsid w:val="007B1B5C"/>
    <w:rsid w:val="007B1CC7"/>
    <w:rsid w:val="007B1D54"/>
    <w:rsid w:val="007B2902"/>
    <w:rsid w:val="007B393D"/>
    <w:rsid w:val="007B44F0"/>
    <w:rsid w:val="007B71B9"/>
    <w:rsid w:val="007B7DAD"/>
    <w:rsid w:val="007C0324"/>
    <w:rsid w:val="007C0343"/>
    <w:rsid w:val="007C0A4F"/>
    <w:rsid w:val="007C1799"/>
    <w:rsid w:val="007C1CF2"/>
    <w:rsid w:val="007C2DFD"/>
    <w:rsid w:val="007C3179"/>
    <w:rsid w:val="007C3583"/>
    <w:rsid w:val="007C3794"/>
    <w:rsid w:val="007C3F30"/>
    <w:rsid w:val="007C464A"/>
    <w:rsid w:val="007C4A46"/>
    <w:rsid w:val="007C4B2C"/>
    <w:rsid w:val="007C4B51"/>
    <w:rsid w:val="007C5117"/>
    <w:rsid w:val="007C5B83"/>
    <w:rsid w:val="007C608C"/>
    <w:rsid w:val="007C6C68"/>
    <w:rsid w:val="007C799F"/>
    <w:rsid w:val="007D0F09"/>
    <w:rsid w:val="007D1E1F"/>
    <w:rsid w:val="007D210F"/>
    <w:rsid w:val="007D2614"/>
    <w:rsid w:val="007D2B84"/>
    <w:rsid w:val="007D2E3F"/>
    <w:rsid w:val="007D3F69"/>
    <w:rsid w:val="007D485E"/>
    <w:rsid w:val="007D4B66"/>
    <w:rsid w:val="007D5485"/>
    <w:rsid w:val="007D5766"/>
    <w:rsid w:val="007D6448"/>
    <w:rsid w:val="007D6789"/>
    <w:rsid w:val="007D6A48"/>
    <w:rsid w:val="007D6E0A"/>
    <w:rsid w:val="007D708B"/>
    <w:rsid w:val="007D7163"/>
    <w:rsid w:val="007D79EC"/>
    <w:rsid w:val="007E0855"/>
    <w:rsid w:val="007E086E"/>
    <w:rsid w:val="007E0CA5"/>
    <w:rsid w:val="007E0DC1"/>
    <w:rsid w:val="007E0DEB"/>
    <w:rsid w:val="007E1300"/>
    <w:rsid w:val="007E1956"/>
    <w:rsid w:val="007E3AA5"/>
    <w:rsid w:val="007E4617"/>
    <w:rsid w:val="007E4EAC"/>
    <w:rsid w:val="007E5769"/>
    <w:rsid w:val="007E77CB"/>
    <w:rsid w:val="007F1985"/>
    <w:rsid w:val="007F2009"/>
    <w:rsid w:val="007F29E1"/>
    <w:rsid w:val="007F42F7"/>
    <w:rsid w:val="007F7EC0"/>
    <w:rsid w:val="008002C1"/>
    <w:rsid w:val="00800BA5"/>
    <w:rsid w:val="00801B57"/>
    <w:rsid w:val="00802838"/>
    <w:rsid w:val="00802D52"/>
    <w:rsid w:val="00802E48"/>
    <w:rsid w:val="0080359A"/>
    <w:rsid w:val="00803A33"/>
    <w:rsid w:val="0080480A"/>
    <w:rsid w:val="008050DD"/>
    <w:rsid w:val="00805900"/>
    <w:rsid w:val="00806ABF"/>
    <w:rsid w:val="0080717C"/>
    <w:rsid w:val="00810A79"/>
    <w:rsid w:val="00812158"/>
    <w:rsid w:val="00812386"/>
    <w:rsid w:val="008125A6"/>
    <w:rsid w:val="008127A0"/>
    <w:rsid w:val="008139D1"/>
    <w:rsid w:val="00813BE8"/>
    <w:rsid w:val="00813D08"/>
    <w:rsid w:val="00813EAE"/>
    <w:rsid w:val="008145E6"/>
    <w:rsid w:val="00814FB0"/>
    <w:rsid w:val="00816240"/>
    <w:rsid w:val="00816E47"/>
    <w:rsid w:val="0082016F"/>
    <w:rsid w:val="00820448"/>
    <w:rsid w:val="00820F64"/>
    <w:rsid w:val="008213A0"/>
    <w:rsid w:val="00823223"/>
    <w:rsid w:val="0082692D"/>
    <w:rsid w:val="00826B96"/>
    <w:rsid w:val="008274F6"/>
    <w:rsid w:val="008300AC"/>
    <w:rsid w:val="008305B0"/>
    <w:rsid w:val="00830E69"/>
    <w:rsid w:val="00830FBB"/>
    <w:rsid w:val="00833A2A"/>
    <w:rsid w:val="00833EAC"/>
    <w:rsid w:val="0083482C"/>
    <w:rsid w:val="00834BDF"/>
    <w:rsid w:val="008353FC"/>
    <w:rsid w:val="008359B0"/>
    <w:rsid w:val="0083649C"/>
    <w:rsid w:val="00837305"/>
    <w:rsid w:val="0083756D"/>
    <w:rsid w:val="00841557"/>
    <w:rsid w:val="0084165A"/>
    <w:rsid w:val="008419B6"/>
    <w:rsid w:val="00841C5F"/>
    <w:rsid w:val="008428F0"/>
    <w:rsid w:val="008455FE"/>
    <w:rsid w:val="00846D67"/>
    <w:rsid w:val="0085074E"/>
    <w:rsid w:val="0085099A"/>
    <w:rsid w:val="00850B4B"/>
    <w:rsid w:val="008512C9"/>
    <w:rsid w:val="00851D63"/>
    <w:rsid w:val="00852D64"/>
    <w:rsid w:val="00853002"/>
    <w:rsid w:val="008541E0"/>
    <w:rsid w:val="008545DC"/>
    <w:rsid w:val="008548AD"/>
    <w:rsid w:val="00854C1E"/>
    <w:rsid w:val="00855029"/>
    <w:rsid w:val="008554A1"/>
    <w:rsid w:val="00855CBE"/>
    <w:rsid w:val="00861838"/>
    <w:rsid w:val="008620EF"/>
    <w:rsid w:val="00862C8C"/>
    <w:rsid w:val="00862FD4"/>
    <w:rsid w:val="0086344C"/>
    <w:rsid w:val="008637E6"/>
    <w:rsid w:val="008639F1"/>
    <w:rsid w:val="00865335"/>
    <w:rsid w:val="0086602D"/>
    <w:rsid w:val="0086666F"/>
    <w:rsid w:val="00870995"/>
    <w:rsid w:val="00870C56"/>
    <w:rsid w:val="00871265"/>
    <w:rsid w:val="00872495"/>
    <w:rsid w:val="00872F2E"/>
    <w:rsid w:val="00874BBD"/>
    <w:rsid w:val="008751E5"/>
    <w:rsid w:val="00875369"/>
    <w:rsid w:val="00875ABB"/>
    <w:rsid w:val="0087658E"/>
    <w:rsid w:val="008775C4"/>
    <w:rsid w:val="008776EE"/>
    <w:rsid w:val="008811A8"/>
    <w:rsid w:val="00881FF0"/>
    <w:rsid w:val="00885CBA"/>
    <w:rsid w:val="00885E80"/>
    <w:rsid w:val="0088772E"/>
    <w:rsid w:val="008879C7"/>
    <w:rsid w:val="00887F51"/>
    <w:rsid w:val="00890D66"/>
    <w:rsid w:val="00891274"/>
    <w:rsid w:val="0089318C"/>
    <w:rsid w:val="00893404"/>
    <w:rsid w:val="0089352E"/>
    <w:rsid w:val="00894776"/>
    <w:rsid w:val="00894ABE"/>
    <w:rsid w:val="00894E1B"/>
    <w:rsid w:val="008959BA"/>
    <w:rsid w:val="008960E0"/>
    <w:rsid w:val="00896DD8"/>
    <w:rsid w:val="00897712"/>
    <w:rsid w:val="008A10B4"/>
    <w:rsid w:val="008A28DD"/>
    <w:rsid w:val="008A2AA0"/>
    <w:rsid w:val="008A3A3F"/>
    <w:rsid w:val="008A4A5C"/>
    <w:rsid w:val="008A56D9"/>
    <w:rsid w:val="008A732E"/>
    <w:rsid w:val="008A73A6"/>
    <w:rsid w:val="008A73B5"/>
    <w:rsid w:val="008A79B9"/>
    <w:rsid w:val="008A7EE2"/>
    <w:rsid w:val="008B2954"/>
    <w:rsid w:val="008B29B1"/>
    <w:rsid w:val="008B5190"/>
    <w:rsid w:val="008B6BAC"/>
    <w:rsid w:val="008C0580"/>
    <w:rsid w:val="008C0A9F"/>
    <w:rsid w:val="008C4629"/>
    <w:rsid w:val="008C501A"/>
    <w:rsid w:val="008C5A43"/>
    <w:rsid w:val="008C691C"/>
    <w:rsid w:val="008C6A4C"/>
    <w:rsid w:val="008C777A"/>
    <w:rsid w:val="008C7905"/>
    <w:rsid w:val="008D12A6"/>
    <w:rsid w:val="008D1E1F"/>
    <w:rsid w:val="008D250D"/>
    <w:rsid w:val="008D2D47"/>
    <w:rsid w:val="008D48C4"/>
    <w:rsid w:val="008D4975"/>
    <w:rsid w:val="008D5857"/>
    <w:rsid w:val="008D5B23"/>
    <w:rsid w:val="008D66F3"/>
    <w:rsid w:val="008D6FF1"/>
    <w:rsid w:val="008D712B"/>
    <w:rsid w:val="008D7156"/>
    <w:rsid w:val="008D74DD"/>
    <w:rsid w:val="008E0254"/>
    <w:rsid w:val="008E102C"/>
    <w:rsid w:val="008E116F"/>
    <w:rsid w:val="008E11F2"/>
    <w:rsid w:val="008E1B82"/>
    <w:rsid w:val="008E27D6"/>
    <w:rsid w:val="008E4207"/>
    <w:rsid w:val="008E57AA"/>
    <w:rsid w:val="008E5C0E"/>
    <w:rsid w:val="008E5E71"/>
    <w:rsid w:val="008E6AD5"/>
    <w:rsid w:val="008E6CF5"/>
    <w:rsid w:val="008F0199"/>
    <w:rsid w:val="008F1D0D"/>
    <w:rsid w:val="008F2DB7"/>
    <w:rsid w:val="008F33DC"/>
    <w:rsid w:val="008F3710"/>
    <w:rsid w:val="008F44CC"/>
    <w:rsid w:val="008F4625"/>
    <w:rsid w:val="008F4D37"/>
    <w:rsid w:val="008F58BB"/>
    <w:rsid w:val="008F5F71"/>
    <w:rsid w:val="008F6555"/>
    <w:rsid w:val="008F6F0C"/>
    <w:rsid w:val="008F7647"/>
    <w:rsid w:val="008F78B2"/>
    <w:rsid w:val="008F7E99"/>
    <w:rsid w:val="0090040F"/>
    <w:rsid w:val="009006E6"/>
    <w:rsid w:val="009013F5"/>
    <w:rsid w:val="0090141F"/>
    <w:rsid w:val="00902AAA"/>
    <w:rsid w:val="00902E49"/>
    <w:rsid w:val="00903426"/>
    <w:rsid w:val="00904338"/>
    <w:rsid w:val="009047DB"/>
    <w:rsid w:val="00904D3C"/>
    <w:rsid w:val="00905592"/>
    <w:rsid w:val="00905A53"/>
    <w:rsid w:val="00907578"/>
    <w:rsid w:val="009077F4"/>
    <w:rsid w:val="00907845"/>
    <w:rsid w:val="009078A9"/>
    <w:rsid w:val="009109A7"/>
    <w:rsid w:val="00911EAC"/>
    <w:rsid w:val="009138D9"/>
    <w:rsid w:val="00914F4E"/>
    <w:rsid w:val="00916313"/>
    <w:rsid w:val="009166E7"/>
    <w:rsid w:val="0091699C"/>
    <w:rsid w:val="00917602"/>
    <w:rsid w:val="0091786B"/>
    <w:rsid w:val="009178B8"/>
    <w:rsid w:val="00917E35"/>
    <w:rsid w:val="00921D8E"/>
    <w:rsid w:val="00921DD2"/>
    <w:rsid w:val="00922216"/>
    <w:rsid w:val="00922261"/>
    <w:rsid w:val="00922A1B"/>
    <w:rsid w:val="00922C64"/>
    <w:rsid w:val="00922EFB"/>
    <w:rsid w:val="00923385"/>
    <w:rsid w:val="00923FBE"/>
    <w:rsid w:val="0092407D"/>
    <w:rsid w:val="009248BE"/>
    <w:rsid w:val="00925AB2"/>
    <w:rsid w:val="00925C4B"/>
    <w:rsid w:val="00925F52"/>
    <w:rsid w:val="00926900"/>
    <w:rsid w:val="0092755A"/>
    <w:rsid w:val="009277B4"/>
    <w:rsid w:val="009305FA"/>
    <w:rsid w:val="00930C0D"/>
    <w:rsid w:val="00931089"/>
    <w:rsid w:val="00931280"/>
    <w:rsid w:val="009319CB"/>
    <w:rsid w:val="00931C98"/>
    <w:rsid w:val="00932691"/>
    <w:rsid w:val="00933236"/>
    <w:rsid w:val="0093431B"/>
    <w:rsid w:val="00934A4A"/>
    <w:rsid w:val="00934A72"/>
    <w:rsid w:val="00934AB4"/>
    <w:rsid w:val="00934C1D"/>
    <w:rsid w:val="00934E7B"/>
    <w:rsid w:val="00934F1C"/>
    <w:rsid w:val="009362C4"/>
    <w:rsid w:val="00937514"/>
    <w:rsid w:val="00940467"/>
    <w:rsid w:val="00940A95"/>
    <w:rsid w:val="00941BE0"/>
    <w:rsid w:val="009423DD"/>
    <w:rsid w:val="00943A25"/>
    <w:rsid w:val="00943A70"/>
    <w:rsid w:val="00943C81"/>
    <w:rsid w:val="00943FF6"/>
    <w:rsid w:val="0094470E"/>
    <w:rsid w:val="00945546"/>
    <w:rsid w:val="00945E10"/>
    <w:rsid w:val="0094695D"/>
    <w:rsid w:val="009473C0"/>
    <w:rsid w:val="00947637"/>
    <w:rsid w:val="00947977"/>
    <w:rsid w:val="00947BFC"/>
    <w:rsid w:val="009509B9"/>
    <w:rsid w:val="00950B55"/>
    <w:rsid w:val="0095181C"/>
    <w:rsid w:val="009526FD"/>
    <w:rsid w:val="00952751"/>
    <w:rsid w:val="00952FA4"/>
    <w:rsid w:val="009531E4"/>
    <w:rsid w:val="009532FA"/>
    <w:rsid w:val="00953312"/>
    <w:rsid w:val="00954C78"/>
    <w:rsid w:val="00954CFB"/>
    <w:rsid w:val="0095579C"/>
    <w:rsid w:val="00955F88"/>
    <w:rsid w:val="00956704"/>
    <w:rsid w:val="00956849"/>
    <w:rsid w:val="00957AE9"/>
    <w:rsid w:val="00961D12"/>
    <w:rsid w:val="0096285A"/>
    <w:rsid w:val="00962E50"/>
    <w:rsid w:val="00962F62"/>
    <w:rsid w:val="00963B34"/>
    <w:rsid w:val="00963DA0"/>
    <w:rsid w:val="00964AFD"/>
    <w:rsid w:val="00965B22"/>
    <w:rsid w:val="00965C47"/>
    <w:rsid w:val="00966161"/>
    <w:rsid w:val="009671A0"/>
    <w:rsid w:val="00967326"/>
    <w:rsid w:val="00967931"/>
    <w:rsid w:val="00970397"/>
    <w:rsid w:val="00971955"/>
    <w:rsid w:val="0097214C"/>
    <w:rsid w:val="0097243A"/>
    <w:rsid w:val="00974476"/>
    <w:rsid w:val="00974830"/>
    <w:rsid w:val="00974C23"/>
    <w:rsid w:val="00974C87"/>
    <w:rsid w:val="00974E61"/>
    <w:rsid w:val="009751D5"/>
    <w:rsid w:val="009756D9"/>
    <w:rsid w:val="00977973"/>
    <w:rsid w:val="0098010A"/>
    <w:rsid w:val="00980E23"/>
    <w:rsid w:val="00982118"/>
    <w:rsid w:val="009822D6"/>
    <w:rsid w:val="009833EA"/>
    <w:rsid w:val="00983544"/>
    <w:rsid w:val="00983951"/>
    <w:rsid w:val="00983A74"/>
    <w:rsid w:val="0098465C"/>
    <w:rsid w:val="0098487F"/>
    <w:rsid w:val="00984B88"/>
    <w:rsid w:val="00986295"/>
    <w:rsid w:val="00986D79"/>
    <w:rsid w:val="00986ED0"/>
    <w:rsid w:val="00986FA2"/>
    <w:rsid w:val="009904E4"/>
    <w:rsid w:val="009921EB"/>
    <w:rsid w:val="00993AAF"/>
    <w:rsid w:val="009945A2"/>
    <w:rsid w:val="00994DA6"/>
    <w:rsid w:val="00995D38"/>
    <w:rsid w:val="00996001"/>
    <w:rsid w:val="009963F3"/>
    <w:rsid w:val="0099647C"/>
    <w:rsid w:val="00997149"/>
    <w:rsid w:val="0099763D"/>
    <w:rsid w:val="00997CDB"/>
    <w:rsid w:val="00997D27"/>
    <w:rsid w:val="009A008C"/>
    <w:rsid w:val="009A1B0C"/>
    <w:rsid w:val="009A1C99"/>
    <w:rsid w:val="009A23AC"/>
    <w:rsid w:val="009A2B86"/>
    <w:rsid w:val="009A2E47"/>
    <w:rsid w:val="009A34EA"/>
    <w:rsid w:val="009A5616"/>
    <w:rsid w:val="009A6171"/>
    <w:rsid w:val="009A6F3F"/>
    <w:rsid w:val="009A6F44"/>
    <w:rsid w:val="009A703A"/>
    <w:rsid w:val="009A7181"/>
    <w:rsid w:val="009A75C3"/>
    <w:rsid w:val="009B1D4A"/>
    <w:rsid w:val="009B224B"/>
    <w:rsid w:val="009B2599"/>
    <w:rsid w:val="009B3854"/>
    <w:rsid w:val="009B49E5"/>
    <w:rsid w:val="009B7827"/>
    <w:rsid w:val="009C1220"/>
    <w:rsid w:val="009C14F6"/>
    <w:rsid w:val="009C38FA"/>
    <w:rsid w:val="009C3B40"/>
    <w:rsid w:val="009C41D2"/>
    <w:rsid w:val="009C49D3"/>
    <w:rsid w:val="009C4BE0"/>
    <w:rsid w:val="009C503E"/>
    <w:rsid w:val="009C55FF"/>
    <w:rsid w:val="009C582C"/>
    <w:rsid w:val="009C5CE4"/>
    <w:rsid w:val="009C5FCF"/>
    <w:rsid w:val="009C7B64"/>
    <w:rsid w:val="009C7E1B"/>
    <w:rsid w:val="009D0E37"/>
    <w:rsid w:val="009D18FE"/>
    <w:rsid w:val="009D1921"/>
    <w:rsid w:val="009D1AD9"/>
    <w:rsid w:val="009D301C"/>
    <w:rsid w:val="009D38C5"/>
    <w:rsid w:val="009D5DC6"/>
    <w:rsid w:val="009D603D"/>
    <w:rsid w:val="009D6AA2"/>
    <w:rsid w:val="009D6EB0"/>
    <w:rsid w:val="009D79A6"/>
    <w:rsid w:val="009E21DF"/>
    <w:rsid w:val="009E2FF7"/>
    <w:rsid w:val="009E3816"/>
    <w:rsid w:val="009E4817"/>
    <w:rsid w:val="009E6D01"/>
    <w:rsid w:val="009E7112"/>
    <w:rsid w:val="009E777C"/>
    <w:rsid w:val="009F0494"/>
    <w:rsid w:val="009F278D"/>
    <w:rsid w:val="009F2EB6"/>
    <w:rsid w:val="009F421A"/>
    <w:rsid w:val="009F4C1B"/>
    <w:rsid w:val="009F656C"/>
    <w:rsid w:val="009F6D71"/>
    <w:rsid w:val="009F7C2E"/>
    <w:rsid w:val="00A020D6"/>
    <w:rsid w:val="00A0323F"/>
    <w:rsid w:val="00A03AFD"/>
    <w:rsid w:val="00A04AB9"/>
    <w:rsid w:val="00A05263"/>
    <w:rsid w:val="00A057B8"/>
    <w:rsid w:val="00A06906"/>
    <w:rsid w:val="00A07D7B"/>
    <w:rsid w:val="00A1006D"/>
    <w:rsid w:val="00A1075D"/>
    <w:rsid w:val="00A11395"/>
    <w:rsid w:val="00A11AB9"/>
    <w:rsid w:val="00A122A0"/>
    <w:rsid w:val="00A124C6"/>
    <w:rsid w:val="00A12FCC"/>
    <w:rsid w:val="00A132C9"/>
    <w:rsid w:val="00A134D1"/>
    <w:rsid w:val="00A13AE4"/>
    <w:rsid w:val="00A13CFD"/>
    <w:rsid w:val="00A20246"/>
    <w:rsid w:val="00A2085D"/>
    <w:rsid w:val="00A21328"/>
    <w:rsid w:val="00A21A8F"/>
    <w:rsid w:val="00A21CD9"/>
    <w:rsid w:val="00A23B31"/>
    <w:rsid w:val="00A242C3"/>
    <w:rsid w:val="00A247FE"/>
    <w:rsid w:val="00A24AA3"/>
    <w:rsid w:val="00A252A5"/>
    <w:rsid w:val="00A25842"/>
    <w:rsid w:val="00A265E6"/>
    <w:rsid w:val="00A26E40"/>
    <w:rsid w:val="00A27645"/>
    <w:rsid w:val="00A27BBE"/>
    <w:rsid w:val="00A30101"/>
    <w:rsid w:val="00A307B1"/>
    <w:rsid w:val="00A30AD6"/>
    <w:rsid w:val="00A30CDD"/>
    <w:rsid w:val="00A31930"/>
    <w:rsid w:val="00A31C65"/>
    <w:rsid w:val="00A322CC"/>
    <w:rsid w:val="00A336E5"/>
    <w:rsid w:val="00A33CCC"/>
    <w:rsid w:val="00A351FC"/>
    <w:rsid w:val="00A35350"/>
    <w:rsid w:val="00A35B02"/>
    <w:rsid w:val="00A3787B"/>
    <w:rsid w:val="00A37B89"/>
    <w:rsid w:val="00A40374"/>
    <w:rsid w:val="00A40DA1"/>
    <w:rsid w:val="00A40F72"/>
    <w:rsid w:val="00A410D9"/>
    <w:rsid w:val="00A41564"/>
    <w:rsid w:val="00A416E7"/>
    <w:rsid w:val="00A41A1C"/>
    <w:rsid w:val="00A42DB3"/>
    <w:rsid w:val="00A43639"/>
    <w:rsid w:val="00A43BB2"/>
    <w:rsid w:val="00A4556B"/>
    <w:rsid w:val="00A457FE"/>
    <w:rsid w:val="00A45D13"/>
    <w:rsid w:val="00A46931"/>
    <w:rsid w:val="00A46DB5"/>
    <w:rsid w:val="00A4711D"/>
    <w:rsid w:val="00A47901"/>
    <w:rsid w:val="00A47B62"/>
    <w:rsid w:val="00A47D2B"/>
    <w:rsid w:val="00A47D9E"/>
    <w:rsid w:val="00A51FCE"/>
    <w:rsid w:val="00A53DF0"/>
    <w:rsid w:val="00A5477A"/>
    <w:rsid w:val="00A5597F"/>
    <w:rsid w:val="00A55A07"/>
    <w:rsid w:val="00A55BC3"/>
    <w:rsid w:val="00A56AC9"/>
    <w:rsid w:val="00A56F0F"/>
    <w:rsid w:val="00A60722"/>
    <w:rsid w:val="00A6085E"/>
    <w:rsid w:val="00A62504"/>
    <w:rsid w:val="00A635DA"/>
    <w:rsid w:val="00A63F9C"/>
    <w:rsid w:val="00A642AE"/>
    <w:rsid w:val="00A64F4E"/>
    <w:rsid w:val="00A65294"/>
    <w:rsid w:val="00A65FE9"/>
    <w:rsid w:val="00A6731C"/>
    <w:rsid w:val="00A67540"/>
    <w:rsid w:val="00A67962"/>
    <w:rsid w:val="00A700F7"/>
    <w:rsid w:val="00A709FA"/>
    <w:rsid w:val="00A71117"/>
    <w:rsid w:val="00A7183E"/>
    <w:rsid w:val="00A71E29"/>
    <w:rsid w:val="00A7225C"/>
    <w:rsid w:val="00A725CA"/>
    <w:rsid w:val="00A72EF6"/>
    <w:rsid w:val="00A7312E"/>
    <w:rsid w:val="00A73A84"/>
    <w:rsid w:val="00A73F9B"/>
    <w:rsid w:val="00A74889"/>
    <w:rsid w:val="00A75BD6"/>
    <w:rsid w:val="00A76EB5"/>
    <w:rsid w:val="00A77AB3"/>
    <w:rsid w:val="00A77B4B"/>
    <w:rsid w:val="00A80079"/>
    <w:rsid w:val="00A80081"/>
    <w:rsid w:val="00A805B1"/>
    <w:rsid w:val="00A80D3A"/>
    <w:rsid w:val="00A81193"/>
    <w:rsid w:val="00A81574"/>
    <w:rsid w:val="00A83AF3"/>
    <w:rsid w:val="00A83D0E"/>
    <w:rsid w:val="00A845F9"/>
    <w:rsid w:val="00A84B1E"/>
    <w:rsid w:val="00A84E59"/>
    <w:rsid w:val="00A859CB"/>
    <w:rsid w:val="00A85BE4"/>
    <w:rsid w:val="00A85D23"/>
    <w:rsid w:val="00A86130"/>
    <w:rsid w:val="00A8620A"/>
    <w:rsid w:val="00A865B0"/>
    <w:rsid w:val="00A87777"/>
    <w:rsid w:val="00A87FE1"/>
    <w:rsid w:val="00A90DDD"/>
    <w:rsid w:val="00A91BDA"/>
    <w:rsid w:val="00A924EE"/>
    <w:rsid w:val="00A92533"/>
    <w:rsid w:val="00A92FC9"/>
    <w:rsid w:val="00A93095"/>
    <w:rsid w:val="00A9361E"/>
    <w:rsid w:val="00A93DAB"/>
    <w:rsid w:val="00A9407F"/>
    <w:rsid w:val="00A94D54"/>
    <w:rsid w:val="00A95AFF"/>
    <w:rsid w:val="00A96D6B"/>
    <w:rsid w:val="00A97125"/>
    <w:rsid w:val="00A974B7"/>
    <w:rsid w:val="00AA0F18"/>
    <w:rsid w:val="00AA1625"/>
    <w:rsid w:val="00AA2493"/>
    <w:rsid w:val="00AA432A"/>
    <w:rsid w:val="00AA4681"/>
    <w:rsid w:val="00AA4AFB"/>
    <w:rsid w:val="00AA5107"/>
    <w:rsid w:val="00AA5273"/>
    <w:rsid w:val="00AA5839"/>
    <w:rsid w:val="00AA6A62"/>
    <w:rsid w:val="00AA719E"/>
    <w:rsid w:val="00AA754E"/>
    <w:rsid w:val="00AA7B10"/>
    <w:rsid w:val="00AB0240"/>
    <w:rsid w:val="00AB05B9"/>
    <w:rsid w:val="00AB0669"/>
    <w:rsid w:val="00AB27C7"/>
    <w:rsid w:val="00AB353D"/>
    <w:rsid w:val="00AB4003"/>
    <w:rsid w:val="00AB48D1"/>
    <w:rsid w:val="00AB49A4"/>
    <w:rsid w:val="00AB4BCE"/>
    <w:rsid w:val="00AB5164"/>
    <w:rsid w:val="00AB5DF7"/>
    <w:rsid w:val="00AB6188"/>
    <w:rsid w:val="00AB6C6A"/>
    <w:rsid w:val="00AB75EC"/>
    <w:rsid w:val="00AB79BB"/>
    <w:rsid w:val="00AB7DCB"/>
    <w:rsid w:val="00AC107D"/>
    <w:rsid w:val="00AC237B"/>
    <w:rsid w:val="00AC4551"/>
    <w:rsid w:val="00AC48DD"/>
    <w:rsid w:val="00AC58F1"/>
    <w:rsid w:val="00AC62C8"/>
    <w:rsid w:val="00AC7A74"/>
    <w:rsid w:val="00AC7D6B"/>
    <w:rsid w:val="00AD06BE"/>
    <w:rsid w:val="00AD06F1"/>
    <w:rsid w:val="00AD11FF"/>
    <w:rsid w:val="00AD2F1B"/>
    <w:rsid w:val="00AD54F7"/>
    <w:rsid w:val="00AD6699"/>
    <w:rsid w:val="00AD6931"/>
    <w:rsid w:val="00AD6E0A"/>
    <w:rsid w:val="00AD70B6"/>
    <w:rsid w:val="00AD7C60"/>
    <w:rsid w:val="00AE0035"/>
    <w:rsid w:val="00AE1C09"/>
    <w:rsid w:val="00AE2106"/>
    <w:rsid w:val="00AE2E14"/>
    <w:rsid w:val="00AE5C43"/>
    <w:rsid w:val="00AF00F3"/>
    <w:rsid w:val="00AF086F"/>
    <w:rsid w:val="00AF3097"/>
    <w:rsid w:val="00AF3C7C"/>
    <w:rsid w:val="00AF400D"/>
    <w:rsid w:val="00AF4B34"/>
    <w:rsid w:val="00AF4D17"/>
    <w:rsid w:val="00AF525D"/>
    <w:rsid w:val="00AF6A4B"/>
    <w:rsid w:val="00B00A90"/>
    <w:rsid w:val="00B00D2F"/>
    <w:rsid w:val="00B01DFF"/>
    <w:rsid w:val="00B01EE8"/>
    <w:rsid w:val="00B03647"/>
    <w:rsid w:val="00B03AE9"/>
    <w:rsid w:val="00B03C39"/>
    <w:rsid w:val="00B05112"/>
    <w:rsid w:val="00B05D1D"/>
    <w:rsid w:val="00B07214"/>
    <w:rsid w:val="00B103DF"/>
    <w:rsid w:val="00B10851"/>
    <w:rsid w:val="00B113E8"/>
    <w:rsid w:val="00B11A84"/>
    <w:rsid w:val="00B11B35"/>
    <w:rsid w:val="00B1279D"/>
    <w:rsid w:val="00B137FB"/>
    <w:rsid w:val="00B139F5"/>
    <w:rsid w:val="00B14D54"/>
    <w:rsid w:val="00B15271"/>
    <w:rsid w:val="00B1534C"/>
    <w:rsid w:val="00B1597D"/>
    <w:rsid w:val="00B159BF"/>
    <w:rsid w:val="00B15B20"/>
    <w:rsid w:val="00B17BE2"/>
    <w:rsid w:val="00B2104D"/>
    <w:rsid w:val="00B21173"/>
    <w:rsid w:val="00B21B52"/>
    <w:rsid w:val="00B23549"/>
    <w:rsid w:val="00B23761"/>
    <w:rsid w:val="00B238BC"/>
    <w:rsid w:val="00B238D4"/>
    <w:rsid w:val="00B23AAF"/>
    <w:rsid w:val="00B23D09"/>
    <w:rsid w:val="00B23FB1"/>
    <w:rsid w:val="00B24634"/>
    <w:rsid w:val="00B24C80"/>
    <w:rsid w:val="00B27BC8"/>
    <w:rsid w:val="00B300B3"/>
    <w:rsid w:val="00B30E2E"/>
    <w:rsid w:val="00B3208A"/>
    <w:rsid w:val="00B3271C"/>
    <w:rsid w:val="00B33772"/>
    <w:rsid w:val="00B34D57"/>
    <w:rsid w:val="00B34F4F"/>
    <w:rsid w:val="00B361CA"/>
    <w:rsid w:val="00B3633E"/>
    <w:rsid w:val="00B37BDD"/>
    <w:rsid w:val="00B4115A"/>
    <w:rsid w:val="00B42155"/>
    <w:rsid w:val="00B43027"/>
    <w:rsid w:val="00B43A73"/>
    <w:rsid w:val="00B448BE"/>
    <w:rsid w:val="00B45946"/>
    <w:rsid w:val="00B466EE"/>
    <w:rsid w:val="00B471B5"/>
    <w:rsid w:val="00B501B8"/>
    <w:rsid w:val="00B5048C"/>
    <w:rsid w:val="00B50985"/>
    <w:rsid w:val="00B51885"/>
    <w:rsid w:val="00B51C8C"/>
    <w:rsid w:val="00B53159"/>
    <w:rsid w:val="00B53A18"/>
    <w:rsid w:val="00B53D4F"/>
    <w:rsid w:val="00B54454"/>
    <w:rsid w:val="00B549DB"/>
    <w:rsid w:val="00B550A1"/>
    <w:rsid w:val="00B55907"/>
    <w:rsid w:val="00B56A49"/>
    <w:rsid w:val="00B57016"/>
    <w:rsid w:val="00B57FD3"/>
    <w:rsid w:val="00B60806"/>
    <w:rsid w:val="00B60BF3"/>
    <w:rsid w:val="00B60C60"/>
    <w:rsid w:val="00B6152E"/>
    <w:rsid w:val="00B61E57"/>
    <w:rsid w:val="00B62612"/>
    <w:rsid w:val="00B633E5"/>
    <w:rsid w:val="00B6368A"/>
    <w:rsid w:val="00B639C0"/>
    <w:rsid w:val="00B63A4C"/>
    <w:rsid w:val="00B660DF"/>
    <w:rsid w:val="00B6734B"/>
    <w:rsid w:val="00B702EA"/>
    <w:rsid w:val="00B71CF0"/>
    <w:rsid w:val="00B75C51"/>
    <w:rsid w:val="00B80469"/>
    <w:rsid w:val="00B8132D"/>
    <w:rsid w:val="00B8172B"/>
    <w:rsid w:val="00B81806"/>
    <w:rsid w:val="00B844A9"/>
    <w:rsid w:val="00B84F4E"/>
    <w:rsid w:val="00B852E6"/>
    <w:rsid w:val="00B85725"/>
    <w:rsid w:val="00B859E4"/>
    <w:rsid w:val="00B859F9"/>
    <w:rsid w:val="00B85A15"/>
    <w:rsid w:val="00B85BD7"/>
    <w:rsid w:val="00B85F8D"/>
    <w:rsid w:val="00B8663F"/>
    <w:rsid w:val="00B86D88"/>
    <w:rsid w:val="00B86FFE"/>
    <w:rsid w:val="00B87AD5"/>
    <w:rsid w:val="00B902CA"/>
    <w:rsid w:val="00B903FA"/>
    <w:rsid w:val="00B9132D"/>
    <w:rsid w:val="00B91676"/>
    <w:rsid w:val="00B91F55"/>
    <w:rsid w:val="00B92D5D"/>
    <w:rsid w:val="00B934FD"/>
    <w:rsid w:val="00B93957"/>
    <w:rsid w:val="00B93E60"/>
    <w:rsid w:val="00B9419A"/>
    <w:rsid w:val="00B94207"/>
    <w:rsid w:val="00B94511"/>
    <w:rsid w:val="00B94816"/>
    <w:rsid w:val="00B94849"/>
    <w:rsid w:val="00B96205"/>
    <w:rsid w:val="00B966BF"/>
    <w:rsid w:val="00B9709B"/>
    <w:rsid w:val="00BA0CC1"/>
    <w:rsid w:val="00BA2033"/>
    <w:rsid w:val="00BA310A"/>
    <w:rsid w:val="00BA5245"/>
    <w:rsid w:val="00BA625C"/>
    <w:rsid w:val="00BA6DF0"/>
    <w:rsid w:val="00BA76E6"/>
    <w:rsid w:val="00BB00A4"/>
    <w:rsid w:val="00BB0131"/>
    <w:rsid w:val="00BB04B2"/>
    <w:rsid w:val="00BB089F"/>
    <w:rsid w:val="00BB2E53"/>
    <w:rsid w:val="00BB2F7D"/>
    <w:rsid w:val="00BB43E0"/>
    <w:rsid w:val="00BB5543"/>
    <w:rsid w:val="00BB59B4"/>
    <w:rsid w:val="00BB6595"/>
    <w:rsid w:val="00BB6EB8"/>
    <w:rsid w:val="00BB6FA3"/>
    <w:rsid w:val="00BB7C74"/>
    <w:rsid w:val="00BC06DC"/>
    <w:rsid w:val="00BC0BCD"/>
    <w:rsid w:val="00BC0EF5"/>
    <w:rsid w:val="00BC1483"/>
    <w:rsid w:val="00BC17FF"/>
    <w:rsid w:val="00BC1AF3"/>
    <w:rsid w:val="00BC29A4"/>
    <w:rsid w:val="00BC2EF6"/>
    <w:rsid w:val="00BC3084"/>
    <w:rsid w:val="00BC409B"/>
    <w:rsid w:val="00BC4E87"/>
    <w:rsid w:val="00BC5A1F"/>
    <w:rsid w:val="00BC5D60"/>
    <w:rsid w:val="00BC6257"/>
    <w:rsid w:val="00BD2ABE"/>
    <w:rsid w:val="00BD2E83"/>
    <w:rsid w:val="00BD3A11"/>
    <w:rsid w:val="00BD505C"/>
    <w:rsid w:val="00BD6A37"/>
    <w:rsid w:val="00BD6F49"/>
    <w:rsid w:val="00BD7BA0"/>
    <w:rsid w:val="00BD7F81"/>
    <w:rsid w:val="00BE0644"/>
    <w:rsid w:val="00BE1B4A"/>
    <w:rsid w:val="00BE21D6"/>
    <w:rsid w:val="00BE2981"/>
    <w:rsid w:val="00BE3A34"/>
    <w:rsid w:val="00BE3BD2"/>
    <w:rsid w:val="00BE4A9C"/>
    <w:rsid w:val="00BE56DB"/>
    <w:rsid w:val="00BE59FE"/>
    <w:rsid w:val="00BE5C10"/>
    <w:rsid w:val="00BE5E7E"/>
    <w:rsid w:val="00BE62A1"/>
    <w:rsid w:val="00BE6455"/>
    <w:rsid w:val="00BE6C69"/>
    <w:rsid w:val="00BE7EDA"/>
    <w:rsid w:val="00BF01A2"/>
    <w:rsid w:val="00BF0414"/>
    <w:rsid w:val="00BF1C5A"/>
    <w:rsid w:val="00BF2C7E"/>
    <w:rsid w:val="00BF3CEC"/>
    <w:rsid w:val="00BF3F72"/>
    <w:rsid w:val="00BF4019"/>
    <w:rsid w:val="00BF430C"/>
    <w:rsid w:val="00BF44B4"/>
    <w:rsid w:val="00BF4C0F"/>
    <w:rsid w:val="00BF54FE"/>
    <w:rsid w:val="00BF6B69"/>
    <w:rsid w:val="00BF6EE8"/>
    <w:rsid w:val="00BF72C5"/>
    <w:rsid w:val="00BF7741"/>
    <w:rsid w:val="00BF7942"/>
    <w:rsid w:val="00BF79A1"/>
    <w:rsid w:val="00BF7E23"/>
    <w:rsid w:val="00C0068B"/>
    <w:rsid w:val="00C00797"/>
    <w:rsid w:val="00C010B8"/>
    <w:rsid w:val="00C011BA"/>
    <w:rsid w:val="00C0396D"/>
    <w:rsid w:val="00C03EDE"/>
    <w:rsid w:val="00C0457F"/>
    <w:rsid w:val="00C05E4E"/>
    <w:rsid w:val="00C07271"/>
    <w:rsid w:val="00C10292"/>
    <w:rsid w:val="00C106F6"/>
    <w:rsid w:val="00C11533"/>
    <w:rsid w:val="00C11CFE"/>
    <w:rsid w:val="00C13BE3"/>
    <w:rsid w:val="00C13C04"/>
    <w:rsid w:val="00C1481F"/>
    <w:rsid w:val="00C14F75"/>
    <w:rsid w:val="00C16341"/>
    <w:rsid w:val="00C163CF"/>
    <w:rsid w:val="00C20DA3"/>
    <w:rsid w:val="00C2239D"/>
    <w:rsid w:val="00C23E2F"/>
    <w:rsid w:val="00C2429C"/>
    <w:rsid w:val="00C244A9"/>
    <w:rsid w:val="00C248D8"/>
    <w:rsid w:val="00C25F3A"/>
    <w:rsid w:val="00C27C41"/>
    <w:rsid w:val="00C27C54"/>
    <w:rsid w:val="00C27FEF"/>
    <w:rsid w:val="00C3087A"/>
    <w:rsid w:val="00C325BF"/>
    <w:rsid w:val="00C325D0"/>
    <w:rsid w:val="00C3273A"/>
    <w:rsid w:val="00C32A90"/>
    <w:rsid w:val="00C32FF5"/>
    <w:rsid w:val="00C33795"/>
    <w:rsid w:val="00C33D47"/>
    <w:rsid w:val="00C34252"/>
    <w:rsid w:val="00C34596"/>
    <w:rsid w:val="00C34AC9"/>
    <w:rsid w:val="00C34F2C"/>
    <w:rsid w:val="00C355EC"/>
    <w:rsid w:val="00C3693C"/>
    <w:rsid w:val="00C36CE7"/>
    <w:rsid w:val="00C36D73"/>
    <w:rsid w:val="00C374A5"/>
    <w:rsid w:val="00C3787B"/>
    <w:rsid w:val="00C37955"/>
    <w:rsid w:val="00C403AB"/>
    <w:rsid w:val="00C4057A"/>
    <w:rsid w:val="00C40BA8"/>
    <w:rsid w:val="00C4144C"/>
    <w:rsid w:val="00C42701"/>
    <w:rsid w:val="00C44CA0"/>
    <w:rsid w:val="00C45A08"/>
    <w:rsid w:val="00C46587"/>
    <w:rsid w:val="00C50053"/>
    <w:rsid w:val="00C50A9A"/>
    <w:rsid w:val="00C52CDC"/>
    <w:rsid w:val="00C53296"/>
    <w:rsid w:val="00C5374C"/>
    <w:rsid w:val="00C54864"/>
    <w:rsid w:val="00C55024"/>
    <w:rsid w:val="00C55A80"/>
    <w:rsid w:val="00C55C01"/>
    <w:rsid w:val="00C56520"/>
    <w:rsid w:val="00C57002"/>
    <w:rsid w:val="00C57DA3"/>
    <w:rsid w:val="00C60901"/>
    <w:rsid w:val="00C63FE0"/>
    <w:rsid w:val="00C64288"/>
    <w:rsid w:val="00C65FDA"/>
    <w:rsid w:val="00C6697A"/>
    <w:rsid w:val="00C67026"/>
    <w:rsid w:val="00C71994"/>
    <w:rsid w:val="00C729CA"/>
    <w:rsid w:val="00C72CFF"/>
    <w:rsid w:val="00C7308E"/>
    <w:rsid w:val="00C73410"/>
    <w:rsid w:val="00C73765"/>
    <w:rsid w:val="00C759A4"/>
    <w:rsid w:val="00C75B4A"/>
    <w:rsid w:val="00C75BD5"/>
    <w:rsid w:val="00C75D0C"/>
    <w:rsid w:val="00C76100"/>
    <w:rsid w:val="00C762B8"/>
    <w:rsid w:val="00C76915"/>
    <w:rsid w:val="00C77CB5"/>
    <w:rsid w:val="00C81365"/>
    <w:rsid w:val="00C82BCA"/>
    <w:rsid w:val="00C8328B"/>
    <w:rsid w:val="00C83630"/>
    <w:rsid w:val="00C85660"/>
    <w:rsid w:val="00C8699C"/>
    <w:rsid w:val="00C869CC"/>
    <w:rsid w:val="00C86BC9"/>
    <w:rsid w:val="00C870D2"/>
    <w:rsid w:val="00C87E4B"/>
    <w:rsid w:val="00C87F8F"/>
    <w:rsid w:val="00C902D4"/>
    <w:rsid w:val="00C9085A"/>
    <w:rsid w:val="00C90FE9"/>
    <w:rsid w:val="00C93781"/>
    <w:rsid w:val="00C93A69"/>
    <w:rsid w:val="00C93D5F"/>
    <w:rsid w:val="00C93D96"/>
    <w:rsid w:val="00C95465"/>
    <w:rsid w:val="00C956AA"/>
    <w:rsid w:val="00C958F5"/>
    <w:rsid w:val="00C96598"/>
    <w:rsid w:val="00CA01BA"/>
    <w:rsid w:val="00CA1658"/>
    <w:rsid w:val="00CA1661"/>
    <w:rsid w:val="00CA2D0E"/>
    <w:rsid w:val="00CA2FE1"/>
    <w:rsid w:val="00CA32FB"/>
    <w:rsid w:val="00CA4025"/>
    <w:rsid w:val="00CA4047"/>
    <w:rsid w:val="00CA41B2"/>
    <w:rsid w:val="00CA5E10"/>
    <w:rsid w:val="00CA61F7"/>
    <w:rsid w:val="00CA6613"/>
    <w:rsid w:val="00CA662E"/>
    <w:rsid w:val="00CA6DD2"/>
    <w:rsid w:val="00CA6EE6"/>
    <w:rsid w:val="00CA70AB"/>
    <w:rsid w:val="00CA7719"/>
    <w:rsid w:val="00CB0447"/>
    <w:rsid w:val="00CB1BA7"/>
    <w:rsid w:val="00CB2FB8"/>
    <w:rsid w:val="00CB30D8"/>
    <w:rsid w:val="00CB38A7"/>
    <w:rsid w:val="00CB470D"/>
    <w:rsid w:val="00CB4EC3"/>
    <w:rsid w:val="00CB5393"/>
    <w:rsid w:val="00CB6495"/>
    <w:rsid w:val="00CB669F"/>
    <w:rsid w:val="00CB6818"/>
    <w:rsid w:val="00CB72AD"/>
    <w:rsid w:val="00CB744D"/>
    <w:rsid w:val="00CC00FF"/>
    <w:rsid w:val="00CC0B57"/>
    <w:rsid w:val="00CC0C3D"/>
    <w:rsid w:val="00CC0C5F"/>
    <w:rsid w:val="00CC0D3B"/>
    <w:rsid w:val="00CC19D2"/>
    <w:rsid w:val="00CC1E2C"/>
    <w:rsid w:val="00CC21A7"/>
    <w:rsid w:val="00CC3563"/>
    <w:rsid w:val="00CC6B5A"/>
    <w:rsid w:val="00CC6D75"/>
    <w:rsid w:val="00CC7B42"/>
    <w:rsid w:val="00CD06A7"/>
    <w:rsid w:val="00CD09FD"/>
    <w:rsid w:val="00CD0B7A"/>
    <w:rsid w:val="00CD1576"/>
    <w:rsid w:val="00CD1863"/>
    <w:rsid w:val="00CD2231"/>
    <w:rsid w:val="00CD3148"/>
    <w:rsid w:val="00CD3253"/>
    <w:rsid w:val="00CD53EC"/>
    <w:rsid w:val="00CD6427"/>
    <w:rsid w:val="00CD66AA"/>
    <w:rsid w:val="00CD6C45"/>
    <w:rsid w:val="00CD7763"/>
    <w:rsid w:val="00CE0330"/>
    <w:rsid w:val="00CE0639"/>
    <w:rsid w:val="00CE08AA"/>
    <w:rsid w:val="00CE4353"/>
    <w:rsid w:val="00CE4831"/>
    <w:rsid w:val="00CE5DEE"/>
    <w:rsid w:val="00CE6758"/>
    <w:rsid w:val="00CE6A27"/>
    <w:rsid w:val="00CF0485"/>
    <w:rsid w:val="00CF33E4"/>
    <w:rsid w:val="00CF34DD"/>
    <w:rsid w:val="00CF3C7C"/>
    <w:rsid w:val="00CF3EFE"/>
    <w:rsid w:val="00CF4681"/>
    <w:rsid w:val="00CF5C4A"/>
    <w:rsid w:val="00CF6EAF"/>
    <w:rsid w:val="00CF7C33"/>
    <w:rsid w:val="00D008E1"/>
    <w:rsid w:val="00D01810"/>
    <w:rsid w:val="00D025E3"/>
    <w:rsid w:val="00D02C84"/>
    <w:rsid w:val="00D02E32"/>
    <w:rsid w:val="00D05237"/>
    <w:rsid w:val="00D05A5F"/>
    <w:rsid w:val="00D06697"/>
    <w:rsid w:val="00D071C8"/>
    <w:rsid w:val="00D07CFF"/>
    <w:rsid w:val="00D113B4"/>
    <w:rsid w:val="00D128E5"/>
    <w:rsid w:val="00D12C3F"/>
    <w:rsid w:val="00D13133"/>
    <w:rsid w:val="00D13410"/>
    <w:rsid w:val="00D1361B"/>
    <w:rsid w:val="00D14E07"/>
    <w:rsid w:val="00D14E57"/>
    <w:rsid w:val="00D14EEF"/>
    <w:rsid w:val="00D15DFF"/>
    <w:rsid w:val="00D15E35"/>
    <w:rsid w:val="00D176AE"/>
    <w:rsid w:val="00D17C24"/>
    <w:rsid w:val="00D17FA4"/>
    <w:rsid w:val="00D21D6E"/>
    <w:rsid w:val="00D2227E"/>
    <w:rsid w:val="00D225FD"/>
    <w:rsid w:val="00D2285B"/>
    <w:rsid w:val="00D236EA"/>
    <w:rsid w:val="00D23702"/>
    <w:rsid w:val="00D255D5"/>
    <w:rsid w:val="00D25870"/>
    <w:rsid w:val="00D2712A"/>
    <w:rsid w:val="00D2772B"/>
    <w:rsid w:val="00D27A26"/>
    <w:rsid w:val="00D30A49"/>
    <w:rsid w:val="00D31690"/>
    <w:rsid w:val="00D31FB3"/>
    <w:rsid w:val="00D329A4"/>
    <w:rsid w:val="00D32B33"/>
    <w:rsid w:val="00D32FF9"/>
    <w:rsid w:val="00D337D8"/>
    <w:rsid w:val="00D337DC"/>
    <w:rsid w:val="00D34DA4"/>
    <w:rsid w:val="00D35153"/>
    <w:rsid w:val="00D35326"/>
    <w:rsid w:val="00D36DE9"/>
    <w:rsid w:val="00D374B5"/>
    <w:rsid w:val="00D4051F"/>
    <w:rsid w:val="00D41360"/>
    <w:rsid w:val="00D424CD"/>
    <w:rsid w:val="00D426F5"/>
    <w:rsid w:val="00D42C63"/>
    <w:rsid w:val="00D42D25"/>
    <w:rsid w:val="00D433EA"/>
    <w:rsid w:val="00D43642"/>
    <w:rsid w:val="00D4380A"/>
    <w:rsid w:val="00D4405E"/>
    <w:rsid w:val="00D44980"/>
    <w:rsid w:val="00D44D72"/>
    <w:rsid w:val="00D44E36"/>
    <w:rsid w:val="00D45061"/>
    <w:rsid w:val="00D459A6"/>
    <w:rsid w:val="00D45E2F"/>
    <w:rsid w:val="00D46BF7"/>
    <w:rsid w:val="00D46F0B"/>
    <w:rsid w:val="00D4728D"/>
    <w:rsid w:val="00D50393"/>
    <w:rsid w:val="00D50B1C"/>
    <w:rsid w:val="00D50EFE"/>
    <w:rsid w:val="00D51DC6"/>
    <w:rsid w:val="00D52FB1"/>
    <w:rsid w:val="00D53A27"/>
    <w:rsid w:val="00D54503"/>
    <w:rsid w:val="00D545B8"/>
    <w:rsid w:val="00D546E2"/>
    <w:rsid w:val="00D556E1"/>
    <w:rsid w:val="00D575C6"/>
    <w:rsid w:val="00D6040E"/>
    <w:rsid w:val="00D60AD8"/>
    <w:rsid w:val="00D61203"/>
    <w:rsid w:val="00D62E58"/>
    <w:rsid w:val="00D6334D"/>
    <w:rsid w:val="00D633A6"/>
    <w:rsid w:val="00D63C11"/>
    <w:rsid w:val="00D64D24"/>
    <w:rsid w:val="00D656D9"/>
    <w:rsid w:val="00D660E7"/>
    <w:rsid w:val="00D669BC"/>
    <w:rsid w:val="00D67346"/>
    <w:rsid w:val="00D6796D"/>
    <w:rsid w:val="00D67A1A"/>
    <w:rsid w:val="00D67AE4"/>
    <w:rsid w:val="00D702B2"/>
    <w:rsid w:val="00D70526"/>
    <w:rsid w:val="00D70EF7"/>
    <w:rsid w:val="00D7168A"/>
    <w:rsid w:val="00D71717"/>
    <w:rsid w:val="00D71898"/>
    <w:rsid w:val="00D71D27"/>
    <w:rsid w:val="00D72EE8"/>
    <w:rsid w:val="00D73FD8"/>
    <w:rsid w:val="00D75093"/>
    <w:rsid w:val="00D768AF"/>
    <w:rsid w:val="00D77034"/>
    <w:rsid w:val="00D80379"/>
    <w:rsid w:val="00D81386"/>
    <w:rsid w:val="00D8246D"/>
    <w:rsid w:val="00D830DF"/>
    <w:rsid w:val="00D83438"/>
    <w:rsid w:val="00D843F5"/>
    <w:rsid w:val="00D847B6"/>
    <w:rsid w:val="00D85AAF"/>
    <w:rsid w:val="00D85E07"/>
    <w:rsid w:val="00D871CD"/>
    <w:rsid w:val="00D90544"/>
    <w:rsid w:val="00D92862"/>
    <w:rsid w:val="00D92C61"/>
    <w:rsid w:val="00D936BD"/>
    <w:rsid w:val="00D9446B"/>
    <w:rsid w:val="00D9510A"/>
    <w:rsid w:val="00D96541"/>
    <w:rsid w:val="00D97078"/>
    <w:rsid w:val="00D970AB"/>
    <w:rsid w:val="00D971F2"/>
    <w:rsid w:val="00D97493"/>
    <w:rsid w:val="00D978C5"/>
    <w:rsid w:val="00DA02DB"/>
    <w:rsid w:val="00DA0FC8"/>
    <w:rsid w:val="00DA16F6"/>
    <w:rsid w:val="00DA19A6"/>
    <w:rsid w:val="00DA1CD7"/>
    <w:rsid w:val="00DA1E23"/>
    <w:rsid w:val="00DA1F48"/>
    <w:rsid w:val="00DA2253"/>
    <w:rsid w:val="00DA2F66"/>
    <w:rsid w:val="00DA4438"/>
    <w:rsid w:val="00DA48AB"/>
    <w:rsid w:val="00DA64A8"/>
    <w:rsid w:val="00DA6620"/>
    <w:rsid w:val="00DA6B86"/>
    <w:rsid w:val="00DA7674"/>
    <w:rsid w:val="00DA7A5D"/>
    <w:rsid w:val="00DB03B2"/>
    <w:rsid w:val="00DB07BB"/>
    <w:rsid w:val="00DB08EA"/>
    <w:rsid w:val="00DB151C"/>
    <w:rsid w:val="00DB1934"/>
    <w:rsid w:val="00DB1CB7"/>
    <w:rsid w:val="00DB1D33"/>
    <w:rsid w:val="00DB315B"/>
    <w:rsid w:val="00DB320E"/>
    <w:rsid w:val="00DB3950"/>
    <w:rsid w:val="00DB3A74"/>
    <w:rsid w:val="00DB4096"/>
    <w:rsid w:val="00DB5AC0"/>
    <w:rsid w:val="00DB6A07"/>
    <w:rsid w:val="00DB71DE"/>
    <w:rsid w:val="00DC0B7F"/>
    <w:rsid w:val="00DC0B96"/>
    <w:rsid w:val="00DC0D9F"/>
    <w:rsid w:val="00DC0DFC"/>
    <w:rsid w:val="00DC12AB"/>
    <w:rsid w:val="00DC2650"/>
    <w:rsid w:val="00DC320E"/>
    <w:rsid w:val="00DC32B8"/>
    <w:rsid w:val="00DC3766"/>
    <w:rsid w:val="00DC3A99"/>
    <w:rsid w:val="00DC4073"/>
    <w:rsid w:val="00DC5AF1"/>
    <w:rsid w:val="00DC64DF"/>
    <w:rsid w:val="00DC70DD"/>
    <w:rsid w:val="00DD002D"/>
    <w:rsid w:val="00DD35E5"/>
    <w:rsid w:val="00DD37DE"/>
    <w:rsid w:val="00DD3836"/>
    <w:rsid w:val="00DD4E4D"/>
    <w:rsid w:val="00DD6771"/>
    <w:rsid w:val="00DD6A86"/>
    <w:rsid w:val="00DD6AA9"/>
    <w:rsid w:val="00DD75F2"/>
    <w:rsid w:val="00DD7A85"/>
    <w:rsid w:val="00DE0B17"/>
    <w:rsid w:val="00DE2500"/>
    <w:rsid w:val="00DE28F4"/>
    <w:rsid w:val="00DE2D73"/>
    <w:rsid w:val="00DE2DC0"/>
    <w:rsid w:val="00DE303A"/>
    <w:rsid w:val="00DE30C2"/>
    <w:rsid w:val="00DE35E9"/>
    <w:rsid w:val="00DE394A"/>
    <w:rsid w:val="00DE3AE3"/>
    <w:rsid w:val="00DE3FC3"/>
    <w:rsid w:val="00DE4467"/>
    <w:rsid w:val="00DE4A97"/>
    <w:rsid w:val="00DE4D6A"/>
    <w:rsid w:val="00DE533F"/>
    <w:rsid w:val="00DE61EE"/>
    <w:rsid w:val="00DE6A52"/>
    <w:rsid w:val="00DE72EE"/>
    <w:rsid w:val="00DE7780"/>
    <w:rsid w:val="00DF03CC"/>
    <w:rsid w:val="00DF1DC5"/>
    <w:rsid w:val="00DF1E6B"/>
    <w:rsid w:val="00DF2515"/>
    <w:rsid w:val="00DF2A39"/>
    <w:rsid w:val="00DF2B57"/>
    <w:rsid w:val="00DF2C9B"/>
    <w:rsid w:val="00DF4170"/>
    <w:rsid w:val="00DF4D5B"/>
    <w:rsid w:val="00DF5199"/>
    <w:rsid w:val="00DF5384"/>
    <w:rsid w:val="00DF5B22"/>
    <w:rsid w:val="00DF608D"/>
    <w:rsid w:val="00DF64F0"/>
    <w:rsid w:val="00DF6AF7"/>
    <w:rsid w:val="00E006EE"/>
    <w:rsid w:val="00E0076F"/>
    <w:rsid w:val="00E00B6B"/>
    <w:rsid w:val="00E0125D"/>
    <w:rsid w:val="00E0131D"/>
    <w:rsid w:val="00E0245A"/>
    <w:rsid w:val="00E0271F"/>
    <w:rsid w:val="00E02D09"/>
    <w:rsid w:val="00E0327C"/>
    <w:rsid w:val="00E03946"/>
    <w:rsid w:val="00E0473B"/>
    <w:rsid w:val="00E04E0C"/>
    <w:rsid w:val="00E05197"/>
    <w:rsid w:val="00E062D9"/>
    <w:rsid w:val="00E0636C"/>
    <w:rsid w:val="00E06402"/>
    <w:rsid w:val="00E067F7"/>
    <w:rsid w:val="00E06D98"/>
    <w:rsid w:val="00E10C7E"/>
    <w:rsid w:val="00E1106A"/>
    <w:rsid w:val="00E11A09"/>
    <w:rsid w:val="00E1237B"/>
    <w:rsid w:val="00E1274A"/>
    <w:rsid w:val="00E129C1"/>
    <w:rsid w:val="00E13995"/>
    <w:rsid w:val="00E149C2"/>
    <w:rsid w:val="00E14B78"/>
    <w:rsid w:val="00E15397"/>
    <w:rsid w:val="00E15678"/>
    <w:rsid w:val="00E1575D"/>
    <w:rsid w:val="00E1713B"/>
    <w:rsid w:val="00E21754"/>
    <w:rsid w:val="00E21B5C"/>
    <w:rsid w:val="00E23160"/>
    <w:rsid w:val="00E23985"/>
    <w:rsid w:val="00E23C46"/>
    <w:rsid w:val="00E25AB4"/>
    <w:rsid w:val="00E26107"/>
    <w:rsid w:val="00E26948"/>
    <w:rsid w:val="00E26A2B"/>
    <w:rsid w:val="00E27608"/>
    <w:rsid w:val="00E303D2"/>
    <w:rsid w:val="00E30FF8"/>
    <w:rsid w:val="00E30FFF"/>
    <w:rsid w:val="00E3172F"/>
    <w:rsid w:val="00E33420"/>
    <w:rsid w:val="00E34A3F"/>
    <w:rsid w:val="00E34EAD"/>
    <w:rsid w:val="00E3626D"/>
    <w:rsid w:val="00E37270"/>
    <w:rsid w:val="00E37CCF"/>
    <w:rsid w:val="00E37DA3"/>
    <w:rsid w:val="00E4038A"/>
    <w:rsid w:val="00E405CB"/>
    <w:rsid w:val="00E40CB2"/>
    <w:rsid w:val="00E40DEE"/>
    <w:rsid w:val="00E411F0"/>
    <w:rsid w:val="00E43900"/>
    <w:rsid w:val="00E43C06"/>
    <w:rsid w:val="00E4556C"/>
    <w:rsid w:val="00E45812"/>
    <w:rsid w:val="00E45B82"/>
    <w:rsid w:val="00E509AE"/>
    <w:rsid w:val="00E51757"/>
    <w:rsid w:val="00E52316"/>
    <w:rsid w:val="00E52B5E"/>
    <w:rsid w:val="00E54383"/>
    <w:rsid w:val="00E546AA"/>
    <w:rsid w:val="00E5512F"/>
    <w:rsid w:val="00E55538"/>
    <w:rsid w:val="00E55D79"/>
    <w:rsid w:val="00E562AD"/>
    <w:rsid w:val="00E56892"/>
    <w:rsid w:val="00E56A72"/>
    <w:rsid w:val="00E56EF7"/>
    <w:rsid w:val="00E57231"/>
    <w:rsid w:val="00E57F54"/>
    <w:rsid w:val="00E60C81"/>
    <w:rsid w:val="00E64730"/>
    <w:rsid w:val="00E66C82"/>
    <w:rsid w:val="00E66FED"/>
    <w:rsid w:val="00E671A1"/>
    <w:rsid w:val="00E67B55"/>
    <w:rsid w:val="00E712DB"/>
    <w:rsid w:val="00E7136C"/>
    <w:rsid w:val="00E71661"/>
    <w:rsid w:val="00E71906"/>
    <w:rsid w:val="00E721B8"/>
    <w:rsid w:val="00E728A2"/>
    <w:rsid w:val="00E72EC5"/>
    <w:rsid w:val="00E7395D"/>
    <w:rsid w:val="00E7401C"/>
    <w:rsid w:val="00E75C08"/>
    <w:rsid w:val="00E76AD2"/>
    <w:rsid w:val="00E77D59"/>
    <w:rsid w:val="00E77FA7"/>
    <w:rsid w:val="00E8082C"/>
    <w:rsid w:val="00E80F2E"/>
    <w:rsid w:val="00E8104D"/>
    <w:rsid w:val="00E810EF"/>
    <w:rsid w:val="00E812AF"/>
    <w:rsid w:val="00E813BC"/>
    <w:rsid w:val="00E81AFC"/>
    <w:rsid w:val="00E82FE8"/>
    <w:rsid w:val="00E8411C"/>
    <w:rsid w:val="00E841EC"/>
    <w:rsid w:val="00E84499"/>
    <w:rsid w:val="00E85F19"/>
    <w:rsid w:val="00E85FA2"/>
    <w:rsid w:val="00E86ED7"/>
    <w:rsid w:val="00E906E8"/>
    <w:rsid w:val="00E9090A"/>
    <w:rsid w:val="00E90A49"/>
    <w:rsid w:val="00E90AA8"/>
    <w:rsid w:val="00E91125"/>
    <w:rsid w:val="00E92029"/>
    <w:rsid w:val="00E92559"/>
    <w:rsid w:val="00E936BC"/>
    <w:rsid w:val="00E94F6C"/>
    <w:rsid w:val="00E95B99"/>
    <w:rsid w:val="00E961EE"/>
    <w:rsid w:val="00E9681E"/>
    <w:rsid w:val="00E9772E"/>
    <w:rsid w:val="00E97920"/>
    <w:rsid w:val="00EA019C"/>
    <w:rsid w:val="00EA2B9B"/>
    <w:rsid w:val="00EA4057"/>
    <w:rsid w:val="00EA48B7"/>
    <w:rsid w:val="00EA5F49"/>
    <w:rsid w:val="00EA6876"/>
    <w:rsid w:val="00EA73AD"/>
    <w:rsid w:val="00EA7409"/>
    <w:rsid w:val="00EA74EB"/>
    <w:rsid w:val="00EA77A5"/>
    <w:rsid w:val="00EA7927"/>
    <w:rsid w:val="00EB0424"/>
    <w:rsid w:val="00EB045D"/>
    <w:rsid w:val="00EB17B5"/>
    <w:rsid w:val="00EB1CEA"/>
    <w:rsid w:val="00EB21AA"/>
    <w:rsid w:val="00EB24D7"/>
    <w:rsid w:val="00EB2A9F"/>
    <w:rsid w:val="00EB309E"/>
    <w:rsid w:val="00EB39E0"/>
    <w:rsid w:val="00EB43A2"/>
    <w:rsid w:val="00EB4631"/>
    <w:rsid w:val="00EB5377"/>
    <w:rsid w:val="00EB5913"/>
    <w:rsid w:val="00EB7E0E"/>
    <w:rsid w:val="00EC02E0"/>
    <w:rsid w:val="00EC03BF"/>
    <w:rsid w:val="00EC13D2"/>
    <w:rsid w:val="00EC214E"/>
    <w:rsid w:val="00EC26B4"/>
    <w:rsid w:val="00EC4F73"/>
    <w:rsid w:val="00EC564D"/>
    <w:rsid w:val="00EC5802"/>
    <w:rsid w:val="00EC6564"/>
    <w:rsid w:val="00EC6EEB"/>
    <w:rsid w:val="00EC7AE6"/>
    <w:rsid w:val="00ED009A"/>
    <w:rsid w:val="00ED3047"/>
    <w:rsid w:val="00ED318D"/>
    <w:rsid w:val="00ED34EF"/>
    <w:rsid w:val="00ED3829"/>
    <w:rsid w:val="00ED39CA"/>
    <w:rsid w:val="00ED52A9"/>
    <w:rsid w:val="00ED5711"/>
    <w:rsid w:val="00ED5C11"/>
    <w:rsid w:val="00ED606E"/>
    <w:rsid w:val="00ED6DE4"/>
    <w:rsid w:val="00ED7ED9"/>
    <w:rsid w:val="00EE044C"/>
    <w:rsid w:val="00EE089E"/>
    <w:rsid w:val="00EE0EEC"/>
    <w:rsid w:val="00EE178B"/>
    <w:rsid w:val="00EE2803"/>
    <w:rsid w:val="00EE2835"/>
    <w:rsid w:val="00EE2E83"/>
    <w:rsid w:val="00EE35A8"/>
    <w:rsid w:val="00EE398B"/>
    <w:rsid w:val="00EE6182"/>
    <w:rsid w:val="00EF065D"/>
    <w:rsid w:val="00EF0D50"/>
    <w:rsid w:val="00EF1093"/>
    <w:rsid w:val="00EF1683"/>
    <w:rsid w:val="00EF1ADD"/>
    <w:rsid w:val="00EF1B22"/>
    <w:rsid w:val="00EF1E17"/>
    <w:rsid w:val="00EF27DD"/>
    <w:rsid w:val="00EF29AC"/>
    <w:rsid w:val="00EF334F"/>
    <w:rsid w:val="00EF3972"/>
    <w:rsid w:val="00EF4619"/>
    <w:rsid w:val="00EF5E5E"/>
    <w:rsid w:val="00EF72F6"/>
    <w:rsid w:val="00EF78F2"/>
    <w:rsid w:val="00F00C53"/>
    <w:rsid w:val="00F01E82"/>
    <w:rsid w:val="00F0212F"/>
    <w:rsid w:val="00F021C1"/>
    <w:rsid w:val="00F02B8F"/>
    <w:rsid w:val="00F036E1"/>
    <w:rsid w:val="00F04079"/>
    <w:rsid w:val="00F044E4"/>
    <w:rsid w:val="00F0502B"/>
    <w:rsid w:val="00F058A6"/>
    <w:rsid w:val="00F069B6"/>
    <w:rsid w:val="00F075B4"/>
    <w:rsid w:val="00F07ADF"/>
    <w:rsid w:val="00F07C7F"/>
    <w:rsid w:val="00F1050B"/>
    <w:rsid w:val="00F106C1"/>
    <w:rsid w:val="00F10899"/>
    <w:rsid w:val="00F12EE8"/>
    <w:rsid w:val="00F14733"/>
    <w:rsid w:val="00F14DDE"/>
    <w:rsid w:val="00F1601A"/>
    <w:rsid w:val="00F165C6"/>
    <w:rsid w:val="00F16F9D"/>
    <w:rsid w:val="00F172A1"/>
    <w:rsid w:val="00F17530"/>
    <w:rsid w:val="00F1754E"/>
    <w:rsid w:val="00F20712"/>
    <w:rsid w:val="00F21082"/>
    <w:rsid w:val="00F21154"/>
    <w:rsid w:val="00F219C0"/>
    <w:rsid w:val="00F22DAF"/>
    <w:rsid w:val="00F23FA6"/>
    <w:rsid w:val="00F25353"/>
    <w:rsid w:val="00F25361"/>
    <w:rsid w:val="00F25D2C"/>
    <w:rsid w:val="00F2653A"/>
    <w:rsid w:val="00F26A56"/>
    <w:rsid w:val="00F26D39"/>
    <w:rsid w:val="00F27302"/>
    <w:rsid w:val="00F273D7"/>
    <w:rsid w:val="00F30344"/>
    <w:rsid w:val="00F316D7"/>
    <w:rsid w:val="00F3221E"/>
    <w:rsid w:val="00F347D4"/>
    <w:rsid w:val="00F34D2A"/>
    <w:rsid w:val="00F35054"/>
    <w:rsid w:val="00F37395"/>
    <w:rsid w:val="00F3782A"/>
    <w:rsid w:val="00F37FB1"/>
    <w:rsid w:val="00F407E6"/>
    <w:rsid w:val="00F40D5D"/>
    <w:rsid w:val="00F41115"/>
    <w:rsid w:val="00F41714"/>
    <w:rsid w:val="00F41FC1"/>
    <w:rsid w:val="00F43353"/>
    <w:rsid w:val="00F4426E"/>
    <w:rsid w:val="00F44B17"/>
    <w:rsid w:val="00F44C46"/>
    <w:rsid w:val="00F459B8"/>
    <w:rsid w:val="00F45A8F"/>
    <w:rsid w:val="00F46C85"/>
    <w:rsid w:val="00F473DD"/>
    <w:rsid w:val="00F5197D"/>
    <w:rsid w:val="00F51CF0"/>
    <w:rsid w:val="00F52192"/>
    <w:rsid w:val="00F52CD4"/>
    <w:rsid w:val="00F546F3"/>
    <w:rsid w:val="00F54749"/>
    <w:rsid w:val="00F56896"/>
    <w:rsid w:val="00F56C3F"/>
    <w:rsid w:val="00F577F5"/>
    <w:rsid w:val="00F5798F"/>
    <w:rsid w:val="00F57CFF"/>
    <w:rsid w:val="00F601CF"/>
    <w:rsid w:val="00F60620"/>
    <w:rsid w:val="00F6099F"/>
    <w:rsid w:val="00F60B12"/>
    <w:rsid w:val="00F61E54"/>
    <w:rsid w:val="00F623F0"/>
    <w:rsid w:val="00F62F09"/>
    <w:rsid w:val="00F6495F"/>
    <w:rsid w:val="00F65054"/>
    <w:rsid w:val="00F6738E"/>
    <w:rsid w:val="00F7074D"/>
    <w:rsid w:val="00F726E8"/>
    <w:rsid w:val="00F728F8"/>
    <w:rsid w:val="00F734DE"/>
    <w:rsid w:val="00F736D4"/>
    <w:rsid w:val="00F7442B"/>
    <w:rsid w:val="00F7455A"/>
    <w:rsid w:val="00F74999"/>
    <w:rsid w:val="00F74ABE"/>
    <w:rsid w:val="00F7527B"/>
    <w:rsid w:val="00F75C86"/>
    <w:rsid w:val="00F7679B"/>
    <w:rsid w:val="00F76AF0"/>
    <w:rsid w:val="00F770EC"/>
    <w:rsid w:val="00F77B89"/>
    <w:rsid w:val="00F80A04"/>
    <w:rsid w:val="00F811FC"/>
    <w:rsid w:val="00F816C6"/>
    <w:rsid w:val="00F81BF5"/>
    <w:rsid w:val="00F826DD"/>
    <w:rsid w:val="00F836C1"/>
    <w:rsid w:val="00F83C9D"/>
    <w:rsid w:val="00F83F39"/>
    <w:rsid w:val="00F845B9"/>
    <w:rsid w:val="00F84F92"/>
    <w:rsid w:val="00F86EFB"/>
    <w:rsid w:val="00F874F6"/>
    <w:rsid w:val="00F87777"/>
    <w:rsid w:val="00F90627"/>
    <w:rsid w:val="00F91B40"/>
    <w:rsid w:val="00F92783"/>
    <w:rsid w:val="00F92884"/>
    <w:rsid w:val="00F93304"/>
    <w:rsid w:val="00F9375E"/>
    <w:rsid w:val="00F9427A"/>
    <w:rsid w:val="00F944C6"/>
    <w:rsid w:val="00F94929"/>
    <w:rsid w:val="00F94C66"/>
    <w:rsid w:val="00F952C2"/>
    <w:rsid w:val="00F95B0D"/>
    <w:rsid w:val="00F963AF"/>
    <w:rsid w:val="00FA0342"/>
    <w:rsid w:val="00FA2695"/>
    <w:rsid w:val="00FA2753"/>
    <w:rsid w:val="00FA2FC6"/>
    <w:rsid w:val="00FA3045"/>
    <w:rsid w:val="00FA52F5"/>
    <w:rsid w:val="00FA5363"/>
    <w:rsid w:val="00FA6BE7"/>
    <w:rsid w:val="00FA711C"/>
    <w:rsid w:val="00FA72C7"/>
    <w:rsid w:val="00FA79CB"/>
    <w:rsid w:val="00FA7DF3"/>
    <w:rsid w:val="00FB0AD5"/>
    <w:rsid w:val="00FB10EF"/>
    <w:rsid w:val="00FB1381"/>
    <w:rsid w:val="00FB15B9"/>
    <w:rsid w:val="00FB28A4"/>
    <w:rsid w:val="00FB2950"/>
    <w:rsid w:val="00FB2FDE"/>
    <w:rsid w:val="00FB50F6"/>
    <w:rsid w:val="00FB6621"/>
    <w:rsid w:val="00FB7064"/>
    <w:rsid w:val="00FB7508"/>
    <w:rsid w:val="00FB7CA3"/>
    <w:rsid w:val="00FC0E39"/>
    <w:rsid w:val="00FC26F5"/>
    <w:rsid w:val="00FC31C2"/>
    <w:rsid w:val="00FC445C"/>
    <w:rsid w:val="00FC4708"/>
    <w:rsid w:val="00FC5173"/>
    <w:rsid w:val="00FC5A0A"/>
    <w:rsid w:val="00FC600D"/>
    <w:rsid w:val="00FC61A4"/>
    <w:rsid w:val="00FC7CB0"/>
    <w:rsid w:val="00FD0772"/>
    <w:rsid w:val="00FD08CF"/>
    <w:rsid w:val="00FD23D2"/>
    <w:rsid w:val="00FD3EE4"/>
    <w:rsid w:val="00FD40AE"/>
    <w:rsid w:val="00FD575F"/>
    <w:rsid w:val="00FD677C"/>
    <w:rsid w:val="00FD7A84"/>
    <w:rsid w:val="00FE03DE"/>
    <w:rsid w:val="00FE042F"/>
    <w:rsid w:val="00FE0FAE"/>
    <w:rsid w:val="00FE16B3"/>
    <w:rsid w:val="00FE1EB6"/>
    <w:rsid w:val="00FE350C"/>
    <w:rsid w:val="00FE36C9"/>
    <w:rsid w:val="00FE3B8A"/>
    <w:rsid w:val="00FE401C"/>
    <w:rsid w:val="00FE4065"/>
    <w:rsid w:val="00FE4B0D"/>
    <w:rsid w:val="00FE614B"/>
    <w:rsid w:val="00FE7264"/>
    <w:rsid w:val="00FE7864"/>
    <w:rsid w:val="00FE7F98"/>
    <w:rsid w:val="00FF06E2"/>
    <w:rsid w:val="00FF0C4F"/>
    <w:rsid w:val="00FF0F45"/>
    <w:rsid w:val="00FF10DB"/>
    <w:rsid w:val="00FF1F7C"/>
    <w:rsid w:val="00FF2071"/>
    <w:rsid w:val="00FF2C2F"/>
    <w:rsid w:val="00FF3A91"/>
    <w:rsid w:val="00FF4972"/>
    <w:rsid w:val="00FF4E61"/>
    <w:rsid w:val="00FF57F6"/>
    <w:rsid w:val="00FF5AE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0ED6F273"/>
  <w15:chartTrackingRefBased/>
  <w15:docId w15:val="{05999262-2670-47C1-9C28-FB43EA8B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4A9"/>
    <w:rPr>
      <w:rFonts w:ascii="Times New Roman" w:hAnsi="Times New Roman" w:cs="Times New Roman"/>
      <w:sz w:val="22"/>
      <w:szCs w:val="22"/>
      <w:lang w:eastAsia="en-US"/>
    </w:rPr>
  </w:style>
  <w:style w:type="paragraph" w:styleId="Heading1">
    <w:name w:val="heading 1"/>
    <w:basedOn w:val="Normal"/>
    <w:link w:val="Heading1Char"/>
    <w:uiPriority w:val="1"/>
    <w:qFormat/>
    <w:rsid w:val="00F60620"/>
    <w:pPr>
      <w:widowControl w:val="0"/>
      <w:outlineLvl w:val="0"/>
    </w:pPr>
    <w:rPr>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uiPriority w:val="99"/>
    <w:semiHidden/>
    <w:unhideWhenUsed/>
    <w:rPr>
      <w:color w:val="800080"/>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locked/>
    <w:rPr>
      <w:rFonts w:ascii="Times New Roman" w:hAnsi="Times New Roman" w:cs="Times New Roman" w:hint="default"/>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ascii="Times New Roman" w:hAnsi="Times New Roman" w:cs="Times New Roman" w:hint="default"/>
      <w:b/>
      <w:bCs w:val="0"/>
      <w:sz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rFonts w:ascii="Tahoma" w:hAnsi="Tahoma" w:cs="Times New Roman" w:hint="default"/>
      <w:sz w:val="16"/>
    </w:rPr>
  </w:style>
  <w:style w:type="paragraph" w:styleId="Revision">
    <w:name w:val="Revision"/>
    <w:uiPriority w:val="99"/>
    <w:semiHidden/>
    <w:rPr>
      <w:rFonts w:cs="Times New Roman"/>
      <w:sz w:val="22"/>
      <w:szCs w:val="22"/>
      <w:lang w:eastAsia="en-US"/>
    </w:rPr>
  </w:style>
  <w:style w:type="paragraph" w:styleId="ListParagraph">
    <w:name w:val="List Paragraph"/>
    <w:basedOn w:val="Normal"/>
    <w:uiPriority w:val="34"/>
    <w:qFormat/>
    <w:pPr>
      <w:ind w:left="720"/>
    </w:p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eastAsia="en-US"/>
    </w:rPr>
  </w:style>
  <w:style w:type="paragraph" w:customStyle="1" w:styleId="CM1">
    <w:name w:val="CM1"/>
    <w:basedOn w:val="Default"/>
    <w:next w:val="Default"/>
    <w:uiPriority w:val="99"/>
    <w:pPr>
      <w:spacing w:line="518" w:lineRule="atLeast"/>
    </w:pPr>
    <w:rPr>
      <w:color w:val="auto"/>
    </w:rPr>
  </w:style>
  <w:style w:type="paragraph" w:customStyle="1" w:styleId="CM140">
    <w:name w:val="CM140"/>
    <w:basedOn w:val="Default"/>
    <w:next w:val="Default"/>
    <w:uiPriority w:val="99"/>
    <w:rPr>
      <w:color w:val="auto"/>
    </w:rPr>
  </w:style>
  <w:style w:type="paragraph" w:customStyle="1" w:styleId="CM141">
    <w:name w:val="CM141"/>
    <w:basedOn w:val="Default"/>
    <w:next w:val="Default"/>
    <w:uiPriority w:val="99"/>
    <w:rPr>
      <w:color w:val="auto"/>
    </w:rPr>
  </w:style>
  <w:style w:type="paragraph" w:customStyle="1" w:styleId="CM142">
    <w:name w:val="CM142"/>
    <w:basedOn w:val="Default"/>
    <w:next w:val="Default"/>
    <w:uiPriority w:val="99"/>
    <w:rPr>
      <w:color w:val="auto"/>
    </w:rPr>
  </w:style>
  <w:style w:type="paragraph" w:customStyle="1" w:styleId="CM2">
    <w:name w:val="CM2"/>
    <w:basedOn w:val="Default"/>
    <w:next w:val="Default"/>
    <w:uiPriority w:val="99"/>
    <w:pPr>
      <w:spacing w:line="388" w:lineRule="atLeast"/>
    </w:pPr>
    <w:rPr>
      <w:color w:val="auto"/>
    </w:rPr>
  </w:style>
  <w:style w:type="paragraph" w:customStyle="1" w:styleId="CM143">
    <w:name w:val="CM143"/>
    <w:basedOn w:val="Default"/>
    <w:next w:val="Default"/>
    <w:uiPriority w:val="99"/>
    <w:rPr>
      <w:color w:val="auto"/>
    </w:rPr>
  </w:style>
  <w:style w:type="paragraph" w:customStyle="1" w:styleId="CM3">
    <w:name w:val="CM3"/>
    <w:basedOn w:val="Default"/>
    <w:next w:val="Default"/>
    <w:uiPriority w:val="99"/>
    <w:pPr>
      <w:spacing w:line="518" w:lineRule="atLeast"/>
    </w:pPr>
    <w:rPr>
      <w:color w:val="auto"/>
    </w:rPr>
  </w:style>
  <w:style w:type="paragraph" w:customStyle="1" w:styleId="CM4">
    <w:name w:val="CM4"/>
    <w:basedOn w:val="Default"/>
    <w:next w:val="Default"/>
    <w:uiPriority w:val="99"/>
    <w:pPr>
      <w:spacing w:line="518"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9">
    <w:name w:val="CM9"/>
    <w:basedOn w:val="Default"/>
    <w:next w:val="Default"/>
    <w:uiPriority w:val="99"/>
    <w:pPr>
      <w:spacing w:line="260" w:lineRule="atLeast"/>
    </w:pPr>
    <w:rPr>
      <w:color w:val="auto"/>
    </w:rPr>
  </w:style>
  <w:style w:type="paragraph" w:customStyle="1" w:styleId="CM7">
    <w:name w:val="CM7"/>
    <w:basedOn w:val="Default"/>
    <w:next w:val="Default"/>
    <w:uiPriority w:val="99"/>
    <w:pPr>
      <w:spacing w:line="260" w:lineRule="atLeast"/>
    </w:pPr>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0">
    <w:name w:val="CM10"/>
    <w:basedOn w:val="Default"/>
    <w:next w:val="Default"/>
    <w:uiPriority w:val="99"/>
    <w:pPr>
      <w:spacing w:line="260" w:lineRule="atLeast"/>
    </w:pPr>
    <w:rPr>
      <w:color w:val="auto"/>
    </w:rPr>
  </w:style>
  <w:style w:type="paragraph" w:customStyle="1" w:styleId="CM13">
    <w:name w:val="CM13"/>
    <w:basedOn w:val="Default"/>
    <w:next w:val="Default"/>
    <w:uiPriority w:val="99"/>
    <w:pPr>
      <w:spacing w:line="260" w:lineRule="atLeast"/>
    </w:pPr>
    <w:rPr>
      <w:color w:val="auto"/>
    </w:rPr>
  </w:style>
  <w:style w:type="paragraph" w:customStyle="1" w:styleId="CM14">
    <w:name w:val="CM14"/>
    <w:basedOn w:val="Default"/>
    <w:next w:val="Default"/>
    <w:uiPriority w:val="99"/>
    <w:pPr>
      <w:spacing w:line="260" w:lineRule="atLeast"/>
    </w:pPr>
    <w:rPr>
      <w:color w:val="auto"/>
    </w:rPr>
  </w:style>
  <w:style w:type="paragraph" w:customStyle="1" w:styleId="CM15">
    <w:name w:val="CM15"/>
    <w:basedOn w:val="Default"/>
    <w:next w:val="Default"/>
    <w:uiPriority w:val="99"/>
    <w:pPr>
      <w:spacing w:line="260" w:lineRule="atLeast"/>
    </w:pPr>
    <w:rPr>
      <w:color w:val="auto"/>
    </w:rPr>
  </w:style>
  <w:style w:type="paragraph" w:customStyle="1" w:styleId="CM17">
    <w:name w:val="CM17"/>
    <w:basedOn w:val="Default"/>
    <w:next w:val="Default"/>
    <w:uiPriority w:val="99"/>
    <w:pPr>
      <w:spacing w:line="260" w:lineRule="atLeast"/>
    </w:pPr>
    <w:rPr>
      <w:color w:val="auto"/>
    </w:rPr>
  </w:style>
  <w:style w:type="paragraph" w:customStyle="1" w:styleId="CM18">
    <w:name w:val="CM18"/>
    <w:basedOn w:val="Default"/>
    <w:next w:val="Default"/>
    <w:uiPriority w:val="99"/>
    <w:pPr>
      <w:spacing w:line="260" w:lineRule="atLeast"/>
    </w:pPr>
    <w:rPr>
      <w:color w:val="auto"/>
    </w:rPr>
  </w:style>
  <w:style w:type="paragraph" w:customStyle="1" w:styleId="CM16">
    <w:name w:val="CM16"/>
    <w:basedOn w:val="Default"/>
    <w:next w:val="Default"/>
    <w:uiPriority w:val="99"/>
    <w:pPr>
      <w:spacing w:line="260" w:lineRule="atLeast"/>
    </w:pPr>
    <w:rPr>
      <w:color w:val="auto"/>
    </w:rPr>
  </w:style>
  <w:style w:type="paragraph" w:customStyle="1" w:styleId="CM12">
    <w:name w:val="CM12"/>
    <w:basedOn w:val="Default"/>
    <w:next w:val="Default"/>
    <w:uiPriority w:val="99"/>
    <w:pPr>
      <w:spacing w:line="260" w:lineRule="atLeast"/>
    </w:pPr>
    <w:rPr>
      <w:color w:val="auto"/>
    </w:rPr>
  </w:style>
  <w:style w:type="paragraph" w:customStyle="1" w:styleId="CM146">
    <w:name w:val="CM146"/>
    <w:basedOn w:val="Default"/>
    <w:next w:val="Default"/>
    <w:uiPriority w:val="99"/>
    <w:rPr>
      <w:color w:val="auto"/>
    </w:rPr>
  </w:style>
  <w:style w:type="paragraph" w:customStyle="1" w:styleId="CM19">
    <w:name w:val="CM19"/>
    <w:basedOn w:val="Default"/>
    <w:next w:val="Default"/>
    <w:uiPriority w:val="99"/>
    <w:pPr>
      <w:spacing w:line="260" w:lineRule="atLeast"/>
    </w:pPr>
    <w:rPr>
      <w:color w:val="auto"/>
    </w:rPr>
  </w:style>
  <w:style w:type="paragraph" w:customStyle="1" w:styleId="CM20">
    <w:name w:val="CM20"/>
    <w:basedOn w:val="Default"/>
    <w:next w:val="Default"/>
    <w:uiPriority w:val="99"/>
    <w:rPr>
      <w:color w:val="auto"/>
    </w:rPr>
  </w:style>
  <w:style w:type="paragraph" w:customStyle="1" w:styleId="CM21">
    <w:name w:val="CM21"/>
    <w:basedOn w:val="Default"/>
    <w:next w:val="Default"/>
    <w:uiPriority w:val="99"/>
    <w:rPr>
      <w:color w:val="auto"/>
    </w:rPr>
  </w:style>
  <w:style w:type="paragraph" w:customStyle="1" w:styleId="CM22">
    <w:name w:val="CM22"/>
    <w:basedOn w:val="Default"/>
    <w:next w:val="Default"/>
    <w:uiPriority w:val="99"/>
    <w:pPr>
      <w:spacing w:line="260" w:lineRule="atLeast"/>
    </w:pPr>
    <w:rPr>
      <w:color w:val="auto"/>
    </w:rPr>
  </w:style>
  <w:style w:type="paragraph" w:customStyle="1" w:styleId="CM149">
    <w:name w:val="CM149"/>
    <w:basedOn w:val="Default"/>
    <w:next w:val="Default"/>
    <w:uiPriority w:val="99"/>
    <w:rPr>
      <w:color w:val="auto"/>
    </w:rPr>
  </w:style>
  <w:style w:type="paragraph" w:customStyle="1" w:styleId="CM24">
    <w:name w:val="CM24"/>
    <w:basedOn w:val="Default"/>
    <w:next w:val="Default"/>
    <w:uiPriority w:val="99"/>
    <w:pPr>
      <w:spacing w:line="263" w:lineRule="atLeast"/>
    </w:pPr>
    <w:rPr>
      <w:color w:val="auto"/>
    </w:rPr>
  </w:style>
  <w:style w:type="paragraph" w:customStyle="1" w:styleId="CM25">
    <w:name w:val="CM25"/>
    <w:basedOn w:val="Default"/>
    <w:next w:val="Default"/>
    <w:uiPriority w:val="99"/>
    <w:rPr>
      <w:color w:val="auto"/>
    </w:rPr>
  </w:style>
  <w:style w:type="paragraph" w:customStyle="1" w:styleId="CM26">
    <w:name w:val="CM26"/>
    <w:basedOn w:val="Default"/>
    <w:next w:val="Default"/>
    <w:uiPriority w:val="99"/>
    <w:pPr>
      <w:spacing w:line="323" w:lineRule="atLeast"/>
    </w:pPr>
    <w:rPr>
      <w:color w:val="auto"/>
    </w:rPr>
  </w:style>
  <w:style w:type="paragraph" w:customStyle="1" w:styleId="CM27">
    <w:name w:val="CM27"/>
    <w:basedOn w:val="Default"/>
    <w:next w:val="Default"/>
    <w:uiPriority w:val="99"/>
    <w:pPr>
      <w:spacing w:line="323" w:lineRule="atLeast"/>
    </w:pPr>
    <w:rPr>
      <w:color w:val="auto"/>
    </w:rPr>
  </w:style>
  <w:style w:type="paragraph" w:customStyle="1" w:styleId="CM29">
    <w:name w:val="CM29"/>
    <w:basedOn w:val="Default"/>
    <w:next w:val="Default"/>
    <w:uiPriority w:val="99"/>
    <w:pPr>
      <w:spacing w:line="283" w:lineRule="atLeast"/>
    </w:pPr>
    <w:rPr>
      <w:color w:val="auto"/>
    </w:rPr>
  </w:style>
  <w:style w:type="paragraph" w:customStyle="1" w:styleId="CM30">
    <w:name w:val="CM30"/>
    <w:basedOn w:val="Default"/>
    <w:next w:val="Default"/>
    <w:uiPriority w:val="99"/>
    <w:pPr>
      <w:spacing w:line="260" w:lineRule="atLeast"/>
    </w:pPr>
    <w:rPr>
      <w:color w:val="auto"/>
    </w:rPr>
  </w:style>
  <w:style w:type="paragraph" w:customStyle="1" w:styleId="CM31">
    <w:name w:val="CM31"/>
    <w:basedOn w:val="Default"/>
    <w:next w:val="Default"/>
    <w:uiPriority w:val="99"/>
    <w:pPr>
      <w:spacing w:line="518" w:lineRule="atLeast"/>
    </w:pPr>
    <w:rPr>
      <w:color w:val="auto"/>
    </w:rPr>
  </w:style>
  <w:style w:type="paragraph" w:customStyle="1" w:styleId="CM32">
    <w:name w:val="CM32"/>
    <w:basedOn w:val="Default"/>
    <w:next w:val="Default"/>
    <w:uiPriority w:val="99"/>
    <w:pPr>
      <w:spacing w:line="260" w:lineRule="atLeast"/>
    </w:pPr>
    <w:rPr>
      <w:color w:val="auto"/>
    </w:rPr>
  </w:style>
  <w:style w:type="paragraph" w:customStyle="1" w:styleId="CM28">
    <w:name w:val="CM28"/>
    <w:basedOn w:val="Default"/>
    <w:next w:val="Default"/>
    <w:uiPriority w:val="99"/>
    <w:pPr>
      <w:spacing w:line="260" w:lineRule="atLeast"/>
    </w:pPr>
    <w:rPr>
      <w:color w:val="auto"/>
    </w:rPr>
  </w:style>
  <w:style w:type="paragraph" w:customStyle="1" w:styleId="CM156">
    <w:name w:val="CM156"/>
    <w:basedOn w:val="Default"/>
    <w:next w:val="Default"/>
    <w:uiPriority w:val="99"/>
    <w:rPr>
      <w:color w:val="auto"/>
    </w:rPr>
  </w:style>
  <w:style w:type="paragraph" w:customStyle="1" w:styleId="CM33">
    <w:name w:val="CM33"/>
    <w:basedOn w:val="Default"/>
    <w:next w:val="Default"/>
    <w:uiPriority w:val="99"/>
    <w:pPr>
      <w:spacing w:line="260" w:lineRule="atLeast"/>
    </w:pPr>
    <w:rPr>
      <w:color w:val="auto"/>
    </w:rPr>
  </w:style>
  <w:style w:type="paragraph" w:customStyle="1" w:styleId="CM34">
    <w:name w:val="CM34"/>
    <w:basedOn w:val="Default"/>
    <w:next w:val="Default"/>
    <w:uiPriority w:val="99"/>
    <w:pPr>
      <w:spacing w:line="260" w:lineRule="atLeast"/>
    </w:pPr>
    <w:rPr>
      <w:color w:val="auto"/>
    </w:rPr>
  </w:style>
  <w:style w:type="paragraph" w:customStyle="1" w:styleId="CM35">
    <w:name w:val="CM35"/>
    <w:basedOn w:val="Default"/>
    <w:next w:val="Default"/>
    <w:uiPriority w:val="99"/>
    <w:pPr>
      <w:spacing w:line="260" w:lineRule="atLeast"/>
    </w:pPr>
    <w:rPr>
      <w:color w:val="auto"/>
    </w:rPr>
  </w:style>
  <w:style w:type="paragraph" w:customStyle="1" w:styleId="CM157">
    <w:name w:val="CM157"/>
    <w:basedOn w:val="Default"/>
    <w:next w:val="Default"/>
    <w:uiPriority w:val="99"/>
    <w:rPr>
      <w:color w:val="auto"/>
    </w:rPr>
  </w:style>
  <w:style w:type="paragraph" w:customStyle="1" w:styleId="CM36">
    <w:name w:val="CM36"/>
    <w:basedOn w:val="Default"/>
    <w:next w:val="Default"/>
    <w:uiPriority w:val="99"/>
    <w:pPr>
      <w:spacing w:line="448" w:lineRule="atLeast"/>
    </w:pPr>
    <w:rPr>
      <w:color w:val="auto"/>
    </w:rPr>
  </w:style>
  <w:style w:type="paragraph" w:customStyle="1" w:styleId="CM158">
    <w:name w:val="CM158"/>
    <w:basedOn w:val="Default"/>
    <w:next w:val="Default"/>
    <w:uiPriority w:val="99"/>
    <w:rPr>
      <w:color w:val="auto"/>
    </w:rPr>
  </w:style>
  <w:style w:type="paragraph" w:customStyle="1" w:styleId="CM37">
    <w:name w:val="CM37"/>
    <w:basedOn w:val="Default"/>
    <w:next w:val="Default"/>
    <w:uiPriority w:val="99"/>
    <w:pPr>
      <w:spacing w:line="348" w:lineRule="atLeast"/>
    </w:pPr>
    <w:rPr>
      <w:color w:val="auto"/>
    </w:rPr>
  </w:style>
  <w:style w:type="paragraph" w:customStyle="1" w:styleId="CM38">
    <w:name w:val="CM38"/>
    <w:basedOn w:val="Default"/>
    <w:next w:val="Default"/>
    <w:uiPriority w:val="99"/>
    <w:pPr>
      <w:spacing w:line="391" w:lineRule="atLeast"/>
    </w:pPr>
    <w:rPr>
      <w:color w:val="auto"/>
    </w:rPr>
  </w:style>
  <w:style w:type="paragraph" w:customStyle="1" w:styleId="CM159">
    <w:name w:val="CM159"/>
    <w:basedOn w:val="Default"/>
    <w:next w:val="Default"/>
    <w:uiPriority w:val="99"/>
    <w:rPr>
      <w:color w:val="auto"/>
    </w:rPr>
  </w:style>
  <w:style w:type="paragraph" w:customStyle="1" w:styleId="CM39">
    <w:name w:val="CM39"/>
    <w:basedOn w:val="Default"/>
    <w:next w:val="Default"/>
    <w:uiPriority w:val="99"/>
    <w:pPr>
      <w:spacing w:line="260" w:lineRule="atLeast"/>
    </w:pPr>
    <w:rPr>
      <w:color w:val="auto"/>
    </w:rPr>
  </w:style>
  <w:style w:type="paragraph" w:customStyle="1" w:styleId="CM41">
    <w:name w:val="CM41"/>
    <w:basedOn w:val="Default"/>
    <w:next w:val="Default"/>
    <w:uiPriority w:val="99"/>
    <w:pPr>
      <w:spacing w:line="260" w:lineRule="atLeast"/>
    </w:pPr>
    <w:rPr>
      <w:color w:val="auto"/>
    </w:rPr>
  </w:style>
  <w:style w:type="paragraph" w:customStyle="1" w:styleId="CM42">
    <w:name w:val="CM42"/>
    <w:basedOn w:val="Default"/>
    <w:next w:val="Default"/>
    <w:uiPriority w:val="99"/>
    <w:pPr>
      <w:spacing w:line="323" w:lineRule="atLeast"/>
    </w:pPr>
    <w:rPr>
      <w:color w:val="auto"/>
    </w:rPr>
  </w:style>
  <w:style w:type="paragraph" w:customStyle="1" w:styleId="CM43">
    <w:name w:val="CM43"/>
    <w:basedOn w:val="Default"/>
    <w:next w:val="Default"/>
    <w:uiPriority w:val="99"/>
    <w:pPr>
      <w:spacing w:line="260" w:lineRule="atLeast"/>
    </w:pPr>
    <w:rPr>
      <w:color w:val="auto"/>
    </w:rPr>
  </w:style>
  <w:style w:type="paragraph" w:customStyle="1" w:styleId="CM40">
    <w:name w:val="CM40"/>
    <w:basedOn w:val="Default"/>
    <w:next w:val="Default"/>
    <w:uiPriority w:val="99"/>
    <w:pPr>
      <w:spacing w:line="260" w:lineRule="atLeast"/>
    </w:pPr>
    <w:rPr>
      <w:color w:val="auto"/>
    </w:rPr>
  </w:style>
  <w:style w:type="paragraph" w:customStyle="1" w:styleId="CM163">
    <w:name w:val="CM163"/>
    <w:basedOn w:val="Default"/>
    <w:next w:val="Default"/>
    <w:uiPriority w:val="99"/>
    <w:rPr>
      <w:color w:val="auto"/>
    </w:rPr>
  </w:style>
  <w:style w:type="paragraph" w:customStyle="1" w:styleId="CM44">
    <w:name w:val="CM44"/>
    <w:basedOn w:val="Default"/>
    <w:next w:val="Default"/>
    <w:uiPriority w:val="99"/>
    <w:pPr>
      <w:spacing w:line="276" w:lineRule="atLeast"/>
    </w:pPr>
    <w:rPr>
      <w:color w:val="auto"/>
    </w:rPr>
  </w:style>
  <w:style w:type="paragraph" w:customStyle="1" w:styleId="CM45">
    <w:name w:val="CM45"/>
    <w:basedOn w:val="Default"/>
    <w:next w:val="Default"/>
    <w:uiPriority w:val="99"/>
    <w:pPr>
      <w:spacing w:line="263" w:lineRule="atLeast"/>
    </w:pPr>
    <w:rPr>
      <w:color w:val="auto"/>
    </w:rPr>
  </w:style>
  <w:style w:type="paragraph" w:customStyle="1" w:styleId="CM46">
    <w:name w:val="CM46"/>
    <w:basedOn w:val="Default"/>
    <w:next w:val="Default"/>
    <w:uiPriority w:val="99"/>
    <w:pPr>
      <w:spacing w:line="260" w:lineRule="atLeast"/>
    </w:pPr>
    <w:rPr>
      <w:color w:val="auto"/>
    </w:rPr>
  </w:style>
  <w:style w:type="paragraph" w:customStyle="1" w:styleId="CM47">
    <w:name w:val="CM47"/>
    <w:basedOn w:val="Default"/>
    <w:next w:val="Default"/>
    <w:uiPriority w:val="99"/>
    <w:rPr>
      <w:color w:val="auto"/>
    </w:rPr>
  </w:style>
  <w:style w:type="paragraph" w:customStyle="1" w:styleId="CM48">
    <w:name w:val="CM48"/>
    <w:basedOn w:val="Default"/>
    <w:next w:val="Default"/>
    <w:uiPriority w:val="99"/>
    <w:rPr>
      <w:color w:val="auto"/>
    </w:rPr>
  </w:style>
  <w:style w:type="paragraph" w:customStyle="1" w:styleId="CM49">
    <w:name w:val="CM49"/>
    <w:basedOn w:val="Default"/>
    <w:next w:val="Default"/>
    <w:uiPriority w:val="99"/>
    <w:rPr>
      <w:color w:val="auto"/>
    </w:rPr>
  </w:style>
  <w:style w:type="paragraph" w:customStyle="1" w:styleId="CM50">
    <w:name w:val="CM50"/>
    <w:basedOn w:val="Default"/>
    <w:next w:val="Default"/>
    <w:uiPriority w:val="99"/>
    <w:pPr>
      <w:spacing w:line="260" w:lineRule="atLeast"/>
    </w:pPr>
    <w:rPr>
      <w:color w:val="auto"/>
    </w:rPr>
  </w:style>
  <w:style w:type="paragraph" w:customStyle="1" w:styleId="CM23">
    <w:name w:val="CM23"/>
    <w:basedOn w:val="Default"/>
    <w:next w:val="Default"/>
    <w:uiPriority w:val="99"/>
    <w:pPr>
      <w:spacing w:line="260" w:lineRule="atLeast"/>
    </w:pPr>
    <w:rPr>
      <w:color w:val="auto"/>
    </w:rPr>
  </w:style>
  <w:style w:type="paragraph" w:customStyle="1" w:styleId="CM53">
    <w:name w:val="CM53"/>
    <w:basedOn w:val="Default"/>
    <w:next w:val="Default"/>
    <w:uiPriority w:val="99"/>
    <w:pPr>
      <w:spacing w:line="260" w:lineRule="atLeast"/>
    </w:pPr>
    <w:rPr>
      <w:color w:val="auto"/>
    </w:rPr>
  </w:style>
  <w:style w:type="paragraph" w:customStyle="1" w:styleId="CM54">
    <w:name w:val="CM54"/>
    <w:basedOn w:val="Default"/>
    <w:next w:val="Default"/>
    <w:uiPriority w:val="99"/>
    <w:pPr>
      <w:spacing w:line="260" w:lineRule="atLeast"/>
    </w:pPr>
    <w:rPr>
      <w:color w:val="auto"/>
    </w:rPr>
  </w:style>
  <w:style w:type="paragraph" w:customStyle="1" w:styleId="CM55">
    <w:name w:val="CM55"/>
    <w:basedOn w:val="Default"/>
    <w:next w:val="Default"/>
    <w:uiPriority w:val="99"/>
    <w:pPr>
      <w:spacing w:line="268" w:lineRule="atLeast"/>
    </w:pPr>
    <w:rPr>
      <w:color w:val="auto"/>
    </w:rPr>
  </w:style>
  <w:style w:type="paragraph" w:customStyle="1" w:styleId="CM147">
    <w:name w:val="CM147"/>
    <w:basedOn w:val="Default"/>
    <w:next w:val="Default"/>
    <w:uiPriority w:val="99"/>
    <w:rPr>
      <w:color w:val="auto"/>
    </w:rPr>
  </w:style>
  <w:style w:type="paragraph" w:customStyle="1" w:styleId="CM56">
    <w:name w:val="CM56"/>
    <w:basedOn w:val="Default"/>
    <w:next w:val="Default"/>
    <w:uiPriority w:val="99"/>
    <w:pPr>
      <w:spacing w:line="260" w:lineRule="atLeast"/>
    </w:pPr>
    <w:rPr>
      <w:color w:val="auto"/>
    </w:rPr>
  </w:style>
  <w:style w:type="paragraph" w:customStyle="1" w:styleId="CM84">
    <w:name w:val="CM84"/>
    <w:basedOn w:val="Default"/>
    <w:next w:val="Default"/>
    <w:uiPriority w:val="99"/>
    <w:pPr>
      <w:spacing w:line="260" w:lineRule="atLeast"/>
    </w:pPr>
    <w:rPr>
      <w:color w:val="auto"/>
    </w:rPr>
  </w:style>
  <w:style w:type="paragraph" w:customStyle="1" w:styleId="CM57">
    <w:name w:val="CM57"/>
    <w:basedOn w:val="Default"/>
    <w:next w:val="Default"/>
    <w:uiPriority w:val="99"/>
    <w:pPr>
      <w:spacing w:line="476" w:lineRule="atLeast"/>
    </w:pPr>
    <w:rPr>
      <w:color w:val="auto"/>
    </w:rPr>
  </w:style>
  <w:style w:type="paragraph" w:customStyle="1" w:styleId="CM58">
    <w:name w:val="CM58"/>
    <w:basedOn w:val="Default"/>
    <w:next w:val="Default"/>
    <w:uiPriority w:val="99"/>
    <w:pPr>
      <w:spacing w:line="260" w:lineRule="atLeast"/>
    </w:pPr>
    <w:rPr>
      <w:color w:val="auto"/>
    </w:rPr>
  </w:style>
  <w:style w:type="paragraph" w:customStyle="1" w:styleId="CM59">
    <w:name w:val="CM59"/>
    <w:basedOn w:val="Default"/>
    <w:next w:val="Default"/>
    <w:uiPriority w:val="99"/>
    <w:pPr>
      <w:spacing w:line="260" w:lineRule="atLeast"/>
    </w:pPr>
    <w:rPr>
      <w:color w:val="auto"/>
    </w:rPr>
  </w:style>
  <w:style w:type="paragraph" w:customStyle="1" w:styleId="CM60">
    <w:name w:val="CM60"/>
    <w:basedOn w:val="Default"/>
    <w:next w:val="Default"/>
    <w:uiPriority w:val="99"/>
    <w:pPr>
      <w:spacing w:line="260" w:lineRule="atLeast"/>
    </w:pPr>
    <w:rPr>
      <w:color w:val="auto"/>
    </w:rPr>
  </w:style>
  <w:style w:type="paragraph" w:customStyle="1" w:styleId="CM62">
    <w:name w:val="CM62"/>
    <w:basedOn w:val="Default"/>
    <w:next w:val="Default"/>
    <w:uiPriority w:val="99"/>
    <w:pPr>
      <w:spacing w:line="260" w:lineRule="atLeast"/>
    </w:pPr>
    <w:rPr>
      <w:color w:val="auto"/>
    </w:rPr>
  </w:style>
  <w:style w:type="paragraph" w:customStyle="1" w:styleId="CM64">
    <w:name w:val="CM64"/>
    <w:basedOn w:val="Default"/>
    <w:next w:val="Default"/>
    <w:uiPriority w:val="99"/>
    <w:pPr>
      <w:spacing w:line="260" w:lineRule="atLeast"/>
    </w:pPr>
    <w:rPr>
      <w:color w:val="auto"/>
    </w:rPr>
  </w:style>
  <w:style w:type="paragraph" w:customStyle="1" w:styleId="CM148">
    <w:name w:val="CM148"/>
    <w:basedOn w:val="Default"/>
    <w:next w:val="Default"/>
    <w:uiPriority w:val="99"/>
    <w:rPr>
      <w:color w:val="auto"/>
    </w:rPr>
  </w:style>
  <w:style w:type="paragraph" w:customStyle="1" w:styleId="CM65">
    <w:name w:val="CM65"/>
    <w:basedOn w:val="Default"/>
    <w:next w:val="Default"/>
    <w:uiPriority w:val="99"/>
    <w:rPr>
      <w:color w:val="auto"/>
    </w:rPr>
  </w:style>
  <w:style w:type="paragraph" w:customStyle="1" w:styleId="CM150">
    <w:name w:val="CM150"/>
    <w:basedOn w:val="Default"/>
    <w:next w:val="Default"/>
    <w:uiPriority w:val="99"/>
    <w:rPr>
      <w:color w:val="auto"/>
    </w:rPr>
  </w:style>
  <w:style w:type="paragraph" w:customStyle="1" w:styleId="CM66">
    <w:name w:val="CM66"/>
    <w:basedOn w:val="Default"/>
    <w:next w:val="Default"/>
    <w:uiPriority w:val="99"/>
    <w:pPr>
      <w:spacing w:line="518" w:lineRule="atLeast"/>
    </w:pPr>
    <w:rPr>
      <w:color w:val="auto"/>
    </w:rPr>
  </w:style>
  <w:style w:type="paragraph" w:customStyle="1" w:styleId="CM67">
    <w:name w:val="CM67"/>
    <w:basedOn w:val="Default"/>
    <w:next w:val="Default"/>
    <w:uiPriority w:val="99"/>
    <w:pPr>
      <w:spacing w:line="518" w:lineRule="atLeast"/>
    </w:pPr>
    <w:rPr>
      <w:color w:val="auto"/>
    </w:rPr>
  </w:style>
  <w:style w:type="paragraph" w:customStyle="1" w:styleId="CM170">
    <w:name w:val="CM170"/>
    <w:basedOn w:val="Default"/>
    <w:next w:val="Default"/>
    <w:uiPriority w:val="99"/>
    <w:rPr>
      <w:color w:val="auto"/>
    </w:rPr>
  </w:style>
  <w:style w:type="paragraph" w:customStyle="1" w:styleId="CM68">
    <w:name w:val="CM68"/>
    <w:basedOn w:val="Default"/>
    <w:next w:val="Default"/>
    <w:uiPriority w:val="99"/>
    <w:pPr>
      <w:spacing w:line="518" w:lineRule="atLeast"/>
    </w:pPr>
    <w:rPr>
      <w:color w:val="auto"/>
    </w:rPr>
  </w:style>
  <w:style w:type="paragraph" w:customStyle="1" w:styleId="CM73">
    <w:name w:val="CM73"/>
    <w:basedOn w:val="Default"/>
    <w:next w:val="Default"/>
    <w:uiPriority w:val="99"/>
    <w:pPr>
      <w:spacing w:line="260" w:lineRule="atLeast"/>
    </w:pPr>
    <w:rPr>
      <w:color w:val="auto"/>
    </w:rPr>
  </w:style>
  <w:style w:type="paragraph" w:customStyle="1" w:styleId="CM79">
    <w:name w:val="CM79"/>
    <w:basedOn w:val="Default"/>
    <w:next w:val="Default"/>
    <w:uiPriority w:val="99"/>
    <w:pPr>
      <w:spacing w:line="260" w:lineRule="atLeast"/>
    </w:pPr>
    <w:rPr>
      <w:color w:val="auto"/>
    </w:rPr>
  </w:style>
  <w:style w:type="paragraph" w:customStyle="1" w:styleId="CM82">
    <w:name w:val="CM82"/>
    <w:basedOn w:val="Default"/>
    <w:next w:val="Default"/>
    <w:uiPriority w:val="99"/>
    <w:pPr>
      <w:spacing w:line="260" w:lineRule="atLeast"/>
    </w:pPr>
    <w:rPr>
      <w:color w:val="auto"/>
    </w:rPr>
  </w:style>
  <w:style w:type="paragraph" w:customStyle="1" w:styleId="CM83">
    <w:name w:val="CM83"/>
    <w:basedOn w:val="Default"/>
    <w:next w:val="Default"/>
    <w:uiPriority w:val="99"/>
    <w:pPr>
      <w:spacing w:line="260" w:lineRule="atLeast"/>
    </w:pPr>
    <w:rPr>
      <w:color w:val="auto"/>
    </w:rPr>
  </w:style>
  <w:style w:type="paragraph" w:customStyle="1" w:styleId="CM85">
    <w:name w:val="CM85"/>
    <w:basedOn w:val="Default"/>
    <w:next w:val="Default"/>
    <w:uiPriority w:val="99"/>
    <w:pPr>
      <w:spacing w:line="260" w:lineRule="atLeast"/>
    </w:pPr>
    <w:rPr>
      <w:color w:val="auto"/>
    </w:rPr>
  </w:style>
  <w:style w:type="paragraph" w:customStyle="1" w:styleId="CM86">
    <w:name w:val="CM86"/>
    <w:basedOn w:val="Default"/>
    <w:next w:val="Default"/>
    <w:uiPriority w:val="99"/>
    <w:pPr>
      <w:spacing w:line="260" w:lineRule="atLeast"/>
    </w:pPr>
    <w:rPr>
      <w:color w:val="auto"/>
    </w:rPr>
  </w:style>
  <w:style w:type="paragraph" w:customStyle="1" w:styleId="CM87">
    <w:name w:val="CM87"/>
    <w:basedOn w:val="Default"/>
    <w:next w:val="Default"/>
    <w:uiPriority w:val="99"/>
    <w:pPr>
      <w:spacing w:line="260" w:lineRule="atLeast"/>
    </w:pPr>
    <w:rPr>
      <w:color w:val="auto"/>
    </w:rPr>
  </w:style>
  <w:style w:type="paragraph" w:customStyle="1" w:styleId="CM88">
    <w:name w:val="CM88"/>
    <w:basedOn w:val="Default"/>
    <w:next w:val="Default"/>
    <w:uiPriority w:val="99"/>
    <w:pPr>
      <w:spacing w:line="268" w:lineRule="atLeast"/>
    </w:pPr>
    <w:rPr>
      <w:color w:val="auto"/>
    </w:rPr>
  </w:style>
  <w:style w:type="paragraph" w:customStyle="1" w:styleId="CM90">
    <w:name w:val="CM90"/>
    <w:basedOn w:val="Default"/>
    <w:next w:val="Default"/>
    <w:uiPriority w:val="99"/>
    <w:pPr>
      <w:spacing w:line="518" w:lineRule="atLeast"/>
    </w:pPr>
    <w:rPr>
      <w:color w:val="auto"/>
    </w:rPr>
  </w:style>
  <w:style w:type="paragraph" w:customStyle="1" w:styleId="CM95">
    <w:name w:val="CM95"/>
    <w:basedOn w:val="Default"/>
    <w:next w:val="Default"/>
    <w:uiPriority w:val="99"/>
    <w:pPr>
      <w:spacing w:line="260" w:lineRule="atLeast"/>
    </w:pPr>
    <w:rPr>
      <w:color w:val="auto"/>
    </w:rPr>
  </w:style>
  <w:style w:type="paragraph" w:customStyle="1" w:styleId="CM97">
    <w:name w:val="CM97"/>
    <w:basedOn w:val="Default"/>
    <w:next w:val="Default"/>
    <w:uiPriority w:val="99"/>
    <w:pPr>
      <w:spacing w:line="260" w:lineRule="atLeast"/>
    </w:pPr>
    <w:rPr>
      <w:color w:val="auto"/>
    </w:rPr>
  </w:style>
  <w:style w:type="paragraph" w:customStyle="1" w:styleId="CM99">
    <w:name w:val="CM99"/>
    <w:basedOn w:val="Default"/>
    <w:next w:val="Default"/>
    <w:uiPriority w:val="99"/>
    <w:pPr>
      <w:spacing w:line="260" w:lineRule="atLeast"/>
    </w:pPr>
    <w:rPr>
      <w:color w:val="auto"/>
    </w:rPr>
  </w:style>
  <w:style w:type="paragraph" w:customStyle="1" w:styleId="CM101">
    <w:name w:val="CM101"/>
    <w:basedOn w:val="Default"/>
    <w:next w:val="Default"/>
    <w:uiPriority w:val="99"/>
    <w:pPr>
      <w:spacing w:line="260" w:lineRule="atLeast"/>
    </w:pPr>
    <w:rPr>
      <w:color w:val="auto"/>
    </w:rPr>
  </w:style>
  <w:style w:type="paragraph" w:customStyle="1" w:styleId="CM102">
    <w:name w:val="CM102"/>
    <w:basedOn w:val="Default"/>
    <w:next w:val="Default"/>
    <w:uiPriority w:val="99"/>
    <w:pPr>
      <w:spacing w:line="518" w:lineRule="atLeast"/>
    </w:pPr>
    <w:rPr>
      <w:color w:val="auto"/>
    </w:rPr>
  </w:style>
  <w:style w:type="paragraph" w:customStyle="1" w:styleId="CM103">
    <w:name w:val="CM103"/>
    <w:basedOn w:val="Default"/>
    <w:next w:val="Default"/>
    <w:uiPriority w:val="99"/>
    <w:pPr>
      <w:spacing w:line="260" w:lineRule="atLeast"/>
    </w:pPr>
    <w:rPr>
      <w:color w:val="auto"/>
    </w:rPr>
  </w:style>
  <w:style w:type="paragraph" w:customStyle="1" w:styleId="CM153">
    <w:name w:val="CM153"/>
    <w:basedOn w:val="Default"/>
    <w:next w:val="Default"/>
    <w:uiPriority w:val="99"/>
    <w:rPr>
      <w:color w:val="auto"/>
    </w:rPr>
  </w:style>
  <w:style w:type="paragraph" w:customStyle="1" w:styleId="CM112">
    <w:name w:val="CM112"/>
    <w:basedOn w:val="Default"/>
    <w:next w:val="Default"/>
    <w:uiPriority w:val="99"/>
    <w:pPr>
      <w:spacing w:line="260" w:lineRule="atLeast"/>
    </w:pPr>
    <w:rPr>
      <w:color w:val="auto"/>
    </w:rPr>
  </w:style>
  <w:style w:type="paragraph" w:customStyle="1" w:styleId="CM114">
    <w:name w:val="CM114"/>
    <w:basedOn w:val="Default"/>
    <w:next w:val="Default"/>
    <w:uiPriority w:val="99"/>
    <w:pPr>
      <w:spacing w:line="263" w:lineRule="atLeast"/>
    </w:pPr>
    <w:rPr>
      <w:color w:val="auto"/>
    </w:rPr>
  </w:style>
  <w:style w:type="paragraph" w:customStyle="1" w:styleId="CM115">
    <w:name w:val="CM115"/>
    <w:basedOn w:val="Default"/>
    <w:next w:val="Default"/>
    <w:uiPriority w:val="99"/>
    <w:pPr>
      <w:spacing w:line="268" w:lineRule="atLeast"/>
    </w:pPr>
    <w:rPr>
      <w:color w:val="auto"/>
    </w:rPr>
  </w:style>
  <w:style w:type="paragraph" w:customStyle="1" w:styleId="CM119">
    <w:name w:val="CM119"/>
    <w:basedOn w:val="Default"/>
    <w:next w:val="Default"/>
    <w:uiPriority w:val="99"/>
    <w:pPr>
      <w:spacing w:line="260" w:lineRule="atLeast"/>
    </w:pPr>
    <w:rPr>
      <w:color w:val="auto"/>
    </w:rPr>
  </w:style>
  <w:style w:type="paragraph" w:customStyle="1" w:styleId="CM122">
    <w:name w:val="CM122"/>
    <w:basedOn w:val="Default"/>
    <w:next w:val="Default"/>
    <w:uiPriority w:val="99"/>
    <w:pPr>
      <w:spacing w:line="260" w:lineRule="atLeast"/>
    </w:pPr>
    <w:rPr>
      <w:color w:val="auto"/>
    </w:rPr>
  </w:style>
  <w:style w:type="paragraph" w:customStyle="1" w:styleId="CM52">
    <w:name w:val="CM52"/>
    <w:basedOn w:val="Default"/>
    <w:next w:val="Default"/>
    <w:uiPriority w:val="99"/>
    <w:pPr>
      <w:spacing w:line="260" w:lineRule="atLeast"/>
    </w:pPr>
    <w:rPr>
      <w:color w:val="auto"/>
    </w:rPr>
  </w:style>
  <w:style w:type="paragraph" w:customStyle="1" w:styleId="CM123">
    <w:name w:val="CM123"/>
    <w:basedOn w:val="Default"/>
    <w:next w:val="Default"/>
    <w:uiPriority w:val="99"/>
    <w:pPr>
      <w:spacing w:line="260" w:lineRule="atLeast"/>
    </w:pPr>
    <w:rPr>
      <w:color w:val="auto"/>
    </w:rPr>
  </w:style>
  <w:style w:type="paragraph" w:customStyle="1" w:styleId="CM124">
    <w:name w:val="CM124"/>
    <w:basedOn w:val="Default"/>
    <w:next w:val="Default"/>
    <w:uiPriority w:val="99"/>
    <w:pPr>
      <w:spacing w:line="260" w:lineRule="atLeast"/>
    </w:pPr>
    <w:rPr>
      <w:color w:val="auto"/>
    </w:rPr>
  </w:style>
  <w:style w:type="paragraph" w:customStyle="1" w:styleId="CM104">
    <w:name w:val="CM104"/>
    <w:basedOn w:val="Default"/>
    <w:next w:val="Default"/>
    <w:uiPriority w:val="99"/>
    <w:pPr>
      <w:spacing w:line="260" w:lineRule="atLeast"/>
    </w:pPr>
    <w:rPr>
      <w:color w:val="auto"/>
    </w:rPr>
  </w:style>
  <w:style w:type="paragraph" w:customStyle="1" w:styleId="CM125">
    <w:name w:val="CM125"/>
    <w:basedOn w:val="Default"/>
    <w:next w:val="Default"/>
    <w:uiPriority w:val="99"/>
    <w:pPr>
      <w:spacing w:line="260" w:lineRule="atLeast"/>
    </w:pPr>
    <w:rPr>
      <w:color w:val="auto"/>
    </w:rPr>
  </w:style>
  <w:style w:type="paragraph" w:customStyle="1" w:styleId="CM126">
    <w:name w:val="CM126"/>
    <w:basedOn w:val="Default"/>
    <w:next w:val="Default"/>
    <w:uiPriority w:val="99"/>
    <w:pPr>
      <w:spacing w:line="523" w:lineRule="atLeast"/>
    </w:pPr>
    <w:rPr>
      <w:color w:val="auto"/>
    </w:rPr>
  </w:style>
  <w:style w:type="paragraph" w:customStyle="1" w:styleId="CM129">
    <w:name w:val="CM129"/>
    <w:basedOn w:val="Default"/>
    <w:next w:val="Default"/>
    <w:uiPriority w:val="99"/>
    <w:pPr>
      <w:spacing w:line="260" w:lineRule="atLeast"/>
    </w:pPr>
    <w:rPr>
      <w:color w:val="auto"/>
    </w:rPr>
  </w:style>
  <w:style w:type="paragraph" w:customStyle="1" w:styleId="CM133">
    <w:name w:val="CM133"/>
    <w:basedOn w:val="Default"/>
    <w:next w:val="Default"/>
    <w:uiPriority w:val="99"/>
    <w:pPr>
      <w:spacing w:line="518" w:lineRule="atLeast"/>
    </w:pPr>
    <w:rPr>
      <w:color w:val="auto"/>
    </w:rPr>
  </w:style>
  <w:style w:type="paragraph" w:customStyle="1" w:styleId="CM154">
    <w:name w:val="CM154"/>
    <w:basedOn w:val="Default"/>
    <w:next w:val="Default"/>
    <w:uiPriority w:val="99"/>
    <w:rPr>
      <w:color w:val="auto"/>
    </w:rPr>
  </w:style>
  <w:style w:type="character" w:styleId="CommentReference">
    <w:name w:val="annotation reference"/>
    <w:uiPriority w:val="99"/>
    <w:semiHidden/>
    <w:unhideWhenUsed/>
    <w:rPr>
      <w:rFonts w:ascii="Times New Roman" w:hAnsi="Times New Roman" w:cs="Times New Roman" w:hint="default"/>
      <w:sz w:val="16"/>
    </w:rPr>
  </w:style>
  <w:style w:type="table" w:styleId="TableGrid">
    <w:name w:val="Table Grid"/>
    <w:basedOn w:val="TableNormal"/>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C51"/>
    <w:pPr>
      <w:widowControl w:val="0"/>
      <w:ind w:left="118"/>
    </w:pPr>
  </w:style>
  <w:style w:type="character" w:customStyle="1" w:styleId="BodyTextChar">
    <w:name w:val="Body Text Char"/>
    <w:link w:val="BodyText"/>
    <w:uiPriority w:val="1"/>
    <w:rsid w:val="00B75C51"/>
    <w:rPr>
      <w:rFonts w:ascii="Times New Roman" w:hAnsi="Times New Roman" w:cs="Times New Roman"/>
      <w:sz w:val="22"/>
      <w:szCs w:val="22"/>
    </w:rPr>
  </w:style>
  <w:style w:type="paragraph" w:customStyle="1" w:styleId="TableParagraph">
    <w:name w:val="Table Paragraph"/>
    <w:basedOn w:val="Normal"/>
    <w:uiPriority w:val="1"/>
    <w:qFormat/>
    <w:rsid w:val="0037217A"/>
    <w:pPr>
      <w:widowControl w:val="0"/>
    </w:pPr>
    <w:rPr>
      <w:rFonts w:ascii="Calibri" w:eastAsia="Calibri" w:hAnsi="Calibri"/>
    </w:rPr>
  </w:style>
  <w:style w:type="paragraph" w:styleId="Header">
    <w:name w:val="header"/>
    <w:basedOn w:val="Normal"/>
    <w:link w:val="HeaderChar"/>
    <w:uiPriority w:val="99"/>
    <w:unhideWhenUsed/>
    <w:rsid w:val="004B6804"/>
    <w:pPr>
      <w:tabs>
        <w:tab w:val="center" w:pos="4680"/>
        <w:tab w:val="right" w:pos="9360"/>
      </w:tabs>
    </w:pPr>
  </w:style>
  <w:style w:type="character" w:customStyle="1" w:styleId="HeaderChar">
    <w:name w:val="Header Char"/>
    <w:link w:val="Header"/>
    <w:uiPriority w:val="99"/>
    <w:rsid w:val="004B6804"/>
    <w:rPr>
      <w:rFonts w:cs="Times New Roman"/>
      <w:sz w:val="22"/>
      <w:szCs w:val="22"/>
    </w:rPr>
  </w:style>
  <w:style w:type="paragraph" w:styleId="Footer">
    <w:name w:val="footer"/>
    <w:basedOn w:val="Normal"/>
    <w:link w:val="FooterChar"/>
    <w:uiPriority w:val="99"/>
    <w:unhideWhenUsed/>
    <w:rsid w:val="004B6804"/>
    <w:pPr>
      <w:tabs>
        <w:tab w:val="center" w:pos="4680"/>
        <w:tab w:val="right" w:pos="9360"/>
      </w:tabs>
    </w:pPr>
  </w:style>
  <w:style w:type="character" w:customStyle="1" w:styleId="FooterChar">
    <w:name w:val="Footer Char"/>
    <w:link w:val="Footer"/>
    <w:uiPriority w:val="99"/>
    <w:rsid w:val="004B6804"/>
    <w:rPr>
      <w:rFonts w:cs="Times New Roman"/>
      <w:sz w:val="22"/>
      <w:szCs w:val="22"/>
    </w:rPr>
  </w:style>
  <w:style w:type="character" w:customStyle="1" w:styleId="Heading1Char">
    <w:name w:val="Heading 1 Char"/>
    <w:link w:val="Heading1"/>
    <w:uiPriority w:val="1"/>
    <w:rsid w:val="00F60620"/>
    <w:rPr>
      <w:rFonts w:ascii="Times New Roman" w:hAnsi="Times New Roman" w:cs="Times New Roman"/>
      <w:b/>
      <w:bCs/>
      <w:caps/>
      <w:color w:val="000000"/>
      <w:sz w:val="22"/>
      <w:szCs w:val="22"/>
      <w:lang w:val="de-DE" w:eastAsia="en-US"/>
    </w:rPr>
  </w:style>
  <w:style w:type="paragraph" w:styleId="NoSpacing">
    <w:name w:val="No Spacing"/>
    <w:uiPriority w:val="1"/>
    <w:qFormat/>
    <w:rsid w:val="00B51C8C"/>
    <w:rPr>
      <w:rFonts w:eastAsia="Calibri" w:cs="Times New Roman"/>
      <w:sz w:val="22"/>
      <w:szCs w:val="22"/>
      <w:lang w:eastAsia="en-US"/>
    </w:rPr>
  </w:style>
  <w:style w:type="table" w:customStyle="1" w:styleId="TableGrid1">
    <w:name w:val="Table Grid1"/>
    <w:basedOn w:val="TableNormal"/>
    <w:next w:val="TableGrid"/>
    <w:uiPriority w:val="59"/>
    <w:rsid w:val="00231E2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29DD"/>
    <w:pPr>
      <w:spacing w:before="100" w:beforeAutospacing="1" w:after="100" w:afterAutospacing="1"/>
    </w:pPr>
    <w:rPr>
      <w:rFonts w:ascii="Calibri" w:eastAsia="Calibri" w:hAnsi="Calibri" w:cs="Calibri"/>
    </w:rPr>
  </w:style>
  <w:style w:type="character" w:customStyle="1" w:styleId="UnresolvedMention1">
    <w:name w:val="Unresolved Mention1"/>
    <w:uiPriority w:val="99"/>
    <w:semiHidden/>
    <w:unhideWhenUsed/>
    <w:rsid w:val="006A26D1"/>
    <w:rPr>
      <w:color w:val="605E5C"/>
      <w:shd w:val="clear" w:color="auto" w:fill="E1DFDD"/>
    </w:rPr>
  </w:style>
  <w:style w:type="character" w:customStyle="1" w:styleId="UnresolvedMention2">
    <w:name w:val="Unresolved Mention2"/>
    <w:uiPriority w:val="99"/>
    <w:semiHidden/>
    <w:unhideWhenUsed/>
    <w:rsid w:val="00687087"/>
    <w:rPr>
      <w:color w:val="605E5C"/>
      <w:shd w:val="clear" w:color="auto" w:fill="E1DFDD"/>
    </w:rPr>
  </w:style>
  <w:style w:type="character" w:styleId="UnresolvedMention">
    <w:name w:val="Unresolved Mention"/>
    <w:uiPriority w:val="99"/>
    <w:semiHidden/>
    <w:unhideWhenUsed/>
    <w:rsid w:val="00D02C84"/>
    <w:rPr>
      <w:color w:val="605E5C"/>
      <w:shd w:val="clear" w:color="auto" w:fill="E1DFDD"/>
    </w:rPr>
  </w:style>
  <w:style w:type="paragraph" w:customStyle="1" w:styleId="Style1">
    <w:name w:val="Style1"/>
    <w:basedOn w:val="Normal"/>
    <w:qFormat/>
    <w:rsid w:val="00956704"/>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239">
      <w:bodyDiv w:val="1"/>
      <w:marLeft w:val="0"/>
      <w:marRight w:val="0"/>
      <w:marTop w:val="0"/>
      <w:marBottom w:val="0"/>
      <w:divBdr>
        <w:top w:val="none" w:sz="0" w:space="0" w:color="auto"/>
        <w:left w:val="none" w:sz="0" w:space="0" w:color="auto"/>
        <w:bottom w:val="none" w:sz="0" w:space="0" w:color="auto"/>
        <w:right w:val="none" w:sz="0" w:space="0" w:color="auto"/>
      </w:divBdr>
    </w:div>
    <w:div w:id="88544095">
      <w:marLeft w:val="0"/>
      <w:marRight w:val="0"/>
      <w:marTop w:val="0"/>
      <w:marBottom w:val="0"/>
      <w:divBdr>
        <w:top w:val="none" w:sz="0" w:space="0" w:color="auto"/>
        <w:left w:val="none" w:sz="0" w:space="0" w:color="auto"/>
        <w:bottom w:val="none" w:sz="0" w:space="0" w:color="auto"/>
        <w:right w:val="none" w:sz="0" w:space="0" w:color="auto"/>
      </w:divBdr>
    </w:div>
    <w:div w:id="146944352">
      <w:marLeft w:val="0"/>
      <w:marRight w:val="0"/>
      <w:marTop w:val="0"/>
      <w:marBottom w:val="0"/>
      <w:divBdr>
        <w:top w:val="none" w:sz="0" w:space="0" w:color="auto"/>
        <w:left w:val="none" w:sz="0" w:space="0" w:color="auto"/>
        <w:bottom w:val="none" w:sz="0" w:space="0" w:color="auto"/>
        <w:right w:val="none" w:sz="0" w:space="0" w:color="auto"/>
      </w:divBdr>
    </w:div>
    <w:div w:id="168184793">
      <w:marLeft w:val="0"/>
      <w:marRight w:val="0"/>
      <w:marTop w:val="0"/>
      <w:marBottom w:val="0"/>
      <w:divBdr>
        <w:top w:val="none" w:sz="0" w:space="0" w:color="auto"/>
        <w:left w:val="none" w:sz="0" w:space="0" w:color="auto"/>
        <w:bottom w:val="none" w:sz="0" w:space="0" w:color="auto"/>
        <w:right w:val="none" w:sz="0" w:space="0" w:color="auto"/>
      </w:divBdr>
    </w:div>
    <w:div w:id="186410208">
      <w:marLeft w:val="0"/>
      <w:marRight w:val="0"/>
      <w:marTop w:val="0"/>
      <w:marBottom w:val="0"/>
      <w:divBdr>
        <w:top w:val="none" w:sz="0" w:space="0" w:color="auto"/>
        <w:left w:val="none" w:sz="0" w:space="0" w:color="auto"/>
        <w:bottom w:val="none" w:sz="0" w:space="0" w:color="auto"/>
        <w:right w:val="none" w:sz="0" w:space="0" w:color="auto"/>
      </w:divBdr>
    </w:div>
    <w:div w:id="244265969">
      <w:marLeft w:val="0"/>
      <w:marRight w:val="0"/>
      <w:marTop w:val="0"/>
      <w:marBottom w:val="0"/>
      <w:divBdr>
        <w:top w:val="none" w:sz="0" w:space="0" w:color="auto"/>
        <w:left w:val="none" w:sz="0" w:space="0" w:color="auto"/>
        <w:bottom w:val="none" w:sz="0" w:space="0" w:color="auto"/>
        <w:right w:val="none" w:sz="0" w:space="0" w:color="auto"/>
      </w:divBdr>
    </w:div>
    <w:div w:id="289095759">
      <w:marLeft w:val="0"/>
      <w:marRight w:val="0"/>
      <w:marTop w:val="0"/>
      <w:marBottom w:val="0"/>
      <w:divBdr>
        <w:top w:val="none" w:sz="0" w:space="0" w:color="auto"/>
        <w:left w:val="none" w:sz="0" w:space="0" w:color="auto"/>
        <w:bottom w:val="none" w:sz="0" w:space="0" w:color="auto"/>
        <w:right w:val="none" w:sz="0" w:space="0" w:color="auto"/>
      </w:divBdr>
    </w:div>
    <w:div w:id="360055810">
      <w:marLeft w:val="0"/>
      <w:marRight w:val="0"/>
      <w:marTop w:val="0"/>
      <w:marBottom w:val="0"/>
      <w:divBdr>
        <w:top w:val="none" w:sz="0" w:space="0" w:color="auto"/>
        <w:left w:val="none" w:sz="0" w:space="0" w:color="auto"/>
        <w:bottom w:val="none" w:sz="0" w:space="0" w:color="auto"/>
        <w:right w:val="none" w:sz="0" w:space="0" w:color="auto"/>
      </w:divBdr>
    </w:div>
    <w:div w:id="627124921">
      <w:marLeft w:val="0"/>
      <w:marRight w:val="0"/>
      <w:marTop w:val="0"/>
      <w:marBottom w:val="0"/>
      <w:divBdr>
        <w:top w:val="none" w:sz="0" w:space="0" w:color="auto"/>
        <w:left w:val="none" w:sz="0" w:space="0" w:color="auto"/>
        <w:bottom w:val="none" w:sz="0" w:space="0" w:color="auto"/>
        <w:right w:val="none" w:sz="0" w:space="0" w:color="auto"/>
      </w:divBdr>
    </w:div>
    <w:div w:id="638651511">
      <w:bodyDiv w:val="1"/>
      <w:marLeft w:val="0"/>
      <w:marRight w:val="0"/>
      <w:marTop w:val="0"/>
      <w:marBottom w:val="0"/>
      <w:divBdr>
        <w:top w:val="none" w:sz="0" w:space="0" w:color="auto"/>
        <w:left w:val="none" w:sz="0" w:space="0" w:color="auto"/>
        <w:bottom w:val="none" w:sz="0" w:space="0" w:color="auto"/>
        <w:right w:val="none" w:sz="0" w:space="0" w:color="auto"/>
      </w:divBdr>
      <w:divsChild>
        <w:div w:id="488907082">
          <w:marLeft w:val="0"/>
          <w:marRight w:val="0"/>
          <w:marTop w:val="0"/>
          <w:marBottom w:val="0"/>
          <w:divBdr>
            <w:top w:val="none" w:sz="0" w:space="0" w:color="auto"/>
            <w:left w:val="none" w:sz="0" w:space="0" w:color="auto"/>
            <w:bottom w:val="none" w:sz="0" w:space="0" w:color="auto"/>
            <w:right w:val="none" w:sz="0" w:space="0" w:color="auto"/>
          </w:divBdr>
          <w:divsChild>
            <w:div w:id="1648044675">
              <w:marLeft w:val="0"/>
              <w:marRight w:val="0"/>
              <w:marTop w:val="0"/>
              <w:marBottom w:val="0"/>
              <w:divBdr>
                <w:top w:val="none" w:sz="0" w:space="0" w:color="auto"/>
                <w:left w:val="none" w:sz="0" w:space="0" w:color="auto"/>
                <w:bottom w:val="none" w:sz="0" w:space="0" w:color="auto"/>
                <w:right w:val="none" w:sz="0" w:space="0" w:color="auto"/>
              </w:divBdr>
            </w:div>
            <w:div w:id="18088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00517">
      <w:marLeft w:val="0"/>
      <w:marRight w:val="0"/>
      <w:marTop w:val="0"/>
      <w:marBottom w:val="0"/>
      <w:divBdr>
        <w:top w:val="none" w:sz="0" w:space="0" w:color="auto"/>
        <w:left w:val="none" w:sz="0" w:space="0" w:color="auto"/>
        <w:bottom w:val="none" w:sz="0" w:space="0" w:color="auto"/>
        <w:right w:val="none" w:sz="0" w:space="0" w:color="auto"/>
      </w:divBdr>
    </w:div>
    <w:div w:id="863902614">
      <w:bodyDiv w:val="1"/>
      <w:marLeft w:val="0"/>
      <w:marRight w:val="0"/>
      <w:marTop w:val="0"/>
      <w:marBottom w:val="0"/>
      <w:divBdr>
        <w:top w:val="none" w:sz="0" w:space="0" w:color="auto"/>
        <w:left w:val="none" w:sz="0" w:space="0" w:color="auto"/>
        <w:bottom w:val="none" w:sz="0" w:space="0" w:color="auto"/>
        <w:right w:val="none" w:sz="0" w:space="0" w:color="auto"/>
      </w:divBdr>
    </w:div>
    <w:div w:id="877620659">
      <w:marLeft w:val="0"/>
      <w:marRight w:val="0"/>
      <w:marTop w:val="0"/>
      <w:marBottom w:val="0"/>
      <w:divBdr>
        <w:top w:val="none" w:sz="0" w:space="0" w:color="auto"/>
        <w:left w:val="none" w:sz="0" w:space="0" w:color="auto"/>
        <w:bottom w:val="none" w:sz="0" w:space="0" w:color="auto"/>
        <w:right w:val="none" w:sz="0" w:space="0" w:color="auto"/>
      </w:divBdr>
    </w:div>
    <w:div w:id="931817060">
      <w:marLeft w:val="0"/>
      <w:marRight w:val="0"/>
      <w:marTop w:val="0"/>
      <w:marBottom w:val="0"/>
      <w:divBdr>
        <w:top w:val="none" w:sz="0" w:space="0" w:color="auto"/>
        <w:left w:val="none" w:sz="0" w:space="0" w:color="auto"/>
        <w:bottom w:val="none" w:sz="0" w:space="0" w:color="auto"/>
        <w:right w:val="none" w:sz="0" w:space="0" w:color="auto"/>
      </w:divBdr>
    </w:div>
    <w:div w:id="941034888">
      <w:bodyDiv w:val="1"/>
      <w:marLeft w:val="0"/>
      <w:marRight w:val="0"/>
      <w:marTop w:val="0"/>
      <w:marBottom w:val="0"/>
      <w:divBdr>
        <w:top w:val="none" w:sz="0" w:space="0" w:color="auto"/>
        <w:left w:val="none" w:sz="0" w:space="0" w:color="auto"/>
        <w:bottom w:val="none" w:sz="0" w:space="0" w:color="auto"/>
        <w:right w:val="none" w:sz="0" w:space="0" w:color="auto"/>
      </w:divBdr>
    </w:div>
    <w:div w:id="941569239">
      <w:marLeft w:val="0"/>
      <w:marRight w:val="0"/>
      <w:marTop w:val="0"/>
      <w:marBottom w:val="0"/>
      <w:divBdr>
        <w:top w:val="none" w:sz="0" w:space="0" w:color="auto"/>
        <w:left w:val="none" w:sz="0" w:space="0" w:color="auto"/>
        <w:bottom w:val="none" w:sz="0" w:space="0" w:color="auto"/>
        <w:right w:val="none" w:sz="0" w:space="0" w:color="auto"/>
      </w:divBdr>
    </w:div>
    <w:div w:id="1061634496">
      <w:bodyDiv w:val="1"/>
      <w:marLeft w:val="0"/>
      <w:marRight w:val="0"/>
      <w:marTop w:val="0"/>
      <w:marBottom w:val="0"/>
      <w:divBdr>
        <w:top w:val="none" w:sz="0" w:space="0" w:color="auto"/>
        <w:left w:val="none" w:sz="0" w:space="0" w:color="auto"/>
        <w:bottom w:val="none" w:sz="0" w:space="0" w:color="auto"/>
        <w:right w:val="none" w:sz="0" w:space="0" w:color="auto"/>
      </w:divBdr>
      <w:divsChild>
        <w:div w:id="687951419">
          <w:marLeft w:val="0"/>
          <w:marRight w:val="0"/>
          <w:marTop w:val="0"/>
          <w:marBottom w:val="0"/>
          <w:divBdr>
            <w:top w:val="none" w:sz="0" w:space="0" w:color="auto"/>
            <w:left w:val="none" w:sz="0" w:space="0" w:color="auto"/>
            <w:bottom w:val="none" w:sz="0" w:space="0" w:color="auto"/>
            <w:right w:val="none" w:sz="0" w:space="0" w:color="auto"/>
          </w:divBdr>
          <w:divsChild>
            <w:div w:id="876047340">
              <w:marLeft w:val="0"/>
              <w:marRight w:val="0"/>
              <w:marTop w:val="0"/>
              <w:marBottom w:val="0"/>
              <w:divBdr>
                <w:top w:val="none" w:sz="0" w:space="0" w:color="auto"/>
                <w:left w:val="none" w:sz="0" w:space="0" w:color="auto"/>
                <w:bottom w:val="none" w:sz="0" w:space="0" w:color="auto"/>
                <w:right w:val="none" w:sz="0" w:space="0" w:color="auto"/>
              </w:divBdr>
            </w:div>
            <w:div w:id="197513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3181">
      <w:marLeft w:val="0"/>
      <w:marRight w:val="0"/>
      <w:marTop w:val="0"/>
      <w:marBottom w:val="0"/>
      <w:divBdr>
        <w:top w:val="none" w:sz="0" w:space="0" w:color="auto"/>
        <w:left w:val="none" w:sz="0" w:space="0" w:color="auto"/>
        <w:bottom w:val="none" w:sz="0" w:space="0" w:color="auto"/>
        <w:right w:val="none" w:sz="0" w:space="0" w:color="auto"/>
      </w:divBdr>
    </w:div>
    <w:div w:id="1149400880">
      <w:bodyDiv w:val="1"/>
      <w:marLeft w:val="0"/>
      <w:marRight w:val="0"/>
      <w:marTop w:val="0"/>
      <w:marBottom w:val="0"/>
      <w:divBdr>
        <w:top w:val="none" w:sz="0" w:space="0" w:color="auto"/>
        <w:left w:val="none" w:sz="0" w:space="0" w:color="auto"/>
        <w:bottom w:val="none" w:sz="0" w:space="0" w:color="auto"/>
        <w:right w:val="none" w:sz="0" w:space="0" w:color="auto"/>
      </w:divBdr>
    </w:div>
    <w:div w:id="1276212631">
      <w:bodyDiv w:val="1"/>
      <w:marLeft w:val="0"/>
      <w:marRight w:val="0"/>
      <w:marTop w:val="0"/>
      <w:marBottom w:val="0"/>
      <w:divBdr>
        <w:top w:val="none" w:sz="0" w:space="0" w:color="auto"/>
        <w:left w:val="none" w:sz="0" w:space="0" w:color="auto"/>
        <w:bottom w:val="none" w:sz="0" w:space="0" w:color="auto"/>
        <w:right w:val="none" w:sz="0" w:space="0" w:color="auto"/>
      </w:divBdr>
      <w:divsChild>
        <w:div w:id="1351877701">
          <w:marLeft w:val="0"/>
          <w:marRight w:val="0"/>
          <w:marTop w:val="0"/>
          <w:marBottom w:val="0"/>
          <w:divBdr>
            <w:top w:val="none" w:sz="0" w:space="0" w:color="auto"/>
            <w:left w:val="none" w:sz="0" w:space="0" w:color="auto"/>
            <w:bottom w:val="none" w:sz="0" w:space="0" w:color="auto"/>
            <w:right w:val="none" w:sz="0" w:space="0" w:color="auto"/>
          </w:divBdr>
          <w:divsChild>
            <w:div w:id="399519536">
              <w:marLeft w:val="0"/>
              <w:marRight w:val="0"/>
              <w:marTop w:val="0"/>
              <w:marBottom w:val="0"/>
              <w:divBdr>
                <w:top w:val="none" w:sz="0" w:space="0" w:color="auto"/>
                <w:left w:val="none" w:sz="0" w:space="0" w:color="auto"/>
                <w:bottom w:val="none" w:sz="0" w:space="0" w:color="auto"/>
                <w:right w:val="none" w:sz="0" w:space="0" w:color="auto"/>
              </w:divBdr>
            </w:div>
            <w:div w:id="15423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7770">
      <w:marLeft w:val="0"/>
      <w:marRight w:val="0"/>
      <w:marTop w:val="0"/>
      <w:marBottom w:val="0"/>
      <w:divBdr>
        <w:top w:val="none" w:sz="0" w:space="0" w:color="auto"/>
        <w:left w:val="none" w:sz="0" w:space="0" w:color="auto"/>
        <w:bottom w:val="none" w:sz="0" w:space="0" w:color="auto"/>
        <w:right w:val="none" w:sz="0" w:space="0" w:color="auto"/>
      </w:divBdr>
    </w:div>
    <w:div w:id="1384058010">
      <w:bodyDiv w:val="1"/>
      <w:marLeft w:val="0"/>
      <w:marRight w:val="0"/>
      <w:marTop w:val="0"/>
      <w:marBottom w:val="0"/>
      <w:divBdr>
        <w:top w:val="none" w:sz="0" w:space="0" w:color="auto"/>
        <w:left w:val="none" w:sz="0" w:space="0" w:color="auto"/>
        <w:bottom w:val="none" w:sz="0" w:space="0" w:color="auto"/>
        <w:right w:val="none" w:sz="0" w:space="0" w:color="auto"/>
      </w:divBdr>
      <w:divsChild>
        <w:div w:id="1354454124">
          <w:marLeft w:val="0"/>
          <w:marRight w:val="0"/>
          <w:marTop w:val="0"/>
          <w:marBottom w:val="0"/>
          <w:divBdr>
            <w:top w:val="none" w:sz="0" w:space="0" w:color="auto"/>
            <w:left w:val="none" w:sz="0" w:space="0" w:color="auto"/>
            <w:bottom w:val="none" w:sz="0" w:space="0" w:color="auto"/>
            <w:right w:val="none" w:sz="0" w:space="0" w:color="auto"/>
          </w:divBdr>
          <w:divsChild>
            <w:div w:id="420878260">
              <w:marLeft w:val="0"/>
              <w:marRight w:val="0"/>
              <w:marTop w:val="0"/>
              <w:marBottom w:val="0"/>
              <w:divBdr>
                <w:top w:val="none" w:sz="0" w:space="0" w:color="auto"/>
                <w:left w:val="none" w:sz="0" w:space="0" w:color="auto"/>
                <w:bottom w:val="none" w:sz="0" w:space="0" w:color="auto"/>
                <w:right w:val="none" w:sz="0" w:space="0" w:color="auto"/>
              </w:divBdr>
            </w:div>
            <w:div w:id="15604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90193">
      <w:bodyDiv w:val="1"/>
      <w:marLeft w:val="0"/>
      <w:marRight w:val="0"/>
      <w:marTop w:val="0"/>
      <w:marBottom w:val="0"/>
      <w:divBdr>
        <w:top w:val="none" w:sz="0" w:space="0" w:color="auto"/>
        <w:left w:val="none" w:sz="0" w:space="0" w:color="auto"/>
        <w:bottom w:val="none" w:sz="0" w:space="0" w:color="auto"/>
        <w:right w:val="none" w:sz="0" w:space="0" w:color="auto"/>
      </w:divBdr>
      <w:divsChild>
        <w:div w:id="1761829160">
          <w:marLeft w:val="0"/>
          <w:marRight w:val="0"/>
          <w:marTop w:val="0"/>
          <w:marBottom w:val="0"/>
          <w:divBdr>
            <w:top w:val="none" w:sz="0" w:space="0" w:color="auto"/>
            <w:left w:val="none" w:sz="0" w:space="0" w:color="auto"/>
            <w:bottom w:val="none" w:sz="0" w:space="0" w:color="auto"/>
            <w:right w:val="none" w:sz="0" w:space="0" w:color="auto"/>
          </w:divBdr>
        </w:div>
      </w:divsChild>
    </w:div>
    <w:div w:id="1391271337">
      <w:marLeft w:val="0"/>
      <w:marRight w:val="0"/>
      <w:marTop w:val="0"/>
      <w:marBottom w:val="0"/>
      <w:divBdr>
        <w:top w:val="none" w:sz="0" w:space="0" w:color="auto"/>
        <w:left w:val="none" w:sz="0" w:space="0" w:color="auto"/>
        <w:bottom w:val="none" w:sz="0" w:space="0" w:color="auto"/>
        <w:right w:val="none" w:sz="0" w:space="0" w:color="auto"/>
      </w:divBdr>
    </w:div>
    <w:div w:id="1404908838">
      <w:bodyDiv w:val="1"/>
      <w:marLeft w:val="0"/>
      <w:marRight w:val="0"/>
      <w:marTop w:val="0"/>
      <w:marBottom w:val="0"/>
      <w:divBdr>
        <w:top w:val="none" w:sz="0" w:space="0" w:color="auto"/>
        <w:left w:val="none" w:sz="0" w:space="0" w:color="auto"/>
        <w:bottom w:val="none" w:sz="0" w:space="0" w:color="auto"/>
        <w:right w:val="none" w:sz="0" w:space="0" w:color="auto"/>
      </w:divBdr>
    </w:div>
    <w:div w:id="1422676159">
      <w:marLeft w:val="0"/>
      <w:marRight w:val="0"/>
      <w:marTop w:val="0"/>
      <w:marBottom w:val="0"/>
      <w:divBdr>
        <w:top w:val="none" w:sz="0" w:space="0" w:color="auto"/>
        <w:left w:val="none" w:sz="0" w:space="0" w:color="auto"/>
        <w:bottom w:val="none" w:sz="0" w:space="0" w:color="auto"/>
        <w:right w:val="none" w:sz="0" w:space="0" w:color="auto"/>
      </w:divBdr>
    </w:div>
    <w:div w:id="1440490449">
      <w:bodyDiv w:val="1"/>
      <w:marLeft w:val="0"/>
      <w:marRight w:val="0"/>
      <w:marTop w:val="0"/>
      <w:marBottom w:val="0"/>
      <w:divBdr>
        <w:top w:val="none" w:sz="0" w:space="0" w:color="auto"/>
        <w:left w:val="none" w:sz="0" w:space="0" w:color="auto"/>
        <w:bottom w:val="none" w:sz="0" w:space="0" w:color="auto"/>
        <w:right w:val="none" w:sz="0" w:space="0" w:color="auto"/>
      </w:divBdr>
    </w:div>
    <w:div w:id="1490751347">
      <w:bodyDiv w:val="1"/>
      <w:marLeft w:val="0"/>
      <w:marRight w:val="0"/>
      <w:marTop w:val="0"/>
      <w:marBottom w:val="0"/>
      <w:divBdr>
        <w:top w:val="none" w:sz="0" w:space="0" w:color="auto"/>
        <w:left w:val="none" w:sz="0" w:space="0" w:color="auto"/>
        <w:bottom w:val="none" w:sz="0" w:space="0" w:color="auto"/>
        <w:right w:val="none" w:sz="0" w:space="0" w:color="auto"/>
      </w:divBdr>
      <w:divsChild>
        <w:div w:id="1343704368">
          <w:marLeft w:val="0"/>
          <w:marRight w:val="0"/>
          <w:marTop w:val="0"/>
          <w:marBottom w:val="0"/>
          <w:divBdr>
            <w:top w:val="none" w:sz="0" w:space="0" w:color="auto"/>
            <w:left w:val="none" w:sz="0" w:space="0" w:color="auto"/>
            <w:bottom w:val="none" w:sz="0" w:space="0" w:color="auto"/>
            <w:right w:val="none" w:sz="0" w:space="0" w:color="auto"/>
          </w:divBdr>
          <w:divsChild>
            <w:div w:id="895554593">
              <w:marLeft w:val="0"/>
              <w:marRight w:val="0"/>
              <w:marTop w:val="0"/>
              <w:marBottom w:val="0"/>
              <w:divBdr>
                <w:top w:val="none" w:sz="0" w:space="0" w:color="auto"/>
                <w:left w:val="none" w:sz="0" w:space="0" w:color="auto"/>
                <w:bottom w:val="none" w:sz="0" w:space="0" w:color="auto"/>
                <w:right w:val="none" w:sz="0" w:space="0" w:color="auto"/>
              </w:divBdr>
            </w:div>
            <w:div w:id="9989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568250">
      <w:marLeft w:val="0"/>
      <w:marRight w:val="0"/>
      <w:marTop w:val="0"/>
      <w:marBottom w:val="0"/>
      <w:divBdr>
        <w:top w:val="none" w:sz="0" w:space="0" w:color="auto"/>
        <w:left w:val="none" w:sz="0" w:space="0" w:color="auto"/>
        <w:bottom w:val="none" w:sz="0" w:space="0" w:color="auto"/>
        <w:right w:val="none" w:sz="0" w:space="0" w:color="auto"/>
      </w:divBdr>
    </w:div>
    <w:div w:id="1768891563">
      <w:bodyDiv w:val="1"/>
      <w:marLeft w:val="0"/>
      <w:marRight w:val="0"/>
      <w:marTop w:val="0"/>
      <w:marBottom w:val="0"/>
      <w:divBdr>
        <w:top w:val="none" w:sz="0" w:space="0" w:color="auto"/>
        <w:left w:val="none" w:sz="0" w:space="0" w:color="auto"/>
        <w:bottom w:val="none" w:sz="0" w:space="0" w:color="auto"/>
        <w:right w:val="none" w:sz="0" w:space="0" w:color="auto"/>
      </w:divBdr>
    </w:div>
    <w:div w:id="1838885471">
      <w:marLeft w:val="0"/>
      <w:marRight w:val="0"/>
      <w:marTop w:val="0"/>
      <w:marBottom w:val="0"/>
      <w:divBdr>
        <w:top w:val="none" w:sz="0" w:space="0" w:color="auto"/>
        <w:left w:val="none" w:sz="0" w:space="0" w:color="auto"/>
        <w:bottom w:val="none" w:sz="0" w:space="0" w:color="auto"/>
        <w:right w:val="none" w:sz="0" w:space="0" w:color="auto"/>
      </w:divBdr>
    </w:div>
    <w:div w:id="1847939845">
      <w:marLeft w:val="0"/>
      <w:marRight w:val="0"/>
      <w:marTop w:val="0"/>
      <w:marBottom w:val="0"/>
      <w:divBdr>
        <w:top w:val="none" w:sz="0" w:space="0" w:color="auto"/>
        <w:left w:val="none" w:sz="0" w:space="0" w:color="auto"/>
        <w:bottom w:val="none" w:sz="0" w:space="0" w:color="auto"/>
        <w:right w:val="none" w:sz="0" w:space="0" w:color="auto"/>
      </w:divBdr>
    </w:div>
    <w:div w:id="1848668678">
      <w:marLeft w:val="0"/>
      <w:marRight w:val="0"/>
      <w:marTop w:val="0"/>
      <w:marBottom w:val="0"/>
      <w:divBdr>
        <w:top w:val="none" w:sz="0" w:space="0" w:color="auto"/>
        <w:left w:val="none" w:sz="0" w:space="0" w:color="auto"/>
        <w:bottom w:val="none" w:sz="0" w:space="0" w:color="auto"/>
        <w:right w:val="none" w:sz="0" w:space="0" w:color="auto"/>
      </w:divBdr>
    </w:div>
    <w:div w:id="1880624365">
      <w:bodyDiv w:val="1"/>
      <w:marLeft w:val="0"/>
      <w:marRight w:val="0"/>
      <w:marTop w:val="0"/>
      <w:marBottom w:val="0"/>
      <w:divBdr>
        <w:top w:val="none" w:sz="0" w:space="0" w:color="auto"/>
        <w:left w:val="none" w:sz="0" w:space="0" w:color="auto"/>
        <w:bottom w:val="none" w:sz="0" w:space="0" w:color="auto"/>
        <w:right w:val="none" w:sz="0" w:space="0" w:color="auto"/>
      </w:divBdr>
    </w:div>
    <w:div w:id="1942256821">
      <w:bodyDiv w:val="1"/>
      <w:marLeft w:val="0"/>
      <w:marRight w:val="0"/>
      <w:marTop w:val="0"/>
      <w:marBottom w:val="0"/>
      <w:divBdr>
        <w:top w:val="none" w:sz="0" w:space="0" w:color="auto"/>
        <w:left w:val="none" w:sz="0" w:space="0" w:color="auto"/>
        <w:bottom w:val="none" w:sz="0" w:space="0" w:color="auto"/>
        <w:right w:val="none" w:sz="0" w:space="0" w:color="auto"/>
      </w:divBdr>
    </w:div>
    <w:div w:id="1960993590">
      <w:bodyDiv w:val="1"/>
      <w:marLeft w:val="0"/>
      <w:marRight w:val="0"/>
      <w:marTop w:val="0"/>
      <w:marBottom w:val="0"/>
      <w:divBdr>
        <w:top w:val="none" w:sz="0" w:space="0" w:color="auto"/>
        <w:left w:val="none" w:sz="0" w:space="0" w:color="auto"/>
        <w:bottom w:val="none" w:sz="0" w:space="0" w:color="auto"/>
        <w:right w:val="none" w:sz="0" w:space="0" w:color="auto"/>
      </w:divBdr>
    </w:div>
    <w:div w:id="2046439779">
      <w:marLeft w:val="0"/>
      <w:marRight w:val="0"/>
      <w:marTop w:val="0"/>
      <w:marBottom w:val="0"/>
      <w:divBdr>
        <w:top w:val="none" w:sz="0" w:space="0" w:color="auto"/>
        <w:left w:val="none" w:sz="0" w:space="0" w:color="auto"/>
        <w:bottom w:val="none" w:sz="0" w:space="0" w:color="auto"/>
        <w:right w:val="none" w:sz="0" w:space="0" w:color="auto"/>
      </w:divBdr>
    </w:div>
    <w:div w:id="2130784027">
      <w:bodyDiv w:val="1"/>
      <w:marLeft w:val="0"/>
      <w:marRight w:val="0"/>
      <w:marTop w:val="0"/>
      <w:marBottom w:val="0"/>
      <w:divBdr>
        <w:top w:val="none" w:sz="0" w:space="0" w:color="auto"/>
        <w:left w:val="none" w:sz="0" w:space="0" w:color="auto"/>
        <w:bottom w:val="none" w:sz="0" w:space="0" w:color="auto"/>
        <w:right w:val="none" w:sz="0" w:space="0" w:color="auto"/>
      </w:divBdr>
      <w:divsChild>
        <w:div w:id="2132361060">
          <w:marLeft w:val="0"/>
          <w:marRight w:val="0"/>
          <w:marTop w:val="0"/>
          <w:marBottom w:val="0"/>
          <w:divBdr>
            <w:top w:val="none" w:sz="0" w:space="0" w:color="auto"/>
            <w:left w:val="none" w:sz="0" w:space="0" w:color="auto"/>
            <w:bottom w:val="none" w:sz="0" w:space="0" w:color="auto"/>
            <w:right w:val="none" w:sz="0" w:space="0" w:color="auto"/>
          </w:divBdr>
          <w:divsChild>
            <w:div w:id="1086999530">
              <w:marLeft w:val="0"/>
              <w:marRight w:val="0"/>
              <w:marTop w:val="0"/>
              <w:marBottom w:val="0"/>
              <w:divBdr>
                <w:top w:val="none" w:sz="0" w:space="0" w:color="auto"/>
                <w:left w:val="none" w:sz="0" w:space="0" w:color="auto"/>
                <w:bottom w:val="none" w:sz="0" w:space="0" w:color="auto"/>
                <w:right w:val="none" w:sz="0" w:space="0" w:color="auto"/>
              </w:divBdr>
            </w:div>
            <w:div w:id="199205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69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hyperlink" Target="https://www.ema.europa.eu" TargetMode="External"/><Relationship Id="rId55" Type="http://schemas.openxmlformats.org/officeDocument/2006/relationships/image" Target="media/image46.png"/><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8.png"/><Relationship Id="rId10" Type="http://schemas.openxmlformats.org/officeDocument/2006/relationships/endnotes" Target="endnotes.xm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EMADOC-1700519818-2419138</_dlc_DocId>
    <_dlc_DocIdUrl xmlns="a034c160-bfb7-45f5-8632-2eb7e0508071">
      <Url>https://euema.sharepoint.com/sites/CRM/_layouts/15/DocIdRedir.aspx?ID=EMADOC-1700519818-2419138</Url>
      <Description>EMADOC-1700519818-2419138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11B599-0469-4BF6-802F-EAC9D94548DD}">
  <ds:schemaRefs>
    <ds:schemaRef ds:uri="http://schemas.microsoft.com/sharepoint/v3/contenttype/forms"/>
  </ds:schemaRefs>
</ds:datastoreItem>
</file>

<file path=customXml/itemProps2.xml><?xml version="1.0" encoding="utf-8"?>
<ds:datastoreItem xmlns:ds="http://schemas.openxmlformats.org/officeDocument/2006/customXml" ds:itemID="{15527926-9663-4010-9156-800C08FC950A}">
  <ds:schemaRefs>
    <ds:schemaRef ds:uri="http://schemas.openxmlformats.org/officeDocument/2006/bibliography"/>
  </ds:schemaRefs>
</ds:datastoreItem>
</file>

<file path=customXml/itemProps3.xml><?xml version="1.0" encoding="utf-8"?>
<ds:datastoreItem xmlns:ds="http://schemas.openxmlformats.org/officeDocument/2006/customXml" ds:itemID="{9A2C3114-4C1A-4C76-95C3-597675DAE078}"/>
</file>

<file path=customXml/itemProps4.xml><?xml version="1.0" encoding="utf-8"?>
<ds:datastoreItem xmlns:ds="http://schemas.openxmlformats.org/officeDocument/2006/customXml" ds:itemID="{71D01A13-8E24-4223-8001-F5291086D5B0}">
  <ds:schemaRefs>
    <ds:schemaRef ds:uri="http://schemas.microsoft.com/office/2006/documentManagement/types"/>
    <ds:schemaRef ds:uri="6806e0ed-ca83-4689-b0b7-8c55af3b58dd"/>
    <ds:schemaRef ds:uri="http://schemas.openxmlformats.org/package/2006/metadata/core-properties"/>
    <ds:schemaRef ds:uri="http://purl.org/dc/terms/"/>
    <ds:schemaRef ds:uri="http://www.w3.org/XML/1998/namespace"/>
    <ds:schemaRef ds:uri="http://schemas.microsoft.com/office/2006/metadata/properties"/>
    <ds:schemaRef ds:uri="http://schemas.microsoft.com/office/infopath/2007/PartnerControls"/>
    <ds:schemaRef ds:uri="http://purl.org/dc/elements/1.1/"/>
    <ds:schemaRef ds:uri="610e9d72-a31b-4ce2-88aa-5f80d026b3e0"/>
    <ds:schemaRef ds:uri="http://purl.org/dc/dcmitype/"/>
  </ds:schemaRefs>
</ds:datastoreItem>
</file>

<file path=customXml/itemProps5.xml><?xml version="1.0" encoding="utf-8"?>
<ds:datastoreItem xmlns:ds="http://schemas.openxmlformats.org/officeDocument/2006/customXml" ds:itemID="{5F945A6F-4E59-4A03-AD3C-8F79FDBC6343}"/>
</file>

<file path=docProps/app.xml><?xml version="1.0" encoding="utf-8"?>
<Properties xmlns="http://schemas.openxmlformats.org/officeDocument/2006/extended-properties" xmlns:vt="http://schemas.openxmlformats.org/officeDocument/2006/docPropsVTypes">
  <Template>Normal.dotm</Template>
  <TotalTime>10</TotalTime>
  <Pages>278</Pages>
  <Words>89259</Words>
  <Characters>583019</Characters>
  <Application>Microsoft Office Word</Application>
  <DocSecurity>0</DocSecurity>
  <Lines>4858</Lines>
  <Paragraphs>1341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Amsparity: EPAR – Product information – tracked changes</vt:lpstr>
      <vt:lpstr/>
    </vt:vector>
  </TitlesOfParts>
  <Company/>
  <LinksUpToDate>false</LinksUpToDate>
  <CharactersWithSpaces>670937</CharactersWithSpaces>
  <SharedDoc>false</SharedDoc>
  <HLinks>
    <vt:vector size="102" baseType="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Amsparity: EPAR – Product information – tracked changes</dc:title>
  <dc:subject/>
  <dc:creator/>
  <cp:keywords/>
  <cp:lastModifiedBy>Author</cp:lastModifiedBy>
  <cp:revision>5</cp:revision>
  <dcterms:created xsi:type="dcterms:W3CDTF">2024-11-29T08:19:00Z</dcterms:created>
  <dcterms:modified xsi:type="dcterms:W3CDTF">2025-07-10T16:19:00Z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2024-11-28T08:33:53Z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09dcc1a4-7672-40ab-8b3c-1dd09b90c87e</vt:lpwstr>
  </property>
  <property fmtid="{D5CDD505-2E9C-101B-9397-08002B2CF9AE}" pid="8" name="MSIP_Label_4791b42f-c435-42ca-9531-75a3f42aae3d_ContentBits">
    <vt:lpwstr>0</vt:lpwstr>
  </property>
  <property fmtid="{D5CDD505-2E9C-101B-9397-08002B2CF9AE}" pid="9" name="MediaServiceImageTags">
    <vt:lpwstr/>
  </property>
  <property fmtid="{D5CDD505-2E9C-101B-9397-08002B2CF9AE}" pid="10" name="ContentTypeId">
    <vt:lpwstr>0x0101000DA6AD19014FF648A49316945EE786F90200176DED4FF78CD74995F64A0F46B59E48</vt:lpwstr>
  </property>
  <property fmtid="{D5CDD505-2E9C-101B-9397-08002B2CF9AE}" pid="11" name="_dlc_DocIdItemGuid">
    <vt:lpwstr>2c9c56e2-d4e1-44da-80ea-f8650080ac7b</vt:lpwstr>
  </property>
</Properties>
</file>